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明溪县2021年第一批次土地征收成片开发方案</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eastAsia="宋体" w:cs="宋体"/>
          <w:sz w:val="44"/>
          <w:szCs w:val="44"/>
        </w:rPr>
      </w:pP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sz w:val="44"/>
          <w:szCs w:val="44"/>
        </w:rPr>
        <w:t>明溪</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嘉豪花园西侧地块</w:t>
      </w:r>
      <w:r>
        <w:rPr>
          <w:rFonts w:hint="eastAsia" w:ascii="方正小标宋简体" w:hAnsi="方正小标宋简体" w:eastAsia="方正小标宋简体" w:cs="方正小标宋简体"/>
          <w:color w:val="000000"/>
          <w:sz w:val="44"/>
          <w:szCs w:val="44"/>
        </w:rPr>
        <w:t>）</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明溪县嘉豪花园西侧地块位于明溪县雪峰镇城东村</w:t>
      </w:r>
      <w:r>
        <w:rPr>
          <w:rFonts w:hint="eastAsia" w:ascii="仿宋_GB2312" w:hAnsi="仿宋_GB2312" w:eastAsia="仿宋_GB2312" w:cs="仿宋_GB2312"/>
          <w:sz w:val="32"/>
          <w:szCs w:val="32"/>
        </w:rPr>
        <w:t>。项目四至范围：东至嘉豪花园，西至青年路，北至民主路，南至红豆杉路，方案</w:t>
      </w:r>
      <w:r>
        <w:rPr>
          <w:rFonts w:hint="eastAsia" w:ascii="仿宋_GB2312" w:hAnsi="仿宋_GB2312" w:eastAsia="仿宋_GB2312" w:cs="仿宋_GB2312"/>
          <w:kern w:val="0"/>
          <w:sz w:val="32"/>
          <w:szCs w:val="32"/>
        </w:rPr>
        <w:t>总用地面积5.4013公顷。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二、必要性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通过成片开发，本片区将对现状土地利用效益较低的旧城区进行二次开发，整合土地以改善居住环境，完善片区功能，优化配置土地资源，促进土地合理高效利用。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三、主要用途</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本次土地征收成片开发方案实际开发用地面积3.0682公顷，主要用途为居住及配套基础设施的完善。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0"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其中城镇居住用地面积为2.8968公顷，主要实现功能解决城市居住用地不足，人口压力难以缓解。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城镇道路建设0.125公顷，主要用途实现交通运输、居民通行等功能。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0"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综合考虑当地经济社会发展状况等因数，本方案实施周期为3年（2021年至2023年）。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bookmarkStart w:id="0" w:name="_Toc11526"/>
      <w:bookmarkStart w:id="1" w:name="_Toc3110"/>
      <w:r>
        <w:rPr>
          <w:rFonts w:hint="eastAsia" w:ascii="黑体" w:hAnsi="黑体" w:eastAsia="黑体" w:cs="黑体"/>
          <w:sz w:val="32"/>
          <w:szCs w:val="32"/>
        </w:rPr>
        <w:t>四、合规性分析</w:t>
      </w:r>
      <w:bookmarkEnd w:id="0"/>
      <w:bookmarkEnd w:id="1"/>
    </w:p>
    <w:p>
      <w:pPr>
        <w:pStyle w:val="5"/>
        <w:keepNext w:val="0"/>
        <w:keepLines w:val="0"/>
        <w:pageBreakBefore w:val="0"/>
        <w:kinsoku/>
        <w:wordWrap/>
        <w:overflowPunct/>
        <w:topLinePunct w:val="0"/>
        <w:autoSpaceDE/>
        <w:autoSpaceDN/>
        <w:bidi w:val="0"/>
        <w:adjustRightInd/>
        <w:snapToGrid/>
        <w:spacing w:line="520" w:lineRule="exact"/>
        <w:ind w:left="643"/>
        <w:jc w:val="left"/>
        <w:textAlignment w:val="auto"/>
        <w:outlineLvl w:val="1"/>
        <w:rPr>
          <w:rFonts w:hint="eastAsia" w:ascii="楷体_GB2312" w:eastAsia="楷体_GB2312"/>
          <w:b/>
          <w:bCs/>
          <w:sz w:val="32"/>
          <w:szCs w:val="32"/>
        </w:rPr>
      </w:pPr>
      <w:bookmarkStart w:id="2" w:name="_Toc31029"/>
      <w:r>
        <w:rPr>
          <w:rFonts w:hint="eastAsia" w:ascii="楷体_GB2312" w:eastAsia="楷体_GB2312"/>
          <w:b/>
          <w:bCs/>
          <w:sz w:val="32"/>
          <w:szCs w:val="32"/>
        </w:rPr>
        <w:t>（一）国土空间规划</w:t>
      </w:r>
      <w:bookmarkEnd w:id="2"/>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溪县土地利用总体规划调整完善数据库，本成片开发范围位于规划确定的允许建设区和有条件建设区，未涉及限制建设区和禁止建设区。符合《明溪县土地利用总体规划》，并承诺范围全部纳入明溪县国土空间规划确定的城镇开发边界内的集中建设区，并符合规划管控要求。</w:t>
      </w:r>
    </w:p>
    <w:p>
      <w:pPr>
        <w:pStyle w:val="5"/>
        <w:keepNext w:val="0"/>
        <w:keepLines w:val="0"/>
        <w:pageBreakBefore w:val="0"/>
        <w:kinsoku/>
        <w:wordWrap/>
        <w:overflowPunct/>
        <w:topLinePunct w:val="0"/>
        <w:autoSpaceDE/>
        <w:autoSpaceDN/>
        <w:bidi w:val="0"/>
        <w:adjustRightInd/>
        <w:snapToGrid/>
        <w:spacing w:line="520" w:lineRule="exact"/>
        <w:ind w:left="643"/>
        <w:jc w:val="left"/>
        <w:textAlignment w:val="auto"/>
        <w:outlineLvl w:val="1"/>
        <w:rPr>
          <w:rFonts w:hint="eastAsia" w:ascii="楷体_GB2312" w:eastAsia="楷体_GB2312"/>
          <w:b/>
          <w:bCs/>
          <w:sz w:val="32"/>
          <w:szCs w:val="32"/>
        </w:rPr>
      </w:pPr>
      <w:bookmarkStart w:id="3" w:name="_Toc28358"/>
      <w:r>
        <w:rPr>
          <w:rFonts w:hint="eastAsia" w:ascii="楷体_GB2312" w:eastAsia="楷体_GB2312"/>
          <w:b/>
          <w:bCs/>
          <w:sz w:val="32"/>
          <w:szCs w:val="32"/>
        </w:rPr>
        <w:t>（二）国民经济和社会发展规划、年度计划</w:t>
      </w:r>
      <w:bookmarkEnd w:id="3"/>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0" w:firstLine="640" w:firstLineChars="200"/>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方案已纳入2021年</w:t>
      </w:r>
      <w:r>
        <w:rPr>
          <w:rFonts w:hint="eastAsia" w:ascii="仿宋_GB2312" w:hAnsi="仿宋_GB2312" w:eastAsia="仿宋_GB2312" w:cs="仿宋_GB2312"/>
          <w:kern w:val="2"/>
          <w:sz w:val="32"/>
          <w:szCs w:val="32"/>
        </w:rPr>
        <w:t>明溪县</w:t>
      </w:r>
      <w:r>
        <w:rPr>
          <w:rFonts w:ascii="仿宋_GB2312" w:hAnsi="仿宋_GB2312" w:eastAsia="仿宋_GB2312" w:cs="仿宋_GB2312"/>
          <w:kern w:val="2"/>
          <w:sz w:val="32"/>
          <w:szCs w:val="32"/>
        </w:rPr>
        <w:t>国民经济和社会发展年度计划。综上，方案符合国民经济和社会发展规划与年度计划。</w:t>
      </w:r>
    </w:p>
    <w:p>
      <w:pPr>
        <w:pStyle w:val="5"/>
        <w:keepNext w:val="0"/>
        <w:keepLines w:val="0"/>
        <w:pageBreakBefore w:val="0"/>
        <w:kinsoku/>
        <w:wordWrap/>
        <w:overflowPunct/>
        <w:topLinePunct w:val="0"/>
        <w:autoSpaceDE/>
        <w:autoSpaceDN/>
        <w:bidi w:val="0"/>
        <w:adjustRightInd/>
        <w:snapToGrid/>
        <w:spacing w:line="520" w:lineRule="exact"/>
        <w:ind w:left="643"/>
        <w:jc w:val="left"/>
        <w:textAlignment w:val="auto"/>
        <w:outlineLvl w:val="1"/>
        <w:rPr>
          <w:rFonts w:hint="eastAsia" w:ascii="楷体_GB2312" w:eastAsia="楷体_GB2312"/>
          <w:b/>
          <w:bCs/>
          <w:sz w:val="32"/>
          <w:szCs w:val="32"/>
        </w:rPr>
      </w:pPr>
      <w:bookmarkStart w:id="4" w:name="_Toc14628"/>
      <w:r>
        <w:rPr>
          <w:rFonts w:hint="eastAsia" w:ascii="楷体_GB2312" w:eastAsia="楷体_GB2312"/>
          <w:b/>
          <w:bCs/>
          <w:sz w:val="32"/>
          <w:szCs w:val="32"/>
        </w:rPr>
        <w:t>（三）占用永久基本农田和其他法律法规规定不允许占</w:t>
      </w:r>
    </w:p>
    <w:p>
      <w:pPr>
        <w:pStyle w:val="5"/>
        <w:keepNext w:val="0"/>
        <w:keepLines w:val="0"/>
        <w:pageBreakBefore w:val="0"/>
        <w:kinsoku/>
        <w:wordWrap/>
        <w:overflowPunct/>
        <w:topLinePunct w:val="0"/>
        <w:autoSpaceDE/>
        <w:autoSpaceDN/>
        <w:bidi w:val="0"/>
        <w:adjustRightInd/>
        <w:snapToGrid/>
        <w:spacing w:line="520" w:lineRule="exact"/>
        <w:jc w:val="left"/>
        <w:textAlignment w:val="auto"/>
        <w:outlineLvl w:val="1"/>
        <w:rPr>
          <w:rFonts w:hint="eastAsia" w:ascii="楷体_GB2312" w:eastAsia="楷体_GB2312"/>
          <w:b/>
          <w:bCs/>
          <w:sz w:val="32"/>
          <w:szCs w:val="32"/>
        </w:rPr>
      </w:pPr>
      <w:r>
        <w:rPr>
          <w:rFonts w:hint="eastAsia" w:ascii="楷体_GB2312" w:eastAsia="楷体_GB2312"/>
          <w:b/>
          <w:bCs/>
          <w:sz w:val="32"/>
          <w:szCs w:val="32"/>
        </w:rPr>
        <w:t>用或开发的</w:t>
      </w:r>
      <w:bookmarkEnd w:id="4"/>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成片开发区域范围不涉及永久基本农田，生态保护红线和各类保护区。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五、结论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本土地征收成片开发方案符合国民经济和社会发展规划在土地利用总体规划确定的城镇建设用地范围内、专项规划，已纳入国民经济和社会发展年度计划， 符合部省规定的标准，做到了保护耕地、维护农民合法权益、节约集约用地、保护生态环境，能够促进经济社会可持续发展。</w:t>
      </w:r>
    </w:p>
    <w:p>
      <w:pPr>
        <w:pStyle w:val="2"/>
        <w:rPr>
          <w:rFonts w:hint="eastAsia" w:ascii="仿宋_GB2312" w:eastAsia="仿宋_GB2312"/>
          <w:sz w:val="32"/>
          <w:szCs w:val="32"/>
        </w:rPr>
      </w:pPr>
      <w:r>
        <w:rPr>
          <w:rFonts w:hint="default"/>
          <w:b w:val="0"/>
          <w:bCs w:val="0"/>
          <w:sz w:val="32"/>
          <w:szCs w:val="32"/>
          <w:lang w:val="en-US" w:eastAsia="zh-CN"/>
        </w:rPr>
        <w:drawing>
          <wp:anchor distT="0" distB="0" distL="114300" distR="114300" simplePos="0" relativeHeight="251658240" behindDoc="1" locked="0" layoutInCell="1" allowOverlap="1">
            <wp:simplePos x="0" y="0"/>
            <wp:positionH relativeFrom="column">
              <wp:posOffset>-311150</wp:posOffset>
            </wp:positionH>
            <wp:positionV relativeFrom="paragraph">
              <wp:posOffset>480060</wp:posOffset>
            </wp:positionV>
            <wp:extent cx="5843905" cy="4134485"/>
            <wp:effectExtent l="0" t="0" r="0" b="0"/>
            <wp:wrapTight wrapText="bothSides">
              <wp:wrapPolygon>
                <wp:start x="0" y="0"/>
                <wp:lineTo x="0" y="21497"/>
                <wp:lineTo x="21546" y="21497"/>
                <wp:lineTo x="21546" y="0"/>
                <wp:lineTo x="0" y="0"/>
              </wp:wrapPolygon>
            </wp:wrapTight>
            <wp:docPr id="1" name="图片 1" descr="6a7eeb1f38decfde525f72b5df80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7eeb1f38decfde525f72b5df8091b"/>
                    <pic:cNvPicPr>
                      <a:picLocks noChangeAspect="1"/>
                    </pic:cNvPicPr>
                  </pic:nvPicPr>
                  <pic:blipFill>
                    <a:blip r:embed="rId4"/>
                    <a:stretch>
                      <a:fillRect/>
                    </a:stretch>
                  </pic:blipFill>
                  <pic:spPr>
                    <a:xfrm>
                      <a:off x="0" y="0"/>
                      <a:ext cx="5843905" cy="4134485"/>
                    </a:xfrm>
                    <a:prstGeom prst="rect">
                      <a:avLst/>
                    </a:prstGeom>
                    <a:noFill/>
                    <a:ln>
                      <a:noFill/>
                    </a:ln>
                  </pic:spPr>
                </pic:pic>
              </a:graphicData>
            </a:graphic>
          </wp:anchor>
        </w:drawing>
      </w:r>
      <w:bookmarkStart w:id="5" w:name="_GoBack"/>
      <w:bookmarkEnd w:id="5"/>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ind w:left="0" w:leftChars="0" w:firstLine="0" w:firstLineChars="0"/>
        <w:rPr>
          <w:rFonts w:hint="eastAsia"/>
        </w:rPr>
      </w:pPr>
    </w:p>
    <w:p>
      <w:pPr>
        <w:spacing w:line="560" w:lineRule="exact"/>
        <w:rPr>
          <w:rFonts w:hint="eastAsia" w:ascii="仿宋_GB2312" w:eastAsia="仿宋_GB2312"/>
          <w:sz w:val="32"/>
          <w:szCs w:val="32"/>
        </w:rPr>
      </w:pP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15CD"/>
    <w:rsid w:val="00254F45"/>
    <w:rsid w:val="00437951"/>
    <w:rsid w:val="005F15CD"/>
    <w:rsid w:val="00AF330A"/>
    <w:rsid w:val="00BB3ACD"/>
    <w:rsid w:val="00CA59A3"/>
    <w:rsid w:val="00D51271"/>
    <w:rsid w:val="078F5749"/>
    <w:rsid w:val="1C7F2750"/>
    <w:rsid w:val="28690648"/>
    <w:rsid w:val="324D6AA6"/>
    <w:rsid w:val="43913771"/>
    <w:rsid w:val="49D44896"/>
    <w:rsid w:val="4E215A4B"/>
    <w:rsid w:val="51EF23FF"/>
    <w:rsid w:val="55BC470B"/>
    <w:rsid w:val="600C3179"/>
    <w:rsid w:val="674955B4"/>
    <w:rsid w:val="68DF01E7"/>
    <w:rsid w:val="70C31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styleId="4">
    <w:name w:val="Normal Indent"/>
    <w:basedOn w:val="1"/>
    <w:qFormat/>
    <w:uiPriority w:val="0"/>
    <w:pPr>
      <w:adjustRightInd w:val="0"/>
      <w:ind w:firstLine="420"/>
      <w:jc w:val="left"/>
    </w:pPr>
    <w:rPr>
      <w:rFonts w:eastAsia="宋体" w:cs="Times New Roman"/>
      <w:kern w:val="0"/>
      <w:szCs w:val="20"/>
    </w:rPr>
  </w:style>
  <w:style w:type="paragraph" w:styleId="5">
    <w:name w:val="Body Text"/>
    <w:basedOn w:val="1"/>
    <w:qFormat/>
    <w:uiPriority w:val="0"/>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customStyle="1" w:styleId="11">
    <w:name w:val="页眉 Char"/>
    <w:basedOn w:val="10"/>
    <w:link w:val="7"/>
    <w:uiPriority w:val="0"/>
    <w:rPr>
      <w:rFonts w:asciiTheme="minorHAnsi" w:hAnsiTheme="minorHAnsi" w:cstheme="minorBidi"/>
      <w:kern w:val="2"/>
      <w:sz w:val="18"/>
      <w:szCs w:val="18"/>
    </w:rPr>
  </w:style>
  <w:style w:type="character" w:customStyle="1" w:styleId="12">
    <w:name w:val="页脚 Char"/>
    <w:basedOn w:val="10"/>
    <w:link w:val="6"/>
    <w:uiPriority w:val="0"/>
    <w:rPr>
      <w:rFonts w:asciiTheme="minorHAnsi" w:hAnsiTheme="minorHAnsi" w:cstheme="minorBidi"/>
      <w:kern w:val="2"/>
      <w:sz w:val="18"/>
      <w:szCs w:val="18"/>
    </w:rPr>
  </w:style>
  <w:style w:type="paragraph" w:customStyle="1" w:styleId="13">
    <w:name w:val="其它段"/>
    <w:basedOn w:val="1"/>
    <w:qFormat/>
    <w:uiPriority w:val="0"/>
    <w:pPr>
      <w:widowControl/>
      <w:autoSpaceDE w:val="0"/>
      <w:autoSpaceDN w:val="0"/>
      <w:spacing w:line="360" w:lineRule="auto"/>
      <w:ind w:firstLine="454"/>
      <w:jc w:val="left"/>
    </w:pPr>
    <w:rPr>
      <w:rFonts w:ascii="Times New Roman" w:hAnsi="Times New Roman" w:eastAsia="宋体" w:cs="Times New Roman"/>
      <w:kern w:val="0"/>
      <w:sz w:val="24"/>
      <w:lang w:val="de-DE"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117</Words>
  <Characters>668</Characters>
  <Lines>5</Lines>
  <Paragraphs>1</Paragraphs>
  <TotalTime>2</TotalTime>
  <ScaleCrop>false</ScaleCrop>
  <LinksUpToDate>false</LinksUpToDate>
  <CharactersWithSpaces>784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2021-03-21T12:15:00Z</dcterms:created>
  <dc:creator>Administrator.DESKTOP-J1PB8CK</dc:creator>
  <cp:lastModifiedBy>NTKO</cp:lastModifiedBy>
  <dcterms:modified xsi:type="dcterms:W3CDTF">2021-03-23T08:38:18Z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ICV">
    <vt:lpwstr>378864004E5A46EFAA90F36DE95DEF36</vt:lpwstr>
  </property>
</Properties>
</file>