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540" w:lineRule="exact"/>
        <w:jc w:val="center"/>
        <w:textAlignment w:val="auto"/>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关于</w:t>
      </w:r>
      <w:r>
        <w:rPr>
          <w:rFonts w:hint="eastAsia" w:ascii="方正小标宋简体" w:hAnsi="方正小标宋简体" w:eastAsia="方正小标宋简体" w:cs="方正小标宋简体"/>
          <w:color w:val="000000" w:themeColor="text1"/>
          <w:sz w:val="40"/>
          <w:szCs w:val="40"/>
          <w:highlight w:val="none"/>
          <w:lang w:eastAsia="zh-CN"/>
          <w14:textFill>
            <w14:solidFill>
              <w14:schemeClr w14:val="tx1"/>
            </w14:solidFill>
          </w14:textFill>
        </w:rPr>
        <w:t>促进</w:t>
      </w: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2024年一季度</w:t>
      </w:r>
      <w:r>
        <w:rPr>
          <w:rFonts w:hint="eastAsia" w:ascii="方正小标宋简体" w:hAnsi="方正小标宋简体" w:eastAsia="方正小标宋简体" w:cs="方正小标宋简体"/>
          <w:color w:val="000000" w:themeColor="text1"/>
          <w:sz w:val="40"/>
          <w:szCs w:val="40"/>
          <w:highlight w:val="none"/>
          <w:lang w:eastAsia="zh-CN"/>
          <w14:textFill>
            <w14:solidFill>
              <w14:schemeClr w14:val="tx1"/>
            </w14:solidFill>
          </w14:textFill>
        </w:rPr>
        <w:t>明溪县</w:t>
      </w: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房地产市场</w:t>
      </w:r>
    </w:p>
    <w:p>
      <w:pPr>
        <w:keepNext w:val="0"/>
        <w:keepLines w:val="0"/>
        <w:pageBreakBefore w:val="0"/>
        <w:widowControl w:val="0"/>
        <w:kinsoku/>
        <w:wordWrap/>
        <w:overflowPunct/>
        <w:topLinePunct w:val="0"/>
        <w:bidi w:val="0"/>
        <w:adjustRightInd w:val="0"/>
        <w:snapToGrid/>
        <w:spacing w:line="540" w:lineRule="exact"/>
        <w:jc w:val="center"/>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“开门红”“开门稳”若干措施</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14:textFill>
            <w14:solidFill>
              <w14:schemeClr w14:val="tx1"/>
            </w14:solidFill>
          </w14:textFill>
        </w:rPr>
        <w:t>为深入贯彻党的二十大精神，全面落实中央、省委</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市委</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经济</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工作</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会议部署和县委工作</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要求，坚持稳中求进、以进促稳、先立后破</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，巩固和增强经济回升向好态势</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，根据《三明市人民政府办公室关于印发做好2024年</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一</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季度经济社会“开门红”“开门稳</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若干措施的通知》</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中关于支持房地产消费的有关要求，结合我县实际，</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制定</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以下措施。</w:t>
      </w:r>
    </w:p>
    <w:p>
      <w:pPr>
        <w:keepNext w:val="0"/>
        <w:keepLines w:val="0"/>
        <w:pageBreakBefore w:val="0"/>
        <w:widowControl w:val="0"/>
        <w:numPr>
          <w:ilvl w:val="0"/>
          <w:numId w:val="0"/>
        </w:numPr>
        <w:kinsoku/>
        <w:wordWrap/>
        <w:overflowPunct/>
        <w:topLinePunct w:val="0"/>
        <w:bidi w:val="0"/>
        <w:snapToGrid/>
        <w:spacing w:beforeAutospacing="0" w:afterAutospacing="0" w:line="540" w:lineRule="exact"/>
        <w:ind w:firstLine="648" w:firstLineChars="200"/>
        <w:textAlignment w:val="auto"/>
        <w:rPr>
          <w:rFonts w:hint="default"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color w:val="000000" w:themeColor="text1"/>
          <w:spacing w:val="2"/>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pacing w:val="2"/>
          <w:sz w:val="32"/>
          <w:szCs w:val="32"/>
          <w:highlight w:val="none"/>
          <w:lang w:val="en-US" w:eastAsia="zh-CN"/>
          <w14:textFill>
            <w14:solidFill>
              <w14:schemeClr w14:val="tx1"/>
            </w14:solidFill>
          </w14:textFill>
        </w:rPr>
        <w:t>实行购房契税补贴。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 xml:space="preserve">2024年一季度（2024年1月1日至2024年3月31日）期间,在我县城市规划区内房地产开发项目购买新建商品住房且购买新建商品住房面积在144平方米以下（不含144平方米）的（购房时间以商品房买卖合同网签备案日期为准），在购房人取得该商品住房的不动产权证和契税完税凭证后，给予购房人按其所缴纳契税金额的50%予以补贴。         </w:t>
      </w:r>
    </w:p>
    <w:p>
      <w:pPr>
        <w:keepNext w:val="0"/>
        <w:keepLines w:val="0"/>
        <w:pageBreakBefore w:val="0"/>
        <w:widowControl w:val="0"/>
        <w:numPr>
          <w:ilvl w:val="0"/>
          <w:numId w:val="0"/>
        </w:numPr>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
          <w:sz w:val="32"/>
          <w:szCs w:val="32"/>
          <w:highlight w:val="none"/>
          <w:lang w:val="en-US" w:eastAsia="zh-CN"/>
          <w14:textFill>
            <w14:solidFill>
              <w14:schemeClr w14:val="tx1"/>
            </w14:solidFill>
          </w14:textFill>
        </w:rPr>
        <w:t>二、举办新春房展会。</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按照“政府支持、企业让利、群众受益”的原则，由县住建局组织辖区内房地产开发企业举办新春房展会，搭建商品住房统一推介平台，加大对在售商品住房项目和优惠政策的宣传，引导房地产开发企业推出折扣、团购等活动，激发房地产市场活力。在新春房展会期间（2024年2月1日至2024年3月31日），发放面额2万元的“购房消费券”500张（发放完毕不再增发），2024年3月31日活动结束后不再受理申领请求。</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在明溪县</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新春房展会</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参展商品</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住</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房项目</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中购买新建商品住房</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的，购房人可向房地产开发企业提出参与活动申请，由房地产开发企业代办“购房消费券”申领手续并在购房合同总价中减去“购房消费券”相应面额。（详见附件）</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黑体" w:hAnsi="黑体" w:eastAsia="黑体" w:cs="黑体"/>
          <w:color w:val="000000" w:themeColor="text1"/>
          <w:spacing w:val="2"/>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2"/>
          <w:sz w:val="32"/>
          <w:szCs w:val="32"/>
          <w:highlight w:val="none"/>
          <w:lang w:val="en-US" w:eastAsia="zh-CN"/>
          <w14:textFill>
            <w14:solidFill>
              <w14:schemeClr w14:val="tx1"/>
            </w14:solidFill>
          </w14:textFill>
        </w:rPr>
        <w:t>三、其他事项</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（一）县内房地产开发企业需在2024年1月28日前向县住建局提出“明溪县新春房展会”的书面参展申请。</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ascii="仿宋_GB2312" w:hAnsi="宋体" w:eastAsia="仿宋_GB2312" w:cs="仿宋_GB2312"/>
          <w:color w:val="000000" w:themeColor="text1"/>
          <w:spacing w:val="2"/>
          <w:sz w:val="32"/>
          <w:szCs w:val="32"/>
          <w:highlight w:val="none"/>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（二）单位或</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个人提供虚假</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材料骗取</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补贴资金的，经查实后，除追回县政府补贴资金外，将依法依规</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追究</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其相应责任。</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pacing w:val="2"/>
          <w:sz w:val="32"/>
          <w:szCs w:val="32"/>
          <w:highlight w:val="none"/>
          <w14:textFill>
            <w14:solidFill>
              <w14:schemeClr w14:val="tx1"/>
            </w14:solidFill>
          </w14:textFill>
        </w:rPr>
        <w:t>（</w:t>
      </w:r>
      <w:r>
        <w:rPr>
          <w:rFonts w:hint="eastAsia" w:ascii="仿宋_GB2312" w:hAnsi="仿宋" w:eastAsia="仿宋_GB2312" w:cs="仿宋_GB2312"/>
          <w:color w:val="000000" w:themeColor="text1"/>
          <w:spacing w:val="2"/>
          <w:sz w:val="32"/>
          <w:szCs w:val="32"/>
          <w:highlight w:val="none"/>
          <w:lang w:eastAsia="zh-CN"/>
          <w14:textFill>
            <w14:solidFill>
              <w14:schemeClr w14:val="tx1"/>
            </w14:solidFill>
          </w14:textFill>
        </w:rPr>
        <w:t>三</w:t>
      </w:r>
      <w:r>
        <w:rPr>
          <w:rFonts w:hint="eastAsia" w:ascii="仿宋_GB2312" w:hAnsi="仿宋" w:eastAsia="仿宋_GB2312" w:cs="仿宋_GB2312"/>
          <w:color w:val="000000" w:themeColor="text1"/>
          <w:spacing w:val="2"/>
          <w:sz w:val="32"/>
          <w:szCs w:val="32"/>
          <w:highlight w:val="none"/>
          <w14:textFill>
            <w14:solidFill>
              <w14:schemeClr w14:val="tx1"/>
            </w14:solidFill>
          </w14:textFill>
        </w:rPr>
        <w:t>）</w:t>
      </w:r>
      <w:r>
        <w:rPr>
          <w:rFonts w:hint="eastAsia" w:ascii="仿宋_GB2312" w:hAnsi="仿宋" w:eastAsia="仿宋_GB2312" w:cs="仿宋_GB2312"/>
          <w:color w:val="000000" w:themeColor="text1"/>
          <w:spacing w:val="2"/>
          <w:sz w:val="32"/>
          <w:szCs w:val="32"/>
          <w:highlight w:val="none"/>
          <w:lang w:eastAsia="zh-CN"/>
          <w14:textFill>
            <w14:solidFill>
              <w14:schemeClr w14:val="tx1"/>
            </w14:solidFill>
          </w14:textFill>
        </w:rPr>
        <w:t>房地产</w:t>
      </w:r>
      <w:r>
        <w:rPr>
          <w:rFonts w:hint="eastAsia" w:ascii="仿宋_GB2312" w:hAnsi="仿宋" w:eastAsia="仿宋_GB2312" w:cs="仿宋_GB2312"/>
          <w:color w:val="000000" w:themeColor="text1"/>
          <w:spacing w:val="2"/>
          <w:sz w:val="32"/>
          <w:szCs w:val="32"/>
          <w:highlight w:val="none"/>
          <w14:textFill>
            <w14:solidFill>
              <w14:schemeClr w14:val="tx1"/>
            </w14:solidFill>
          </w14:textFill>
        </w:rPr>
        <w:t>开发企业以</w:t>
      </w:r>
      <w:r>
        <w:rPr>
          <w:rFonts w:hint="eastAsia" w:ascii="仿宋_GB2312" w:hAnsi="仿宋" w:eastAsia="仿宋_GB2312" w:cs="仿宋_GB2312"/>
          <w:color w:val="000000" w:themeColor="text1"/>
          <w:spacing w:val="2"/>
          <w:sz w:val="32"/>
          <w:szCs w:val="32"/>
          <w:highlight w:val="none"/>
          <w:lang w:eastAsia="zh-CN"/>
          <w14:textFill>
            <w14:solidFill>
              <w14:schemeClr w14:val="tx1"/>
            </w14:solidFill>
          </w14:textFill>
        </w:rPr>
        <w:t>新建</w:t>
      </w:r>
      <w:r>
        <w:rPr>
          <w:rFonts w:hint="eastAsia" w:ascii="仿宋_GB2312" w:hAnsi="仿宋" w:eastAsia="仿宋_GB2312" w:cs="仿宋_GB2312"/>
          <w:color w:val="000000" w:themeColor="text1"/>
          <w:spacing w:val="2"/>
          <w:sz w:val="32"/>
          <w:szCs w:val="32"/>
          <w:highlight w:val="none"/>
          <w14:textFill>
            <w14:solidFill>
              <w14:schemeClr w14:val="tx1"/>
            </w14:solidFill>
          </w14:textFill>
        </w:rPr>
        <w:t>商品住房产权抵偿债务</w:t>
      </w:r>
      <w:r>
        <w:rPr>
          <w:rFonts w:hint="eastAsia" w:ascii="仿宋_GB2312" w:hAnsi="仿宋"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pacing w:val="2"/>
          <w:sz w:val="32"/>
          <w:szCs w:val="32"/>
          <w:highlight w:val="none"/>
          <w14:textFill>
            <w14:solidFill>
              <w14:schemeClr w14:val="tx1"/>
            </w14:solidFill>
          </w14:textFill>
        </w:rPr>
        <w:t>不发生现金购置新建商品住房的，不享受本措施的补贴政策。</w:t>
      </w:r>
    </w:p>
    <w:p>
      <w:pPr>
        <w:pStyle w:val="8"/>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kern w:val="2"/>
          <w:sz w:val="32"/>
          <w:szCs w:val="32"/>
          <w:highlight w:val="none"/>
          <w:lang w:val="en-US" w:eastAsia="zh-CN" w:bidi="ar-SA"/>
          <w14:textFill>
            <w14:solidFill>
              <w14:schemeClr w14:val="tx1"/>
            </w14:solidFill>
          </w14:textFill>
        </w:rPr>
      </w:pPr>
      <w:r>
        <w:rPr>
          <w:rFonts w:hint="eastAsia" w:ascii="仿宋_GB2312" w:hAnsi="宋体" w:eastAsia="仿宋_GB2312" w:cs="仿宋_GB2312"/>
          <w:color w:val="auto"/>
          <w:spacing w:val="2"/>
          <w:sz w:val="32"/>
          <w:szCs w:val="32"/>
          <w:highlight w:val="none"/>
        </w:rPr>
        <w:t>（</w:t>
      </w:r>
      <w:r>
        <w:rPr>
          <w:rFonts w:hint="eastAsia" w:ascii="仿宋_GB2312" w:hAnsi="宋体" w:eastAsia="仿宋_GB2312" w:cs="仿宋_GB2312"/>
          <w:color w:val="auto"/>
          <w:spacing w:val="2"/>
          <w:sz w:val="32"/>
          <w:szCs w:val="32"/>
          <w:highlight w:val="none"/>
          <w:lang w:eastAsia="zh-CN"/>
        </w:rPr>
        <w:t>四</w:t>
      </w:r>
      <w:r>
        <w:rPr>
          <w:rFonts w:hint="eastAsia" w:ascii="仿宋_GB2312" w:hAnsi="宋体" w:eastAsia="仿宋_GB2312" w:cs="仿宋_GB2312"/>
          <w:color w:val="auto"/>
          <w:spacing w:val="2"/>
          <w:sz w:val="32"/>
          <w:szCs w:val="32"/>
          <w:highlight w:val="none"/>
        </w:rPr>
        <w:t>）</w:t>
      </w:r>
      <w:r>
        <w:rPr>
          <w:rFonts w:hint="eastAsia" w:ascii="仿宋_GB2312" w:hAnsi="宋体" w:eastAsia="仿宋_GB2312" w:cs="仿宋_GB2312"/>
          <w:color w:val="000000" w:themeColor="text1"/>
          <w:spacing w:val="2"/>
          <w:kern w:val="2"/>
          <w:sz w:val="32"/>
          <w:szCs w:val="32"/>
          <w:highlight w:val="none"/>
          <w:lang w:val="en-US" w:eastAsia="zh-CN" w:bidi="ar-SA"/>
          <w14:textFill>
            <w14:solidFill>
              <w14:schemeClr w14:val="tx1"/>
            </w14:solidFill>
          </w14:textFill>
        </w:rPr>
        <w:t>在本措施起止时间内解除合同登记备案并重新办理网签的商品房不享受本措施补贴政策。</w:t>
      </w:r>
    </w:p>
    <w:p>
      <w:pPr>
        <w:pStyle w:val="8"/>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仿宋" w:eastAsia="仿宋_GB2312" w:cs="仿宋_GB2312"/>
          <w:color w:val="auto"/>
          <w:spacing w:val="2"/>
          <w:sz w:val="32"/>
          <w:szCs w:val="32"/>
          <w:highlight w:val="none"/>
          <w:u w:val="single"/>
          <w:lang w:eastAsia="zh-CN"/>
        </w:rPr>
      </w:pP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五</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r>
        <w:rPr>
          <w:rFonts w:hint="eastAsia" w:ascii="仿宋_GB2312" w:hAnsi="仿宋" w:eastAsia="仿宋_GB2312" w:cs="仿宋_GB2312"/>
          <w:color w:val="auto"/>
          <w:spacing w:val="2"/>
          <w:sz w:val="32"/>
          <w:szCs w:val="32"/>
          <w:highlight w:val="none"/>
        </w:rPr>
        <w:t>本措施</w:t>
      </w:r>
      <w:r>
        <w:rPr>
          <w:rFonts w:hint="eastAsia" w:ascii="仿宋_GB2312" w:hAnsi="仿宋" w:eastAsia="仿宋_GB2312" w:cs="仿宋_GB2312"/>
          <w:color w:val="auto"/>
          <w:spacing w:val="2"/>
          <w:sz w:val="32"/>
          <w:szCs w:val="32"/>
          <w:highlight w:val="none"/>
          <w:lang w:val="en-US" w:eastAsia="zh-CN"/>
        </w:rPr>
        <w:t>中购房补贴不与我</w:t>
      </w:r>
      <w:r>
        <w:rPr>
          <w:rFonts w:hint="eastAsia" w:ascii="仿宋_GB2312" w:hAnsi="仿宋" w:eastAsia="仿宋_GB2312" w:cs="仿宋_GB2312"/>
          <w:color w:val="auto"/>
          <w:spacing w:val="2"/>
          <w:sz w:val="32"/>
          <w:szCs w:val="32"/>
          <w:highlight w:val="none"/>
          <w:lang w:eastAsia="zh-CN"/>
        </w:rPr>
        <w:t>县其他购房补贴政策</w:t>
      </w:r>
      <w:r>
        <w:rPr>
          <w:rFonts w:hint="eastAsia" w:ascii="仿宋_GB2312" w:hAnsi="仿宋" w:eastAsia="仿宋_GB2312" w:cs="仿宋_GB2312"/>
          <w:color w:val="auto"/>
          <w:spacing w:val="2"/>
          <w:sz w:val="32"/>
          <w:szCs w:val="32"/>
          <w:highlight w:val="none"/>
          <w:lang w:val="en-US" w:eastAsia="zh-CN"/>
        </w:rPr>
        <w:t>叠加享受</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六</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本措施自2024年1月1日起</w:t>
      </w:r>
      <w:bookmarkStart w:id="0" w:name="_GoBack"/>
      <w:bookmarkEnd w:id="0"/>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开始实施，有效期至2024年3月31日。我</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县以往有关政策文件与本</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措施</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规定不一致的，以本</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措施</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为准；如遇上级政策调整，按上级政策执行</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beforeAutospacing="0" w:afterAutospacing="0" w:line="540" w:lineRule="exact"/>
        <w:ind w:firstLine="648" w:firstLineChars="200"/>
        <w:textAlignment w:val="auto"/>
        <w:rPr>
          <w:rFonts w:hint="default" w:ascii="仿宋_GB2312" w:hAnsi="宋体" w:eastAsia="仿宋_GB2312" w:cs="仿宋_GB2312"/>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附件：2024年明溪县“购房消费券”发放活动实施方案</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7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7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spacing w:line="470" w:lineRule="exact"/>
        <w:textAlignment w:val="auto"/>
        <w:rPr>
          <w:rFonts w:hint="eastAsia" w:ascii="黑体" w:hAnsi="黑体" w:eastAsia="黑体" w:cs="黑体"/>
          <w:color w:val="000000" w:themeColor="text1"/>
          <w:sz w:val="31"/>
          <w:szCs w:val="3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70" w:lineRule="exact"/>
        <w:jc w:val="center"/>
        <w:textAlignment w:val="auto"/>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2024年</w:t>
      </w:r>
      <w:r>
        <w:rPr>
          <w:rFonts w:hint="eastAsia" w:ascii="方正小标宋简体" w:hAnsi="方正小标宋简体" w:eastAsia="方正小标宋简体" w:cs="方正小标宋简体"/>
          <w:color w:val="000000" w:themeColor="text1"/>
          <w:sz w:val="40"/>
          <w:szCs w:val="40"/>
          <w:highlight w:val="none"/>
          <w:lang w:eastAsia="zh-CN"/>
          <w14:textFill>
            <w14:solidFill>
              <w14:schemeClr w14:val="tx1"/>
            </w14:solidFill>
          </w14:textFill>
        </w:rPr>
        <w:t>明溪县</w:t>
      </w: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“购房消费券”发放活动实施方案</w:t>
      </w:r>
    </w:p>
    <w:p>
      <w:pPr>
        <w:keepNext w:val="0"/>
        <w:keepLines w:val="0"/>
        <w:pageBreakBefore w:val="0"/>
        <w:widowControl w:val="0"/>
        <w:kinsoku/>
        <w:wordWrap/>
        <w:overflowPunct/>
        <w:topLinePunct w:val="0"/>
        <w:autoSpaceDE/>
        <w:autoSpaceDN/>
        <w:bidi w:val="0"/>
        <w:adjustRightInd w:val="0"/>
        <w:snapToGrid/>
        <w:spacing w:line="470" w:lineRule="exact"/>
        <w:textAlignment w:val="auto"/>
        <w:rPr>
          <w:rFonts w:hint="eastAsia" w:ascii="宋体" w:hAnsi="宋体" w:eastAsia="仿宋_GB2312" w:cs="宋体"/>
          <w:color w:val="000000" w:themeColor="text1"/>
          <w:sz w:val="31"/>
          <w:szCs w:val="3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一、发放对象</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14:textFill>
            <w14:solidFill>
              <w14:schemeClr w14:val="tx1"/>
            </w14:solidFill>
          </w14:textFill>
        </w:rPr>
        <w:t>2024年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2</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月1日至2024年3月31日，</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在明溪县</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新春房展会</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参展商品</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住</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房项目</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中购买新建商品住房</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的，购房人可申领</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购房消费券</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二、发放</w:t>
      </w:r>
      <w:r>
        <w:rPr>
          <w:rFonts w:hint="eastAsia" w:ascii="黑体" w:hAnsi="黑体" w:eastAsia="黑体" w:cs="黑体"/>
          <w:color w:val="000000" w:themeColor="text1"/>
          <w:sz w:val="31"/>
          <w:szCs w:val="31"/>
          <w:highlight w:val="none"/>
          <w:lang w:eastAsia="zh-CN"/>
          <w14:textFill>
            <w14:solidFill>
              <w14:schemeClr w14:val="tx1"/>
            </w14:solidFill>
          </w14:textFill>
        </w:rPr>
        <w:t>面额</w:t>
      </w:r>
      <w:r>
        <w:rPr>
          <w:rFonts w:hint="eastAsia" w:ascii="黑体" w:hAnsi="黑体" w:eastAsia="黑体" w:cs="黑体"/>
          <w:color w:val="000000" w:themeColor="text1"/>
          <w:sz w:val="31"/>
          <w:szCs w:val="31"/>
          <w:highlight w:val="none"/>
          <w14:textFill>
            <w14:solidFill>
              <w14:schemeClr w14:val="tx1"/>
            </w14:solidFill>
          </w14:textFill>
        </w:rPr>
        <w:t>及数量</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51" w:firstLineChars="200"/>
        <w:textAlignment w:val="auto"/>
        <w:rPr>
          <w:rFonts w:hint="eastAsia" w:ascii="仿宋_GB2312" w:hAnsi="宋体" w:eastAsia="仿宋_GB2312" w:cs="仿宋_GB2312"/>
          <w:b/>
          <w:bCs/>
          <w:color w:val="000000" w:themeColor="text1"/>
          <w:spacing w:val="2"/>
          <w:sz w:val="32"/>
          <w:szCs w:val="32"/>
          <w:highlight w:val="none"/>
          <w:lang w:val="en-US" w:eastAsia="zh-CN"/>
          <w14:textFill>
            <w14:solidFill>
              <w14:schemeClr w14:val="tx1"/>
            </w14:solidFill>
          </w14:textFill>
        </w:rPr>
      </w:pPr>
      <w:r>
        <w:rPr>
          <w:rFonts w:hint="eastAsia" w:ascii="仿宋_GB2312" w:hAnsi="宋体" w:eastAsia="仿宋_GB2312" w:cs="仿宋_GB2312"/>
          <w:b/>
          <w:bCs/>
          <w:color w:val="000000" w:themeColor="text1"/>
          <w:spacing w:val="2"/>
          <w:sz w:val="32"/>
          <w:szCs w:val="32"/>
          <w:highlight w:val="none"/>
          <w14:textFill>
            <w14:solidFill>
              <w14:schemeClr w14:val="tx1"/>
            </w14:solidFill>
          </w14:textFill>
        </w:rPr>
        <w:t>发放</w:t>
      </w:r>
      <w:r>
        <w:rPr>
          <w:rFonts w:hint="eastAsia" w:ascii="仿宋_GB2312" w:hAnsi="宋体" w:eastAsia="仿宋_GB2312" w:cs="仿宋_GB2312"/>
          <w:b/>
          <w:bCs/>
          <w:color w:val="000000" w:themeColor="text1"/>
          <w:spacing w:val="2"/>
          <w:sz w:val="32"/>
          <w:szCs w:val="32"/>
          <w:highlight w:val="none"/>
          <w:lang w:eastAsia="zh-CN"/>
          <w14:textFill>
            <w14:solidFill>
              <w14:schemeClr w14:val="tx1"/>
            </w14:solidFill>
          </w14:textFill>
        </w:rPr>
        <w:t>面额</w:t>
      </w:r>
      <w:r>
        <w:rPr>
          <w:rFonts w:hint="eastAsia" w:ascii="仿宋_GB2312" w:hAnsi="宋体" w:eastAsia="仿宋_GB2312" w:cs="仿宋_GB2312"/>
          <w:b/>
          <w:bCs/>
          <w:color w:val="000000" w:themeColor="text1"/>
          <w:spacing w:val="2"/>
          <w:sz w:val="32"/>
          <w:szCs w:val="32"/>
          <w:highlight w:val="none"/>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“购房消费券”面额</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为</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2万元/张。</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51" w:firstLineChars="200"/>
        <w:textAlignment w:val="auto"/>
        <w:rPr>
          <w:rFonts w:hint="eastAsia" w:ascii="仿宋_GB2312" w:hAnsi="宋体" w:eastAsia="仿宋_GB2312" w:cs="仿宋_GB2312"/>
          <w:color w:val="000000" w:themeColor="text1"/>
          <w:spacing w:val="2"/>
          <w:sz w:val="32"/>
          <w:szCs w:val="32"/>
          <w:highlight w:val="none"/>
          <w14:textFill>
            <w14:solidFill>
              <w14:schemeClr w14:val="tx1"/>
            </w14:solidFill>
          </w14:textFill>
        </w:rPr>
      </w:pPr>
      <w:r>
        <w:rPr>
          <w:rFonts w:hint="eastAsia" w:ascii="仿宋_GB2312" w:hAnsi="宋体" w:eastAsia="仿宋_GB2312" w:cs="仿宋_GB2312"/>
          <w:b/>
          <w:bCs/>
          <w:color w:val="000000" w:themeColor="text1"/>
          <w:spacing w:val="2"/>
          <w:sz w:val="32"/>
          <w:szCs w:val="32"/>
          <w:highlight w:val="none"/>
          <w14:textFill>
            <w14:solidFill>
              <w14:schemeClr w14:val="tx1"/>
            </w14:solidFill>
          </w14:textFill>
        </w:rPr>
        <w:t>发放数量：</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本次活动共发放“购房消费券”</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500</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张</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发放完毕不再增发</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三、实施主体</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明溪县</w:t>
      </w:r>
      <w:r>
        <w:rPr>
          <w:rFonts w:hint="eastAsia" w:ascii="仿宋_GB2312" w:hAnsi="宋体" w:eastAsia="仿宋_GB2312" w:cs="仿宋_GB2312"/>
          <w:color w:val="000000" w:themeColor="text1"/>
          <w:spacing w:val="2"/>
          <w:sz w:val="32"/>
          <w:szCs w:val="32"/>
          <w:highlight w:val="none"/>
          <w14:textFill>
            <w14:solidFill>
              <w14:schemeClr w14:val="tx1"/>
            </w14:solidFill>
          </w14:textFill>
        </w:rPr>
        <w:t>住建局牵头负责“购房消费券”发放、申领、兑换的组织实施工作，各相关职能部门配合办理。</w:t>
      </w: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四、申领时间及程序</w:t>
      </w:r>
    </w:p>
    <w:p>
      <w:pPr>
        <w:keepNext w:val="0"/>
        <w:keepLines w:val="0"/>
        <w:pageBreakBefore w:val="0"/>
        <w:widowControl w:val="0"/>
        <w:kinsoku/>
        <w:wordWrap/>
        <w:overflowPunct/>
        <w:topLinePunct w:val="0"/>
        <w:autoSpaceDE/>
        <w:autoSpaceDN/>
        <w:bidi w:val="0"/>
        <w:adjustRightInd w:val="0"/>
        <w:snapToGrid/>
        <w:spacing w:line="47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（一）申领时间</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2024年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2</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月1日至2024年3月31日</w:t>
      </w:r>
    </w:p>
    <w:p>
      <w:pPr>
        <w:keepNext w:val="0"/>
        <w:keepLines w:val="0"/>
        <w:pageBreakBefore w:val="0"/>
        <w:widowControl w:val="0"/>
        <w:kinsoku/>
        <w:wordWrap/>
        <w:overflowPunct/>
        <w:topLinePunct w:val="0"/>
        <w:autoSpaceDE/>
        <w:autoSpaceDN/>
        <w:bidi w:val="0"/>
        <w:adjustRightInd w:val="0"/>
        <w:snapToGrid/>
        <w:spacing w:line="47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（二）申领程序</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1.购房人向房地产</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开发</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企业提出参与活动申请</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并填写申请书</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2.购房人缴纳认购金（应缴纳至房地产开发企业监管账户）后，由房地产开发企业受理和审核购房人的活动申请；</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3.由房地产开发企业向明溪县住建局统一申报，代购房人领取“购房消费券”，及时交给购房人，并督促其签订购房合同；</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4.购房人持</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其</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所有申领</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的“</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购房消费券</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，要求房地产开发企业应在购房总价中核减“购房消费券”面额的购房款，房地产开发企业</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必须</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同意核减，并收回“购房消费券”；</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5</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.购房人缴纳首付款后完成商品房买卖合同网签备案。</w:t>
      </w: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五、使用要求</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（一）购房人于2024年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2</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月1日至2024年3月31日期间购买</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明溪县新春房展会参展商品住房</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（购房时间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以商品房买卖合同网签备案</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日期为准）。</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（二）购房人应在商品房买卖合同网签前持</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其</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所有申领</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的“</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购房消费券</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，在签订购房合同前交还房地产开发企业。同时，房地产开发企业在商品房买卖合同的总价款中直接核减相应</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面额的</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购房款。</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购房人申请抵扣“购房消费券”时，需同时符合以上两个条件，超过上述规定期限的，视同放弃兑现申请资格，相关部门不予受理。</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（三）每套</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商品住房</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仅限使用1张“</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购房</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消费券”，不可叠加</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使用</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470" w:lineRule="exact"/>
        <w:ind w:firstLine="620" w:firstLineChars="200"/>
        <w:textAlignment w:val="auto"/>
        <w:rPr>
          <w:rFonts w:hint="eastAsia" w:ascii="黑体" w:hAnsi="黑体" w:eastAsia="黑体" w:cs="黑体"/>
          <w:color w:val="000000" w:themeColor="text1"/>
          <w:sz w:val="31"/>
          <w:szCs w:val="31"/>
          <w:highlight w:val="none"/>
          <w14:textFill>
            <w14:solidFill>
              <w14:schemeClr w14:val="tx1"/>
            </w14:solidFill>
          </w14:textFill>
        </w:rPr>
      </w:pPr>
      <w:r>
        <w:rPr>
          <w:rFonts w:hint="eastAsia" w:ascii="黑体" w:hAnsi="黑体" w:eastAsia="黑体" w:cs="黑体"/>
          <w:color w:val="000000" w:themeColor="text1"/>
          <w:sz w:val="31"/>
          <w:szCs w:val="31"/>
          <w:highlight w:val="none"/>
          <w14:textFill>
            <w14:solidFill>
              <w14:schemeClr w14:val="tx1"/>
            </w14:solidFill>
          </w14:textFill>
        </w:rPr>
        <w:t>六、有关要求</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（一）在受理过程中如发现购房人通过欺骗、隐瞒、造假等行为，提供虚假材料骗取“购房消费券”的，或相关部门工作人员因审核把关不严造成国有资产损失的，一经查实将依法追究相关人员法律责任。</w:t>
      </w:r>
    </w:p>
    <w:p>
      <w:pPr>
        <w:keepNext w:val="0"/>
        <w:keepLines w:val="0"/>
        <w:pageBreakBefore w:val="0"/>
        <w:widowControl w:val="0"/>
        <w:kinsoku/>
        <w:wordWrap/>
        <w:overflowPunct/>
        <w:topLinePunct w:val="0"/>
        <w:autoSpaceDE/>
        <w:autoSpaceDN/>
        <w:bidi w:val="0"/>
        <w:snapToGrid/>
        <w:spacing w:beforeAutospacing="0" w:afterAutospacing="0" w:line="47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（二）购房人因提交申请材料不及时、不齐全、不准确等因素导致“购房消费券”无法兑现的，相关损失由购房人自行承担。</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648" w:firstLineChars="200"/>
        <w:textAlignment w:val="auto"/>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pP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（三）本方案自2024年</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2</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月1日起实施，</w:t>
      </w:r>
      <w:r>
        <w:rPr>
          <w:rFonts w:hint="eastAsia" w:ascii="仿宋_GB2312" w:hAnsi="宋体" w:eastAsia="仿宋_GB2312" w:cs="仿宋_GB2312"/>
          <w:color w:val="000000" w:themeColor="text1"/>
          <w:spacing w:val="2"/>
          <w:sz w:val="32"/>
          <w:szCs w:val="32"/>
          <w:highlight w:val="none"/>
          <w:lang w:val="en-US" w:eastAsia="zh-CN"/>
          <w14:textFill>
            <w14:solidFill>
              <w14:schemeClr w14:val="tx1"/>
            </w14:solidFill>
          </w14:textFill>
        </w:rPr>
        <w:t>有效期至</w:t>
      </w:r>
      <w:r>
        <w:rPr>
          <w:rFonts w:hint="eastAsia" w:ascii="仿宋_GB2312" w:hAnsi="宋体" w:eastAsia="仿宋_GB2312" w:cs="仿宋_GB2312"/>
          <w:color w:val="000000" w:themeColor="text1"/>
          <w:spacing w:val="2"/>
          <w:sz w:val="32"/>
          <w:szCs w:val="32"/>
          <w:highlight w:val="none"/>
          <w:lang w:eastAsia="zh-CN"/>
          <w14:textFill>
            <w14:solidFill>
              <w14:schemeClr w14:val="tx1"/>
            </w14:solidFill>
          </w14:textFill>
        </w:rPr>
        <w:t>2024年3月31日，由明溪县住房和城乡建设局负责解释。</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RSREsAgAAV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FJESwCAABVBAAADgAAAAAAAAABACAAAAAfAQAAZHJzL2Uyb0RvYy54bWxQSwUGAAAAAAYA&#10;BgBZAQAAv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GEwNDc2ZmYzMTJkMDI5YjA1YjA1YTYwM2QyYmMifQ=="/>
    <w:docVar w:name="KSO_WPS_MARK_KEY" w:val="e5dbb779-7673-4902-8172-9d3f81e37fcb"/>
  </w:docVars>
  <w:rsids>
    <w:rsidRoot w:val="79545CCC"/>
    <w:rsid w:val="00015EE3"/>
    <w:rsid w:val="000B4654"/>
    <w:rsid w:val="000B7737"/>
    <w:rsid w:val="000D6B0F"/>
    <w:rsid w:val="000F50B3"/>
    <w:rsid w:val="0013313C"/>
    <w:rsid w:val="001C6FA7"/>
    <w:rsid w:val="001D7F13"/>
    <w:rsid w:val="00265864"/>
    <w:rsid w:val="00272CBF"/>
    <w:rsid w:val="00290755"/>
    <w:rsid w:val="003173E9"/>
    <w:rsid w:val="00350F11"/>
    <w:rsid w:val="00386C66"/>
    <w:rsid w:val="003E7013"/>
    <w:rsid w:val="00415BB5"/>
    <w:rsid w:val="00427495"/>
    <w:rsid w:val="004864C3"/>
    <w:rsid w:val="00490369"/>
    <w:rsid w:val="004A0B1D"/>
    <w:rsid w:val="004B2A61"/>
    <w:rsid w:val="004B5159"/>
    <w:rsid w:val="004C2B29"/>
    <w:rsid w:val="00531246"/>
    <w:rsid w:val="00531C26"/>
    <w:rsid w:val="00551FD0"/>
    <w:rsid w:val="005A7E9E"/>
    <w:rsid w:val="005C50E5"/>
    <w:rsid w:val="005C79F1"/>
    <w:rsid w:val="005D280F"/>
    <w:rsid w:val="005F1F6A"/>
    <w:rsid w:val="0068639A"/>
    <w:rsid w:val="006A37BE"/>
    <w:rsid w:val="006B04DC"/>
    <w:rsid w:val="00752921"/>
    <w:rsid w:val="00766731"/>
    <w:rsid w:val="007A2878"/>
    <w:rsid w:val="0080615A"/>
    <w:rsid w:val="0092209E"/>
    <w:rsid w:val="009647BF"/>
    <w:rsid w:val="00A3120B"/>
    <w:rsid w:val="00A6164A"/>
    <w:rsid w:val="00AB050D"/>
    <w:rsid w:val="00B005B8"/>
    <w:rsid w:val="00B826BE"/>
    <w:rsid w:val="00BB2EE9"/>
    <w:rsid w:val="00BB44F9"/>
    <w:rsid w:val="00C53A85"/>
    <w:rsid w:val="00D37130"/>
    <w:rsid w:val="00D805F4"/>
    <w:rsid w:val="00D812A2"/>
    <w:rsid w:val="00E66686"/>
    <w:rsid w:val="00EC5915"/>
    <w:rsid w:val="00F344BC"/>
    <w:rsid w:val="00F351BD"/>
    <w:rsid w:val="00FA1013"/>
    <w:rsid w:val="01A94811"/>
    <w:rsid w:val="026B1103"/>
    <w:rsid w:val="034A5C15"/>
    <w:rsid w:val="051632DD"/>
    <w:rsid w:val="0923132C"/>
    <w:rsid w:val="0AC402E3"/>
    <w:rsid w:val="0D911F8D"/>
    <w:rsid w:val="1050214A"/>
    <w:rsid w:val="11555063"/>
    <w:rsid w:val="124861A2"/>
    <w:rsid w:val="14182F27"/>
    <w:rsid w:val="145B7BE2"/>
    <w:rsid w:val="1588062F"/>
    <w:rsid w:val="15B036FB"/>
    <w:rsid w:val="167F709D"/>
    <w:rsid w:val="1745294F"/>
    <w:rsid w:val="18757CBE"/>
    <w:rsid w:val="19CF3A2E"/>
    <w:rsid w:val="1E3C41D9"/>
    <w:rsid w:val="1F727B55"/>
    <w:rsid w:val="200507B9"/>
    <w:rsid w:val="232C564A"/>
    <w:rsid w:val="27777ECB"/>
    <w:rsid w:val="28751C81"/>
    <w:rsid w:val="2C223EAD"/>
    <w:rsid w:val="2D7C2B7F"/>
    <w:rsid w:val="2D995AAC"/>
    <w:rsid w:val="2E1758A1"/>
    <w:rsid w:val="2F085F10"/>
    <w:rsid w:val="311C1BDE"/>
    <w:rsid w:val="319A30E3"/>
    <w:rsid w:val="31A50B77"/>
    <w:rsid w:val="36E451FE"/>
    <w:rsid w:val="377B3E9C"/>
    <w:rsid w:val="3E144B60"/>
    <w:rsid w:val="3EAE307B"/>
    <w:rsid w:val="424B538C"/>
    <w:rsid w:val="42C4715D"/>
    <w:rsid w:val="455722B0"/>
    <w:rsid w:val="45790778"/>
    <w:rsid w:val="48097E2D"/>
    <w:rsid w:val="483E10DE"/>
    <w:rsid w:val="492A26A0"/>
    <w:rsid w:val="4CBE2CCE"/>
    <w:rsid w:val="4FE15A83"/>
    <w:rsid w:val="4FFFD75F"/>
    <w:rsid w:val="50CF2C1E"/>
    <w:rsid w:val="579D6B87"/>
    <w:rsid w:val="5A8D74D4"/>
    <w:rsid w:val="5CEC24DD"/>
    <w:rsid w:val="5ECB304C"/>
    <w:rsid w:val="604C2B9B"/>
    <w:rsid w:val="62267F9E"/>
    <w:rsid w:val="631D3576"/>
    <w:rsid w:val="637E3068"/>
    <w:rsid w:val="63E60273"/>
    <w:rsid w:val="65F036B0"/>
    <w:rsid w:val="678D0980"/>
    <w:rsid w:val="67F70691"/>
    <w:rsid w:val="68B51F18"/>
    <w:rsid w:val="69DE45FE"/>
    <w:rsid w:val="6B673089"/>
    <w:rsid w:val="70E32752"/>
    <w:rsid w:val="7361501D"/>
    <w:rsid w:val="76266AE4"/>
    <w:rsid w:val="77825CE0"/>
    <w:rsid w:val="77FF4104"/>
    <w:rsid w:val="79545CCC"/>
    <w:rsid w:val="7A9546A6"/>
    <w:rsid w:val="7B1D1A28"/>
    <w:rsid w:val="7DFDE026"/>
    <w:rsid w:val="7EC00FD6"/>
    <w:rsid w:val="7EF73DBC"/>
    <w:rsid w:val="7FFF0F35"/>
    <w:rsid w:val="CA96A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header"/>
    <w:basedOn w:val="1"/>
    <w:next w:val="4"/>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next w:val="1"/>
    <w:link w:val="10"/>
    <w:autoRedefine/>
    <w:qFormat/>
    <w:uiPriority w:val="0"/>
    <w:pPr>
      <w:tabs>
        <w:tab w:val="center" w:pos="4153"/>
        <w:tab w:val="right" w:pos="8306"/>
      </w:tabs>
      <w:snapToGrid w:val="0"/>
      <w:jc w:val="left"/>
    </w:pPr>
    <w:rPr>
      <w:sz w:val="18"/>
      <w:szCs w:val="18"/>
    </w:rPr>
  </w:style>
  <w:style w:type="paragraph" w:styleId="5">
    <w:name w:val="Body Text First Indent 2"/>
    <w:basedOn w:val="2"/>
    <w:autoRedefine/>
    <w:qFormat/>
    <w:uiPriority w:val="0"/>
    <w:pPr>
      <w:ind w:firstLine="420" w:firstLineChars="200"/>
    </w:pPr>
  </w:style>
  <w:style w:type="paragraph" w:customStyle="1" w:styleId="8">
    <w:name w:val="Default"/>
    <w:basedOn w:val="1"/>
    <w:autoRedefine/>
    <w:semiHidden/>
    <w:qFormat/>
    <w:uiPriority w:val="0"/>
    <w:pPr>
      <w:autoSpaceDE w:val="0"/>
      <w:autoSpaceDN w:val="0"/>
      <w:adjustRightInd w:val="0"/>
      <w:jc w:val="left"/>
    </w:pPr>
    <w:rPr>
      <w:rFonts w:ascii="方正仿宋_GBK" w:hAnsi="方正仿宋_GBK"/>
      <w:color w:val="000000"/>
      <w:kern w:val="0"/>
      <w:sz w:val="24"/>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4"/>
    <w:autoRedefine/>
    <w:qFormat/>
    <w:uiPriority w:val="0"/>
    <w:rPr>
      <w:rFonts w:asciiTheme="minorHAnsi" w:hAnsiTheme="minorHAnsi" w:eastAsiaTheme="minorEastAsia" w:cstheme="minorBidi"/>
      <w:kern w:val="2"/>
      <w:sz w:val="18"/>
      <w:szCs w:val="18"/>
    </w:rPr>
  </w:style>
  <w:style w:type="paragraph" w:customStyle="1" w:styleId="11">
    <w:name w:val="正文15.5"/>
    <w:basedOn w:val="1"/>
    <w:autoRedefine/>
    <w:qFormat/>
    <w:uiPriority w:val="0"/>
    <w:pPr>
      <w:spacing w:line="580" w:lineRule="exact"/>
      <w:ind w:firstLine="420" w:firstLineChars="200"/>
    </w:pPr>
    <w:rPr>
      <w:rFonts w:ascii="宋体" w:hAnsi="宋体" w:eastAsia="仿宋_GB2312"/>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1819</Words>
  <Characters>1918</Characters>
  <Lines>13</Lines>
  <Paragraphs>3</Paragraphs>
  <TotalTime>1</TotalTime>
  <ScaleCrop>false</ScaleCrop>
  <LinksUpToDate>false</LinksUpToDate>
  <CharactersWithSpaces>1918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2022-03-19T06:29:00Z</dcterms:created>
  <dc:creator>-</dc:creator>
  <cp:lastModifiedBy>Administrator</cp:lastModifiedBy>
  <cp:lastPrinted>2024-01-25T08:10:00Z</cp:lastPrinted>
  <dcterms:modified xsi:type="dcterms:W3CDTF">2024-01-26T00:27:48Z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2D0234F0BF1F4BD5AE0ABDA79B55B2F2_13</vt:lpwstr>
  </property>
</Properties>
</file>