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餐具、饮具集中消毒服务单位监督抽检情况结果通告</w:t>
      </w:r>
    </w:p>
    <w:bookmarkEnd w:id="0"/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为贯彻《中华人民共和国食品安全法》《中华人民共和国食品安全法实施条例》《福建省食品安全条例》等法律法规，根据《餐具、饮具集中消毒服务单位卫生监督工作规范》要求，202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卫生健康行政部门组织卫生监督员对辖区内营业的餐具、饮具集中消毒服务单位消毒后的餐具、饮具进行抽检，现将抽检结果通告如下：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此次抽检依据《GB 14934-2016食品安全国家标准 消毒餐（饮）具》进行检测，检测项目为感官、游离性余氯、阴离子合成洗涤剂（以十二烷基苯磺酸钠计）、大肠菌群、沙门氏菌。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共抽检餐具、饮具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87.5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餐具、饮具集中消毒单位监督抽检情况一览表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餐具、饮具集中消毒单位监督抽检情况一览表</w:t>
      </w:r>
    </w:p>
    <w:tbl>
      <w:tblPr>
        <w:tblStyle w:val="3"/>
        <w:tblpPr w:leftFromText="180" w:rightFromText="180" w:vertAnchor="text" w:horzAnchor="page" w:tblpX="1736" w:tblpY="398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81"/>
        <w:gridCol w:w="722"/>
        <w:gridCol w:w="1696"/>
        <w:gridCol w:w="167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被抽检单位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抽检数量</w:t>
            </w:r>
          </w:p>
        </w:tc>
        <w:tc>
          <w:tcPr>
            <w:tcW w:w="1696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餐具消毒日期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明溪县雨洁餐具配送中心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2023.9.4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明溪县云洁配送服务部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8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感官、游离性余氯、阴离子合成洗涤剂（以十二烷基苯磺酸钠计）、大肠菌群、沙门氏菌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2023.9.4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大肠菌群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不合格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Dg2NDZhZGQ4YmVmZGUxZjZiMTkyYzY3MzBhMmUifQ=="/>
  </w:docVars>
  <w:rsids>
    <w:rsidRoot w:val="3D7838AA"/>
    <w:rsid w:val="0F8E1513"/>
    <w:rsid w:val="2B000B0B"/>
    <w:rsid w:val="3D7838AA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2024-04-29T03:11:00Z</dcterms:created>
  <dc:creator>萧~~</dc:creator>
  <cp:lastModifiedBy>lalayyzz</cp:lastModifiedBy>
  <dcterms:modified xsi:type="dcterms:W3CDTF">2024-04-30T02:07:34Z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C00C4A64D74742398F594332340D802E_13</vt:lpwstr>
  </property>
</Properties>
</file>