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4D" w:rsidRPr="00EE4DC3" w:rsidRDefault="00935B4D" w:rsidP="00935B4D">
      <w:pPr>
        <w:pStyle w:val="3"/>
        <w:shd w:val="clear" w:color="auto" w:fill="FFFFFF"/>
        <w:snapToGrid w:val="0"/>
        <w:spacing w:line="360" w:lineRule="auto"/>
        <w:ind w:firstLine="640"/>
        <w:rPr>
          <w:rFonts w:ascii="微软雅黑" w:eastAsia="微软雅黑" w:hAnsi="微软雅黑"/>
          <w:color w:val="333333"/>
          <w:sz w:val="28"/>
          <w:szCs w:val="28"/>
        </w:rPr>
      </w:pPr>
      <w:r w:rsidRPr="00EE4DC3">
        <w:rPr>
          <w:rFonts w:ascii="微软雅黑" w:eastAsia="微软雅黑" w:hAnsi="微软雅黑" w:hint="eastAsia"/>
          <w:color w:val="333333"/>
          <w:sz w:val="28"/>
          <w:szCs w:val="28"/>
        </w:rPr>
        <w:t>福建省物价局关于规范省级国有产权交易服务收费标准的通知</w:t>
      </w:r>
    </w:p>
    <w:p w:rsidR="00935B4D" w:rsidRPr="00EE4DC3" w:rsidRDefault="00935B4D" w:rsidP="00935B4D">
      <w:pPr>
        <w:shd w:val="clear" w:color="auto" w:fill="FFFFFF"/>
        <w:snapToGrid w:val="0"/>
        <w:spacing w:before="240" w:after="240" w:line="240" w:lineRule="auto"/>
        <w:ind w:firstLine="480"/>
        <w:rPr>
          <w:color w:val="333333"/>
          <w:sz w:val="24"/>
          <w:szCs w:val="24"/>
        </w:rPr>
      </w:pPr>
      <w:r w:rsidRPr="00EE4DC3">
        <w:rPr>
          <w:rFonts w:hint="eastAsia"/>
          <w:color w:val="333333"/>
          <w:sz w:val="24"/>
          <w:szCs w:val="24"/>
        </w:rPr>
        <w:t xml:space="preserve">　根据《中华人民共和国价格法》和《福建省人民政府关于印发福建省定价目录的通知》（闽政〔</w:t>
      </w:r>
      <w:r w:rsidRPr="00EE4DC3">
        <w:rPr>
          <w:rFonts w:hint="eastAsia"/>
          <w:color w:val="333333"/>
          <w:sz w:val="24"/>
          <w:szCs w:val="24"/>
        </w:rPr>
        <w:t>2017</w:t>
      </w:r>
      <w:r w:rsidRPr="00EE4DC3">
        <w:rPr>
          <w:rFonts w:hint="eastAsia"/>
          <w:color w:val="333333"/>
          <w:sz w:val="24"/>
          <w:szCs w:val="24"/>
        </w:rPr>
        <w:t>〕</w:t>
      </w:r>
      <w:r w:rsidRPr="00EE4DC3">
        <w:rPr>
          <w:rFonts w:hint="eastAsia"/>
          <w:color w:val="333333"/>
          <w:sz w:val="24"/>
          <w:szCs w:val="24"/>
        </w:rPr>
        <w:t>56</w:t>
      </w:r>
      <w:r w:rsidRPr="00EE4DC3">
        <w:rPr>
          <w:rFonts w:hint="eastAsia"/>
          <w:color w:val="333333"/>
          <w:sz w:val="24"/>
          <w:szCs w:val="24"/>
        </w:rPr>
        <w:t>号）有关规定，现就规范我省省级国有产权交易服务收费有关问题通知如下：</w:t>
      </w:r>
    </w:p>
    <w:p w:rsidR="00935B4D" w:rsidRPr="00EE4DC3" w:rsidRDefault="00935B4D" w:rsidP="00935B4D">
      <w:pPr>
        <w:shd w:val="clear" w:color="auto" w:fill="FFFFFF"/>
        <w:snapToGrid w:val="0"/>
        <w:spacing w:before="240" w:after="240" w:line="240" w:lineRule="auto"/>
        <w:ind w:firstLine="480"/>
        <w:rPr>
          <w:color w:val="333333"/>
          <w:sz w:val="24"/>
          <w:szCs w:val="24"/>
        </w:rPr>
      </w:pPr>
      <w:r w:rsidRPr="00EE4DC3">
        <w:rPr>
          <w:rFonts w:hint="eastAsia"/>
          <w:color w:val="333333"/>
          <w:sz w:val="24"/>
          <w:szCs w:val="24"/>
        </w:rPr>
        <w:t xml:space="preserve">　一、本通知所称省级国有产权交易服务费是指在省产权交易中心进行本省国有企业股权转受让、国有企业增资、国有企业资产转</w:t>
      </w:r>
      <w:proofErr w:type="gramStart"/>
      <w:r w:rsidRPr="00EE4DC3">
        <w:rPr>
          <w:rFonts w:hint="eastAsia"/>
          <w:color w:val="333333"/>
          <w:sz w:val="24"/>
          <w:szCs w:val="24"/>
        </w:rPr>
        <w:t>受让及承包</w:t>
      </w:r>
      <w:proofErr w:type="gramEnd"/>
      <w:r w:rsidRPr="00EE4DC3">
        <w:rPr>
          <w:rFonts w:hint="eastAsia"/>
          <w:color w:val="333333"/>
          <w:sz w:val="24"/>
          <w:szCs w:val="24"/>
        </w:rPr>
        <w:t>（租赁）时，交易双方应支付的交易服务费，以及本省行政事业单位（含下属单位）国有资产进入省产权交易中心进行出租、出售等交易时，交易双方应支付的交易服务费。</w:t>
      </w:r>
    </w:p>
    <w:p w:rsidR="00935B4D" w:rsidRPr="00EE4DC3" w:rsidRDefault="00935B4D" w:rsidP="00935B4D">
      <w:pPr>
        <w:shd w:val="clear" w:color="auto" w:fill="FFFFFF"/>
        <w:snapToGrid w:val="0"/>
        <w:spacing w:before="240" w:after="240" w:line="240" w:lineRule="auto"/>
        <w:ind w:firstLine="480"/>
        <w:rPr>
          <w:color w:val="333333"/>
          <w:sz w:val="24"/>
          <w:szCs w:val="24"/>
        </w:rPr>
      </w:pPr>
      <w:r w:rsidRPr="00EE4DC3">
        <w:rPr>
          <w:rFonts w:hint="eastAsia"/>
          <w:color w:val="333333"/>
          <w:sz w:val="24"/>
          <w:szCs w:val="24"/>
        </w:rPr>
        <w:t xml:space="preserve">　　二、省级国有产权交易服务费实行政府指导价上限管理，以产权交易合同成交金额为基数实行差额累进计费，具体上限标准如下：</w:t>
      </w:r>
    </w:p>
    <w:p w:rsidR="00935B4D" w:rsidRPr="00EE4DC3" w:rsidRDefault="00935B4D" w:rsidP="00935B4D">
      <w:pPr>
        <w:shd w:val="clear" w:color="auto" w:fill="FFFFFF"/>
        <w:snapToGrid w:val="0"/>
        <w:spacing w:before="240" w:after="240" w:line="360" w:lineRule="auto"/>
        <w:ind w:firstLine="480"/>
        <w:rPr>
          <w:color w:val="333333"/>
          <w:sz w:val="24"/>
          <w:szCs w:val="24"/>
        </w:rPr>
      </w:pPr>
      <w:r w:rsidRPr="00EE4DC3">
        <w:rPr>
          <w:rFonts w:hint="eastAsia"/>
          <w:color w:val="333333"/>
          <w:sz w:val="24"/>
          <w:szCs w:val="24"/>
        </w:rPr>
        <w:t xml:space="preserve">　　（一）竞价交易收费标准</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53"/>
        <w:gridCol w:w="5191"/>
        <w:gridCol w:w="2224"/>
      </w:tblGrid>
      <w:tr w:rsidR="00935B4D" w:rsidRPr="00EE4DC3" w:rsidTr="001B134F">
        <w:trPr>
          <w:cantSplit/>
          <w:trHeight w:val="460"/>
          <w:jc w:val="center"/>
        </w:trPr>
        <w:tc>
          <w:tcPr>
            <w:tcW w:w="59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交易合同成交金额</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费率</w:t>
            </w:r>
          </w:p>
        </w:tc>
      </w:tr>
      <w:tr w:rsidR="00935B4D" w:rsidRPr="00EE4DC3" w:rsidTr="001B134F">
        <w:trPr>
          <w:trHeight w:val="26"/>
          <w:jc w:val="center"/>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1</w:t>
            </w:r>
          </w:p>
        </w:tc>
        <w:tc>
          <w:tcPr>
            <w:tcW w:w="5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100万元以下（含100万元）</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1.75%</w:t>
            </w:r>
          </w:p>
        </w:tc>
      </w:tr>
      <w:tr w:rsidR="00935B4D" w:rsidRPr="00EE4DC3" w:rsidTr="001B134F">
        <w:trPr>
          <w:trHeight w:val="26"/>
          <w:jc w:val="center"/>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2</w:t>
            </w:r>
          </w:p>
        </w:tc>
        <w:tc>
          <w:tcPr>
            <w:tcW w:w="5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100-500万元部分（含500万元）</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1.20%</w:t>
            </w:r>
          </w:p>
        </w:tc>
      </w:tr>
      <w:tr w:rsidR="00935B4D" w:rsidRPr="00EE4DC3" w:rsidTr="001B134F">
        <w:trPr>
          <w:trHeight w:val="26"/>
          <w:jc w:val="center"/>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3</w:t>
            </w:r>
          </w:p>
        </w:tc>
        <w:tc>
          <w:tcPr>
            <w:tcW w:w="5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500-1000万元部分（含1000万元）</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0.70%</w:t>
            </w:r>
          </w:p>
        </w:tc>
      </w:tr>
      <w:tr w:rsidR="00935B4D" w:rsidRPr="00EE4DC3" w:rsidTr="001B134F">
        <w:trPr>
          <w:trHeight w:val="26"/>
          <w:jc w:val="center"/>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4</w:t>
            </w:r>
          </w:p>
        </w:tc>
        <w:tc>
          <w:tcPr>
            <w:tcW w:w="5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1000-5000万元部分（含5000万元）</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0.40%</w:t>
            </w:r>
          </w:p>
        </w:tc>
      </w:tr>
      <w:tr w:rsidR="00935B4D" w:rsidRPr="00EE4DC3" w:rsidTr="001B134F">
        <w:trPr>
          <w:trHeight w:val="26"/>
          <w:jc w:val="center"/>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5</w:t>
            </w:r>
          </w:p>
        </w:tc>
        <w:tc>
          <w:tcPr>
            <w:tcW w:w="5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5000万元以上</w:t>
            </w:r>
          </w:p>
        </w:tc>
        <w:tc>
          <w:tcPr>
            <w:tcW w:w="2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0.20%</w:t>
            </w:r>
          </w:p>
        </w:tc>
      </w:tr>
    </w:tbl>
    <w:p w:rsidR="00935B4D" w:rsidRPr="00EE4DC3" w:rsidRDefault="00935B4D" w:rsidP="00935B4D">
      <w:pPr>
        <w:shd w:val="clear" w:color="auto" w:fill="FFFFFF"/>
        <w:snapToGrid w:val="0"/>
        <w:spacing w:before="240" w:after="240" w:line="240" w:lineRule="auto"/>
        <w:ind w:firstLine="480"/>
        <w:rPr>
          <w:color w:val="333333"/>
          <w:sz w:val="24"/>
          <w:szCs w:val="24"/>
        </w:rPr>
      </w:pPr>
      <w:r w:rsidRPr="00EE4DC3">
        <w:rPr>
          <w:rFonts w:hint="eastAsia"/>
          <w:color w:val="333333"/>
          <w:sz w:val="24"/>
          <w:szCs w:val="24"/>
        </w:rPr>
        <w:t xml:space="preserve">　　（二）协议交易收费标准</w:t>
      </w:r>
    </w:p>
    <w:tbl>
      <w:tblPr>
        <w:tblW w:w="79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3"/>
        <w:gridCol w:w="5059"/>
        <w:gridCol w:w="2168"/>
      </w:tblGrid>
      <w:tr w:rsidR="00935B4D" w:rsidRPr="00EE4DC3" w:rsidTr="001B134F">
        <w:trPr>
          <w:trHeight w:val="516"/>
          <w:jc w:val="center"/>
        </w:trPr>
        <w:tc>
          <w:tcPr>
            <w:tcW w:w="578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交易合同成交金额</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费率</w:t>
            </w:r>
          </w:p>
        </w:tc>
      </w:tr>
      <w:tr w:rsidR="00935B4D" w:rsidRPr="00EE4DC3" w:rsidTr="001B134F">
        <w:trPr>
          <w:trHeight w:val="516"/>
          <w:jc w:val="center"/>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1</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500万元以下（含500万元）</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0.20%</w:t>
            </w:r>
          </w:p>
        </w:tc>
      </w:tr>
      <w:tr w:rsidR="00935B4D" w:rsidRPr="00EE4DC3" w:rsidTr="001B134F">
        <w:trPr>
          <w:trHeight w:val="516"/>
          <w:jc w:val="center"/>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2</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500-2000万元部分（含2000万元）</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0.16%</w:t>
            </w:r>
          </w:p>
        </w:tc>
      </w:tr>
      <w:tr w:rsidR="00935B4D" w:rsidRPr="00EE4DC3" w:rsidTr="001B134F">
        <w:trPr>
          <w:trHeight w:val="516"/>
          <w:jc w:val="center"/>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3</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2000-5000万元部分（含5000万元）</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0.12%</w:t>
            </w:r>
          </w:p>
        </w:tc>
      </w:tr>
      <w:tr w:rsidR="00935B4D" w:rsidRPr="00EE4DC3" w:rsidTr="001B134F">
        <w:trPr>
          <w:trHeight w:val="69"/>
          <w:jc w:val="center"/>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4</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5000万元以上</w:t>
            </w:r>
          </w:p>
        </w:tc>
        <w:tc>
          <w:tcPr>
            <w:tcW w:w="2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B4D" w:rsidRPr="00EE4DC3" w:rsidRDefault="00935B4D" w:rsidP="001B134F">
            <w:pPr>
              <w:snapToGrid w:val="0"/>
              <w:spacing w:before="240" w:after="240" w:line="40" w:lineRule="exact"/>
              <w:ind w:firstLine="480"/>
              <w:jc w:val="center"/>
              <w:rPr>
                <w:rFonts w:ascii="宋体" w:eastAsia="宋体" w:hAnsi="宋体" w:cs="宋体"/>
                <w:color w:val="333333"/>
                <w:sz w:val="24"/>
                <w:szCs w:val="24"/>
              </w:rPr>
            </w:pPr>
            <w:r w:rsidRPr="00EE4DC3">
              <w:rPr>
                <w:rFonts w:hint="eastAsia"/>
                <w:color w:val="333333"/>
                <w:sz w:val="24"/>
                <w:szCs w:val="24"/>
              </w:rPr>
              <w:t xml:space="preserve">　　</w:t>
            </w:r>
            <w:r w:rsidRPr="00EE4DC3">
              <w:rPr>
                <w:rFonts w:ascii="仿宋_GB2312" w:eastAsia="仿宋_GB2312" w:hint="eastAsia"/>
                <w:color w:val="333333"/>
                <w:sz w:val="24"/>
                <w:szCs w:val="24"/>
              </w:rPr>
              <w:t>0.08%</w:t>
            </w:r>
          </w:p>
        </w:tc>
      </w:tr>
    </w:tbl>
    <w:p w:rsidR="00935B4D" w:rsidRPr="00EE4DC3" w:rsidRDefault="00935B4D" w:rsidP="00935B4D">
      <w:pPr>
        <w:shd w:val="clear" w:color="auto" w:fill="FFFFFF"/>
        <w:snapToGrid w:val="0"/>
        <w:spacing w:before="240" w:after="240" w:line="360" w:lineRule="auto"/>
        <w:ind w:firstLine="420"/>
        <w:rPr>
          <w:color w:val="333333"/>
          <w:sz w:val="24"/>
          <w:szCs w:val="24"/>
        </w:rPr>
      </w:pPr>
      <w:r>
        <w:rPr>
          <w:rFonts w:hint="eastAsia"/>
          <w:color w:val="333333"/>
          <w:szCs w:val="21"/>
        </w:rPr>
        <w:t xml:space="preserve">　</w:t>
      </w:r>
      <w:r w:rsidRPr="00EE4DC3">
        <w:rPr>
          <w:rFonts w:hint="eastAsia"/>
          <w:color w:val="333333"/>
          <w:sz w:val="24"/>
          <w:szCs w:val="24"/>
        </w:rPr>
        <w:t xml:space="preserve">　省产权交易中心按上述标准向交易双方分别收费</w:t>
      </w:r>
      <w:r w:rsidRPr="00EE4DC3">
        <w:rPr>
          <w:rFonts w:hint="eastAsia"/>
          <w:color w:val="333333"/>
          <w:sz w:val="24"/>
          <w:szCs w:val="24"/>
        </w:rPr>
        <w:t>,</w:t>
      </w:r>
      <w:r w:rsidRPr="00EE4DC3">
        <w:rPr>
          <w:rFonts w:hint="eastAsia"/>
          <w:color w:val="333333"/>
          <w:sz w:val="24"/>
          <w:szCs w:val="24"/>
        </w:rPr>
        <w:t>经交易双方约定，双方交易费用也可由其中一方承担。省产权交易中心收取上述费用，应按规范要求提供以下相应服务内容：</w:t>
      </w:r>
      <w:r w:rsidRPr="00EE4DC3">
        <w:rPr>
          <w:rFonts w:hint="eastAsia"/>
          <w:color w:val="333333"/>
          <w:sz w:val="24"/>
          <w:szCs w:val="24"/>
        </w:rPr>
        <w:t>1.</w:t>
      </w:r>
      <w:r w:rsidRPr="00EE4DC3">
        <w:rPr>
          <w:rFonts w:hint="eastAsia"/>
          <w:color w:val="333333"/>
          <w:sz w:val="24"/>
          <w:szCs w:val="24"/>
        </w:rPr>
        <w:t>从事寻找项目，对产权交易主体资格、交易条件和所提</w:t>
      </w:r>
      <w:r w:rsidRPr="00EE4DC3">
        <w:rPr>
          <w:rFonts w:hint="eastAsia"/>
          <w:color w:val="333333"/>
          <w:sz w:val="24"/>
          <w:szCs w:val="24"/>
        </w:rPr>
        <w:lastRenderedPageBreak/>
        <w:t>供的材料的规范性、合法性进行形式性审核，接受委托，修订信息披露及进场交易相关材料；</w:t>
      </w:r>
      <w:r w:rsidRPr="00EE4DC3">
        <w:rPr>
          <w:rFonts w:hint="eastAsia"/>
          <w:color w:val="333333"/>
          <w:sz w:val="24"/>
          <w:szCs w:val="24"/>
        </w:rPr>
        <w:t>2.</w:t>
      </w:r>
      <w:r w:rsidRPr="00EE4DC3">
        <w:rPr>
          <w:rFonts w:hint="eastAsia"/>
          <w:color w:val="333333"/>
          <w:sz w:val="24"/>
          <w:szCs w:val="24"/>
        </w:rPr>
        <w:t>草拟公告、《产权交易合同》和竞价文件，信息披露、寻找交易对象、登记意向方、协助尽职调查，组织竞价、组织撮合签约；</w:t>
      </w:r>
      <w:r w:rsidRPr="00EE4DC3">
        <w:rPr>
          <w:rFonts w:hint="eastAsia"/>
          <w:color w:val="333333"/>
          <w:sz w:val="24"/>
          <w:szCs w:val="24"/>
        </w:rPr>
        <w:t>3.</w:t>
      </w:r>
      <w:r w:rsidRPr="00EE4DC3">
        <w:rPr>
          <w:rFonts w:hint="eastAsia"/>
          <w:color w:val="333333"/>
          <w:sz w:val="24"/>
          <w:szCs w:val="24"/>
        </w:rPr>
        <w:t>监督资金结算和产权交割，办理产权交易凭证，并进行追踪监督服务等。</w:t>
      </w:r>
    </w:p>
    <w:p w:rsidR="00935B4D" w:rsidRPr="00EE4DC3" w:rsidRDefault="00935B4D" w:rsidP="00935B4D">
      <w:pPr>
        <w:shd w:val="clear" w:color="auto" w:fill="FFFFFF"/>
        <w:snapToGrid w:val="0"/>
        <w:spacing w:before="240" w:after="240" w:line="360" w:lineRule="auto"/>
        <w:ind w:firstLine="480"/>
        <w:rPr>
          <w:color w:val="333333"/>
          <w:sz w:val="24"/>
          <w:szCs w:val="24"/>
        </w:rPr>
      </w:pPr>
      <w:r w:rsidRPr="00EE4DC3">
        <w:rPr>
          <w:rFonts w:hint="eastAsia"/>
          <w:color w:val="333333"/>
          <w:sz w:val="24"/>
          <w:szCs w:val="24"/>
        </w:rPr>
        <w:t xml:space="preserve">　　三、通过省产权交易中心电脑信息网络和自办刊物等对外发布产权交易信息的，不得另收信息发布费。</w:t>
      </w:r>
    </w:p>
    <w:p w:rsidR="00935B4D" w:rsidRPr="00EE4DC3" w:rsidRDefault="00935B4D" w:rsidP="00935B4D">
      <w:pPr>
        <w:shd w:val="clear" w:color="auto" w:fill="FFFFFF"/>
        <w:snapToGrid w:val="0"/>
        <w:spacing w:before="240" w:after="240" w:line="360" w:lineRule="auto"/>
        <w:ind w:firstLine="480"/>
        <w:rPr>
          <w:color w:val="333333"/>
          <w:sz w:val="24"/>
          <w:szCs w:val="24"/>
        </w:rPr>
      </w:pPr>
      <w:r w:rsidRPr="00EE4DC3">
        <w:rPr>
          <w:rFonts w:hint="eastAsia"/>
          <w:color w:val="333333"/>
          <w:sz w:val="24"/>
          <w:szCs w:val="24"/>
        </w:rPr>
        <w:t xml:space="preserve">　　四、省级国有产权交易服务收费实行明码标价制度，省产权交易中心应当向社会公示收费依据、收费项目、收费标准和服务内容以及</w:t>
      </w:r>
      <w:r w:rsidRPr="00EE4DC3">
        <w:rPr>
          <w:rFonts w:hint="eastAsia"/>
          <w:color w:val="333333"/>
          <w:sz w:val="24"/>
          <w:szCs w:val="24"/>
        </w:rPr>
        <w:t>12358</w:t>
      </w:r>
      <w:r w:rsidRPr="00EE4DC3">
        <w:rPr>
          <w:rFonts w:hint="eastAsia"/>
          <w:color w:val="333333"/>
          <w:sz w:val="24"/>
          <w:szCs w:val="24"/>
        </w:rPr>
        <w:t>投诉举报电话等内容，落实阳光收费规定，自觉接受价格主管部门和社会的监督。</w:t>
      </w:r>
    </w:p>
    <w:p w:rsidR="00935B4D" w:rsidRPr="00EE4DC3" w:rsidRDefault="00935B4D" w:rsidP="00935B4D">
      <w:pPr>
        <w:shd w:val="clear" w:color="auto" w:fill="FFFFFF"/>
        <w:snapToGrid w:val="0"/>
        <w:spacing w:before="240" w:after="240" w:line="360" w:lineRule="auto"/>
        <w:ind w:firstLine="480"/>
        <w:rPr>
          <w:color w:val="333333"/>
          <w:sz w:val="24"/>
          <w:szCs w:val="24"/>
        </w:rPr>
      </w:pPr>
      <w:r w:rsidRPr="00EE4DC3">
        <w:rPr>
          <w:rFonts w:hint="eastAsia"/>
          <w:color w:val="333333"/>
          <w:sz w:val="24"/>
          <w:szCs w:val="24"/>
        </w:rPr>
        <w:t xml:space="preserve">　　五、省产权交易中心应按照《福建省物价局</w:t>
      </w:r>
      <w:r w:rsidRPr="00EE4DC3">
        <w:rPr>
          <w:rFonts w:hint="eastAsia"/>
          <w:color w:val="333333"/>
          <w:sz w:val="24"/>
          <w:szCs w:val="24"/>
        </w:rPr>
        <w:t xml:space="preserve"> </w:t>
      </w:r>
      <w:r w:rsidRPr="00EE4DC3">
        <w:rPr>
          <w:rFonts w:hint="eastAsia"/>
          <w:color w:val="333333"/>
          <w:sz w:val="24"/>
          <w:szCs w:val="24"/>
        </w:rPr>
        <w:t>福建省经济和信息化委员会关于取消经营服务性收费证制度加强事中事后监管的通知》（</w:t>
      </w:r>
      <w:proofErr w:type="gramStart"/>
      <w:r w:rsidRPr="00EE4DC3">
        <w:rPr>
          <w:rFonts w:hint="eastAsia"/>
          <w:color w:val="333333"/>
          <w:sz w:val="24"/>
          <w:szCs w:val="24"/>
        </w:rPr>
        <w:t>闽价服〔</w:t>
      </w:r>
      <w:r w:rsidRPr="00EE4DC3">
        <w:rPr>
          <w:rFonts w:hint="eastAsia"/>
          <w:color w:val="333333"/>
          <w:sz w:val="24"/>
          <w:szCs w:val="24"/>
        </w:rPr>
        <w:t>2015</w:t>
      </w:r>
      <w:r w:rsidRPr="00EE4DC3">
        <w:rPr>
          <w:rFonts w:hint="eastAsia"/>
          <w:color w:val="333333"/>
          <w:sz w:val="24"/>
          <w:szCs w:val="24"/>
        </w:rPr>
        <w:t>〕</w:t>
      </w:r>
      <w:proofErr w:type="gramEnd"/>
      <w:r w:rsidRPr="00EE4DC3">
        <w:rPr>
          <w:rFonts w:hint="eastAsia"/>
          <w:color w:val="333333"/>
          <w:sz w:val="24"/>
          <w:szCs w:val="24"/>
        </w:rPr>
        <w:t>118</w:t>
      </w:r>
      <w:r w:rsidRPr="00EE4DC3">
        <w:rPr>
          <w:rFonts w:hint="eastAsia"/>
          <w:color w:val="333333"/>
          <w:sz w:val="24"/>
          <w:szCs w:val="24"/>
        </w:rPr>
        <w:t>号）的有关规定，于每年</w:t>
      </w:r>
      <w:r w:rsidRPr="00EE4DC3">
        <w:rPr>
          <w:rFonts w:hint="eastAsia"/>
          <w:color w:val="333333"/>
          <w:sz w:val="24"/>
          <w:szCs w:val="24"/>
        </w:rPr>
        <w:t>4</w:t>
      </w:r>
      <w:r w:rsidRPr="00EE4DC3">
        <w:rPr>
          <w:rFonts w:hint="eastAsia"/>
          <w:color w:val="333333"/>
          <w:sz w:val="24"/>
          <w:szCs w:val="24"/>
        </w:rPr>
        <w:t>月底前将上一年度收支情况等相关资料报送省价格主管部门，落实收费单位收支情况报告制度。</w:t>
      </w:r>
      <w:r w:rsidRPr="00EE4DC3">
        <w:rPr>
          <w:rFonts w:hint="eastAsia"/>
          <w:color w:val="333333"/>
          <w:sz w:val="24"/>
          <w:szCs w:val="24"/>
        </w:rPr>
        <w:t> </w:t>
      </w:r>
    </w:p>
    <w:p w:rsidR="00935B4D" w:rsidRPr="00EE4DC3" w:rsidRDefault="00935B4D" w:rsidP="00935B4D">
      <w:pPr>
        <w:shd w:val="clear" w:color="auto" w:fill="FFFFFF"/>
        <w:snapToGrid w:val="0"/>
        <w:spacing w:before="240" w:after="240" w:line="360" w:lineRule="auto"/>
        <w:ind w:firstLine="480"/>
        <w:rPr>
          <w:color w:val="333333"/>
          <w:sz w:val="24"/>
          <w:szCs w:val="24"/>
        </w:rPr>
      </w:pPr>
      <w:r w:rsidRPr="00EE4DC3">
        <w:rPr>
          <w:rFonts w:hint="eastAsia"/>
          <w:color w:val="333333"/>
          <w:sz w:val="24"/>
          <w:szCs w:val="24"/>
        </w:rPr>
        <w:t xml:space="preserve">　　六、本通知自</w:t>
      </w:r>
      <w:r w:rsidRPr="00EE4DC3">
        <w:rPr>
          <w:rFonts w:hint="eastAsia"/>
          <w:color w:val="333333"/>
          <w:sz w:val="24"/>
          <w:szCs w:val="24"/>
        </w:rPr>
        <w:t>2018</w:t>
      </w:r>
      <w:r w:rsidRPr="00EE4DC3">
        <w:rPr>
          <w:rFonts w:hint="eastAsia"/>
          <w:color w:val="333333"/>
          <w:sz w:val="24"/>
          <w:szCs w:val="24"/>
        </w:rPr>
        <w:t>年</w:t>
      </w:r>
      <w:r w:rsidRPr="00EE4DC3">
        <w:rPr>
          <w:rFonts w:hint="eastAsia"/>
          <w:color w:val="333333"/>
          <w:sz w:val="24"/>
          <w:szCs w:val="24"/>
        </w:rPr>
        <w:t>10</w:t>
      </w:r>
      <w:r w:rsidRPr="00EE4DC3">
        <w:rPr>
          <w:rFonts w:hint="eastAsia"/>
          <w:color w:val="333333"/>
          <w:sz w:val="24"/>
          <w:szCs w:val="24"/>
        </w:rPr>
        <w:t>月</w:t>
      </w:r>
      <w:r w:rsidRPr="00EE4DC3">
        <w:rPr>
          <w:rFonts w:hint="eastAsia"/>
          <w:color w:val="333333"/>
          <w:sz w:val="24"/>
          <w:szCs w:val="24"/>
        </w:rPr>
        <w:t>15</w:t>
      </w:r>
      <w:r w:rsidRPr="00EE4DC3">
        <w:rPr>
          <w:rFonts w:hint="eastAsia"/>
          <w:color w:val="333333"/>
          <w:sz w:val="24"/>
          <w:szCs w:val="24"/>
        </w:rPr>
        <w:t>日起执行，有效期</w:t>
      </w:r>
      <w:r w:rsidRPr="00EE4DC3">
        <w:rPr>
          <w:rFonts w:hint="eastAsia"/>
          <w:color w:val="333333"/>
          <w:sz w:val="24"/>
          <w:szCs w:val="24"/>
        </w:rPr>
        <w:t>3</w:t>
      </w:r>
      <w:r w:rsidRPr="00EE4DC3">
        <w:rPr>
          <w:rFonts w:hint="eastAsia"/>
          <w:color w:val="333333"/>
          <w:sz w:val="24"/>
          <w:szCs w:val="24"/>
        </w:rPr>
        <w:t>年。《福建省物价局关于产权交易、</w:t>
      </w:r>
      <w:proofErr w:type="gramStart"/>
      <w:r w:rsidRPr="00EE4DC3">
        <w:rPr>
          <w:rFonts w:hint="eastAsia"/>
          <w:color w:val="333333"/>
          <w:sz w:val="24"/>
          <w:szCs w:val="24"/>
        </w:rPr>
        <w:t>鉴证</w:t>
      </w:r>
      <w:proofErr w:type="gramEnd"/>
      <w:r w:rsidRPr="00EE4DC3">
        <w:rPr>
          <w:rFonts w:hint="eastAsia"/>
          <w:color w:val="333333"/>
          <w:sz w:val="24"/>
          <w:szCs w:val="24"/>
        </w:rPr>
        <w:t>收费问题的通知》（</w:t>
      </w:r>
      <w:proofErr w:type="gramStart"/>
      <w:r w:rsidRPr="00EE4DC3">
        <w:rPr>
          <w:rFonts w:hint="eastAsia"/>
          <w:color w:val="333333"/>
          <w:sz w:val="24"/>
          <w:szCs w:val="24"/>
        </w:rPr>
        <w:t>闽价服〔</w:t>
      </w:r>
      <w:r w:rsidRPr="00EE4DC3">
        <w:rPr>
          <w:rFonts w:hint="eastAsia"/>
          <w:color w:val="333333"/>
          <w:sz w:val="24"/>
          <w:szCs w:val="24"/>
        </w:rPr>
        <w:t>2008</w:t>
      </w:r>
      <w:r w:rsidRPr="00EE4DC3">
        <w:rPr>
          <w:rFonts w:hint="eastAsia"/>
          <w:color w:val="333333"/>
          <w:sz w:val="24"/>
          <w:szCs w:val="24"/>
        </w:rPr>
        <w:t>〕</w:t>
      </w:r>
      <w:proofErr w:type="gramEnd"/>
      <w:r w:rsidRPr="00EE4DC3">
        <w:rPr>
          <w:rFonts w:hint="eastAsia"/>
          <w:color w:val="333333"/>
          <w:sz w:val="24"/>
          <w:szCs w:val="24"/>
        </w:rPr>
        <w:t>259</w:t>
      </w:r>
      <w:r w:rsidRPr="00EE4DC3">
        <w:rPr>
          <w:rFonts w:hint="eastAsia"/>
          <w:color w:val="333333"/>
          <w:sz w:val="24"/>
          <w:szCs w:val="24"/>
        </w:rPr>
        <w:t>号）同时废止。</w:t>
      </w:r>
    </w:p>
    <w:p w:rsidR="00935B4D" w:rsidRPr="00EE4DC3" w:rsidRDefault="00935B4D" w:rsidP="00935B4D">
      <w:pPr>
        <w:shd w:val="clear" w:color="auto" w:fill="FFFFFF"/>
        <w:snapToGrid w:val="0"/>
        <w:spacing w:before="240" w:after="240" w:line="360" w:lineRule="auto"/>
        <w:ind w:firstLine="480"/>
        <w:rPr>
          <w:color w:val="333333"/>
          <w:sz w:val="24"/>
          <w:szCs w:val="24"/>
        </w:rPr>
      </w:pPr>
      <w:r w:rsidRPr="00EE4DC3">
        <w:rPr>
          <w:rFonts w:hint="eastAsia"/>
          <w:color w:val="333333"/>
          <w:sz w:val="24"/>
          <w:szCs w:val="24"/>
        </w:rPr>
        <w:t xml:space="preserve">　　</w:t>
      </w:r>
      <w:r w:rsidRPr="00EE4DC3">
        <w:rPr>
          <w:rFonts w:hint="eastAsia"/>
          <w:color w:val="333333"/>
          <w:sz w:val="24"/>
          <w:szCs w:val="24"/>
        </w:rPr>
        <w:t>                            </w:t>
      </w:r>
    </w:p>
    <w:p w:rsidR="00935B4D" w:rsidRPr="00EE4DC3" w:rsidRDefault="00935B4D" w:rsidP="00935B4D">
      <w:pPr>
        <w:shd w:val="clear" w:color="auto" w:fill="FFFFFF"/>
        <w:snapToGrid w:val="0"/>
        <w:spacing w:before="240" w:after="240" w:line="360" w:lineRule="auto"/>
        <w:ind w:firstLine="480"/>
        <w:jc w:val="left"/>
        <w:rPr>
          <w:color w:val="333333"/>
          <w:sz w:val="24"/>
          <w:szCs w:val="24"/>
        </w:rPr>
      </w:pPr>
      <w:r w:rsidRPr="00EE4DC3">
        <w:rPr>
          <w:rFonts w:hint="eastAsia"/>
          <w:color w:val="333333"/>
          <w:sz w:val="24"/>
          <w:szCs w:val="24"/>
        </w:rPr>
        <w:t xml:space="preserve">　　</w:t>
      </w:r>
      <w:r w:rsidRPr="00EE4DC3">
        <w:rPr>
          <w:rFonts w:hint="eastAsia"/>
          <w:color w:val="333333"/>
          <w:sz w:val="24"/>
          <w:szCs w:val="24"/>
        </w:rPr>
        <w:t>                                                                      </w:t>
      </w:r>
      <w:r w:rsidRPr="00EE4DC3">
        <w:rPr>
          <w:rFonts w:hint="eastAsia"/>
          <w:color w:val="333333"/>
          <w:sz w:val="24"/>
          <w:szCs w:val="24"/>
        </w:rPr>
        <w:t>福建省物价局</w:t>
      </w:r>
    </w:p>
    <w:p w:rsidR="00935B4D" w:rsidRPr="00EE4DC3" w:rsidRDefault="00935B4D" w:rsidP="00935B4D">
      <w:pPr>
        <w:shd w:val="clear" w:color="auto" w:fill="FFFFFF"/>
        <w:snapToGrid w:val="0"/>
        <w:spacing w:before="240" w:after="240" w:line="360" w:lineRule="auto"/>
        <w:ind w:firstLine="480"/>
        <w:jc w:val="center"/>
        <w:rPr>
          <w:color w:val="333333"/>
          <w:sz w:val="24"/>
          <w:szCs w:val="24"/>
        </w:rPr>
      </w:pPr>
      <w:r w:rsidRPr="00EE4DC3">
        <w:rPr>
          <w:rFonts w:hint="eastAsia"/>
          <w:color w:val="333333"/>
          <w:sz w:val="24"/>
          <w:szCs w:val="24"/>
        </w:rPr>
        <w:t xml:space="preserve">　　</w:t>
      </w:r>
      <w:r w:rsidRPr="00EE4DC3">
        <w:rPr>
          <w:rFonts w:hint="eastAsia"/>
          <w:color w:val="333333"/>
          <w:sz w:val="24"/>
          <w:szCs w:val="24"/>
        </w:rPr>
        <w:t>                    2018</w:t>
      </w:r>
      <w:r w:rsidRPr="00EE4DC3">
        <w:rPr>
          <w:rFonts w:hint="eastAsia"/>
          <w:color w:val="333333"/>
          <w:sz w:val="24"/>
          <w:szCs w:val="24"/>
        </w:rPr>
        <w:t>年</w:t>
      </w:r>
      <w:r w:rsidRPr="00EE4DC3">
        <w:rPr>
          <w:rFonts w:hint="eastAsia"/>
          <w:color w:val="333333"/>
          <w:sz w:val="24"/>
          <w:szCs w:val="24"/>
        </w:rPr>
        <w:t>8</w:t>
      </w:r>
      <w:r w:rsidRPr="00EE4DC3">
        <w:rPr>
          <w:rFonts w:hint="eastAsia"/>
          <w:color w:val="333333"/>
          <w:sz w:val="24"/>
          <w:szCs w:val="24"/>
        </w:rPr>
        <w:t>月</w:t>
      </w:r>
      <w:r w:rsidRPr="00EE4DC3">
        <w:rPr>
          <w:rFonts w:hint="eastAsia"/>
          <w:color w:val="333333"/>
          <w:sz w:val="24"/>
          <w:szCs w:val="24"/>
        </w:rPr>
        <w:t>30</w:t>
      </w:r>
      <w:r w:rsidRPr="00EE4DC3">
        <w:rPr>
          <w:rFonts w:hint="eastAsia"/>
          <w:color w:val="333333"/>
          <w:sz w:val="24"/>
          <w:szCs w:val="24"/>
        </w:rPr>
        <w:t>日</w:t>
      </w:r>
    </w:p>
    <w:p w:rsidR="00935B4D" w:rsidRPr="00EE4DC3" w:rsidRDefault="00935B4D" w:rsidP="00935B4D">
      <w:pPr>
        <w:shd w:val="clear" w:color="auto" w:fill="FFFFFF"/>
        <w:snapToGrid w:val="0"/>
        <w:spacing w:before="240" w:after="240" w:line="360" w:lineRule="auto"/>
        <w:ind w:firstLine="480"/>
        <w:jc w:val="center"/>
        <w:textAlignment w:val="top"/>
        <w:rPr>
          <w:color w:val="333333"/>
          <w:sz w:val="24"/>
          <w:szCs w:val="24"/>
        </w:rPr>
      </w:pPr>
      <w:r w:rsidRPr="00EE4DC3">
        <w:rPr>
          <w:rFonts w:hint="eastAsia"/>
          <w:color w:val="333333"/>
          <w:sz w:val="24"/>
          <w:szCs w:val="24"/>
        </w:rPr>
        <w:t xml:space="preserve">　　</w:t>
      </w:r>
      <w:r w:rsidRPr="00EE4DC3">
        <w:rPr>
          <w:rFonts w:hint="eastAsia"/>
          <w:color w:val="333333"/>
          <w:sz w:val="24"/>
          <w:szCs w:val="24"/>
        </w:rPr>
        <w:t> </w:t>
      </w:r>
    </w:p>
    <w:p w:rsidR="00935B4D" w:rsidRPr="00EE4DC3" w:rsidRDefault="00935B4D" w:rsidP="00935B4D">
      <w:pPr>
        <w:shd w:val="clear" w:color="auto" w:fill="FFFFFF"/>
        <w:snapToGrid w:val="0"/>
        <w:spacing w:before="240" w:after="240" w:line="360" w:lineRule="auto"/>
        <w:ind w:firstLine="480"/>
        <w:rPr>
          <w:sz w:val="24"/>
          <w:szCs w:val="24"/>
        </w:rPr>
      </w:pPr>
      <w:r w:rsidRPr="00EE4DC3">
        <w:rPr>
          <w:rFonts w:hint="eastAsia"/>
          <w:color w:val="333333"/>
          <w:sz w:val="24"/>
          <w:szCs w:val="24"/>
        </w:rPr>
        <w:t xml:space="preserve">　　</w:t>
      </w:r>
      <w:r w:rsidRPr="00EE4DC3">
        <w:rPr>
          <w:rFonts w:hint="eastAsia"/>
          <w:color w:val="333333"/>
          <w:sz w:val="24"/>
          <w:szCs w:val="24"/>
        </w:rPr>
        <w:t>   </w:t>
      </w:r>
      <w:r w:rsidRPr="00EE4DC3">
        <w:rPr>
          <w:rFonts w:hint="eastAsia"/>
          <w:color w:val="333333"/>
          <w:sz w:val="24"/>
          <w:szCs w:val="24"/>
        </w:rPr>
        <w:t>（此件主动公开）</w:t>
      </w:r>
    </w:p>
    <w:p w:rsidR="0009063F" w:rsidRPr="00935B4D" w:rsidRDefault="0009063F" w:rsidP="00935B4D">
      <w:pPr>
        <w:ind w:firstLine="420"/>
      </w:pPr>
    </w:p>
    <w:sectPr w:rsidR="0009063F" w:rsidRPr="00935B4D" w:rsidSect="00CD42F9">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935B4D" w:rsidP="000266C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935B4D" w:rsidP="000266C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935B4D" w:rsidP="000266CF">
    <w:pPr>
      <w:pStyle w:val="a4"/>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935B4D" w:rsidP="000266C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935B4D" w:rsidP="00EE4DC3">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935B4D" w:rsidP="000266C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5B4D"/>
    <w:rsid w:val="0009063F"/>
    <w:rsid w:val="001623EF"/>
    <w:rsid w:val="00184E28"/>
    <w:rsid w:val="001C6013"/>
    <w:rsid w:val="0023796E"/>
    <w:rsid w:val="0034221F"/>
    <w:rsid w:val="00511D8E"/>
    <w:rsid w:val="005F7B8A"/>
    <w:rsid w:val="00613489"/>
    <w:rsid w:val="00620DA9"/>
    <w:rsid w:val="007079DA"/>
    <w:rsid w:val="00763AA2"/>
    <w:rsid w:val="008148C4"/>
    <w:rsid w:val="00823993"/>
    <w:rsid w:val="00835FA3"/>
    <w:rsid w:val="008C0E78"/>
    <w:rsid w:val="00935B4D"/>
    <w:rsid w:val="009B3405"/>
    <w:rsid w:val="00A93D67"/>
    <w:rsid w:val="00AC639D"/>
    <w:rsid w:val="00C91D91"/>
    <w:rsid w:val="00CD7834"/>
    <w:rsid w:val="00CE5FF7"/>
    <w:rsid w:val="00D47D92"/>
    <w:rsid w:val="00DF7A84"/>
    <w:rsid w:val="00E26D15"/>
    <w:rsid w:val="00E75D99"/>
    <w:rsid w:val="00E86A53"/>
    <w:rsid w:val="00FA2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B4D"/>
    <w:pPr>
      <w:widowControl w:val="0"/>
      <w:spacing w:line="480" w:lineRule="auto"/>
      <w:ind w:firstLineChars="200" w:firstLine="200"/>
      <w:jc w:val="both"/>
    </w:pPr>
    <w:rPr>
      <w:rFonts w:asciiTheme="minorHAnsi" w:eastAsiaTheme="minorEastAsia" w:hAnsiTheme="minorHAnsi" w:cstheme="minorBidi"/>
      <w:kern w:val="2"/>
      <w:sz w:val="21"/>
      <w:szCs w:val="22"/>
    </w:rPr>
  </w:style>
  <w:style w:type="paragraph" w:styleId="3">
    <w:name w:val="heading 3"/>
    <w:basedOn w:val="a"/>
    <w:link w:val="3Char"/>
    <w:uiPriority w:val="9"/>
    <w:qFormat/>
    <w:rsid w:val="00935B4D"/>
    <w:pPr>
      <w:widowControl/>
      <w:spacing w:before="100" w:beforeAutospacing="1" w:after="100" w:afterAutospacing="1" w:line="240" w:lineRule="auto"/>
      <w:ind w:firstLineChars="0" w:firstLine="0"/>
      <w:jc w:val="left"/>
      <w:outlineLvl w:val="2"/>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35B4D"/>
    <w:rPr>
      <w:rFonts w:ascii="宋体" w:hAnsi="宋体" w:cs="宋体"/>
      <w:sz w:val="21"/>
      <w:szCs w:val="21"/>
    </w:rPr>
  </w:style>
  <w:style w:type="paragraph" w:styleId="a3">
    <w:name w:val="header"/>
    <w:basedOn w:val="a"/>
    <w:link w:val="Char"/>
    <w:uiPriority w:val="99"/>
    <w:unhideWhenUsed/>
    <w:rsid w:val="00935B4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35B4D"/>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935B4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935B4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dc:creator>
  <cp:lastModifiedBy>CBR</cp:lastModifiedBy>
  <cp:revision>1</cp:revision>
  <dcterms:created xsi:type="dcterms:W3CDTF">2020-06-02T07:11:00Z</dcterms:created>
  <dcterms:modified xsi:type="dcterms:W3CDTF">2020-06-02T07:11:00Z</dcterms:modified>
</cp:coreProperties>
</file>