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rFonts w:eastAsia="仿宋_GB2312"/>
          <w:sz w:val="36"/>
          <w:szCs w:val="36"/>
        </w:rPr>
      </w:pPr>
    </w:p>
    <w:p>
      <w:pPr>
        <w:adjustRightInd w:val="0"/>
        <w:snapToGrid w:val="0"/>
        <w:rPr>
          <w:rFonts w:eastAsia="仿宋_GB2312"/>
          <w:sz w:val="36"/>
          <w:szCs w:val="36"/>
        </w:rPr>
      </w:pPr>
    </w:p>
    <w:p>
      <w:pPr>
        <w:adjustRightInd w:val="0"/>
        <w:snapToGrid w:val="0"/>
        <w:rPr>
          <w:rFonts w:eastAsia="仿宋_GB2312"/>
          <w:sz w:val="36"/>
          <w:szCs w:val="36"/>
        </w:rPr>
      </w:pPr>
    </w:p>
    <w:p>
      <w:pPr>
        <w:adjustRightInd w:val="0"/>
        <w:snapToGrid w:val="0"/>
        <w:rPr>
          <w:rFonts w:eastAsia="仿宋_GB2312"/>
          <w:sz w:val="36"/>
          <w:szCs w:val="36"/>
        </w:rPr>
      </w:pPr>
    </w:p>
    <w:p>
      <w:pPr>
        <w:adjustRightInd w:val="0"/>
        <w:snapToGrid w:val="0"/>
        <w:rPr>
          <w:rFonts w:eastAsia="仿宋_GB2312"/>
          <w:sz w:val="36"/>
          <w:szCs w:val="36"/>
        </w:rPr>
      </w:pPr>
    </w:p>
    <w:p>
      <w:pPr>
        <w:adjustRightInd w:val="0"/>
        <w:snapToGrid w:val="0"/>
        <w:jc w:val="center"/>
        <w:outlineLvl w:val="0"/>
        <w:rPr>
          <w:rFonts w:eastAsia="方正小标宋_GBK"/>
          <w:bCs/>
          <w:sz w:val="72"/>
          <w:szCs w:val="72"/>
        </w:rPr>
      </w:pPr>
      <w:bookmarkStart w:id="0" w:name="_Toc32028"/>
      <w:bookmarkStart w:id="1" w:name="_Toc6212"/>
      <w:bookmarkStart w:id="2" w:name="_Toc4208"/>
      <w:bookmarkStart w:id="3" w:name="_Toc11472"/>
      <w:bookmarkStart w:id="4" w:name="_Toc178015654"/>
      <w:bookmarkStart w:id="5" w:name="_Toc15297"/>
      <w:bookmarkStart w:id="6" w:name="_Toc89802981"/>
      <w:bookmarkStart w:id="7" w:name="_Toc31998"/>
      <w:r>
        <w:rPr>
          <w:rFonts w:eastAsia="方正小标宋_GBK"/>
          <w:bCs/>
          <w:sz w:val="72"/>
          <w:szCs w:val="72"/>
        </w:rPr>
        <w:t>建设项目环境影响报告表</w:t>
      </w:r>
      <w:bookmarkEnd w:id="0"/>
      <w:bookmarkEnd w:id="1"/>
      <w:bookmarkEnd w:id="2"/>
      <w:bookmarkEnd w:id="3"/>
      <w:bookmarkEnd w:id="4"/>
      <w:bookmarkEnd w:id="5"/>
      <w:bookmarkEnd w:id="6"/>
      <w:bookmarkEnd w:id="7"/>
    </w:p>
    <w:p>
      <w:pPr>
        <w:adjustRightInd w:val="0"/>
        <w:snapToGrid w:val="0"/>
        <w:spacing w:before="192" w:beforeLines="80"/>
        <w:jc w:val="center"/>
        <w:rPr>
          <w:rFonts w:eastAsia="楷体_GB2312"/>
          <w:bCs/>
          <w:sz w:val="48"/>
          <w:szCs w:val="48"/>
        </w:rPr>
      </w:pPr>
      <w:r>
        <w:rPr>
          <w:rFonts w:eastAsia="楷体_GB2312"/>
          <w:bCs/>
          <w:sz w:val="48"/>
          <w:szCs w:val="48"/>
        </w:rPr>
        <w:t>（污染影响类）</w:t>
      </w:r>
    </w:p>
    <w:p>
      <w:pPr>
        <w:adjustRightInd w:val="0"/>
        <w:snapToGrid w:val="0"/>
        <w:spacing w:line="288" w:lineRule="auto"/>
        <w:jc w:val="center"/>
        <w:rPr>
          <w:rFonts w:eastAsia="华文仿宋"/>
          <w:kern w:val="44"/>
          <w:sz w:val="44"/>
          <w:szCs w:val="44"/>
        </w:rPr>
      </w:pPr>
    </w:p>
    <w:p>
      <w:pPr>
        <w:adjustRightInd w:val="0"/>
        <w:snapToGrid w:val="0"/>
        <w:jc w:val="center"/>
        <w:rPr>
          <w:rFonts w:eastAsia="仿宋"/>
          <w:sz w:val="52"/>
          <w:szCs w:val="52"/>
        </w:rPr>
      </w:pPr>
    </w:p>
    <w:p>
      <w:pPr>
        <w:adjustRightInd w:val="0"/>
        <w:snapToGrid w:val="0"/>
        <w:ind w:firstLine="1040"/>
        <w:rPr>
          <w:rFonts w:eastAsia="仿宋"/>
          <w:sz w:val="44"/>
          <w:szCs w:val="44"/>
        </w:rPr>
      </w:pPr>
    </w:p>
    <w:p>
      <w:pPr>
        <w:adjustRightInd w:val="0"/>
        <w:snapToGrid w:val="0"/>
        <w:ind w:firstLine="1040"/>
        <w:rPr>
          <w:rFonts w:eastAsia="仿宋"/>
          <w:sz w:val="44"/>
          <w:szCs w:val="44"/>
        </w:rPr>
      </w:pPr>
    </w:p>
    <w:p>
      <w:pPr>
        <w:adjustRightInd w:val="0"/>
        <w:snapToGrid w:val="0"/>
        <w:ind w:firstLine="1040"/>
        <w:rPr>
          <w:rFonts w:hint="eastAsia" w:eastAsia="仿宋"/>
          <w:sz w:val="44"/>
          <w:szCs w:val="44"/>
        </w:rPr>
      </w:pPr>
    </w:p>
    <w:p>
      <w:pPr>
        <w:adjustRightInd w:val="0"/>
        <w:snapToGrid w:val="0"/>
        <w:ind w:firstLine="1040"/>
        <w:rPr>
          <w:rFonts w:eastAsia="仿宋"/>
          <w:sz w:val="44"/>
          <w:szCs w:val="44"/>
        </w:rPr>
      </w:pPr>
    </w:p>
    <w:tbl>
      <w:tblPr>
        <w:tblStyle w:val="19"/>
        <w:tblW w:w="5000" w:type="pct"/>
        <w:jc w:val="center"/>
        <w:tblLayout w:type="autofit"/>
        <w:tblCellMar>
          <w:top w:w="0" w:type="dxa"/>
          <w:left w:w="108" w:type="dxa"/>
          <w:bottom w:w="0" w:type="dxa"/>
          <w:right w:w="108" w:type="dxa"/>
        </w:tblCellMar>
      </w:tblPr>
      <w:tblGrid>
        <w:gridCol w:w="2942"/>
        <w:gridCol w:w="5580"/>
      </w:tblGrid>
      <w:tr>
        <w:tblPrEx>
          <w:tblCellMar>
            <w:top w:w="0" w:type="dxa"/>
            <w:left w:w="108" w:type="dxa"/>
            <w:bottom w:w="0" w:type="dxa"/>
            <w:right w:w="108" w:type="dxa"/>
          </w:tblCellMar>
        </w:tblPrEx>
        <w:trPr>
          <w:trHeight w:val="90" w:hRule="atLeast"/>
          <w:jc w:val="center"/>
        </w:trPr>
        <w:tc>
          <w:tcPr>
            <w:tcW w:w="1726" w:type="pct"/>
            <w:noWrap w:val="0"/>
            <w:vAlign w:val="center"/>
          </w:tcPr>
          <w:p>
            <w:pPr>
              <w:adjustRightInd w:val="0"/>
              <w:snapToGrid w:val="0"/>
              <w:spacing w:line="276" w:lineRule="auto"/>
              <w:rPr>
                <w:rFonts w:eastAsia="仿宋"/>
                <w:sz w:val="44"/>
                <w:szCs w:val="44"/>
              </w:rPr>
            </w:pPr>
            <w:r>
              <w:rPr>
                <w:rFonts w:eastAsia="仿宋_GB2312"/>
                <w:sz w:val="36"/>
                <w:szCs w:val="36"/>
              </w:rPr>
              <w:t>项目名称：</w:t>
            </w:r>
          </w:p>
        </w:tc>
        <w:tc>
          <w:tcPr>
            <w:tcW w:w="3274" w:type="pct"/>
            <w:tcBorders>
              <w:bottom w:val="single" w:color="auto" w:sz="4" w:space="0"/>
            </w:tcBorders>
            <w:noWrap w:val="0"/>
            <w:vAlign w:val="center"/>
          </w:tcPr>
          <w:p>
            <w:pPr>
              <w:adjustRightInd w:val="0"/>
              <w:snapToGrid w:val="0"/>
              <w:spacing w:line="276" w:lineRule="auto"/>
              <w:jc w:val="center"/>
              <w:rPr>
                <w:rFonts w:eastAsia="仿宋"/>
                <w:sz w:val="36"/>
                <w:szCs w:val="36"/>
              </w:rPr>
            </w:pPr>
            <w:r>
              <w:rPr>
                <w:rFonts w:hint="eastAsia" w:eastAsia="仿宋"/>
                <w:sz w:val="36"/>
                <w:szCs w:val="36"/>
              </w:rPr>
              <w:t>年产50吨功能性氟材料建设项目</w:t>
            </w:r>
          </w:p>
        </w:tc>
      </w:tr>
      <w:tr>
        <w:tblPrEx>
          <w:tblCellMar>
            <w:top w:w="0" w:type="dxa"/>
            <w:left w:w="108" w:type="dxa"/>
            <w:bottom w:w="0" w:type="dxa"/>
            <w:right w:w="108" w:type="dxa"/>
          </w:tblCellMar>
        </w:tblPrEx>
        <w:trPr>
          <w:jc w:val="center"/>
        </w:trPr>
        <w:tc>
          <w:tcPr>
            <w:tcW w:w="1726" w:type="pct"/>
            <w:noWrap w:val="0"/>
            <w:vAlign w:val="center"/>
          </w:tcPr>
          <w:p>
            <w:pPr>
              <w:adjustRightInd w:val="0"/>
              <w:snapToGrid w:val="0"/>
              <w:spacing w:line="276" w:lineRule="auto"/>
              <w:rPr>
                <w:rFonts w:eastAsia="仿宋"/>
                <w:sz w:val="44"/>
                <w:szCs w:val="44"/>
              </w:rPr>
            </w:pPr>
            <w:r>
              <w:rPr>
                <w:rFonts w:eastAsia="仿宋_GB2312"/>
                <w:sz w:val="36"/>
                <w:szCs w:val="36"/>
              </w:rPr>
              <w:t>建设单位（盖章）：</w:t>
            </w:r>
          </w:p>
        </w:tc>
        <w:tc>
          <w:tcPr>
            <w:tcW w:w="3274" w:type="pct"/>
            <w:tcBorders>
              <w:top w:val="single" w:color="auto" w:sz="4" w:space="0"/>
              <w:bottom w:val="single" w:color="auto" w:sz="4" w:space="0"/>
            </w:tcBorders>
            <w:noWrap w:val="0"/>
            <w:vAlign w:val="center"/>
          </w:tcPr>
          <w:p>
            <w:pPr>
              <w:adjustRightInd w:val="0"/>
              <w:snapToGrid w:val="0"/>
              <w:spacing w:line="276" w:lineRule="auto"/>
              <w:jc w:val="center"/>
              <w:rPr>
                <w:rFonts w:eastAsia="仿宋"/>
                <w:sz w:val="36"/>
                <w:szCs w:val="36"/>
              </w:rPr>
            </w:pPr>
            <w:r>
              <w:rPr>
                <w:rFonts w:hint="eastAsia" w:eastAsia="仿宋"/>
                <w:sz w:val="36"/>
                <w:szCs w:val="36"/>
                <w:lang w:eastAsia="zh-CN"/>
              </w:rPr>
              <w:t>三明市海斯福化工有限责任公司</w:t>
            </w:r>
          </w:p>
        </w:tc>
      </w:tr>
      <w:tr>
        <w:tblPrEx>
          <w:tblCellMar>
            <w:top w:w="0" w:type="dxa"/>
            <w:left w:w="108" w:type="dxa"/>
            <w:bottom w:w="0" w:type="dxa"/>
            <w:right w:w="108" w:type="dxa"/>
          </w:tblCellMar>
        </w:tblPrEx>
        <w:trPr>
          <w:jc w:val="center"/>
        </w:trPr>
        <w:tc>
          <w:tcPr>
            <w:tcW w:w="1726" w:type="pct"/>
            <w:noWrap w:val="0"/>
            <w:vAlign w:val="center"/>
          </w:tcPr>
          <w:p>
            <w:pPr>
              <w:adjustRightInd w:val="0"/>
              <w:snapToGrid w:val="0"/>
              <w:spacing w:line="276" w:lineRule="auto"/>
              <w:rPr>
                <w:rFonts w:eastAsia="仿宋"/>
                <w:sz w:val="44"/>
                <w:szCs w:val="44"/>
              </w:rPr>
            </w:pPr>
            <w:r>
              <w:rPr>
                <w:rFonts w:eastAsia="仿宋_GB2312"/>
                <w:sz w:val="36"/>
                <w:szCs w:val="36"/>
              </w:rPr>
              <w:t>编制日期：</w:t>
            </w:r>
          </w:p>
        </w:tc>
        <w:tc>
          <w:tcPr>
            <w:tcW w:w="3274" w:type="pct"/>
            <w:tcBorders>
              <w:top w:val="single" w:color="auto" w:sz="4" w:space="0"/>
              <w:bottom w:val="single" w:color="auto" w:sz="4" w:space="0"/>
            </w:tcBorders>
            <w:noWrap w:val="0"/>
            <w:vAlign w:val="center"/>
          </w:tcPr>
          <w:p>
            <w:pPr>
              <w:adjustRightInd w:val="0"/>
              <w:snapToGrid w:val="0"/>
              <w:spacing w:line="276" w:lineRule="auto"/>
              <w:jc w:val="center"/>
              <w:rPr>
                <w:rFonts w:eastAsia="仿宋"/>
                <w:sz w:val="44"/>
                <w:szCs w:val="44"/>
              </w:rPr>
            </w:pPr>
            <w:r>
              <w:rPr>
                <w:rFonts w:eastAsia="仿宋"/>
                <w:sz w:val="36"/>
                <w:szCs w:val="36"/>
              </w:rPr>
              <w:t>202</w:t>
            </w:r>
            <w:r>
              <w:rPr>
                <w:rFonts w:hint="eastAsia" w:eastAsia="仿宋"/>
                <w:sz w:val="36"/>
                <w:szCs w:val="36"/>
                <w:lang w:val="en-US" w:eastAsia="zh-CN"/>
              </w:rPr>
              <w:t>6</w:t>
            </w:r>
            <w:r>
              <w:rPr>
                <w:rFonts w:eastAsia="仿宋"/>
                <w:sz w:val="36"/>
                <w:szCs w:val="36"/>
              </w:rPr>
              <w:t>年</w:t>
            </w:r>
            <w:r>
              <w:rPr>
                <w:rFonts w:hint="eastAsia" w:eastAsia="仿宋"/>
                <w:sz w:val="36"/>
                <w:szCs w:val="36"/>
                <w:lang w:val="en-US" w:eastAsia="zh-CN"/>
              </w:rPr>
              <w:t>5</w:t>
            </w:r>
            <w:r>
              <w:rPr>
                <w:rFonts w:eastAsia="仿宋"/>
                <w:sz w:val="36"/>
                <w:szCs w:val="36"/>
              </w:rPr>
              <w:t>月</w:t>
            </w:r>
          </w:p>
        </w:tc>
      </w:tr>
    </w:tbl>
    <w:p>
      <w:pPr>
        <w:adjustRightInd w:val="0"/>
        <w:snapToGrid w:val="0"/>
        <w:ind w:firstLine="1040"/>
        <w:rPr>
          <w:rFonts w:eastAsia="仿宋"/>
          <w:sz w:val="44"/>
          <w:szCs w:val="44"/>
        </w:rPr>
      </w:pPr>
    </w:p>
    <w:p>
      <w:pPr>
        <w:adjustRightInd w:val="0"/>
        <w:snapToGrid w:val="0"/>
        <w:ind w:firstLine="1040"/>
        <w:rPr>
          <w:rFonts w:eastAsia="仿宋"/>
          <w:sz w:val="44"/>
          <w:szCs w:val="44"/>
        </w:rPr>
      </w:pPr>
    </w:p>
    <w:p>
      <w:pPr>
        <w:adjustRightInd w:val="0"/>
        <w:snapToGrid w:val="0"/>
        <w:spacing w:line="288" w:lineRule="auto"/>
        <w:ind w:firstLine="1040"/>
        <w:rPr>
          <w:rFonts w:eastAsia="仿宋_GB2312"/>
          <w:sz w:val="36"/>
          <w:szCs w:val="36"/>
        </w:rPr>
      </w:pPr>
      <w:bookmarkStart w:id="8" w:name="_Hlk57884087"/>
    </w:p>
    <w:p>
      <w:pPr>
        <w:adjustRightInd w:val="0"/>
        <w:snapToGrid w:val="0"/>
        <w:spacing w:line="288" w:lineRule="auto"/>
        <w:ind w:firstLine="1040"/>
        <w:rPr>
          <w:rFonts w:eastAsia="仿宋_GB2312"/>
          <w:sz w:val="36"/>
          <w:szCs w:val="36"/>
        </w:rPr>
      </w:pPr>
    </w:p>
    <w:p>
      <w:pPr>
        <w:adjustRightInd w:val="0"/>
        <w:snapToGrid w:val="0"/>
        <w:spacing w:line="288" w:lineRule="auto"/>
        <w:ind w:firstLine="1040"/>
        <w:rPr>
          <w:rFonts w:eastAsia="仿宋_GB2312"/>
          <w:sz w:val="36"/>
          <w:szCs w:val="36"/>
        </w:rPr>
      </w:pPr>
    </w:p>
    <w:p>
      <w:pPr>
        <w:adjustRightInd w:val="0"/>
        <w:snapToGrid w:val="0"/>
        <w:spacing w:line="288" w:lineRule="auto"/>
        <w:ind w:firstLine="1040"/>
        <w:rPr>
          <w:rFonts w:hint="eastAsia" w:eastAsia="仿宋_GB2312"/>
          <w:sz w:val="36"/>
          <w:szCs w:val="36"/>
        </w:rPr>
      </w:pPr>
    </w:p>
    <w:bookmarkEnd w:id="8"/>
    <w:p>
      <w:pPr>
        <w:adjustRightInd w:val="0"/>
        <w:snapToGrid w:val="0"/>
        <w:spacing w:line="288" w:lineRule="auto"/>
        <w:jc w:val="center"/>
        <w:rPr>
          <w:rFonts w:eastAsia="楷体_GB2312"/>
          <w:sz w:val="36"/>
          <w:szCs w:val="36"/>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eastAsia="楷体_GB2312"/>
          <w:sz w:val="36"/>
          <w:szCs w:val="36"/>
        </w:rPr>
        <w:t>中华人民共和国生态环境部制</w:t>
      </w:r>
    </w:p>
    <w:sdt>
      <w:sdtPr>
        <w:rPr>
          <w:rFonts w:ascii="宋体" w:hAnsi="宋体" w:eastAsia="宋体" w:cs="Times New Roman"/>
          <w:b/>
          <w:bCs/>
          <w:kern w:val="2"/>
          <w:sz w:val="30"/>
          <w:szCs w:val="30"/>
          <w:lang w:val="en-US" w:eastAsia="zh-CN" w:bidi="ar-SA"/>
        </w:rPr>
        <w:id w:val="147481982"/>
        <w15:color w:val="DBDBDB"/>
        <w:docPartObj>
          <w:docPartGallery w:val="Table of Contents"/>
          <w:docPartUnique/>
        </w:docPartObj>
      </w:sdtPr>
      <w:sdtEndPr>
        <w:rPr>
          <w:rFonts w:ascii="宋体" w:hAnsi="宋体" w:eastAsia="宋体" w:cs="Times New Roman"/>
          <w:b/>
          <w:bCs/>
          <w:kern w:val="2"/>
          <w:sz w:val="24"/>
          <w:szCs w:val="24"/>
          <w:lang w:val="en-US" w:eastAsia="zh-CN" w:bidi="ar-SA"/>
        </w:rPr>
      </w:sdtEndPr>
      <w:sdtContent>
        <w:p>
          <w:pPr>
            <w:spacing w:before="0" w:beforeLines="0" w:after="0" w:afterLines="0" w:line="240" w:lineRule="auto"/>
            <w:ind w:left="0" w:leftChars="0" w:right="0" w:rightChars="0" w:firstLine="0" w:firstLineChars="0"/>
            <w:jc w:val="center"/>
            <w:rPr>
              <w:b/>
              <w:bCs/>
              <w:sz w:val="30"/>
              <w:szCs w:val="30"/>
            </w:rPr>
          </w:pPr>
          <w:r>
            <w:rPr>
              <w:rFonts w:ascii="宋体" w:hAnsi="宋体" w:eastAsia="宋体"/>
              <w:b/>
              <w:bCs/>
              <w:sz w:val="30"/>
              <w:szCs w:val="30"/>
            </w:rPr>
            <w:t>目录</w:t>
          </w:r>
        </w:p>
        <w:p>
          <w:pPr>
            <w:pStyle w:val="13"/>
            <w:tabs>
              <w:tab w:val="right" w:leader="dot" w:pos="8306"/>
            </w:tabs>
          </w:pPr>
          <w:r>
            <w:fldChar w:fldCharType="begin"/>
          </w:r>
          <w:r>
            <w:instrText xml:space="preserve">TOC \o "1-2" \h \u </w:instrText>
          </w:r>
          <w:r>
            <w:fldChar w:fldCharType="separate"/>
          </w:r>
          <w:r>
            <w:fldChar w:fldCharType="begin"/>
          </w:r>
          <w:r>
            <w:instrText xml:space="preserve"> HYPERLINK \l _Toc260 </w:instrText>
          </w:r>
          <w:r>
            <w:fldChar w:fldCharType="separate"/>
          </w:r>
          <w:r>
            <w:rPr>
              <w:rFonts w:hint="eastAsia" w:ascii="Times New Roman" w:hAnsi="Times New Roman" w:eastAsia="黑体"/>
              <w:snapToGrid w:val="0"/>
              <w:szCs w:val="30"/>
            </w:rPr>
            <w:t>一、</w:t>
          </w:r>
          <w:r>
            <w:rPr>
              <w:rFonts w:ascii="Times New Roman" w:hAnsi="Times New Roman" w:eastAsia="黑体"/>
              <w:snapToGrid w:val="0"/>
              <w:szCs w:val="30"/>
            </w:rPr>
            <w:t>建设项目基本情况</w:t>
          </w:r>
          <w:r>
            <w:tab/>
          </w:r>
          <w:r>
            <w:fldChar w:fldCharType="begin"/>
          </w:r>
          <w:r>
            <w:instrText xml:space="preserve"> PAGEREF _Toc260 \h </w:instrText>
          </w:r>
          <w:r>
            <w:fldChar w:fldCharType="separate"/>
          </w:r>
          <w:r>
            <w:t>1</w:t>
          </w:r>
          <w:r>
            <w:fldChar w:fldCharType="end"/>
          </w:r>
          <w:r>
            <w:fldChar w:fldCharType="end"/>
          </w:r>
        </w:p>
        <w:p>
          <w:pPr>
            <w:pStyle w:val="13"/>
            <w:tabs>
              <w:tab w:val="right" w:leader="dot" w:pos="8306"/>
            </w:tabs>
          </w:pPr>
          <w:r>
            <w:fldChar w:fldCharType="begin"/>
          </w:r>
          <w:r>
            <w:instrText xml:space="preserve"> HYPERLINK \l _Toc16150 </w:instrText>
          </w:r>
          <w:r>
            <w:fldChar w:fldCharType="separate"/>
          </w:r>
          <w:r>
            <w:rPr>
              <w:rFonts w:ascii="Times New Roman" w:hAnsi="Times New Roman" w:eastAsia="黑体"/>
              <w:snapToGrid w:val="0"/>
              <w:szCs w:val="30"/>
            </w:rPr>
            <w:t>二、建设项目工程分析</w:t>
          </w:r>
          <w:r>
            <w:tab/>
          </w:r>
          <w:r>
            <w:fldChar w:fldCharType="begin"/>
          </w:r>
          <w:r>
            <w:instrText xml:space="preserve"> PAGEREF _Toc16150 \h </w:instrText>
          </w:r>
          <w:r>
            <w:fldChar w:fldCharType="separate"/>
          </w:r>
          <w:r>
            <w:t>17</w:t>
          </w:r>
          <w:r>
            <w:fldChar w:fldCharType="end"/>
          </w:r>
          <w:r>
            <w:fldChar w:fldCharType="end"/>
          </w:r>
        </w:p>
        <w:p>
          <w:pPr>
            <w:pStyle w:val="13"/>
            <w:tabs>
              <w:tab w:val="right" w:leader="dot" w:pos="8306"/>
            </w:tabs>
          </w:pPr>
          <w:r>
            <w:fldChar w:fldCharType="begin"/>
          </w:r>
          <w:r>
            <w:instrText xml:space="preserve"> HYPERLINK \l _Toc13143 </w:instrText>
          </w:r>
          <w:r>
            <w:fldChar w:fldCharType="separate"/>
          </w:r>
          <w:r>
            <w:rPr>
              <w:rFonts w:ascii="Times New Roman" w:hAnsi="Times New Roman" w:eastAsia="黑体"/>
              <w:snapToGrid w:val="0"/>
              <w:szCs w:val="30"/>
            </w:rPr>
            <w:t>三、区域环境质量现状、环境保护目标及评价标准</w:t>
          </w:r>
          <w:r>
            <w:tab/>
          </w:r>
          <w:r>
            <w:fldChar w:fldCharType="begin"/>
          </w:r>
          <w:r>
            <w:instrText xml:space="preserve"> PAGEREF _Toc13143 \h </w:instrText>
          </w:r>
          <w:r>
            <w:fldChar w:fldCharType="separate"/>
          </w:r>
          <w:r>
            <w:t>48</w:t>
          </w:r>
          <w:r>
            <w:fldChar w:fldCharType="end"/>
          </w:r>
          <w:r>
            <w:fldChar w:fldCharType="end"/>
          </w:r>
        </w:p>
        <w:p>
          <w:pPr>
            <w:pStyle w:val="13"/>
            <w:tabs>
              <w:tab w:val="right" w:leader="dot" w:pos="8306"/>
            </w:tabs>
          </w:pPr>
          <w:r>
            <w:fldChar w:fldCharType="begin"/>
          </w:r>
          <w:r>
            <w:instrText xml:space="preserve"> HYPERLINK \l _Toc28432 </w:instrText>
          </w:r>
          <w:r>
            <w:fldChar w:fldCharType="separate"/>
          </w:r>
          <w:r>
            <w:rPr>
              <w:rFonts w:hint="eastAsia" w:ascii="Times New Roman" w:hAnsi="Times New Roman" w:eastAsia="黑体"/>
              <w:snapToGrid w:val="0"/>
              <w:szCs w:val="30"/>
              <w:lang w:val="en-US" w:eastAsia="zh-CN"/>
            </w:rPr>
            <w:t>四、</w:t>
          </w:r>
          <w:r>
            <w:rPr>
              <w:rFonts w:ascii="Times New Roman" w:hAnsi="Times New Roman" w:eastAsia="黑体"/>
              <w:snapToGrid w:val="0"/>
              <w:szCs w:val="30"/>
            </w:rPr>
            <w:t>主要环境影响和保护措施</w:t>
          </w:r>
          <w:r>
            <w:tab/>
          </w:r>
          <w:r>
            <w:fldChar w:fldCharType="begin"/>
          </w:r>
          <w:r>
            <w:instrText xml:space="preserve"> PAGEREF _Toc28432 \h </w:instrText>
          </w:r>
          <w:r>
            <w:fldChar w:fldCharType="separate"/>
          </w:r>
          <w:r>
            <w:t>57</w:t>
          </w:r>
          <w:r>
            <w:fldChar w:fldCharType="end"/>
          </w:r>
          <w:r>
            <w:fldChar w:fldCharType="end"/>
          </w:r>
        </w:p>
        <w:p>
          <w:pPr>
            <w:pStyle w:val="13"/>
            <w:tabs>
              <w:tab w:val="right" w:leader="dot" w:pos="8306"/>
            </w:tabs>
          </w:pPr>
          <w:r>
            <w:fldChar w:fldCharType="begin"/>
          </w:r>
          <w:r>
            <w:instrText xml:space="preserve"> HYPERLINK \l _Toc18393 </w:instrText>
          </w:r>
          <w:r>
            <w:fldChar w:fldCharType="separate"/>
          </w:r>
          <w:r>
            <w:rPr>
              <w:rFonts w:ascii="Times New Roman" w:hAnsi="Times New Roman" w:eastAsia="黑体"/>
              <w:snapToGrid w:val="0"/>
              <w:szCs w:val="30"/>
            </w:rPr>
            <w:t>五、环境保护措施监督检查清单</w:t>
          </w:r>
          <w:r>
            <w:tab/>
          </w:r>
          <w:r>
            <w:fldChar w:fldCharType="begin"/>
          </w:r>
          <w:r>
            <w:instrText xml:space="preserve"> PAGEREF _Toc18393 \h </w:instrText>
          </w:r>
          <w:r>
            <w:fldChar w:fldCharType="separate"/>
          </w:r>
          <w:r>
            <w:t>97</w:t>
          </w:r>
          <w:r>
            <w:fldChar w:fldCharType="end"/>
          </w:r>
          <w:r>
            <w:fldChar w:fldCharType="end"/>
          </w:r>
        </w:p>
        <w:p>
          <w:pPr>
            <w:pStyle w:val="13"/>
            <w:tabs>
              <w:tab w:val="right" w:leader="dot" w:pos="8306"/>
            </w:tabs>
          </w:pPr>
          <w:r>
            <w:fldChar w:fldCharType="begin"/>
          </w:r>
          <w:r>
            <w:instrText xml:space="preserve"> HYPERLINK \l _Toc17631 </w:instrText>
          </w:r>
          <w:r>
            <w:fldChar w:fldCharType="separate"/>
          </w:r>
          <w:r>
            <w:rPr>
              <w:rFonts w:hint="eastAsia" w:ascii="Times New Roman" w:hAnsi="Times New Roman" w:eastAsia="黑体"/>
              <w:snapToGrid w:val="0"/>
              <w:szCs w:val="30"/>
              <w:lang w:val="en-US" w:eastAsia="zh-CN"/>
            </w:rPr>
            <w:t>六、结论</w:t>
          </w:r>
          <w:r>
            <w:tab/>
          </w:r>
          <w:r>
            <w:fldChar w:fldCharType="begin"/>
          </w:r>
          <w:r>
            <w:instrText xml:space="preserve"> PAGEREF _Toc17631 \h </w:instrText>
          </w:r>
          <w:r>
            <w:fldChar w:fldCharType="separate"/>
          </w:r>
          <w:r>
            <w:t>101</w:t>
          </w:r>
          <w:r>
            <w:fldChar w:fldCharType="end"/>
          </w:r>
          <w:r>
            <w:fldChar w:fldCharType="end"/>
          </w:r>
        </w:p>
        <w:p>
          <w:pPr>
            <w:keepNext w:val="0"/>
            <w:keepLines w:val="0"/>
            <w:pageBreakBefore w:val="0"/>
            <w:kinsoku/>
            <w:wordWrap/>
            <w:overflowPunct/>
            <w:topLinePunct w:val="0"/>
            <w:autoSpaceDE/>
            <w:autoSpaceDN/>
            <w:bidi w:val="0"/>
            <w:adjustRightInd/>
            <w:snapToGrid/>
            <w:spacing w:line="240" w:lineRule="auto"/>
            <w:ind w:left="0" w:leftChars="0"/>
            <w:textAlignment w:val="auto"/>
          </w:pPr>
          <w:r>
            <w:fldChar w:fldCharType="end"/>
          </w:r>
        </w:p>
      </w:sdtContent>
    </w:sdt>
    <w:p>
      <w:p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pPr>
        <w:pStyle w:val="15"/>
        <w:numPr>
          <w:ilvl w:val="0"/>
          <w:numId w:val="2"/>
        </w:numPr>
        <w:jc w:val="center"/>
        <w:outlineLvl w:val="0"/>
        <w:rPr>
          <w:rFonts w:ascii="Times New Roman" w:hAnsi="Times New Roman" w:eastAsia="黑体"/>
          <w:snapToGrid w:val="0"/>
          <w:sz w:val="30"/>
          <w:szCs w:val="30"/>
        </w:rPr>
      </w:pPr>
      <w:bookmarkStart w:id="9" w:name="_Toc260"/>
      <w:r>
        <w:rPr>
          <w:rFonts w:ascii="Times New Roman" w:hAnsi="Times New Roman" w:eastAsia="黑体"/>
          <w:snapToGrid w:val="0"/>
          <w:sz w:val="30"/>
          <w:szCs w:val="30"/>
        </w:rPr>
        <w:t>建设项目基本情况</w:t>
      </w:r>
      <w:bookmarkEnd w:id="9"/>
    </w:p>
    <w:tbl>
      <w:tblPr>
        <w:tblStyle w:val="1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336"/>
        <w:gridCol w:w="1851"/>
        <w:gridCol w:w="1961"/>
        <w:gridCol w:w="318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36" w:type="dxa"/>
            <w:tcMar>
              <w:top w:w="16" w:type="dxa"/>
              <w:left w:w="16" w:type="dxa"/>
              <w:right w:w="16" w:type="dxa"/>
            </w:tcMar>
            <w:vAlign w:val="center"/>
          </w:tcPr>
          <w:p>
            <w:pPr>
              <w:adjustRightInd w:val="0"/>
              <w:snapToGrid w:val="0"/>
              <w:jc w:val="center"/>
              <w:rPr>
                <w:color w:val="auto"/>
                <w:szCs w:val="21"/>
              </w:rPr>
            </w:pPr>
            <w:r>
              <w:rPr>
                <w:color w:val="auto"/>
                <w:szCs w:val="21"/>
              </w:rPr>
              <w:t>建设项目名称</w:t>
            </w:r>
          </w:p>
        </w:tc>
        <w:tc>
          <w:tcPr>
            <w:tcW w:w="6996" w:type="dxa"/>
            <w:gridSpan w:val="3"/>
            <w:vAlign w:val="center"/>
          </w:tcPr>
          <w:p>
            <w:pPr>
              <w:adjustRightInd w:val="0"/>
              <w:snapToGrid w:val="0"/>
              <w:jc w:val="center"/>
              <w:rPr>
                <w:color w:val="auto"/>
                <w:szCs w:val="21"/>
              </w:rPr>
            </w:pPr>
            <w:r>
              <w:rPr>
                <w:rFonts w:hint="eastAsia"/>
                <w:color w:val="auto"/>
                <w:szCs w:val="21"/>
              </w:rPr>
              <w:t>年产50吨功能性氟材料建设项目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36" w:type="dxa"/>
            <w:tcMar>
              <w:top w:w="16" w:type="dxa"/>
              <w:left w:w="16" w:type="dxa"/>
              <w:right w:w="16" w:type="dxa"/>
            </w:tcMar>
            <w:vAlign w:val="center"/>
          </w:tcPr>
          <w:p>
            <w:pPr>
              <w:adjustRightInd w:val="0"/>
              <w:snapToGrid w:val="0"/>
              <w:jc w:val="center"/>
              <w:rPr>
                <w:color w:val="auto"/>
                <w:szCs w:val="21"/>
              </w:rPr>
            </w:pPr>
            <w:r>
              <w:rPr>
                <w:color w:val="auto"/>
                <w:szCs w:val="21"/>
              </w:rPr>
              <w:t>项目代码</w:t>
            </w:r>
          </w:p>
        </w:tc>
        <w:tc>
          <w:tcPr>
            <w:tcW w:w="6996" w:type="dxa"/>
            <w:gridSpan w:val="3"/>
            <w:vAlign w:val="center"/>
          </w:tcPr>
          <w:p>
            <w:pPr>
              <w:adjustRightInd w:val="0"/>
              <w:snapToGrid w:val="0"/>
              <w:jc w:val="center"/>
              <w:rPr>
                <w:color w:val="auto"/>
                <w:szCs w:val="21"/>
              </w:rPr>
            </w:pPr>
            <w:r>
              <w:rPr>
                <w:rFonts w:hint="eastAsia"/>
                <w:color w:val="auto"/>
                <w:szCs w:val="21"/>
              </w:rPr>
              <w:t>2603-350421-04-02-707923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36" w:type="dxa"/>
            <w:tcMar>
              <w:top w:w="16" w:type="dxa"/>
              <w:left w:w="16" w:type="dxa"/>
              <w:right w:w="16" w:type="dxa"/>
            </w:tcMar>
            <w:vAlign w:val="center"/>
          </w:tcPr>
          <w:p>
            <w:pPr>
              <w:adjustRightInd w:val="0"/>
              <w:snapToGrid w:val="0"/>
              <w:jc w:val="center"/>
              <w:rPr>
                <w:color w:val="auto"/>
                <w:szCs w:val="21"/>
              </w:rPr>
            </w:pPr>
            <w:r>
              <w:rPr>
                <w:color w:val="auto"/>
                <w:szCs w:val="21"/>
              </w:rPr>
              <w:t>建设单位联系人</w:t>
            </w:r>
          </w:p>
        </w:tc>
        <w:tc>
          <w:tcPr>
            <w:tcW w:w="1851" w:type="dxa"/>
            <w:vAlign w:val="center"/>
          </w:tcPr>
          <w:p>
            <w:pPr>
              <w:adjustRightInd w:val="0"/>
              <w:snapToGrid w:val="0"/>
              <w:jc w:val="center"/>
              <w:rPr>
                <w:color w:val="auto"/>
                <w:szCs w:val="21"/>
              </w:rPr>
            </w:pPr>
            <w:r>
              <w:rPr>
                <w:rFonts w:hint="eastAsia"/>
                <w:color w:val="auto"/>
                <w:szCs w:val="21"/>
              </w:rPr>
              <w:t>张泽明</w:t>
            </w:r>
          </w:p>
        </w:tc>
        <w:tc>
          <w:tcPr>
            <w:tcW w:w="1961" w:type="dxa"/>
            <w:vAlign w:val="center"/>
          </w:tcPr>
          <w:p>
            <w:pPr>
              <w:adjustRightInd w:val="0"/>
              <w:snapToGrid w:val="0"/>
              <w:jc w:val="center"/>
              <w:rPr>
                <w:color w:val="auto"/>
                <w:szCs w:val="21"/>
              </w:rPr>
            </w:pPr>
            <w:r>
              <w:rPr>
                <w:color w:val="auto"/>
                <w:szCs w:val="21"/>
              </w:rPr>
              <w:t>联系方式</w:t>
            </w:r>
          </w:p>
        </w:tc>
        <w:tc>
          <w:tcPr>
            <w:tcW w:w="3184" w:type="dxa"/>
            <w:vAlign w:val="center"/>
          </w:tcPr>
          <w:p>
            <w:pPr>
              <w:adjustRightInd w:val="0"/>
              <w:snapToGrid w:val="0"/>
              <w:jc w:val="center"/>
              <w:rPr>
                <w:color w:val="auto"/>
                <w:szCs w:val="21"/>
              </w:rPr>
            </w:pPr>
            <w:r>
              <w:rPr>
                <w:rFonts w:hint="eastAsia"/>
                <w:color w:val="auto"/>
                <w:szCs w:val="21"/>
              </w:rPr>
              <w:t>15959809011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36" w:type="dxa"/>
            <w:tcMar>
              <w:top w:w="16" w:type="dxa"/>
              <w:left w:w="16" w:type="dxa"/>
              <w:right w:w="16" w:type="dxa"/>
            </w:tcMar>
            <w:vAlign w:val="center"/>
          </w:tcPr>
          <w:p>
            <w:pPr>
              <w:adjustRightInd w:val="0"/>
              <w:snapToGrid w:val="0"/>
              <w:jc w:val="center"/>
              <w:rPr>
                <w:color w:val="auto"/>
                <w:szCs w:val="21"/>
              </w:rPr>
            </w:pPr>
            <w:r>
              <w:rPr>
                <w:color w:val="auto"/>
                <w:szCs w:val="21"/>
              </w:rPr>
              <w:t>建设地点</w:t>
            </w:r>
          </w:p>
        </w:tc>
        <w:tc>
          <w:tcPr>
            <w:tcW w:w="6996" w:type="dxa"/>
            <w:gridSpan w:val="3"/>
            <w:vAlign w:val="center"/>
          </w:tcPr>
          <w:p>
            <w:pPr>
              <w:adjustRightInd w:val="0"/>
              <w:snapToGrid w:val="0"/>
              <w:jc w:val="center"/>
              <w:rPr>
                <w:color w:val="auto"/>
                <w:szCs w:val="21"/>
              </w:rPr>
            </w:pPr>
            <w:r>
              <w:rPr>
                <w:rFonts w:hint="eastAsia"/>
                <w:color w:val="auto"/>
                <w:szCs w:val="21"/>
              </w:rPr>
              <w:t>福建省三明市明溪县经济开发区D区1号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36" w:type="dxa"/>
            <w:tcMar>
              <w:top w:w="16" w:type="dxa"/>
              <w:left w:w="16" w:type="dxa"/>
              <w:right w:w="16" w:type="dxa"/>
            </w:tcMar>
            <w:vAlign w:val="center"/>
          </w:tcPr>
          <w:p>
            <w:pPr>
              <w:adjustRightInd w:val="0"/>
              <w:snapToGrid w:val="0"/>
              <w:jc w:val="center"/>
              <w:rPr>
                <w:color w:val="auto"/>
                <w:szCs w:val="21"/>
              </w:rPr>
            </w:pPr>
            <w:r>
              <w:rPr>
                <w:color w:val="auto"/>
                <w:szCs w:val="21"/>
              </w:rPr>
              <w:t>地理坐标</w:t>
            </w:r>
          </w:p>
        </w:tc>
        <w:tc>
          <w:tcPr>
            <w:tcW w:w="6996" w:type="dxa"/>
            <w:gridSpan w:val="3"/>
            <w:vAlign w:val="center"/>
          </w:tcPr>
          <w:p>
            <w:pPr>
              <w:jc w:val="center"/>
              <w:rPr>
                <w:color w:val="auto"/>
                <w:szCs w:val="21"/>
              </w:rPr>
            </w:pPr>
            <w:r>
              <w:rPr>
                <w:color w:val="auto"/>
                <w:szCs w:val="21"/>
              </w:rPr>
              <w:t>（</w:t>
            </w:r>
            <w:r>
              <w:rPr>
                <w:rFonts w:hint="eastAsia"/>
                <w:color w:val="auto"/>
                <w:szCs w:val="21"/>
              </w:rPr>
              <w:t>经度：117度14分25.0秒，纬度：26度20分30.3秒</w:t>
            </w:r>
            <w:r>
              <w:rPr>
                <w:color w:val="auto"/>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336" w:type="dxa"/>
            <w:tcMar>
              <w:top w:w="16" w:type="dxa"/>
              <w:left w:w="16" w:type="dxa"/>
              <w:right w:w="16" w:type="dxa"/>
            </w:tcMar>
            <w:vAlign w:val="center"/>
          </w:tcPr>
          <w:p>
            <w:pPr>
              <w:adjustRightInd w:val="0"/>
              <w:snapToGrid w:val="0"/>
              <w:jc w:val="center"/>
              <w:rPr>
                <w:color w:val="auto"/>
                <w:szCs w:val="21"/>
              </w:rPr>
            </w:pPr>
            <w:r>
              <w:rPr>
                <w:color w:val="auto"/>
                <w:szCs w:val="21"/>
              </w:rPr>
              <w:t>国民经济</w:t>
            </w:r>
          </w:p>
          <w:p>
            <w:pPr>
              <w:adjustRightInd w:val="0"/>
              <w:snapToGrid w:val="0"/>
              <w:jc w:val="center"/>
              <w:rPr>
                <w:color w:val="auto"/>
                <w:szCs w:val="21"/>
              </w:rPr>
            </w:pPr>
            <w:r>
              <w:rPr>
                <w:color w:val="auto"/>
                <w:szCs w:val="21"/>
              </w:rPr>
              <w:t>行业类别</w:t>
            </w:r>
          </w:p>
        </w:tc>
        <w:tc>
          <w:tcPr>
            <w:tcW w:w="1851" w:type="dxa"/>
            <w:vAlign w:val="center"/>
          </w:tcPr>
          <w:p>
            <w:pPr>
              <w:adjustRightInd w:val="0"/>
              <w:snapToGrid w:val="0"/>
              <w:jc w:val="center"/>
              <w:rPr>
                <w:color w:val="auto"/>
                <w:szCs w:val="21"/>
              </w:rPr>
            </w:pPr>
            <w:r>
              <w:rPr>
                <w:rFonts w:hint="eastAsia"/>
                <w:color w:val="auto"/>
                <w:szCs w:val="21"/>
              </w:rPr>
              <w:t>C2921 塑料薄膜制造</w:t>
            </w:r>
          </w:p>
        </w:tc>
        <w:tc>
          <w:tcPr>
            <w:tcW w:w="1961" w:type="dxa"/>
            <w:vAlign w:val="center"/>
          </w:tcPr>
          <w:p>
            <w:pPr>
              <w:adjustRightInd w:val="0"/>
              <w:snapToGrid w:val="0"/>
              <w:jc w:val="center"/>
              <w:rPr>
                <w:color w:val="auto"/>
                <w:szCs w:val="21"/>
              </w:rPr>
            </w:pPr>
            <w:r>
              <w:rPr>
                <w:color w:val="auto"/>
                <w:szCs w:val="21"/>
              </w:rPr>
              <w:t>建设项目</w:t>
            </w:r>
          </w:p>
          <w:p>
            <w:pPr>
              <w:adjustRightInd w:val="0"/>
              <w:snapToGrid w:val="0"/>
              <w:jc w:val="center"/>
              <w:rPr>
                <w:color w:val="auto"/>
                <w:szCs w:val="21"/>
              </w:rPr>
            </w:pPr>
            <w:r>
              <w:rPr>
                <w:color w:val="auto"/>
                <w:szCs w:val="21"/>
              </w:rPr>
              <w:t>行业类别</w:t>
            </w:r>
          </w:p>
        </w:tc>
        <w:tc>
          <w:tcPr>
            <w:tcW w:w="3184" w:type="dxa"/>
            <w:vAlign w:val="center"/>
          </w:tcPr>
          <w:p>
            <w:pPr>
              <w:adjustRightInd w:val="0"/>
              <w:snapToGrid w:val="0"/>
              <w:rPr>
                <w:color w:val="auto"/>
                <w:szCs w:val="21"/>
              </w:rPr>
            </w:pPr>
            <w:r>
              <w:rPr>
                <w:rFonts w:hint="eastAsia"/>
                <w:color w:val="auto"/>
                <w:szCs w:val="21"/>
              </w:rPr>
              <w:t>二十六、橡胶和塑料制品业29-塑料制品业292，其他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336" w:type="dxa"/>
            <w:tcMar>
              <w:top w:w="16" w:type="dxa"/>
              <w:left w:w="16" w:type="dxa"/>
              <w:right w:w="16" w:type="dxa"/>
            </w:tcMar>
            <w:vAlign w:val="center"/>
          </w:tcPr>
          <w:p>
            <w:pPr>
              <w:adjustRightInd w:val="0"/>
              <w:snapToGrid w:val="0"/>
              <w:jc w:val="center"/>
              <w:rPr>
                <w:color w:val="auto"/>
                <w:szCs w:val="21"/>
              </w:rPr>
            </w:pPr>
            <w:r>
              <w:rPr>
                <w:color w:val="auto"/>
                <w:szCs w:val="21"/>
              </w:rPr>
              <w:t>建设性质</w:t>
            </w:r>
          </w:p>
        </w:tc>
        <w:tc>
          <w:tcPr>
            <w:tcW w:w="1851" w:type="dxa"/>
            <w:vAlign w:val="center"/>
          </w:tcPr>
          <w:p>
            <w:pPr>
              <w:jc w:val="left"/>
              <w:rPr>
                <w:color w:val="auto"/>
                <w:szCs w:val="21"/>
              </w:rPr>
            </w:pPr>
            <w:r>
              <w:rPr>
                <w:color w:val="auto"/>
                <w:szCs w:val="21"/>
              </w:rPr>
              <w:sym w:font="Wingdings 2" w:char="00A3"/>
            </w:r>
            <w:r>
              <w:rPr>
                <w:color w:val="auto"/>
                <w:szCs w:val="21"/>
              </w:rPr>
              <w:t>新建（迁建）</w:t>
            </w:r>
          </w:p>
          <w:p>
            <w:pPr>
              <w:jc w:val="left"/>
              <w:rPr>
                <w:color w:val="auto"/>
                <w:szCs w:val="21"/>
              </w:rPr>
            </w:pPr>
            <w:r>
              <w:rPr>
                <w:color w:val="auto"/>
                <w:szCs w:val="21"/>
              </w:rPr>
              <w:sym w:font="Wingdings 2" w:char="00A3"/>
            </w:r>
            <w:r>
              <w:rPr>
                <w:color w:val="auto"/>
                <w:szCs w:val="21"/>
              </w:rPr>
              <w:t>改建</w:t>
            </w:r>
          </w:p>
          <w:p>
            <w:pPr>
              <w:jc w:val="left"/>
              <w:rPr>
                <w:color w:val="auto"/>
                <w:szCs w:val="21"/>
              </w:rPr>
            </w:pPr>
            <w:r>
              <w:rPr>
                <w:color w:val="auto"/>
                <w:szCs w:val="21"/>
              </w:rPr>
              <w:sym w:font="Wingdings 2" w:char="0052"/>
            </w:r>
            <w:r>
              <w:rPr>
                <w:color w:val="auto"/>
                <w:szCs w:val="21"/>
              </w:rPr>
              <w:t>扩建</w:t>
            </w:r>
          </w:p>
          <w:p>
            <w:pPr>
              <w:jc w:val="left"/>
              <w:rPr>
                <w:color w:val="auto"/>
                <w:szCs w:val="21"/>
              </w:rPr>
            </w:pPr>
            <w:r>
              <w:rPr>
                <w:rFonts w:hint="eastAsia"/>
                <w:color w:val="auto"/>
                <w:szCs w:val="21"/>
              </w:rPr>
              <w:sym w:font="Wingdings 2" w:char="00A3"/>
            </w:r>
            <w:r>
              <w:rPr>
                <w:color w:val="auto"/>
                <w:szCs w:val="21"/>
              </w:rPr>
              <w:t>技术改造</w:t>
            </w:r>
          </w:p>
        </w:tc>
        <w:tc>
          <w:tcPr>
            <w:tcW w:w="1961" w:type="dxa"/>
            <w:vAlign w:val="center"/>
          </w:tcPr>
          <w:p>
            <w:pPr>
              <w:adjustRightInd w:val="0"/>
              <w:snapToGrid w:val="0"/>
              <w:jc w:val="center"/>
              <w:rPr>
                <w:color w:val="auto"/>
                <w:szCs w:val="21"/>
              </w:rPr>
            </w:pPr>
            <w:r>
              <w:rPr>
                <w:color w:val="auto"/>
                <w:szCs w:val="21"/>
              </w:rPr>
              <w:t>建设项目</w:t>
            </w:r>
          </w:p>
          <w:p>
            <w:pPr>
              <w:adjustRightInd w:val="0"/>
              <w:snapToGrid w:val="0"/>
              <w:jc w:val="center"/>
              <w:rPr>
                <w:color w:val="auto"/>
                <w:szCs w:val="21"/>
              </w:rPr>
            </w:pPr>
            <w:r>
              <w:rPr>
                <w:color w:val="auto"/>
                <w:szCs w:val="21"/>
              </w:rPr>
              <w:t>申报情形</w:t>
            </w:r>
          </w:p>
        </w:tc>
        <w:tc>
          <w:tcPr>
            <w:tcW w:w="3184" w:type="dxa"/>
            <w:vAlign w:val="center"/>
          </w:tcPr>
          <w:p>
            <w:pPr>
              <w:jc w:val="left"/>
              <w:rPr>
                <w:color w:val="auto"/>
                <w:szCs w:val="21"/>
              </w:rPr>
            </w:pPr>
            <w:r>
              <w:rPr>
                <w:color w:val="auto"/>
                <w:szCs w:val="21"/>
              </w:rPr>
              <w:sym w:font="Wingdings 2" w:char="0052"/>
            </w:r>
            <w:r>
              <w:rPr>
                <w:color w:val="auto"/>
                <w:szCs w:val="21"/>
              </w:rPr>
              <w:t>首次申报项目</w:t>
            </w:r>
          </w:p>
          <w:p>
            <w:pPr>
              <w:jc w:val="left"/>
              <w:rPr>
                <w:color w:val="auto"/>
                <w:szCs w:val="21"/>
              </w:rPr>
            </w:pPr>
            <w:r>
              <w:rPr>
                <w:color w:val="auto"/>
                <w:szCs w:val="21"/>
              </w:rPr>
              <w:t>□不予批准后再次申报项目</w:t>
            </w:r>
          </w:p>
          <w:p>
            <w:pPr>
              <w:jc w:val="left"/>
              <w:rPr>
                <w:color w:val="auto"/>
                <w:szCs w:val="21"/>
              </w:rPr>
            </w:pPr>
            <w:r>
              <w:rPr>
                <w:color w:val="auto"/>
                <w:szCs w:val="21"/>
              </w:rPr>
              <w:t>□超五年重新审核项目</w:t>
            </w:r>
          </w:p>
          <w:p>
            <w:pPr>
              <w:jc w:val="left"/>
              <w:rPr>
                <w:color w:val="auto"/>
                <w:szCs w:val="21"/>
              </w:rPr>
            </w:pPr>
            <w:r>
              <w:rPr>
                <w:color w:val="auto"/>
                <w:szCs w:val="21"/>
              </w:rPr>
              <w:t>□重大变动重新报批项目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02" w:hRule="atLeast"/>
          <w:jc w:val="center"/>
        </w:trPr>
        <w:tc>
          <w:tcPr>
            <w:tcW w:w="1336" w:type="dxa"/>
            <w:tcMar>
              <w:top w:w="16" w:type="dxa"/>
              <w:left w:w="16" w:type="dxa"/>
              <w:right w:w="16" w:type="dxa"/>
            </w:tcMar>
            <w:vAlign w:val="center"/>
          </w:tcPr>
          <w:p>
            <w:pPr>
              <w:adjustRightInd w:val="0"/>
              <w:snapToGrid w:val="0"/>
              <w:jc w:val="center"/>
              <w:rPr>
                <w:color w:val="auto"/>
                <w:szCs w:val="21"/>
              </w:rPr>
            </w:pPr>
            <w:r>
              <w:rPr>
                <w:color w:val="auto"/>
                <w:szCs w:val="21"/>
              </w:rPr>
              <w:t>项目审批（核准/备案）部门（选填）</w:t>
            </w:r>
          </w:p>
        </w:tc>
        <w:tc>
          <w:tcPr>
            <w:tcW w:w="1851" w:type="dxa"/>
            <w:vAlign w:val="center"/>
          </w:tcPr>
          <w:p>
            <w:pPr>
              <w:jc w:val="center"/>
              <w:rPr>
                <w:color w:val="auto"/>
                <w:szCs w:val="21"/>
              </w:rPr>
            </w:pPr>
            <w:r>
              <w:rPr>
                <w:rFonts w:hint="eastAsia"/>
                <w:color w:val="auto"/>
                <w:szCs w:val="21"/>
              </w:rPr>
              <w:t>明溪县发展和改革局</w:t>
            </w:r>
          </w:p>
        </w:tc>
        <w:tc>
          <w:tcPr>
            <w:tcW w:w="1961" w:type="dxa"/>
            <w:vAlign w:val="center"/>
          </w:tcPr>
          <w:p>
            <w:pPr>
              <w:jc w:val="center"/>
              <w:rPr>
                <w:color w:val="auto"/>
                <w:szCs w:val="21"/>
              </w:rPr>
            </w:pPr>
            <w:r>
              <w:rPr>
                <w:color w:val="auto"/>
                <w:szCs w:val="21"/>
              </w:rPr>
              <w:t>项目审批（核准/</w:t>
            </w:r>
          </w:p>
          <w:p>
            <w:pPr>
              <w:jc w:val="center"/>
              <w:rPr>
                <w:color w:val="auto"/>
                <w:szCs w:val="21"/>
              </w:rPr>
            </w:pPr>
            <w:r>
              <w:rPr>
                <w:color w:val="auto"/>
                <w:szCs w:val="21"/>
              </w:rPr>
              <w:t>备案）文号（选填）</w:t>
            </w:r>
          </w:p>
        </w:tc>
        <w:tc>
          <w:tcPr>
            <w:tcW w:w="3184" w:type="dxa"/>
            <w:vAlign w:val="center"/>
          </w:tcPr>
          <w:p>
            <w:pPr>
              <w:jc w:val="center"/>
              <w:rPr>
                <w:color w:val="auto"/>
                <w:szCs w:val="21"/>
              </w:rPr>
            </w:pPr>
            <w:r>
              <w:rPr>
                <w:rFonts w:hint="eastAsia"/>
                <w:color w:val="auto"/>
                <w:szCs w:val="21"/>
              </w:rPr>
              <w:t>闽发改备(2026</w:t>
            </w:r>
            <w:r>
              <w:rPr>
                <w:rFonts w:hint="eastAsia"/>
                <w:color w:val="auto"/>
                <w:szCs w:val="21"/>
                <w:lang w:val="en-US" w:eastAsia="zh-CN"/>
              </w:rPr>
              <w:t>)</w:t>
            </w:r>
            <w:r>
              <w:rPr>
                <w:rFonts w:hint="eastAsia"/>
                <w:color w:val="auto"/>
                <w:szCs w:val="21"/>
              </w:rPr>
              <w:t>G080024号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78" w:hRule="atLeast"/>
          <w:jc w:val="center"/>
        </w:trPr>
        <w:tc>
          <w:tcPr>
            <w:tcW w:w="1336" w:type="dxa"/>
            <w:tcMar>
              <w:top w:w="16" w:type="dxa"/>
              <w:left w:w="16" w:type="dxa"/>
              <w:right w:w="16" w:type="dxa"/>
            </w:tcMar>
            <w:vAlign w:val="center"/>
          </w:tcPr>
          <w:p>
            <w:pPr>
              <w:adjustRightInd w:val="0"/>
              <w:snapToGrid w:val="0"/>
              <w:jc w:val="center"/>
              <w:rPr>
                <w:color w:val="auto"/>
                <w:szCs w:val="21"/>
              </w:rPr>
            </w:pPr>
            <w:r>
              <w:rPr>
                <w:color w:val="auto"/>
                <w:szCs w:val="21"/>
              </w:rPr>
              <w:t>总投资（万元）</w:t>
            </w:r>
          </w:p>
        </w:tc>
        <w:tc>
          <w:tcPr>
            <w:tcW w:w="1851" w:type="dxa"/>
            <w:vAlign w:val="center"/>
          </w:tcPr>
          <w:p>
            <w:pPr>
              <w:adjustRightInd w:val="0"/>
              <w:snapToGrid w:val="0"/>
              <w:jc w:val="center"/>
              <w:rPr>
                <w:color w:val="auto"/>
                <w:szCs w:val="21"/>
              </w:rPr>
            </w:pPr>
            <w:r>
              <w:rPr>
                <w:rFonts w:hint="eastAsia"/>
                <w:color w:val="auto"/>
                <w:szCs w:val="21"/>
              </w:rPr>
              <w:t>2200</w:t>
            </w:r>
          </w:p>
        </w:tc>
        <w:tc>
          <w:tcPr>
            <w:tcW w:w="1961" w:type="dxa"/>
            <w:tcMar>
              <w:top w:w="16" w:type="dxa"/>
              <w:left w:w="16" w:type="dxa"/>
              <w:right w:w="16" w:type="dxa"/>
            </w:tcMar>
            <w:vAlign w:val="center"/>
          </w:tcPr>
          <w:p>
            <w:pPr>
              <w:adjustRightInd w:val="0"/>
              <w:snapToGrid w:val="0"/>
              <w:jc w:val="center"/>
              <w:rPr>
                <w:color w:val="auto"/>
                <w:szCs w:val="21"/>
              </w:rPr>
            </w:pPr>
            <w:r>
              <w:rPr>
                <w:color w:val="auto"/>
                <w:szCs w:val="21"/>
              </w:rPr>
              <w:t>环保投资（万元）</w:t>
            </w:r>
          </w:p>
        </w:tc>
        <w:tc>
          <w:tcPr>
            <w:tcW w:w="3184" w:type="dxa"/>
            <w:vAlign w:val="center"/>
          </w:tcPr>
          <w:p>
            <w:pPr>
              <w:adjustRightInd w:val="0"/>
              <w:snapToGrid w:val="0"/>
              <w:jc w:val="center"/>
              <w:rPr>
                <w:color w:val="auto"/>
                <w:szCs w:val="21"/>
              </w:rPr>
            </w:pPr>
            <w:r>
              <w:rPr>
                <w:rFonts w:hint="eastAsia"/>
                <w:color w:val="auto"/>
                <w:szCs w:val="21"/>
              </w:rPr>
              <w:t>71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36" w:type="dxa"/>
            <w:tcMar>
              <w:top w:w="16" w:type="dxa"/>
              <w:left w:w="16" w:type="dxa"/>
              <w:right w:w="16" w:type="dxa"/>
            </w:tcMar>
            <w:vAlign w:val="center"/>
          </w:tcPr>
          <w:p>
            <w:pPr>
              <w:adjustRightInd w:val="0"/>
              <w:snapToGrid w:val="0"/>
              <w:jc w:val="center"/>
              <w:rPr>
                <w:color w:val="auto"/>
                <w:szCs w:val="21"/>
              </w:rPr>
            </w:pPr>
            <w:r>
              <w:rPr>
                <w:color w:val="auto"/>
                <w:szCs w:val="21"/>
              </w:rPr>
              <w:t>环保投资占比（%）</w:t>
            </w:r>
          </w:p>
        </w:tc>
        <w:tc>
          <w:tcPr>
            <w:tcW w:w="1851" w:type="dxa"/>
            <w:vAlign w:val="center"/>
          </w:tcPr>
          <w:p>
            <w:pPr>
              <w:adjustRightInd w:val="0"/>
              <w:snapToGrid w:val="0"/>
              <w:jc w:val="center"/>
              <w:rPr>
                <w:color w:val="auto"/>
                <w:szCs w:val="21"/>
              </w:rPr>
            </w:pPr>
            <w:r>
              <w:rPr>
                <w:rFonts w:hint="eastAsia"/>
                <w:color w:val="auto"/>
                <w:szCs w:val="21"/>
              </w:rPr>
              <w:t>3.2</w:t>
            </w:r>
          </w:p>
        </w:tc>
        <w:tc>
          <w:tcPr>
            <w:tcW w:w="1961" w:type="dxa"/>
            <w:tcMar>
              <w:top w:w="16" w:type="dxa"/>
              <w:left w:w="16" w:type="dxa"/>
              <w:right w:w="16" w:type="dxa"/>
            </w:tcMar>
            <w:vAlign w:val="center"/>
          </w:tcPr>
          <w:p>
            <w:pPr>
              <w:adjustRightInd w:val="0"/>
              <w:snapToGrid w:val="0"/>
              <w:jc w:val="center"/>
              <w:rPr>
                <w:color w:val="auto"/>
                <w:szCs w:val="21"/>
              </w:rPr>
            </w:pPr>
            <w:r>
              <w:rPr>
                <w:color w:val="auto"/>
                <w:szCs w:val="21"/>
              </w:rPr>
              <w:t>施工工期</w:t>
            </w:r>
          </w:p>
        </w:tc>
        <w:tc>
          <w:tcPr>
            <w:tcW w:w="3184" w:type="dxa"/>
            <w:vAlign w:val="center"/>
          </w:tcPr>
          <w:p>
            <w:pPr>
              <w:adjustRightInd w:val="0"/>
              <w:snapToGrid w:val="0"/>
              <w:jc w:val="center"/>
              <w:rPr>
                <w:color w:val="auto"/>
                <w:szCs w:val="21"/>
              </w:rPr>
            </w:pPr>
            <w:r>
              <w:rPr>
                <w:rFonts w:hint="eastAsia"/>
                <w:color w:val="auto"/>
                <w:szCs w:val="21"/>
              </w:rPr>
              <w:t>16</w:t>
            </w:r>
            <w:r>
              <w:rPr>
                <w:color w:val="auto"/>
                <w:szCs w:val="21"/>
              </w:rPr>
              <w:t>个月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36" w:type="dxa"/>
            <w:tcMar>
              <w:top w:w="16" w:type="dxa"/>
              <w:left w:w="16" w:type="dxa"/>
              <w:right w:w="16" w:type="dxa"/>
            </w:tcMar>
            <w:vAlign w:val="center"/>
          </w:tcPr>
          <w:p>
            <w:pPr>
              <w:adjustRightInd w:val="0"/>
              <w:snapToGrid w:val="0"/>
              <w:jc w:val="center"/>
              <w:rPr>
                <w:color w:val="auto"/>
                <w:szCs w:val="21"/>
              </w:rPr>
            </w:pPr>
            <w:r>
              <w:rPr>
                <w:color w:val="auto"/>
                <w:szCs w:val="21"/>
              </w:rPr>
              <w:t>是否开工建设</w:t>
            </w:r>
          </w:p>
        </w:tc>
        <w:tc>
          <w:tcPr>
            <w:tcW w:w="1851" w:type="dxa"/>
            <w:vAlign w:val="center"/>
          </w:tcPr>
          <w:p>
            <w:pPr>
              <w:adjustRightInd w:val="0"/>
              <w:snapToGrid w:val="0"/>
              <w:rPr>
                <w:color w:val="auto"/>
                <w:szCs w:val="21"/>
              </w:rPr>
            </w:pPr>
            <w:r>
              <w:rPr>
                <w:color w:val="auto"/>
                <w:szCs w:val="21"/>
              </w:rPr>
              <w:sym w:font="Wingdings 2" w:char="0052"/>
            </w:r>
            <w:r>
              <w:rPr>
                <w:color w:val="auto"/>
                <w:szCs w:val="21"/>
              </w:rPr>
              <w:t>否</w:t>
            </w:r>
          </w:p>
          <w:p>
            <w:pPr>
              <w:adjustRightInd w:val="0"/>
              <w:snapToGrid w:val="0"/>
              <w:rPr>
                <w:color w:val="auto"/>
                <w:szCs w:val="21"/>
              </w:rPr>
            </w:pPr>
            <w:r>
              <w:rPr>
                <w:color w:val="auto"/>
                <w:szCs w:val="21"/>
              </w:rPr>
              <w:t>□是</w:t>
            </w:r>
          </w:p>
        </w:tc>
        <w:tc>
          <w:tcPr>
            <w:tcW w:w="1961" w:type="dxa"/>
            <w:tcMar>
              <w:top w:w="16" w:type="dxa"/>
              <w:left w:w="16" w:type="dxa"/>
              <w:right w:w="16" w:type="dxa"/>
            </w:tcMar>
            <w:vAlign w:val="center"/>
          </w:tcPr>
          <w:p>
            <w:pPr>
              <w:adjustRightInd w:val="0"/>
              <w:snapToGrid w:val="0"/>
              <w:jc w:val="center"/>
              <w:rPr>
                <w:color w:val="auto"/>
                <w:szCs w:val="21"/>
              </w:rPr>
            </w:pPr>
            <w:r>
              <w:rPr>
                <w:color w:val="auto"/>
                <w:spacing w:val="-6"/>
                <w:szCs w:val="21"/>
              </w:rPr>
              <w:t>用地面积（m</w:t>
            </w:r>
            <w:r>
              <w:rPr>
                <w:color w:val="auto"/>
                <w:spacing w:val="-6"/>
                <w:szCs w:val="21"/>
                <w:vertAlign w:val="superscript"/>
              </w:rPr>
              <w:t>2</w:t>
            </w:r>
            <w:r>
              <w:rPr>
                <w:color w:val="auto"/>
                <w:spacing w:val="-6"/>
                <w:szCs w:val="21"/>
              </w:rPr>
              <w:t>）</w:t>
            </w:r>
          </w:p>
        </w:tc>
        <w:tc>
          <w:tcPr>
            <w:tcW w:w="3184" w:type="dxa"/>
            <w:vAlign w:val="center"/>
          </w:tcPr>
          <w:p>
            <w:pPr>
              <w:adjustRightInd w:val="0"/>
              <w:snapToGrid w:val="0"/>
              <w:jc w:val="center"/>
              <w:rPr>
                <w:color w:val="auto"/>
                <w:szCs w:val="21"/>
              </w:rPr>
            </w:pPr>
            <w:r>
              <w:rPr>
                <w:rFonts w:hint="eastAsia"/>
                <w:color w:val="auto"/>
                <w:szCs w:val="21"/>
              </w:rPr>
              <w:t>占地面积1464.3m</w:t>
            </w:r>
            <w:r>
              <w:rPr>
                <w:rFonts w:hint="eastAsia"/>
                <w:color w:val="auto"/>
                <w:szCs w:val="21"/>
                <w:vertAlign w:val="superscript"/>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1336" w:type="dxa"/>
            <w:vAlign w:val="center"/>
          </w:tcPr>
          <w:p>
            <w:pPr>
              <w:autoSpaceDE w:val="0"/>
              <w:autoSpaceDN w:val="0"/>
              <w:adjustRightInd w:val="0"/>
              <w:snapToGrid w:val="0"/>
              <w:jc w:val="center"/>
              <w:rPr>
                <w:color w:val="auto"/>
                <w:kern w:val="0"/>
                <w:szCs w:val="21"/>
              </w:rPr>
            </w:pPr>
            <w:r>
              <w:rPr>
                <w:color w:val="auto"/>
                <w:kern w:val="0"/>
                <w:szCs w:val="21"/>
              </w:rPr>
              <w:t>专项评价设置情况</w:t>
            </w:r>
          </w:p>
        </w:tc>
        <w:tc>
          <w:tcPr>
            <w:tcW w:w="6996" w:type="dxa"/>
            <w:gridSpan w:val="3"/>
            <w:vAlign w:val="center"/>
          </w:tcPr>
          <w:p>
            <w:pPr>
              <w:autoSpaceDE w:val="0"/>
              <w:autoSpaceDN w:val="0"/>
              <w:adjustRightInd w:val="0"/>
              <w:snapToGrid w:val="0"/>
              <w:spacing w:line="360" w:lineRule="auto"/>
              <w:ind w:firstLine="420" w:firstLineChars="200"/>
              <w:rPr>
                <w:color w:val="auto"/>
              </w:rPr>
            </w:pPr>
            <w:r>
              <w:rPr>
                <w:color w:val="auto"/>
              </w:rPr>
              <w:t>根据《建设项目环境影响报告表编制技术指南（污染影响类）（试行）》表1专项评价设置原则表，本项目专项评价设置情况具体见表1-1。</w:t>
            </w:r>
          </w:p>
          <w:p>
            <w:pPr>
              <w:spacing w:before="194" w:beforeLines="50"/>
              <w:jc w:val="center"/>
              <w:outlineLvl w:val="5"/>
              <w:rPr>
                <w:rFonts w:eastAsia="宋体" w:cs="Times New Roman"/>
                <w:b/>
                <w:color w:val="auto"/>
                <w:spacing w:val="0"/>
                <w:sz w:val="21"/>
                <w:szCs w:val="21"/>
              </w:rPr>
            </w:pPr>
            <w:r>
              <w:rPr>
                <w:rFonts w:eastAsia="宋体" w:cs="Times New Roman"/>
                <w:b/>
                <w:color w:val="auto"/>
                <w:spacing w:val="0"/>
                <w:sz w:val="21"/>
                <w:szCs w:val="21"/>
              </w:rPr>
              <w:t>表</w:t>
            </w:r>
            <w:r>
              <w:rPr>
                <w:rFonts w:hint="eastAsia" w:eastAsia="宋体" w:cs="Times New Roman"/>
                <w:b/>
                <w:color w:val="auto"/>
                <w:spacing w:val="0"/>
                <w:sz w:val="21"/>
                <w:szCs w:val="21"/>
              </w:rPr>
              <w:t>1-1  项目专项评价设置表</w:t>
            </w:r>
          </w:p>
          <w:tbl>
            <w:tblPr>
              <w:tblStyle w:val="19"/>
              <w:tblW w:w="6838"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96"/>
              <w:gridCol w:w="2479"/>
              <w:gridCol w:w="2561"/>
              <w:gridCol w:w="80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996" w:type="dxa"/>
                  <w:tcBorders>
                    <w:top w:val="single" w:color="auto" w:sz="4" w:space="0"/>
                    <w:left w:val="single" w:color="auto" w:sz="0" w:space="0"/>
                  </w:tcBorders>
                  <w:vAlign w:val="center"/>
                </w:tcPr>
                <w:p>
                  <w:pPr>
                    <w:pStyle w:val="40"/>
                    <w:adjustRightInd w:val="0"/>
                    <w:snapToGrid w:val="0"/>
                    <w:ind w:firstLine="0" w:firstLineChars="0"/>
                    <w:jc w:val="center"/>
                    <w:rPr>
                      <w:rFonts w:eastAsia="宋体" w:cs="Times New Roman"/>
                      <w:b/>
                      <w:bCs/>
                      <w:color w:val="auto"/>
                      <w:sz w:val="18"/>
                      <w:szCs w:val="18"/>
                    </w:rPr>
                  </w:pPr>
                  <w:r>
                    <w:rPr>
                      <w:rFonts w:eastAsia="宋体" w:cs="Times New Roman"/>
                      <w:b/>
                      <w:bCs/>
                      <w:color w:val="auto"/>
                      <w:sz w:val="18"/>
                      <w:szCs w:val="18"/>
                    </w:rPr>
                    <w:t>专项评价的类别</w:t>
                  </w:r>
                </w:p>
              </w:tc>
              <w:tc>
                <w:tcPr>
                  <w:tcW w:w="2479" w:type="dxa"/>
                  <w:tcBorders>
                    <w:top w:val="single" w:color="auto" w:sz="4" w:space="0"/>
                  </w:tcBorders>
                  <w:vAlign w:val="center"/>
                </w:tcPr>
                <w:p>
                  <w:pPr>
                    <w:pStyle w:val="40"/>
                    <w:adjustRightInd w:val="0"/>
                    <w:snapToGrid w:val="0"/>
                    <w:ind w:firstLine="0" w:firstLineChars="0"/>
                    <w:jc w:val="center"/>
                    <w:rPr>
                      <w:rFonts w:eastAsia="宋体" w:cs="Times New Roman"/>
                      <w:b/>
                      <w:bCs/>
                      <w:color w:val="auto"/>
                      <w:sz w:val="18"/>
                      <w:szCs w:val="18"/>
                    </w:rPr>
                  </w:pPr>
                  <w:r>
                    <w:rPr>
                      <w:rFonts w:eastAsia="宋体" w:cs="Times New Roman"/>
                      <w:b/>
                      <w:bCs/>
                      <w:color w:val="auto"/>
                      <w:sz w:val="18"/>
                      <w:szCs w:val="18"/>
                    </w:rPr>
                    <w:t>设置原则</w:t>
                  </w:r>
                </w:p>
              </w:tc>
              <w:tc>
                <w:tcPr>
                  <w:tcW w:w="2561" w:type="dxa"/>
                  <w:tcBorders>
                    <w:top w:val="single" w:color="auto" w:sz="4" w:space="0"/>
                  </w:tcBorders>
                  <w:vAlign w:val="center"/>
                </w:tcPr>
                <w:p>
                  <w:pPr>
                    <w:pStyle w:val="40"/>
                    <w:adjustRightInd w:val="0"/>
                    <w:snapToGrid w:val="0"/>
                    <w:ind w:firstLine="0" w:firstLineChars="0"/>
                    <w:jc w:val="center"/>
                    <w:rPr>
                      <w:rFonts w:eastAsia="宋体" w:cs="Times New Roman"/>
                      <w:b/>
                      <w:bCs/>
                      <w:color w:val="auto"/>
                      <w:sz w:val="18"/>
                      <w:szCs w:val="18"/>
                    </w:rPr>
                  </w:pPr>
                  <w:r>
                    <w:rPr>
                      <w:rFonts w:eastAsia="宋体" w:cs="Times New Roman"/>
                      <w:b/>
                      <w:bCs/>
                      <w:color w:val="auto"/>
                      <w:sz w:val="18"/>
                      <w:szCs w:val="18"/>
                    </w:rPr>
                    <w:t>本项目情况</w:t>
                  </w:r>
                </w:p>
              </w:tc>
              <w:tc>
                <w:tcPr>
                  <w:tcW w:w="802" w:type="dxa"/>
                  <w:tcBorders>
                    <w:top w:val="single" w:color="auto" w:sz="4" w:space="0"/>
                    <w:right w:val="single" w:color="auto" w:sz="4" w:space="0"/>
                  </w:tcBorders>
                  <w:vAlign w:val="center"/>
                </w:tcPr>
                <w:p>
                  <w:pPr>
                    <w:pStyle w:val="40"/>
                    <w:adjustRightInd w:val="0"/>
                    <w:snapToGrid w:val="0"/>
                    <w:ind w:firstLine="0" w:firstLineChars="0"/>
                    <w:jc w:val="center"/>
                    <w:rPr>
                      <w:rFonts w:eastAsia="宋体" w:cs="Times New Roman"/>
                      <w:b/>
                      <w:bCs/>
                      <w:color w:val="auto"/>
                      <w:sz w:val="18"/>
                      <w:szCs w:val="18"/>
                    </w:rPr>
                  </w:pPr>
                  <w:r>
                    <w:rPr>
                      <w:rFonts w:eastAsia="宋体" w:cs="Times New Roman"/>
                      <w:b/>
                      <w:bCs/>
                      <w:color w:val="auto"/>
                      <w:sz w:val="18"/>
                      <w:szCs w:val="18"/>
                    </w:rPr>
                    <w:t>是否设置专项</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47" w:hRule="atLeast"/>
              </w:trPr>
              <w:tc>
                <w:tcPr>
                  <w:tcW w:w="996" w:type="dxa"/>
                  <w:tcBorders>
                    <w:left w:val="single" w:color="auto" w:sz="4" w:space="0"/>
                  </w:tcBorders>
                  <w:vAlign w:val="center"/>
                </w:tcPr>
                <w:p>
                  <w:pPr>
                    <w:pStyle w:val="40"/>
                    <w:adjustRightInd w:val="0"/>
                    <w:snapToGrid w:val="0"/>
                    <w:ind w:firstLine="0" w:firstLineChars="0"/>
                    <w:jc w:val="center"/>
                    <w:rPr>
                      <w:rFonts w:eastAsia="宋体" w:cs="Times New Roman"/>
                      <w:color w:val="auto"/>
                      <w:sz w:val="18"/>
                      <w:szCs w:val="18"/>
                    </w:rPr>
                  </w:pPr>
                  <w:r>
                    <w:rPr>
                      <w:rFonts w:eastAsia="宋体" w:cs="Times New Roman"/>
                      <w:color w:val="auto"/>
                      <w:sz w:val="18"/>
                      <w:szCs w:val="18"/>
                    </w:rPr>
                    <w:t>大气</w:t>
                  </w:r>
                </w:p>
              </w:tc>
              <w:tc>
                <w:tcPr>
                  <w:tcW w:w="2479" w:type="dxa"/>
                  <w:vAlign w:val="center"/>
                </w:tcPr>
                <w:p>
                  <w:pPr>
                    <w:pStyle w:val="40"/>
                    <w:adjustRightInd w:val="0"/>
                    <w:snapToGrid w:val="0"/>
                    <w:ind w:firstLine="0" w:firstLineChars="0"/>
                    <w:jc w:val="left"/>
                    <w:rPr>
                      <w:rFonts w:eastAsia="宋体" w:cs="Times New Roman"/>
                      <w:color w:val="auto"/>
                      <w:sz w:val="18"/>
                      <w:szCs w:val="18"/>
                    </w:rPr>
                  </w:pPr>
                  <w:r>
                    <w:rPr>
                      <w:rFonts w:eastAsia="宋体" w:cs="Times New Roman"/>
                      <w:color w:val="auto"/>
                      <w:sz w:val="18"/>
                      <w:szCs w:val="18"/>
                    </w:rPr>
                    <w:t>排放废气含有毒有害污染物、二噁英、苯并[a]芘、氰化物、氯气且厂界外500米范围内有环境空气保护目标的建设项目</w:t>
                  </w:r>
                </w:p>
              </w:tc>
              <w:tc>
                <w:tcPr>
                  <w:tcW w:w="2561" w:type="dxa"/>
                  <w:vAlign w:val="center"/>
                </w:tcPr>
                <w:p>
                  <w:pPr>
                    <w:pStyle w:val="40"/>
                    <w:adjustRightInd w:val="0"/>
                    <w:snapToGrid w:val="0"/>
                    <w:ind w:firstLine="0" w:firstLineChars="0"/>
                    <w:jc w:val="left"/>
                    <w:rPr>
                      <w:rFonts w:eastAsia="宋体" w:cs="Times New Roman"/>
                      <w:color w:val="auto"/>
                      <w:sz w:val="18"/>
                      <w:szCs w:val="18"/>
                    </w:rPr>
                  </w:pPr>
                  <w:r>
                    <w:rPr>
                      <w:rFonts w:eastAsia="宋体" w:cs="Times New Roman"/>
                      <w:color w:val="auto"/>
                      <w:sz w:val="18"/>
                      <w:szCs w:val="18"/>
                    </w:rPr>
                    <w:t>本项目</w:t>
                  </w:r>
                  <w:r>
                    <w:rPr>
                      <w:rFonts w:hint="eastAsia" w:eastAsia="宋体" w:cs="Times New Roman"/>
                      <w:color w:val="auto"/>
                      <w:sz w:val="18"/>
                      <w:szCs w:val="18"/>
                    </w:rPr>
                    <w:t>仅涉及</w:t>
                  </w:r>
                  <w:r>
                    <w:rPr>
                      <w:rFonts w:hint="eastAsia" w:eastAsia="宋体" w:cs="Times New Roman"/>
                      <w:color w:val="auto"/>
                      <w:sz w:val="18"/>
                      <w:szCs w:val="18"/>
                      <w:lang w:val="en-US" w:eastAsia="zh-CN"/>
                    </w:rPr>
                    <w:t>以非甲烷总烃</w:t>
                  </w:r>
                  <w:r>
                    <w:rPr>
                      <w:rFonts w:hint="eastAsia" w:eastAsia="宋体" w:cs="Times New Roman"/>
                      <w:color w:val="auto"/>
                      <w:sz w:val="18"/>
                      <w:szCs w:val="18"/>
                    </w:rPr>
                    <w:t>废气</w:t>
                  </w:r>
                  <w:r>
                    <w:rPr>
                      <w:rFonts w:eastAsia="宋体" w:cs="Times New Roman"/>
                      <w:color w:val="auto"/>
                      <w:sz w:val="18"/>
                      <w:szCs w:val="18"/>
                    </w:rPr>
                    <w:t>排放</w:t>
                  </w:r>
                  <w:r>
                    <w:rPr>
                      <w:rFonts w:hint="eastAsia" w:eastAsia="宋体" w:cs="Times New Roman"/>
                      <w:color w:val="auto"/>
                      <w:sz w:val="18"/>
                      <w:szCs w:val="18"/>
                    </w:rPr>
                    <w:t>，不属于指南中有毒有害污染物、</w:t>
                  </w:r>
                  <w:r>
                    <w:rPr>
                      <w:rFonts w:eastAsia="宋体" w:cs="Times New Roman"/>
                      <w:color w:val="auto"/>
                      <w:sz w:val="18"/>
                      <w:szCs w:val="18"/>
                    </w:rPr>
                    <w:t>二噁英、苯并[a]芘、氰化物、氯气</w:t>
                  </w:r>
                </w:p>
              </w:tc>
              <w:tc>
                <w:tcPr>
                  <w:tcW w:w="802" w:type="dxa"/>
                  <w:tcBorders>
                    <w:right w:val="single" w:color="auto" w:sz="4" w:space="0"/>
                  </w:tcBorders>
                  <w:vAlign w:val="center"/>
                </w:tcPr>
                <w:p>
                  <w:pPr>
                    <w:pStyle w:val="40"/>
                    <w:adjustRightInd w:val="0"/>
                    <w:snapToGrid w:val="0"/>
                    <w:ind w:firstLine="0" w:firstLineChars="0"/>
                    <w:jc w:val="center"/>
                    <w:rPr>
                      <w:rFonts w:eastAsia="宋体" w:cs="Times New Roman"/>
                      <w:color w:val="auto"/>
                      <w:sz w:val="18"/>
                      <w:szCs w:val="18"/>
                    </w:rPr>
                  </w:pPr>
                  <w:r>
                    <w:rPr>
                      <w:rFonts w:hint="eastAsia" w:eastAsia="宋体" w:cs="Times New Roman"/>
                      <w:color w:val="auto"/>
                      <w:sz w:val="18"/>
                      <w:szCs w:val="18"/>
                    </w:rPr>
                    <w:t>否</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18" w:hRule="atLeast"/>
              </w:trPr>
              <w:tc>
                <w:tcPr>
                  <w:tcW w:w="996" w:type="dxa"/>
                  <w:tcBorders>
                    <w:left w:val="single" w:color="auto" w:sz="4" w:space="0"/>
                  </w:tcBorders>
                  <w:vAlign w:val="center"/>
                </w:tcPr>
                <w:p>
                  <w:pPr>
                    <w:pStyle w:val="40"/>
                    <w:adjustRightInd w:val="0"/>
                    <w:snapToGrid w:val="0"/>
                    <w:ind w:firstLine="0" w:firstLineChars="0"/>
                    <w:jc w:val="center"/>
                    <w:rPr>
                      <w:rFonts w:eastAsia="宋体" w:cs="Times New Roman"/>
                      <w:color w:val="auto"/>
                      <w:sz w:val="18"/>
                      <w:szCs w:val="18"/>
                    </w:rPr>
                  </w:pPr>
                  <w:r>
                    <w:rPr>
                      <w:rFonts w:eastAsia="宋体" w:cs="Times New Roman"/>
                      <w:color w:val="auto"/>
                      <w:sz w:val="18"/>
                      <w:szCs w:val="18"/>
                    </w:rPr>
                    <w:t>地表水</w:t>
                  </w:r>
                </w:p>
              </w:tc>
              <w:tc>
                <w:tcPr>
                  <w:tcW w:w="2479" w:type="dxa"/>
                  <w:vAlign w:val="center"/>
                </w:tcPr>
                <w:p>
                  <w:pPr>
                    <w:pStyle w:val="40"/>
                    <w:adjustRightInd w:val="0"/>
                    <w:snapToGrid w:val="0"/>
                    <w:ind w:firstLine="0" w:firstLineChars="0"/>
                    <w:rPr>
                      <w:rFonts w:eastAsia="宋体" w:cs="Times New Roman"/>
                      <w:color w:val="auto"/>
                      <w:sz w:val="18"/>
                      <w:szCs w:val="18"/>
                    </w:rPr>
                  </w:pPr>
                  <w:r>
                    <w:rPr>
                      <w:rFonts w:eastAsia="宋体" w:cs="Times New Roman"/>
                      <w:color w:val="auto"/>
                      <w:sz w:val="18"/>
                      <w:szCs w:val="18"/>
                    </w:rPr>
                    <w:t>新增工业废水直排建设项目（槽罐车外送污水处理厂的除外）；新增废水直排的污水集中处理厂</w:t>
                  </w:r>
                </w:p>
              </w:tc>
              <w:tc>
                <w:tcPr>
                  <w:tcW w:w="2561" w:type="dxa"/>
                  <w:vAlign w:val="center"/>
                </w:tcPr>
                <w:p>
                  <w:pPr>
                    <w:pStyle w:val="40"/>
                    <w:adjustRightInd w:val="0"/>
                    <w:snapToGrid w:val="0"/>
                    <w:ind w:firstLine="0" w:firstLineChars="0"/>
                    <w:rPr>
                      <w:rFonts w:eastAsia="宋体" w:cs="Times New Roman"/>
                      <w:color w:val="auto"/>
                      <w:sz w:val="18"/>
                      <w:szCs w:val="18"/>
                    </w:rPr>
                  </w:pPr>
                  <w:r>
                    <w:rPr>
                      <w:rFonts w:hint="eastAsia" w:eastAsia="宋体" w:cs="Times New Roman"/>
                      <w:color w:val="auto"/>
                      <w:sz w:val="18"/>
                      <w:szCs w:val="18"/>
                    </w:rPr>
                    <w:t>本项目洗气废水进入</w:t>
                  </w:r>
                  <w:r>
                    <w:rPr>
                      <w:rFonts w:hint="eastAsia" w:eastAsia="宋体" w:cs="Times New Roman"/>
                      <w:color w:val="auto"/>
                      <w:sz w:val="18"/>
                      <w:szCs w:val="18"/>
                      <w:lang w:eastAsia="zh-CN"/>
                    </w:rPr>
                    <w:t>溶剂</w:t>
                  </w:r>
                  <w:r>
                    <w:rPr>
                      <w:rFonts w:hint="eastAsia" w:eastAsia="宋体" w:cs="Times New Roman"/>
                      <w:color w:val="auto"/>
                      <w:sz w:val="18"/>
                      <w:szCs w:val="18"/>
                    </w:rPr>
                    <w:t>精馏回收系统分离回收</w:t>
                  </w:r>
                  <w:r>
                    <w:rPr>
                      <w:rFonts w:hint="eastAsia" w:eastAsia="宋体" w:cs="Times New Roman"/>
                      <w:color w:val="auto"/>
                      <w:sz w:val="18"/>
                      <w:szCs w:val="18"/>
                      <w:lang w:eastAsia="zh-CN"/>
                    </w:rPr>
                    <w:t>溶剂</w:t>
                  </w:r>
                  <w:r>
                    <w:rPr>
                      <w:rFonts w:hint="eastAsia" w:eastAsia="宋体" w:cs="Times New Roman"/>
                      <w:color w:val="auto"/>
                      <w:sz w:val="18"/>
                      <w:szCs w:val="18"/>
                    </w:rPr>
                    <w:t>，水分经冷凝、收集后进入厂区污水站处理，处理后尾水排入</w:t>
                  </w:r>
                  <w:r>
                    <w:rPr>
                      <w:rFonts w:hint="eastAsia" w:eastAsia="宋体" w:cs="Times New Roman"/>
                      <w:color w:val="auto"/>
                      <w:sz w:val="18"/>
                      <w:szCs w:val="18"/>
                      <w:lang w:eastAsia="zh-CN"/>
                    </w:rPr>
                    <w:t>明溪经济开发区工业污水处理厂</w:t>
                  </w:r>
                  <w:r>
                    <w:rPr>
                      <w:rFonts w:hint="eastAsia" w:eastAsia="宋体" w:cs="Times New Roman"/>
                      <w:color w:val="auto"/>
                      <w:sz w:val="18"/>
                      <w:szCs w:val="18"/>
                    </w:rPr>
                    <w:t>进一步处理，不属于直排建设项目</w:t>
                  </w:r>
                </w:p>
              </w:tc>
              <w:tc>
                <w:tcPr>
                  <w:tcW w:w="802" w:type="dxa"/>
                  <w:tcBorders>
                    <w:right w:val="single" w:color="auto" w:sz="4" w:space="0"/>
                  </w:tcBorders>
                  <w:vAlign w:val="center"/>
                </w:tcPr>
                <w:p>
                  <w:pPr>
                    <w:pStyle w:val="40"/>
                    <w:adjustRightInd w:val="0"/>
                    <w:snapToGrid w:val="0"/>
                    <w:ind w:firstLine="0" w:firstLineChars="0"/>
                    <w:jc w:val="center"/>
                    <w:rPr>
                      <w:rFonts w:eastAsia="宋体" w:cs="Times New Roman"/>
                      <w:color w:val="auto"/>
                      <w:sz w:val="18"/>
                      <w:szCs w:val="18"/>
                    </w:rPr>
                  </w:pPr>
                  <w:r>
                    <w:rPr>
                      <w:rFonts w:hint="eastAsia" w:eastAsia="宋体" w:cs="Times New Roman"/>
                      <w:color w:val="auto"/>
                      <w:sz w:val="18"/>
                      <w:szCs w:val="18"/>
                    </w:rPr>
                    <w:t>否</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6" w:type="dxa"/>
                  <w:tcBorders>
                    <w:left w:val="single" w:color="auto" w:sz="4" w:space="0"/>
                  </w:tcBorders>
                  <w:vAlign w:val="center"/>
                </w:tcPr>
                <w:p>
                  <w:pPr>
                    <w:pStyle w:val="40"/>
                    <w:adjustRightInd w:val="0"/>
                    <w:snapToGrid w:val="0"/>
                    <w:ind w:firstLine="0" w:firstLineChars="0"/>
                    <w:jc w:val="center"/>
                    <w:rPr>
                      <w:rFonts w:eastAsia="宋体" w:cs="Times New Roman"/>
                      <w:color w:val="auto"/>
                      <w:sz w:val="18"/>
                      <w:szCs w:val="18"/>
                    </w:rPr>
                  </w:pPr>
                  <w:r>
                    <w:rPr>
                      <w:rFonts w:eastAsia="宋体" w:cs="Times New Roman"/>
                      <w:color w:val="auto"/>
                      <w:sz w:val="18"/>
                      <w:szCs w:val="18"/>
                    </w:rPr>
                    <w:t>环境风险</w:t>
                  </w:r>
                </w:p>
              </w:tc>
              <w:tc>
                <w:tcPr>
                  <w:tcW w:w="2479" w:type="dxa"/>
                  <w:vAlign w:val="center"/>
                </w:tcPr>
                <w:p>
                  <w:pPr>
                    <w:pStyle w:val="40"/>
                    <w:adjustRightInd w:val="0"/>
                    <w:snapToGrid w:val="0"/>
                    <w:ind w:firstLine="0" w:firstLineChars="0"/>
                    <w:jc w:val="left"/>
                    <w:rPr>
                      <w:rFonts w:eastAsia="宋体" w:cs="Times New Roman"/>
                      <w:color w:val="auto"/>
                      <w:sz w:val="18"/>
                      <w:szCs w:val="18"/>
                    </w:rPr>
                  </w:pPr>
                  <w:r>
                    <w:rPr>
                      <w:rFonts w:eastAsia="宋体" w:cs="Times New Roman"/>
                      <w:color w:val="auto"/>
                      <w:sz w:val="18"/>
                      <w:szCs w:val="18"/>
                    </w:rPr>
                    <w:t>有毒有害和易燃易爆危险物质存储量超过临界量的建设项目</w:t>
                  </w:r>
                </w:p>
              </w:tc>
              <w:tc>
                <w:tcPr>
                  <w:tcW w:w="2561" w:type="dxa"/>
                  <w:vAlign w:val="center"/>
                </w:tcPr>
                <w:p>
                  <w:pPr>
                    <w:pStyle w:val="40"/>
                    <w:adjustRightInd w:val="0"/>
                    <w:snapToGrid w:val="0"/>
                    <w:ind w:firstLine="0" w:firstLineChars="0"/>
                    <w:jc w:val="left"/>
                    <w:rPr>
                      <w:rFonts w:eastAsia="宋体" w:cs="Times New Roman"/>
                      <w:color w:val="auto"/>
                      <w:sz w:val="18"/>
                      <w:szCs w:val="18"/>
                    </w:rPr>
                  </w:pPr>
                  <w:r>
                    <w:rPr>
                      <w:rFonts w:eastAsia="宋体" w:cs="Times New Roman"/>
                      <w:color w:val="auto"/>
                      <w:sz w:val="18"/>
                      <w:szCs w:val="18"/>
                    </w:rPr>
                    <w:t>本项目</w:t>
                  </w:r>
                  <w:r>
                    <w:rPr>
                      <w:rFonts w:hint="eastAsia" w:eastAsia="宋体" w:cs="Times New Roman"/>
                      <w:color w:val="auto"/>
                      <w:sz w:val="18"/>
                      <w:szCs w:val="18"/>
                    </w:rPr>
                    <w:t>全厂有毒有害和易燃易爆危险物质Q=0.</w:t>
                  </w:r>
                  <w:r>
                    <w:rPr>
                      <w:rFonts w:hint="eastAsia" w:eastAsia="宋体" w:cs="Times New Roman"/>
                      <w:color w:val="auto"/>
                      <w:sz w:val="18"/>
                      <w:szCs w:val="18"/>
                      <w:lang w:val="en-US" w:eastAsia="zh-CN"/>
                    </w:rPr>
                    <w:t>5882</w:t>
                  </w:r>
                  <w:r>
                    <w:rPr>
                      <w:rFonts w:hint="eastAsia" w:eastAsia="宋体" w:cs="Times New Roman"/>
                      <w:color w:val="auto"/>
                      <w:sz w:val="18"/>
                      <w:szCs w:val="18"/>
                    </w:rPr>
                    <w:t>，未超出临界量</w:t>
                  </w:r>
                </w:p>
              </w:tc>
              <w:tc>
                <w:tcPr>
                  <w:tcW w:w="802" w:type="dxa"/>
                  <w:tcBorders>
                    <w:right w:val="single" w:color="auto" w:sz="4" w:space="0"/>
                  </w:tcBorders>
                  <w:vAlign w:val="center"/>
                </w:tcPr>
                <w:p>
                  <w:pPr>
                    <w:pStyle w:val="40"/>
                    <w:adjustRightInd w:val="0"/>
                    <w:snapToGrid w:val="0"/>
                    <w:ind w:firstLine="0" w:firstLineChars="0"/>
                    <w:jc w:val="center"/>
                    <w:rPr>
                      <w:rFonts w:eastAsia="宋体" w:cs="Times New Roman"/>
                      <w:color w:val="auto"/>
                      <w:sz w:val="18"/>
                      <w:szCs w:val="18"/>
                    </w:rPr>
                  </w:pPr>
                  <w:r>
                    <w:rPr>
                      <w:rFonts w:hint="eastAsia" w:eastAsia="宋体" w:cs="Times New Roman"/>
                      <w:color w:val="auto"/>
                      <w:sz w:val="18"/>
                      <w:szCs w:val="18"/>
                    </w:rPr>
                    <w:t>否</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996" w:type="dxa"/>
                  <w:tcBorders>
                    <w:left w:val="single" w:color="auto" w:sz="4" w:space="0"/>
                  </w:tcBorders>
                  <w:vAlign w:val="center"/>
                </w:tcPr>
                <w:p>
                  <w:pPr>
                    <w:pStyle w:val="40"/>
                    <w:adjustRightInd w:val="0"/>
                    <w:snapToGrid w:val="0"/>
                    <w:ind w:firstLine="0" w:firstLineChars="0"/>
                    <w:jc w:val="center"/>
                    <w:rPr>
                      <w:rFonts w:eastAsia="宋体" w:cs="Times New Roman"/>
                      <w:color w:val="auto"/>
                      <w:sz w:val="18"/>
                      <w:szCs w:val="18"/>
                    </w:rPr>
                  </w:pPr>
                  <w:r>
                    <w:rPr>
                      <w:rFonts w:eastAsia="宋体" w:cs="Times New Roman"/>
                      <w:color w:val="auto"/>
                      <w:sz w:val="18"/>
                      <w:szCs w:val="18"/>
                    </w:rPr>
                    <w:t>生态</w:t>
                  </w:r>
                </w:p>
              </w:tc>
              <w:tc>
                <w:tcPr>
                  <w:tcW w:w="2479" w:type="dxa"/>
                  <w:vAlign w:val="center"/>
                </w:tcPr>
                <w:p>
                  <w:pPr>
                    <w:pStyle w:val="40"/>
                    <w:adjustRightInd w:val="0"/>
                    <w:snapToGrid w:val="0"/>
                    <w:ind w:firstLine="0" w:firstLineChars="0"/>
                    <w:jc w:val="left"/>
                    <w:rPr>
                      <w:rFonts w:eastAsia="宋体" w:cs="Times New Roman"/>
                      <w:color w:val="auto"/>
                      <w:sz w:val="18"/>
                      <w:szCs w:val="18"/>
                    </w:rPr>
                  </w:pPr>
                  <w:r>
                    <w:rPr>
                      <w:rFonts w:eastAsia="宋体" w:cs="Times New Roman"/>
                      <w:color w:val="auto"/>
                      <w:sz w:val="18"/>
                      <w:szCs w:val="18"/>
                    </w:rPr>
                    <w:t>取水口下游500米范围内有重要水生生物的自然产卵场、索饵场、越冬场和洄游通道的新增河道取水的污染类建设项目</w:t>
                  </w:r>
                </w:p>
              </w:tc>
              <w:tc>
                <w:tcPr>
                  <w:tcW w:w="2561" w:type="dxa"/>
                  <w:vAlign w:val="center"/>
                </w:tcPr>
                <w:p>
                  <w:pPr>
                    <w:pStyle w:val="40"/>
                    <w:adjustRightInd w:val="0"/>
                    <w:snapToGrid w:val="0"/>
                    <w:ind w:firstLine="0" w:firstLineChars="0"/>
                    <w:jc w:val="center"/>
                    <w:rPr>
                      <w:rFonts w:eastAsia="宋体" w:cs="Times New Roman"/>
                      <w:color w:val="auto"/>
                      <w:sz w:val="18"/>
                      <w:szCs w:val="18"/>
                    </w:rPr>
                  </w:pPr>
                  <w:r>
                    <w:rPr>
                      <w:rFonts w:eastAsia="宋体" w:cs="Times New Roman"/>
                      <w:color w:val="auto"/>
                      <w:sz w:val="18"/>
                      <w:szCs w:val="18"/>
                    </w:rPr>
                    <w:t>本项目不设置取水口</w:t>
                  </w:r>
                </w:p>
              </w:tc>
              <w:tc>
                <w:tcPr>
                  <w:tcW w:w="802" w:type="dxa"/>
                  <w:tcBorders>
                    <w:right w:val="single" w:color="auto" w:sz="4" w:space="0"/>
                  </w:tcBorders>
                  <w:vAlign w:val="center"/>
                </w:tcPr>
                <w:p>
                  <w:pPr>
                    <w:pStyle w:val="40"/>
                    <w:adjustRightInd w:val="0"/>
                    <w:snapToGrid w:val="0"/>
                    <w:ind w:firstLine="0" w:firstLineChars="0"/>
                    <w:jc w:val="center"/>
                    <w:rPr>
                      <w:rFonts w:eastAsia="宋体" w:cs="Times New Roman"/>
                      <w:color w:val="auto"/>
                      <w:sz w:val="18"/>
                      <w:szCs w:val="18"/>
                    </w:rPr>
                  </w:pPr>
                  <w:r>
                    <w:rPr>
                      <w:rFonts w:hint="eastAsia" w:eastAsia="宋体" w:cs="Times New Roman"/>
                      <w:color w:val="auto"/>
                      <w:sz w:val="18"/>
                      <w:szCs w:val="18"/>
                    </w:rPr>
                    <w:t>否</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996" w:type="dxa"/>
                  <w:tcBorders>
                    <w:left w:val="single" w:color="auto" w:sz="4" w:space="0"/>
                  </w:tcBorders>
                  <w:vAlign w:val="center"/>
                </w:tcPr>
                <w:p>
                  <w:pPr>
                    <w:pStyle w:val="40"/>
                    <w:adjustRightInd w:val="0"/>
                    <w:snapToGrid w:val="0"/>
                    <w:ind w:firstLine="0" w:firstLineChars="0"/>
                    <w:jc w:val="center"/>
                    <w:rPr>
                      <w:rFonts w:eastAsia="宋体" w:cs="Times New Roman"/>
                      <w:color w:val="auto"/>
                      <w:sz w:val="18"/>
                      <w:szCs w:val="18"/>
                    </w:rPr>
                  </w:pPr>
                  <w:r>
                    <w:rPr>
                      <w:rFonts w:eastAsia="宋体" w:cs="Times New Roman"/>
                      <w:color w:val="auto"/>
                      <w:sz w:val="18"/>
                      <w:szCs w:val="18"/>
                    </w:rPr>
                    <w:t>海洋</w:t>
                  </w:r>
                </w:p>
              </w:tc>
              <w:tc>
                <w:tcPr>
                  <w:tcW w:w="2479" w:type="dxa"/>
                  <w:vAlign w:val="center"/>
                </w:tcPr>
                <w:p>
                  <w:pPr>
                    <w:pStyle w:val="40"/>
                    <w:adjustRightInd w:val="0"/>
                    <w:snapToGrid w:val="0"/>
                    <w:ind w:firstLine="0" w:firstLineChars="0"/>
                    <w:jc w:val="left"/>
                    <w:rPr>
                      <w:rFonts w:eastAsia="宋体" w:cs="Times New Roman"/>
                      <w:color w:val="auto"/>
                      <w:sz w:val="18"/>
                      <w:szCs w:val="18"/>
                    </w:rPr>
                  </w:pPr>
                  <w:r>
                    <w:rPr>
                      <w:rFonts w:eastAsia="宋体" w:cs="Times New Roman"/>
                      <w:color w:val="auto"/>
                      <w:sz w:val="18"/>
                      <w:szCs w:val="18"/>
                    </w:rPr>
                    <w:t>直接向海排放污染物的海洋工程建设项目</w:t>
                  </w:r>
                </w:p>
              </w:tc>
              <w:tc>
                <w:tcPr>
                  <w:tcW w:w="2561" w:type="dxa"/>
                  <w:vAlign w:val="center"/>
                </w:tcPr>
                <w:p>
                  <w:pPr>
                    <w:pStyle w:val="40"/>
                    <w:adjustRightInd w:val="0"/>
                    <w:snapToGrid w:val="0"/>
                    <w:ind w:firstLine="0" w:firstLineChars="0"/>
                    <w:jc w:val="center"/>
                    <w:rPr>
                      <w:rFonts w:eastAsia="宋体" w:cs="Times New Roman"/>
                      <w:color w:val="auto"/>
                      <w:sz w:val="18"/>
                      <w:szCs w:val="18"/>
                    </w:rPr>
                  </w:pPr>
                  <w:r>
                    <w:rPr>
                      <w:rFonts w:eastAsia="宋体" w:cs="Times New Roman"/>
                      <w:color w:val="auto"/>
                      <w:sz w:val="18"/>
                      <w:szCs w:val="18"/>
                    </w:rPr>
                    <w:t>本项目不属于海洋工程</w:t>
                  </w:r>
                </w:p>
              </w:tc>
              <w:tc>
                <w:tcPr>
                  <w:tcW w:w="802" w:type="dxa"/>
                  <w:tcBorders>
                    <w:right w:val="single" w:color="auto" w:sz="4" w:space="0"/>
                  </w:tcBorders>
                  <w:vAlign w:val="center"/>
                </w:tcPr>
                <w:p>
                  <w:pPr>
                    <w:pStyle w:val="40"/>
                    <w:adjustRightInd w:val="0"/>
                    <w:snapToGrid w:val="0"/>
                    <w:ind w:firstLine="0" w:firstLineChars="0"/>
                    <w:jc w:val="center"/>
                    <w:rPr>
                      <w:rFonts w:eastAsia="宋体" w:cs="Times New Roman"/>
                      <w:color w:val="auto"/>
                      <w:sz w:val="18"/>
                      <w:szCs w:val="18"/>
                    </w:rPr>
                  </w:pPr>
                  <w:r>
                    <w:rPr>
                      <w:rFonts w:hint="eastAsia" w:eastAsia="宋体" w:cs="Times New Roman"/>
                      <w:color w:val="auto"/>
                      <w:sz w:val="18"/>
                      <w:szCs w:val="18"/>
                    </w:rPr>
                    <w:t>否</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6838" w:type="dxa"/>
                  <w:gridSpan w:val="4"/>
                  <w:tcBorders>
                    <w:left w:val="single" w:color="auto" w:sz="4" w:space="0"/>
                    <w:bottom w:val="single" w:color="auto" w:sz="4" w:space="0"/>
                    <w:right w:val="single" w:color="auto" w:sz="4" w:space="0"/>
                  </w:tcBorders>
                  <w:vAlign w:val="center"/>
                </w:tcPr>
                <w:p>
                  <w:pPr>
                    <w:pStyle w:val="40"/>
                    <w:adjustRightInd w:val="0"/>
                    <w:snapToGrid w:val="0"/>
                    <w:ind w:firstLine="0" w:firstLineChars="0"/>
                    <w:rPr>
                      <w:rFonts w:eastAsia="宋体" w:cs="Times New Roman"/>
                      <w:color w:val="auto"/>
                      <w:sz w:val="18"/>
                      <w:szCs w:val="18"/>
                    </w:rPr>
                  </w:pPr>
                  <w:r>
                    <w:rPr>
                      <w:rFonts w:hint="eastAsia" w:eastAsia="宋体" w:cs="Times New Roman"/>
                      <w:color w:val="auto"/>
                      <w:sz w:val="18"/>
                      <w:szCs w:val="18"/>
                    </w:rPr>
                    <w:t>注：根据《有毒有害大气污染物名录（2018年）》，有毒有害污染物包括二氯甲烷、甲醛、三氯甲烷、三氯乙烯、四氯乙烯、乙醛、镉及其化合物、铬及其化合物、汞及其化合物、铅及其化合物、砷及其化合物。</w:t>
                  </w:r>
                </w:p>
              </w:tc>
            </w:tr>
          </w:tbl>
          <w:p>
            <w:pPr>
              <w:autoSpaceDE w:val="0"/>
              <w:autoSpaceDN w:val="0"/>
              <w:adjustRightInd w:val="0"/>
              <w:snapToGrid w:val="0"/>
              <w:ind w:firstLine="420" w:firstLineChars="200"/>
              <w:rPr>
                <w:color w:val="auto"/>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1336" w:type="dxa"/>
            <w:vAlign w:val="center"/>
          </w:tcPr>
          <w:p>
            <w:pPr>
              <w:autoSpaceDE w:val="0"/>
              <w:autoSpaceDN w:val="0"/>
              <w:adjustRightInd w:val="0"/>
              <w:snapToGrid w:val="0"/>
              <w:jc w:val="center"/>
              <w:rPr>
                <w:color w:val="auto"/>
                <w:kern w:val="0"/>
                <w:szCs w:val="21"/>
              </w:rPr>
            </w:pPr>
            <w:r>
              <w:rPr>
                <w:color w:val="auto"/>
                <w:szCs w:val="21"/>
              </w:rPr>
              <w:t>规划情况</w:t>
            </w:r>
          </w:p>
        </w:tc>
        <w:tc>
          <w:tcPr>
            <w:tcW w:w="6996" w:type="dxa"/>
            <w:gridSpan w:val="3"/>
            <w:vAlign w:val="center"/>
          </w:tcPr>
          <w:p>
            <w:pPr>
              <w:jc w:val="center"/>
              <w:rPr>
                <w:rFonts w:hint="eastAsia"/>
                <w:color w:val="auto"/>
                <w:szCs w:val="21"/>
              </w:rPr>
            </w:pPr>
            <w:r>
              <w:rPr>
                <w:rFonts w:hint="eastAsia"/>
                <w:color w:val="auto"/>
                <w:szCs w:val="21"/>
              </w:rPr>
              <w:t>《明溪县国土空间总体规划（2021-2035年）》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336" w:type="dxa"/>
            <w:vAlign w:val="center"/>
          </w:tcPr>
          <w:p>
            <w:pPr>
              <w:adjustRightInd w:val="0"/>
              <w:snapToGrid w:val="0"/>
              <w:jc w:val="center"/>
              <w:rPr>
                <w:color w:val="auto"/>
                <w:kern w:val="0"/>
                <w:szCs w:val="21"/>
              </w:rPr>
            </w:pPr>
            <w:r>
              <w:rPr>
                <w:color w:val="auto"/>
                <w:szCs w:val="21"/>
              </w:rPr>
              <w:t>规划环境影响评价情况</w:t>
            </w:r>
          </w:p>
        </w:tc>
        <w:tc>
          <w:tcPr>
            <w:tcW w:w="6996" w:type="dxa"/>
            <w:gridSpan w:val="3"/>
            <w:vAlign w:val="center"/>
          </w:tcPr>
          <w:p>
            <w:pPr>
              <w:jc w:val="center"/>
              <w:rPr>
                <w:rFonts w:hint="eastAsia"/>
                <w:color w:val="auto"/>
                <w:szCs w:val="21"/>
              </w:rPr>
            </w:pPr>
            <w:r>
              <w:rPr>
                <w:rFonts w:hint="eastAsia"/>
                <w:color w:val="auto"/>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336" w:type="dxa"/>
            <w:vAlign w:val="center"/>
          </w:tcPr>
          <w:p>
            <w:pPr>
              <w:autoSpaceDE w:val="0"/>
              <w:autoSpaceDN w:val="0"/>
              <w:adjustRightInd w:val="0"/>
              <w:snapToGrid w:val="0"/>
              <w:jc w:val="center"/>
              <w:rPr>
                <w:color w:val="auto"/>
                <w:kern w:val="0"/>
                <w:szCs w:val="21"/>
              </w:rPr>
            </w:pPr>
            <w:r>
              <w:rPr>
                <w:rFonts w:hint="eastAsia"/>
                <w:color w:val="auto"/>
                <w:kern w:val="0"/>
                <w:szCs w:val="21"/>
                <w:lang w:val="en-US" w:eastAsia="zh-CN"/>
              </w:rPr>
              <w:t>相关</w:t>
            </w:r>
            <w:r>
              <w:rPr>
                <w:color w:val="auto"/>
                <w:kern w:val="0"/>
                <w:szCs w:val="21"/>
              </w:rPr>
              <w:t>规划符合性分析</w:t>
            </w:r>
          </w:p>
        </w:tc>
        <w:tc>
          <w:tcPr>
            <w:tcW w:w="6996" w:type="dxa"/>
            <w:gridSpan w:val="3"/>
            <w:vAlign w:val="center"/>
          </w:tcPr>
          <w:p>
            <w:pPr>
              <w:autoSpaceDE w:val="0"/>
              <w:autoSpaceDN w:val="0"/>
              <w:adjustRightInd w:val="0"/>
              <w:snapToGrid w:val="0"/>
              <w:spacing w:line="360" w:lineRule="auto"/>
              <w:ind w:firstLine="420" w:firstLineChars="200"/>
              <w:rPr>
                <w:b/>
                <w:bCs/>
                <w:color w:val="auto"/>
              </w:rPr>
            </w:pPr>
            <w:r>
              <w:rPr>
                <w:rFonts w:hint="eastAsia"/>
                <w:color w:val="auto"/>
              </w:rPr>
              <w:t>项目在一厂区现有闲置空地（原甲类仓库）进行建设，不新增用地，对照《明溪县国土空间总体规划（2021-2035年）》（附图8），项目用地为二类工业用地，在城市开发边界范围内，不占用生态保护红线及永久基本农田，符合明溪县国土空间总体规划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368" w:hRule="atLeast"/>
          <w:jc w:val="center"/>
        </w:trPr>
        <w:tc>
          <w:tcPr>
            <w:tcW w:w="1336" w:type="dxa"/>
            <w:vAlign w:val="center"/>
          </w:tcPr>
          <w:p>
            <w:pPr>
              <w:autoSpaceDE w:val="0"/>
              <w:autoSpaceDN w:val="0"/>
              <w:adjustRightInd w:val="0"/>
              <w:snapToGrid w:val="0"/>
              <w:jc w:val="center"/>
              <w:rPr>
                <w:color w:val="auto"/>
                <w:kern w:val="0"/>
                <w:szCs w:val="21"/>
              </w:rPr>
            </w:pPr>
            <w:r>
              <w:rPr>
                <w:color w:val="auto"/>
                <w:kern w:val="0"/>
                <w:szCs w:val="21"/>
              </w:rPr>
              <w:t>其他符合性分析</w:t>
            </w:r>
          </w:p>
        </w:tc>
        <w:tc>
          <w:tcPr>
            <w:tcW w:w="6996" w:type="dxa"/>
            <w:gridSpan w:val="3"/>
            <w:vAlign w:val="center"/>
          </w:tcPr>
          <w:p>
            <w:pPr>
              <w:keepNext/>
              <w:keepLines/>
              <w:widowControl/>
              <w:spacing w:line="360" w:lineRule="auto"/>
              <w:ind w:firstLine="422" w:firstLineChars="200"/>
              <w:jc w:val="left"/>
              <w:rPr>
                <w:rFonts w:hint="eastAsia"/>
                <w:b/>
                <w:color w:val="auto"/>
                <w:kern w:val="0"/>
                <w:sz w:val="21"/>
                <w:szCs w:val="21"/>
                <w:lang w:bidi="ar"/>
              </w:rPr>
            </w:pPr>
            <w:r>
              <w:rPr>
                <w:rFonts w:hint="eastAsia"/>
                <w:b/>
                <w:color w:val="auto"/>
                <w:kern w:val="0"/>
                <w:sz w:val="21"/>
                <w:szCs w:val="21"/>
                <w:lang w:bidi="ar"/>
              </w:rPr>
              <w:t>（1）土地利用规划符合性分析</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color w:val="auto"/>
                <w:szCs w:val="21"/>
              </w:rPr>
            </w:pPr>
            <w:r>
              <w:rPr>
                <w:color w:val="auto"/>
                <w:kern w:val="0"/>
                <w:szCs w:val="21"/>
              </w:rPr>
              <w:t>本项目</w:t>
            </w:r>
            <w:r>
              <w:rPr>
                <w:rFonts w:hint="eastAsia"/>
                <w:color w:val="auto"/>
                <w:kern w:val="0"/>
                <w:szCs w:val="21"/>
              </w:rPr>
              <w:t>建设地址为</w:t>
            </w:r>
            <w:r>
              <w:rPr>
                <w:rFonts w:hint="eastAsia"/>
                <w:color w:val="auto"/>
                <w:szCs w:val="21"/>
              </w:rPr>
              <w:t>福建省三明市明溪县经济开发区D区1号</w:t>
            </w:r>
            <w:r>
              <w:rPr>
                <w:rFonts w:hint="eastAsia"/>
                <w:color w:val="auto"/>
                <w:szCs w:val="21"/>
                <w:lang w:eastAsia="zh-CN"/>
              </w:rPr>
              <w:t>，</w:t>
            </w:r>
            <w:r>
              <w:rPr>
                <w:rFonts w:hint="eastAsia"/>
                <w:color w:val="auto"/>
              </w:rPr>
              <w:t>对照《明溪县国土空间总体规划（2021-2035年）》</w:t>
            </w:r>
            <w:r>
              <w:rPr>
                <w:rFonts w:hint="eastAsia"/>
                <w:color w:val="auto"/>
                <w:lang w:eastAsia="zh-CN"/>
              </w:rPr>
              <w:t>（</w:t>
            </w:r>
            <w:r>
              <w:rPr>
                <w:rFonts w:hint="eastAsia"/>
                <w:color w:val="auto"/>
                <w:lang w:val="en-US" w:eastAsia="zh-CN"/>
              </w:rPr>
              <w:t>附图8</w:t>
            </w:r>
            <w:r>
              <w:rPr>
                <w:rFonts w:hint="eastAsia"/>
                <w:color w:val="auto"/>
                <w:lang w:eastAsia="zh-CN"/>
              </w:rPr>
              <w:t>）</w:t>
            </w:r>
            <w:r>
              <w:rPr>
                <w:rFonts w:hint="eastAsia"/>
                <w:color w:val="auto"/>
              </w:rPr>
              <w:t>，项目用地为二类工业用地，</w:t>
            </w:r>
            <w:r>
              <w:rPr>
                <w:rFonts w:hint="eastAsia"/>
                <w:color w:val="auto"/>
                <w:lang w:val="en-US" w:eastAsia="zh-CN"/>
              </w:rPr>
              <w:t>在城市开发边界范围内。</w:t>
            </w:r>
          </w:p>
          <w:p>
            <w:pPr>
              <w:keepNext/>
              <w:keepLines/>
              <w:widowControl/>
              <w:spacing w:line="360" w:lineRule="auto"/>
              <w:ind w:firstLine="422" w:firstLineChars="200"/>
              <w:jc w:val="left"/>
              <w:rPr>
                <w:rFonts w:hint="eastAsia"/>
                <w:b/>
                <w:color w:val="auto"/>
                <w:kern w:val="0"/>
                <w:sz w:val="21"/>
                <w:szCs w:val="21"/>
                <w:lang w:bidi="ar"/>
              </w:rPr>
            </w:pPr>
            <w:r>
              <w:rPr>
                <w:rFonts w:hint="eastAsia"/>
                <w:b/>
                <w:color w:val="auto"/>
                <w:kern w:val="0"/>
                <w:sz w:val="21"/>
                <w:szCs w:val="21"/>
                <w:lang w:bidi="ar"/>
              </w:rPr>
              <w:t>（2）产业政策符合性分析</w:t>
            </w:r>
          </w:p>
          <w:p>
            <w:pPr>
              <w:widowControl/>
              <w:snapToGrid w:val="0"/>
              <w:spacing w:line="360" w:lineRule="auto"/>
              <w:ind w:firstLine="420" w:firstLineChars="200"/>
              <w:rPr>
                <w:color w:val="auto"/>
                <w:szCs w:val="21"/>
              </w:rPr>
            </w:pPr>
            <w:r>
              <w:rPr>
                <w:rFonts w:hint="eastAsia"/>
                <w:color w:val="auto"/>
                <w:szCs w:val="21"/>
              </w:rPr>
              <w:t>本项目产品根据《国民经济行业分类》（GB/T4754-2017）及其分类注释，属于“2921塑料薄膜制造”。对照《产业结构调整指导目录（2024年本）》，本项目属于十一、5树脂类特种工程塑料生产及应用领域，被列为鼓励类项目。</w:t>
            </w:r>
            <w:r>
              <w:rPr>
                <w:rFonts w:hint="eastAsia"/>
                <w:color w:val="auto"/>
                <w:szCs w:val="21"/>
                <w:highlight w:val="none"/>
              </w:rPr>
              <w:t>项目所生产产品、规模，采用生产设备及生产工艺等，均不属于“限制类”、“淘汰类”范畴。项目建设符合国家产业发展规划中鼓励类和允许类的要求，不涉及限制类、淘汰类产业或落后产能。</w:t>
            </w:r>
            <w:r>
              <w:rPr>
                <w:rFonts w:hint="eastAsia"/>
                <w:color w:val="auto"/>
                <w:szCs w:val="21"/>
              </w:rPr>
              <w:t>此外，项目已取得明溪县发展和改革局备案（闽发改备[2026</w:t>
            </w:r>
            <w:r>
              <w:rPr>
                <w:color w:val="auto"/>
                <w:szCs w:val="21"/>
              </w:rPr>
              <w:t>]</w:t>
            </w:r>
            <w:r>
              <w:rPr>
                <w:rFonts w:hint="eastAsia"/>
                <w:color w:val="auto"/>
                <w:szCs w:val="21"/>
              </w:rPr>
              <w:t>G080024号，见附件3）。综上所述，本项目建设符合当前国家相关产业政策。</w:t>
            </w:r>
          </w:p>
          <w:p>
            <w:pPr>
              <w:spacing w:before="194" w:beforeLines="50"/>
              <w:jc w:val="center"/>
              <w:outlineLvl w:val="5"/>
              <w:rPr>
                <w:rFonts w:eastAsia="宋体" w:cs="Times New Roman"/>
                <w:b/>
                <w:color w:val="auto"/>
                <w:spacing w:val="0"/>
                <w:sz w:val="21"/>
                <w:szCs w:val="21"/>
              </w:rPr>
            </w:pPr>
            <w:r>
              <w:rPr>
                <w:rFonts w:hint="eastAsia" w:eastAsia="宋体" w:cs="Times New Roman"/>
                <w:b/>
                <w:color w:val="auto"/>
                <w:spacing w:val="0"/>
                <w:sz w:val="21"/>
                <w:szCs w:val="21"/>
              </w:rPr>
              <w:t>表1-2  与《产业结构调整指导目录（2024年本）》符合性分析</w:t>
            </w:r>
          </w:p>
          <w:tbl>
            <w:tblPr>
              <w:tblStyle w:val="19"/>
              <w:tblW w:w="4997" w:type="pct"/>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2439"/>
              <w:gridCol w:w="2779"/>
              <w:gridCol w:w="6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665"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bCs/>
                      <w:color w:val="auto"/>
                      <w:sz w:val="18"/>
                      <w:szCs w:val="18"/>
                    </w:rPr>
                  </w:pPr>
                  <w:r>
                    <w:rPr>
                      <w:rFonts w:hint="eastAsia" w:ascii="Times New Roman" w:hAnsi="Times New Roman" w:eastAsia="宋体" w:cs="Times New Roman"/>
                      <w:b/>
                      <w:bCs/>
                      <w:color w:val="auto"/>
                      <w:sz w:val="18"/>
                      <w:szCs w:val="18"/>
                    </w:rPr>
                    <w:t>类别</w:t>
                  </w:r>
                </w:p>
              </w:tc>
              <w:tc>
                <w:tcPr>
                  <w:tcW w:w="180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bCs/>
                      <w:color w:val="auto"/>
                      <w:sz w:val="18"/>
                      <w:szCs w:val="18"/>
                    </w:rPr>
                  </w:pPr>
                  <w:r>
                    <w:rPr>
                      <w:rFonts w:hint="eastAsia" w:ascii="Times New Roman" w:hAnsi="Times New Roman" w:eastAsia="宋体" w:cs="Times New Roman"/>
                      <w:b/>
                      <w:bCs/>
                      <w:color w:val="auto"/>
                      <w:sz w:val="18"/>
                      <w:szCs w:val="18"/>
                    </w:rPr>
                    <w:t>相关要求</w:t>
                  </w:r>
                </w:p>
              </w:tc>
              <w:tc>
                <w:tcPr>
                  <w:tcW w:w="2053"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bCs/>
                      <w:color w:val="auto"/>
                      <w:sz w:val="18"/>
                      <w:szCs w:val="18"/>
                    </w:rPr>
                  </w:pPr>
                  <w:r>
                    <w:rPr>
                      <w:rFonts w:hint="eastAsia" w:ascii="Times New Roman" w:hAnsi="Times New Roman" w:eastAsia="宋体" w:cs="Times New Roman"/>
                      <w:b/>
                      <w:bCs/>
                      <w:color w:val="auto"/>
                      <w:sz w:val="18"/>
                      <w:szCs w:val="18"/>
                    </w:rPr>
                    <w:t>项目情况</w:t>
                  </w:r>
                </w:p>
              </w:tc>
              <w:tc>
                <w:tcPr>
                  <w:tcW w:w="478"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bCs/>
                      <w:color w:val="auto"/>
                      <w:sz w:val="18"/>
                      <w:szCs w:val="18"/>
                    </w:rPr>
                  </w:pPr>
                  <w:r>
                    <w:rPr>
                      <w:rFonts w:hint="eastAsia" w:ascii="Times New Roman" w:hAnsi="Times New Roman" w:eastAsia="宋体" w:cs="Times New Roman"/>
                      <w:b/>
                      <w:bCs/>
                      <w:color w:val="auto"/>
                      <w:sz w:val="18"/>
                      <w:szCs w:val="18"/>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665" w:type="pct"/>
                  <w:vAlign w:val="center"/>
                </w:tcPr>
                <w:p>
                  <w:pPr>
                    <w:jc w:val="center"/>
                    <w:rPr>
                      <w:color w:val="auto"/>
                      <w:sz w:val="18"/>
                      <w:szCs w:val="18"/>
                      <w:shd w:val="clear" w:color="auto" w:fill="FFFFFF"/>
                    </w:rPr>
                  </w:pPr>
                  <w:r>
                    <w:rPr>
                      <w:rFonts w:hint="eastAsia"/>
                      <w:color w:val="auto"/>
                      <w:sz w:val="18"/>
                      <w:szCs w:val="18"/>
                      <w:shd w:val="clear" w:color="auto" w:fill="FFFFFF"/>
                    </w:rPr>
                    <w:t>鼓励类</w:t>
                  </w:r>
                </w:p>
              </w:tc>
              <w:tc>
                <w:tcPr>
                  <w:tcW w:w="1802" w:type="pct"/>
                  <w:vAlign w:val="center"/>
                </w:tcPr>
                <w:p>
                  <w:pPr>
                    <w:rPr>
                      <w:color w:val="auto"/>
                      <w:sz w:val="18"/>
                      <w:szCs w:val="18"/>
                      <w:shd w:val="clear" w:color="auto" w:fill="FFFFFF"/>
                    </w:rPr>
                  </w:pPr>
                  <w:r>
                    <w:rPr>
                      <w:color w:val="auto"/>
                      <w:sz w:val="18"/>
                      <w:szCs w:val="18"/>
                      <w:shd w:val="clear" w:color="auto" w:fill="FFFFFF"/>
                    </w:rPr>
                    <w:t>十一、5.树脂：</w:t>
                  </w:r>
                  <w:r>
                    <w:rPr>
                      <w:b/>
                      <w:bCs/>
                      <w:color w:val="auto"/>
                      <w:sz w:val="18"/>
                      <w:szCs w:val="18"/>
                      <w:shd w:val="clear" w:color="auto" w:fill="FFFFFF"/>
                    </w:rPr>
                    <w:t>特种工程塑料生产以及共混改性、合金化技术开发和应用</w:t>
                  </w:r>
                  <w:r>
                    <w:rPr>
                      <w:rFonts w:hint="eastAsia"/>
                      <w:color w:val="auto"/>
                      <w:sz w:val="18"/>
                      <w:szCs w:val="18"/>
                      <w:shd w:val="clear" w:color="auto" w:fill="FFFFFF"/>
                      <w:lang w:eastAsia="zh-CN"/>
                    </w:rPr>
                    <w:t>……</w:t>
                  </w:r>
                  <w:r>
                    <w:rPr>
                      <w:color w:val="auto"/>
                      <w:sz w:val="18"/>
                      <w:szCs w:val="18"/>
                      <w:shd w:val="clear" w:color="auto" w:fill="FFFFFF"/>
                    </w:rPr>
                    <w:t>；</w:t>
                  </w:r>
                </w:p>
                <w:p>
                  <w:pPr>
                    <w:rPr>
                      <w:color w:val="auto"/>
                      <w:sz w:val="18"/>
                      <w:szCs w:val="18"/>
                      <w:shd w:val="clear" w:color="auto" w:fill="FFFFFF"/>
                    </w:rPr>
                  </w:pPr>
                </w:p>
              </w:tc>
              <w:tc>
                <w:tcPr>
                  <w:tcW w:w="2053" w:type="pct"/>
                  <w:vAlign w:val="center"/>
                </w:tcPr>
                <w:p>
                  <w:pPr>
                    <w:keepNext w:val="0"/>
                    <w:keepLines w:val="0"/>
                    <w:pageBreakBefore w:val="0"/>
                    <w:widowControl w:val="0"/>
                    <w:kinsoku/>
                    <w:wordWrap/>
                    <w:overflowPunct/>
                    <w:topLinePunct w:val="0"/>
                    <w:autoSpaceDE/>
                    <w:autoSpaceDN/>
                    <w:bidi w:val="0"/>
                    <w:adjustRightInd/>
                    <w:snapToGrid/>
                    <w:spacing w:line="192" w:lineRule="auto"/>
                    <w:textAlignment w:val="auto"/>
                    <w:rPr>
                      <w:color w:val="auto"/>
                      <w:sz w:val="18"/>
                      <w:szCs w:val="18"/>
                      <w:shd w:val="clear" w:color="auto" w:fill="FFFFFF"/>
                    </w:rPr>
                  </w:pPr>
                  <w:r>
                    <w:rPr>
                      <w:rFonts w:hint="eastAsia"/>
                      <w:color w:val="auto"/>
                      <w:sz w:val="18"/>
                      <w:szCs w:val="18"/>
                      <w:shd w:val="clear" w:color="auto" w:fill="FFFFFF"/>
                    </w:rPr>
                    <w:t>本扩建项目产品属特种工程塑料，符合《产业结构调整指导目录》鼓励方向。</w:t>
                  </w:r>
                </w:p>
              </w:tc>
              <w:tc>
                <w:tcPr>
                  <w:tcW w:w="478" w:type="pct"/>
                  <w:vAlign w:val="center"/>
                </w:tcPr>
                <w:p>
                  <w:pPr>
                    <w:jc w:val="center"/>
                    <w:rPr>
                      <w:color w:val="auto"/>
                      <w:sz w:val="18"/>
                      <w:szCs w:val="18"/>
                      <w:shd w:val="clear" w:color="auto" w:fill="FFFFFF"/>
                    </w:rPr>
                  </w:pPr>
                  <w:r>
                    <w:rPr>
                      <w:rFonts w:hint="eastAsia"/>
                      <w:color w:val="auto"/>
                      <w:sz w:val="18"/>
                      <w:szCs w:val="18"/>
                      <w:shd w:val="clear" w:color="auto" w:fill="FFFFFF"/>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665" w:type="pct"/>
                  <w:vAlign w:val="center"/>
                </w:tcPr>
                <w:p>
                  <w:pPr>
                    <w:jc w:val="center"/>
                    <w:rPr>
                      <w:color w:val="auto"/>
                      <w:sz w:val="18"/>
                      <w:szCs w:val="18"/>
                      <w:shd w:val="clear" w:color="auto" w:fill="FFFFFF"/>
                    </w:rPr>
                  </w:pPr>
                  <w:r>
                    <w:rPr>
                      <w:rFonts w:hint="eastAsia"/>
                      <w:color w:val="auto"/>
                      <w:sz w:val="18"/>
                      <w:szCs w:val="18"/>
                      <w:shd w:val="clear" w:color="auto" w:fill="FFFFFF"/>
                    </w:rPr>
                    <w:t>限制类</w:t>
                  </w:r>
                </w:p>
              </w:tc>
              <w:tc>
                <w:tcPr>
                  <w:tcW w:w="1802" w:type="pct"/>
                  <w:vAlign w:val="center"/>
                </w:tcPr>
                <w:p>
                  <w:pPr>
                    <w:jc w:val="center"/>
                    <w:rPr>
                      <w:b/>
                      <w:bCs/>
                      <w:color w:val="auto"/>
                      <w:sz w:val="18"/>
                      <w:szCs w:val="18"/>
                      <w:shd w:val="clear" w:color="auto" w:fill="FFFFFF"/>
                    </w:rPr>
                  </w:pPr>
                  <w:r>
                    <w:rPr>
                      <w:rFonts w:hint="eastAsia"/>
                      <w:b/>
                      <w:bCs/>
                      <w:color w:val="auto"/>
                      <w:sz w:val="18"/>
                      <w:szCs w:val="18"/>
                      <w:shd w:val="clear" w:color="auto" w:fill="FFFFFF"/>
                    </w:rPr>
                    <w:t>/</w:t>
                  </w:r>
                </w:p>
              </w:tc>
              <w:tc>
                <w:tcPr>
                  <w:tcW w:w="2053" w:type="pct"/>
                  <w:vAlign w:val="center"/>
                </w:tcPr>
                <w:p>
                  <w:pPr>
                    <w:rPr>
                      <w:color w:val="auto"/>
                      <w:sz w:val="18"/>
                      <w:szCs w:val="18"/>
                      <w:shd w:val="clear" w:color="auto" w:fill="FFFFFF"/>
                    </w:rPr>
                  </w:pPr>
                  <w:r>
                    <w:rPr>
                      <w:rFonts w:hint="eastAsia"/>
                      <w:color w:val="auto"/>
                      <w:sz w:val="18"/>
                      <w:szCs w:val="18"/>
                      <w:shd w:val="clear" w:color="auto" w:fill="FFFFFF"/>
                    </w:rPr>
                    <w:t>不属于限制类范畴。</w:t>
                  </w:r>
                </w:p>
              </w:tc>
              <w:tc>
                <w:tcPr>
                  <w:tcW w:w="478" w:type="pct"/>
                  <w:vAlign w:val="center"/>
                </w:tcPr>
                <w:p>
                  <w:pPr>
                    <w:jc w:val="center"/>
                    <w:rPr>
                      <w:color w:val="auto"/>
                      <w:sz w:val="18"/>
                      <w:szCs w:val="18"/>
                      <w:shd w:val="clear" w:color="auto" w:fill="FFFFFF"/>
                    </w:rPr>
                  </w:pPr>
                  <w:r>
                    <w:rPr>
                      <w:rFonts w:hint="eastAsia"/>
                      <w:color w:val="auto"/>
                      <w:sz w:val="18"/>
                      <w:szCs w:val="18"/>
                      <w:shd w:val="clear" w:color="auto" w:fill="FFFFFF"/>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1" w:hRule="atLeast"/>
              </w:trPr>
              <w:tc>
                <w:tcPr>
                  <w:tcW w:w="665" w:type="pct"/>
                  <w:vMerge w:val="restart"/>
                  <w:vAlign w:val="center"/>
                </w:tcPr>
                <w:p>
                  <w:pPr>
                    <w:jc w:val="center"/>
                    <w:rPr>
                      <w:color w:val="auto"/>
                      <w:sz w:val="18"/>
                      <w:szCs w:val="18"/>
                      <w:shd w:val="clear" w:color="auto" w:fill="FFFFFF"/>
                    </w:rPr>
                  </w:pPr>
                  <w:r>
                    <w:rPr>
                      <w:rFonts w:hint="eastAsia"/>
                      <w:color w:val="auto"/>
                      <w:sz w:val="18"/>
                      <w:szCs w:val="18"/>
                      <w:shd w:val="clear" w:color="auto" w:fill="FFFFFF"/>
                    </w:rPr>
                    <w:t>淘汰类</w:t>
                  </w:r>
                </w:p>
              </w:tc>
              <w:tc>
                <w:tcPr>
                  <w:tcW w:w="1802" w:type="pct"/>
                  <w:vAlign w:val="center"/>
                </w:tcPr>
                <w:p>
                  <w:pPr>
                    <w:jc w:val="left"/>
                    <w:rPr>
                      <w:color w:val="auto"/>
                      <w:sz w:val="18"/>
                      <w:szCs w:val="18"/>
                      <w:shd w:val="clear" w:color="auto" w:fill="FFFFFF"/>
                    </w:rPr>
                  </w:pPr>
                  <w:r>
                    <w:rPr>
                      <w:color w:val="auto"/>
                      <w:sz w:val="18"/>
                      <w:szCs w:val="18"/>
                      <w:shd w:val="clear" w:color="auto" w:fill="FFFFFF"/>
                    </w:rPr>
                    <w:t>一、落后生产工艺装备（四）10：...以PFOA为加工助剂...；</w:t>
                  </w:r>
                </w:p>
              </w:tc>
              <w:tc>
                <w:tcPr>
                  <w:tcW w:w="2053" w:type="pct"/>
                  <w:vAlign w:val="center"/>
                </w:tcPr>
                <w:p>
                  <w:pPr>
                    <w:jc w:val="left"/>
                    <w:rPr>
                      <w:color w:val="auto"/>
                      <w:sz w:val="18"/>
                      <w:szCs w:val="18"/>
                      <w:shd w:val="clear" w:color="auto" w:fill="FFFFFF"/>
                    </w:rPr>
                  </w:pPr>
                  <w:r>
                    <w:rPr>
                      <w:color w:val="auto"/>
                      <w:sz w:val="18"/>
                      <w:szCs w:val="18"/>
                      <w:shd w:val="clear" w:color="auto" w:fill="FFFFFF"/>
                    </w:rPr>
                    <w:t>本</w:t>
                  </w:r>
                  <w:r>
                    <w:rPr>
                      <w:rFonts w:hint="eastAsia"/>
                      <w:color w:val="auto"/>
                      <w:sz w:val="18"/>
                      <w:szCs w:val="18"/>
                      <w:shd w:val="clear" w:color="auto" w:fill="FFFFFF"/>
                      <w:lang w:val="en-US" w:eastAsia="zh-CN"/>
                    </w:rPr>
                    <w:t>扩建</w:t>
                  </w:r>
                  <w:r>
                    <w:rPr>
                      <w:color w:val="auto"/>
                      <w:sz w:val="18"/>
                      <w:szCs w:val="18"/>
                      <w:shd w:val="clear" w:color="auto" w:fill="FFFFFF"/>
                    </w:rPr>
                    <w:t>项目生产所用的原辅材料不涉及全氟辛酸（PFOA）。对照《产业结构调整指导目录》，</w:t>
                  </w:r>
                  <w:r>
                    <w:rPr>
                      <w:rFonts w:hint="eastAsia"/>
                      <w:color w:val="auto"/>
                      <w:sz w:val="18"/>
                      <w:szCs w:val="18"/>
                      <w:shd w:val="clear" w:color="auto" w:fill="FFFFFF"/>
                      <w:lang w:val="en-US" w:eastAsia="zh-CN"/>
                    </w:rPr>
                    <w:t>本项目</w:t>
                  </w:r>
                  <w:r>
                    <w:rPr>
                      <w:color w:val="auto"/>
                      <w:sz w:val="18"/>
                      <w:szCs w:val="18"/>
                      <w:shd w:val="clear" w:color="auto" w:fill="FFFFFF"/>
                    </w:rPr>
                    <w:t>不属于淘汰类。</w:t>
                  </w:r>
                </w:p>
              </w:tc>
              <w:tc>
                <w:tcPr>
                  <w:tcW w:w="478" w:type="pct"/>
                  <w:vMerge w:val="restart"/>
                  <w:vAlign w:val="center"/>
                </w:tcPr>
                <w:p>
                  <w:pPr>
                    <w:jc w:val="center"/>
                    <w:rPr>
                      <w:color w:val="auto"/>
                      <w:sz w:val="18"/>
                      <w:szCs w:val="18"/>
                      <w:shd w:val="clear" w:color="auto" w:fill="FFFFFF"/>
                    </w:rPr>
                  </w:pPr>
                  <w:r>
                    <w:rPr>
                      <w:rFonts w:hint="eastAsia"/>
                      <w:color w:val="auto"/>
                      <w:sz w:val="18"/>
                      <w:szCs w:val="18"/>
                      <w:shd w:val="clear" w:color="auto" w:fill="FFFFFF"/>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6" w:hRule="atLeast"/>
              </w:trPr>
              <w:tc>
                <w:tcPr>
                  <w:tcW w:w="665" w:type="pct"/>
                  <w:vMerge w:val="continue"/>
                  <w:vAlign w:val="center"/>
                </w:tcPr>
                <w:p>
                  <w:pPr>
                    <w:rPr>
                      <w:color w:val="auto"/>
                    </w:rPr>
                  </w:pPr>
                </w:p>
              </w:tc>
              <w:tc>
                <w:tcPr>
                  <w:tcW w:w="1802" w:type="pct"/>
                  <w:vAlign w:val="center"/>
                </w:tcPr>
                <w:p>
                  <w:pPr>
                    <w:jc w:val="left"/>
                    <w:rPr>
                      <w:color w:val="auto"/>
                      <w:sz w:val="18"/>
                      <w:szCs w:val="18"/>
                      <w:shd w:val="clear" w:color="auto" w:fill="FFFFFF"/>
                    </w:rPr>
                  </w:pPr>
                  <w:r>
                    <w:rPr>
                      <w:color w:val="auto"/>
                      <w:sz w:val="18"/>
                      <w:szCs w:val="18"/>
                      <w:shd w:val="clear" w:color="auto" w:fill="FFFFFF"/>
                    </w:rPr>
                    <w:t>二、落后产品（一）6：根据国家履行国际公约总体计划要求进行淘汰的产品：...全氟辛基磺酸及其盐类和全氟辛基磺酰氟、全氟己基磺酸（PFHxS）及其盐类和相关化合物、全氟辛酸（PFOA）及其盐类和相关化合物...。</w:t>
                  </w:r>
                </w:p>
              </w:tc>
              <w:tc>
                <w:tcPr>
                  <w:tcW w:w="2053" w:type="pct"/>
                  <w:vAlign w:val="center"/>
                </w:tcPr>
                <w:p>
                  <w:pPr>
                    <w:jc w:val="left"/>
                    <w:rPr>
                      <w:color w:val="auto"/>
                      <w:sz w:val="18"/>
                      <w:szCs w:val="18"/>
                      <w:shd w:val="clear" w:color="auto" w:fill="FFFFFF"/>
                    </w:rPr>
                  </w:pPr>
                  <w:r>
                    <w:rPr>
                      <w:color w:val="auto"/>
                      <w:sz w:val="18"/>
                      <w:szCs w:val="18"/>
                      <w:shd w:val="clear" w:color="auto" w:fill="FFFFFF"/>
                    </w:rPr>
                    <w:t>本</w:t>
                  </w:r>
                  <w:r>
                    <w:rPr>
                      <w:rFonts w:hint="eastAsia"/>
                      <w:color w:val="auto"/>
                      <w:sz w:val="18"/>
                      <w:szCs w:val="18"/>
                      <w:shd w:val="clear" w:color="auto" w:fill="FFFFFF"/>
                      <w:lang w:val="en-US" w:eastAsia="zh-CN"/>
                    </w:rPr>
                    <w:t>扩建</w:t>
                  </w:r>
                  <w:r>
                    <w:rPr>
                      <w:color w:val="auto"/>
                      <w:sz w:val="18"/>
                      <w:szCs w:val="18"/>
                      <w:shd w:val="clear" w:color="auto" w:fill="FFFFFF"/>
                    </w:rPr>
                    <w:t>项目</w:t>
                  </w:r>
                  <w:r>
                    <w:rPr>
                      <w:rFonts w:hint="eastAsia"/>
                      <w:color w:val="auto"/>
                      <w:sz w:val="18"/>
                      <w:szCs w:val="18"/>
                      <w:shd w:val="clear" w:color="auto" w:fill="FFFFFF"/>
                    </w:rPr>
                    <w:t>产品</w:t>
                  </w:r>
                  <w:r>
                    <w:rPr>
                      <w:color w:val="auto"/>
                      <w:sz w:val="18"/>
                      <w:szCs w:val="18"/>
                      <w:shd w:val="clear" w:color="auto" w:fill="FFFFFF"/>
                    </w:rPr>
                    <w:t>对照《产业结构调整指导目录》，</w:t>
                  </w:r>
                  <w:r>
                    <w:rPr>
                      <w:rFonts w:hint="eastAsia"/>
                      <w:color w:val="auto"/>
                      <w:sz w:val="18"/>
                      <w:szCs w:val="18"/>
                      <w:shd w:val="clear" w:color="auto" w:fill="FFFFFF"/>
                      <w:lang w:val="en-US" w:eastAsia="zh-CN"/>
                    </w:rPr>
                    <w:t>本项目</w:t>
                  </w:r>
                  <w:r>
                    <w:rPr>
                      <w:color w:val="auto"/>
                      <w:sz w:val="18"/>
                      <w:szCs w:val="18"/>
                      <w:shd w:val="clear" w:color="auto" w:fill="FFFFFF"/>
                    </w:rPr>
                    <w:t>不属于淘汰类。</w:t>
                  </w:r>
                </w:p>
              </w:tc>
              <w:tc>
                <w:tcPr>
                  <w:tcW w:w="478" w:type="pct"/>
                  <w:vMerge w:val="continue"/>
                  <w:vAlign w:val="center"/>
                </w:tcPr>
                <w:p>
                  <w:pPr>
                    <w:rPr>
                      <w:color w:val="auto"/>
                      <w:sz w:val="18"/>
                      <w:szCs w:val="18"/>
                      <w:shd w:val="clear" w:color="auto" w:fill="FFFFFF"/>
                    </w:rPr>
                  </w:pPr>
                </w:p>
              </w:tc>
            </w:tr>
          </w:tbl>
          <w:p>
            <w:pPr>
              <w:keepNext/>
              <w:keepLines/>
              <w:widowControl/>
              <w:spacing w:line="360" w:lineRule="auto"/>
              <w:ind w:firstLine="422" w:firstLineChars="200"/>
              <w:jc w:val="left"/>
              <w:rPr>
                <w:rFonts w:hint="eastAsia"/>
                <w:b/>
                <w:color w:val="auto"/>
                <w:kern w:val="0"/>
                <w:sz w:val="21"/>
                <w:szCs w:val="21"/>
                <w:lang w:bidi="ar"/>
              </w:rPr>
            </w:pPr>
            <w:r>
              <w:rPr>
                <w:rFonts w:hint="eastAsia"/>
                <w:b/>
                <w:color w:val="auto"/>
                <w:kern w:val="0"/>
                <w:sz w:val="21"/>
                <w:szCs w:val="21"/>
                <w:lang w:eastAsia="zh-CN" w:bidi="ar"/>
              </w:rPr>
              <w:t>（</w:t>
            </w:r>
            <w:r>
              <w:rPr>
                <w:rFonts w:hint="eastAsia"/>
                <w:b/>
                <w:color w:val="auto"/>
                <w:kern w:val="0"/>
                <w:sz w:val="21"/>
                <w:szCs w:val="21"/>
                <w:lang w:val="en-US" w:eastAsia="zh-CN" w:bidi="ar"/>
              </w:rPr>
              <w:t>3</w:t>
            </w:r>
            <w:r>
              <w:rPr>
                <w:rFonts w:hint="eastAsia"/>
                <w:b/>
                <w:color w:val="auto"/>
                <w:kern w:val="0"/>
                <w:sz w:val="21"/>
                <w:szCs w:val="21"/>
                <w:lang w:eastAsia="zh-CN" w:bidi="ar"/>
              </w:rPr>
              <w:t>）</w:t>
            </w:r>
            <w:r>
              <w:rPr>
                <w:rFonts w:hint="eastAsia"/>
                <w:b/>
                <w:color w:val="auto"/>
                <w:kern w:val="0"/>
                <w:sz w:val="21"/>
                <w:szCs w:val="21"/>
                <w:lang w:bidi="ar"/>
              </w:rPr>
              <w:t>与</w:t>
            </w:r>
            <w:r>
              <w:rPr>
                <w:rFonts w:hint="eastAsia"/>
                <w:b/>
                <w:color w:val="auto"/>
                <w:kern w:val="0"/>
                <w:sz w:val="21"/>
                <w:szCs w:val="21"/>
                <w:lang w:eastAsia="zh-CN" w:bidi="ar"/>
              </w:rPr>
              <w:t>《</w:t>
            </w:r>
            <w:r>
              <w:rPr>
                <w:rFonts w:hint="eastAsia"/>
                <w:b/>
                <w:color w:val="auto"/>
                <w:kern w:val="0"/>
                <w:sz w:val="21"/>
                <w:szCs w:val="21"/>
                <w:lang w:bidi="ar"/>
              </w:rPr>
              <w:t>关于推动轻工业高质量发展的指导意见</w:t>
            </w:r>
            <w:r>
              <w:rPr>
                <w:rFonts w:hint="eastAsia"/>
                <w:b/>
                <w:color w:val="auto"/>
                <w:kern w:val="0"/>
                <w:sz w:val="21"/>
                <w:szCs w:val="21"/>
                <w:lang w:eastAsia="zh-CN" w:bidi="ar"/>
              </w:rPr>
              <w:t>》（</w:t>
            </w:r>
            <w:r>
              <w:rPr>
                <w:rFonts w:hint="eastAsia"/>
                <w:b/>
                <w:color w:val="auto"/>
                <w:kern w:val="0"/>
                <w:sz w:val="21"/>
                <w:szCs w:val="21"/>
                <w:lang w:bidi="ar"/>
              </w:rPr>
              <w:t>工信部联消费〔2022〕68号</w:t>
            </w:r>
            <w:r>
              <w:rPr>
                <w:rFonts w:hint="eastAsia"/>
                <w:b/>
                <w:color w:val="auto"/>
                <w:kern w:val="0"/>
                <w:sz w:val="21"/>
                <w:szCs w:val="21"/>
                <w:lang w:eastAsia="zh-CN" w:bidi="ar"/>
              </w:rPr>
              <w:t>）</w:t>
            </w:r>
            <w:r>
              <w:rPr>
                <w:rFonts w:hint="eastAsia"/>
                <w:b/>
                <w:color w:val="auto"/>
                <w:kern w:val="0"/>
                <w:sz w:val="21"/>
                <w:szCs w:val="21"/>
                <w:lang w:bidi="ar"/>
              </w:rPr>
              <w:t>的符合性分析</w:t>
            </w:r>
          </w:p>
          <w:p>
            <w:pPr>
              <w:spacing w:line="360" w:lineRule="auto"/>
              <w:ind w:firstLine="480"/>
              <w:rPr>
                <w:color w:val="auto"/>
                <w:highlight w:val="none"/>
              </w:rPr>
            </w:pPr>
            <w:r>
              <w:rPr>
                <w:rFonts w:hint="eastAsia"/>
                <w:color w:val="auto"/>
                <w:highlight w:val="none"/>
                <w:lang w:val="en-US" w:eastAsia="zh-CN"/>
              </w:rPr>
              <w:t>对照</w:t>
            </w:r>
            <w:r>
              <w:rPr>
                <w:rFonts w:hint="eastAsia"/>
                <w:color w:val="auto"/>
                <w:highlight w:val="none"/>
              </w:rPr>
              <w:t>《关于推动轻工业高质量发展的指导意见》（工信部联消费〔2022〕68号）中涉及塑料制品的相关要求</w:t>
            </w:r>
            <w:r>
              <w:rPr>
                <w:rFonts w:hint="eastAsia"/>
                <w:color w:val="auto"/>
                <w:highlight w:val="none"/>
                <w:lang w:eastAsia="zh-CN"/>
              </w:rPr>
              <w:t>，</w:t>
            </w:r>
            <w:r>
              <w:rPr>
                <w:rFonts w:hint="eastAsia"/>
                <w:color w:val="auto"/>
                <w:highlight w:val="none"/>
              </w:rPr>
              <w:t>本项目符合工信部联消费〔2022〕68号</w:t>
            </w:r>
            <w:r>
              <w:rPr>
                <w:rFonts w:hint="eastAsia"/>
                <w:color w:val="auto"/>
                <w:highlight w:val="none"/>
                <w:lang w:val="en-US" w:eastAsia="zh-CN"/>
              </w:rPr>
              <w:t>要求</w:t>
            </w:r>
            <w:r>
              <w:rPr>
                <w:rFonts w:hint="eastAsia"/>
                <w:color w:val="auto"/>
                <w:highlight w:val="none"/>
                <w:lang w:eastAsia="zh-CN"/>
              </w:rPr>
              <w:t>，</w:t>
            </w:r>
            <w:r>
              <w:rPr>
                <w:rFonts w:hint="eastAsia"/>
                <w:color w:val="auto"/>
                <w:highlight w:val="none"/>
              </w:rPr>
              <w:t>分析</w:t>
            </w:r>
            <w:r>
              <w:rPr>
                <w:color w:val="auto"/>
                <w:highlight w:val="none"/>
              </w:rPr>
              <w:t>见下表</w:t>
            </w:r>
            <w:r>
              <w:rPr>
                <w:rFonts w:hint="eastAsia"/>
                <w:color w:val="auto"/>
                <w:highlight w:val="none"/>
                <w:lang w:val="en-US" w:eastAsia="zh-CN"/>
              </w:rPr>
              <w:t>1-3</w:t>
            </w:r>
            <w:r>
              <w:rPr>
                <w:color w:val="auto"/>
                <w:highlight w:val="none"/>
              </w:rPr>
              <w:t>。</w:t>
            </w:r>
          </w:p>
          <w:p>
            <w:pPr>
              <w:spacing w:before="194" w:beforeLines="50"/>
              <w:jc w:val="center"/>
              <w:outlineLvl w:val="5"/>
              <w:rPr>
                <w:rFonts w:hint="eastAsia" w:eastAsia="宋体" w:cs="Times New Roman"/>
                <w:b/>
                <w:color w:val="auto"/>
                <w:spacing w:val="0"/>
                <w:sz w:val="21"/>
                <w:szCs w:val="21"/>
              </w:rPr>
            </w:pPr>
            <w:r>
              <w:rPr>
                <w:rFonts w:hint="eastAsia" w:eastAsia="宋体" w:cs="Times New Roman"/>
                <w:b/>
                <w:color w:val="auto"/>
                <w:spacing w:val="0"/>
                <w:sz w:val="21"/>
                <w:szCs w:val="21"/>
              </w:rPr>
              <w:t>表1-3 《关于推动轻工业高质量发展的指导意见》符合性分析</w:t>
            </w:r>
          </w:p>
          <w:tbl>
            <w:tblPr>
              <w:tblStyle w:val="19"/>
              <w:tblW w:w="49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85"/>
              <w:gridCol w:w="2790"/>
              <w:gridCol w:w="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2448" w:type="pct"/>
                  <w:vAlign w:val="center"/>
                </w:tcPr>
                <w:p>
                  <w:pPr>
                    <w:jc w:val="center"/>
                    <w:rPr>
                      <w:rFonts w:hint="default" w:eastAsia="宋体"/>
                      <w:b/>
                      <w:bCs/>
                      <w:color w:val="auto"/>
                      <w:sz w:val="18"/>
                      <w:szCs w:val="18"/>
                      <w:highlight w:val="none"/>
                      <w:lang w:val="en-US" w:eastAsia="zh-CN"/>
                    </w:rPr>
                  </w:pPr>
                  <w:r>
                    <w:rPr>
                      <w:rFonts w:hint="eastAsia"/>
                      <w:b/>
                      <w:bCs/>
                      <w:color w:val="auto"/>
                      <w:sz w:val="18"/>
                      <w:szCs w:val="18"/>
                      <w:highlight w:val="none"/>
                      <w:lang w:val="en-US" w:eastAsia="zh-CN"/>
                    </w:rPr>
                    <w:t>相关要求</w:t>
                  </w:r>
                </w:p>
              </w:tc>
              <w:tc>
                <w:tcPr>
                  <w:tcW w:w="2080" w:type="pct"/>
                  <w:vAlign w:val="center"/>
                </w:tcPr>
                <w:p>
                  <w:pPr>
                    <w:jc w:val="center"/>
                    <w:rPr>
                      <w:b/>
                      <w:bCs/>
                      <w:color w:val="auto"/>
                      <w:sz w:val="18"/>
                      <w:szCs w:val="18"/>
                      <w:highlight w:val="none"/>
                    </w:rPr>
                  </w:pPr>
                  <w:r>
                    <w:rPr>
                      <w:b/>
                      <w:bCs/>
                      <w:color w:val="auto"/>
                      <w:sz w:val="18"/>
                      <w:szCs w:val="18"/>
                      <w:highlight w:val="none"/>
                    </w:rPr>
                    <w:t>本项目情况</w:t>
                  </w:r>
                </w:p>
              </w:tc>
              <w:tc>
                <w:tcPr>
                  <w:tcW w:w="471" w:type="pct"/>
                  <w:vAlign w:val="center"/>
                </w:tcPr>
                <w:p>
                  <w:pPr>
                    <w:jc w:val="center"/>
                    <w:rPr>
                      <w:b/>
                      <w:bCs/>
                      <w:color w:val="auto"/>
                      <w:sz w:val="18"/>
                      <w:szCs w:val="18"/>
                      <w:highlight w:val="none"/>
                    </w:rPr>
                  </w:pPr>
                  <w:r>
                    <w:rPr>
                      <w:b/>
                      <w:bCs/>
                      <w:color w:val="auto"/>
                      <w:sz w:val="18"/>
                      <w:szCs w:val="18"/>
                      <w:highlight w:val="none"/>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2448" w:type="pct"/>
                  <w:vAlign w:val="center"/>
                </w:tcPr>
                <w:p>
                  <w:pPr>
                    <w:widowControl/>
                    <w:rPr>
                      <w:rFonts w:hint="default" w:eastAsia="宋体"/>
                      <w:color w:val="auto"/>
                      <w:sz w:val="18"/>
                      <w:szCs w:val="18"/>
                      <w:highlight w:val="none"/>
                      <w:lang w:val="en-US" w:eastAsia="zh-CN"/>
                    </w:rPr>
                  </w:pPr>
                  <w:r>
                    <w:rPr>
                      <w:rFonts w:hint="eastAsia"/>
                      <w:color w:val="auto"/>
                      <w:sz w:val="18"/>
                      <w:szCs w:val="18"/>
                      <w:highlight w:val="none"/>
                    </w:rPr>
                    <w:t>增加升级创新产品。升级创新产品制造工程</w:t>
                  </w:r>
                  <w:r>
                    <w:rPr>
                      <w:rFonts w:hint="eastAsia"/>
                      <w:color w:val="auto"/>
                      <w:sz w:val="18"/>
                      <w:szCs w:val="18"/>
                      <w:highlight w:val="none"/>
                      <w:lang w:val="en-US" w:eastAsia="zh-CN"/>
                    </w:rPr>
                    <w:t>包括塑料制品：新型抗菌塑料、</w:t>
                  </w:r>
                  <w:r>
                    <w:rPr>
                      <w:rFonts w:hint="eastAsia"/>
                      <w:b w:val="0"/>
                      <w:bCs w:val="0"/>
                      <w:color w:val="auto"/>
                      <w:sz w:val="18"/>
                      <w:szCs w:val="18"/>
                      <w:highlight w:val="none"/>
                      <w:lang w:val="en-US" w:eastAsia="zh-CN"/>
                    </w:rPr>
                    <w:t>面向5G通信用高端塑料、</w:t>
                  </w:r>
                  <w:r>
                    <w:rPr>
                      <w:rFonts w:hint="eastAsia"/>
                      <w:b/>
                      <w:bCs/>
                      <w:color w:val="auto"/>
                      <w:sz w:val="18"/>
                      <w:szCs w:val="18"/>
                      <w:highlight w:val="none"/>
                      <w:lang w:val="en-US" w:eastAsia="zh-CN"/>
                    </w:rPr>
                    <w:t>特种工程塑料</w:t>
                  </w:r>
                  <w:r>
                    <w:rPr>
                      <w:rFonts w:hint="eastAsia"/>
                      <w:color w:val="auto"/>
                      <w:sz w:val="18"/>
                      <w:szCs w:val="18"/>
                      <w:highlight w:val="none"/>
                      <w:lang w:val="en-US" w:eastAsia="zh-CN"/>
                    </w:rPr>
                    <w:t>、血液净化塑料、高端光学膜等。</w:t>
                  </w:r>
                </w:p>
              </w:tc>
              <w:tc>
                <w:tcPr>
                  <w:tcW w:w="2080" w:type="pct"/>
                  <w:vAlign w:val="center"/>
                </w:tcPr>
                <w:p>
                  <w:pPr>
                    <w:widowControl/>
                    <w:rPr>
                      <w:rFonts w:hint="default" w:eastAsia="宋体"/>
                      <w:color w:val="auto"/>
                      <w:sz w:val="18"/>
                      <w:szCs w:val="18"/>
                      <w:highlight w:val="none"/>
                      <w:lang w:val="en-US" w:eastAsia="zh-CN"/>
                    </w:rPr>
                  </w:pPr>
                  <w:r>
                    <w:rPr>
                      <w:rFonts w:hint="eastAsia"/>
                      <w:color w:val="auto"/>
                      <w:sz w:val="18"/>
                      <w:szCs w:val="18"/>
                      <w:highlight w:val="none"/>
                    </w:rPr>
                    <w:t>本</w:t>
                  </w:r>
                  <w:r>
                    <w:rPr>
                      <w:rFonts w:hint="eastAsia"/>
                      <w:color w:val="auto"/>
                      <w:sz w:val="18"/>
                      <w:szCs w:val="18"/>
                      <w:highlight w:val="none"/>
                      <w:lang w:val="en-US" w:eastAsia="zh-CN"/>
                    </w:rPr>
                    <w:t>扩建</w:t>
                  </w:r>
                  <w:r>
                    <w:rPr>
                      <w:rFonts w:hint="eastAsia"/>
                      <w:color w:val="auto"/>
                      <w:sz w:val="18"/>
                      <w:szCs w:val="18"/>
                      <w:highlight w:val="none"/>
                    </w:rPr>
                    <w:t>项目产品</w:t>
                  </w:r>
                  <w:r>
                    <w:rPr>
                      <w:rFonts w:hint="eastAsia"/>
                      <w:b/>
                      <w:bCs/>
                      <w:color w:val="auto"/>
                      <w:sz w:val="18"/>
                      <w:szCs w:val="18"/>
                      <w:shd w:val="clear" w:color="auto" w:fill="FFFFFF"/>
                    </w:rPr>
                    <w:t>属于特种工程塑料</w:t>
                  </w:r>
                  <w:r>
                    <w:rPr>
                      <w:rFonts w:hint="eastAsia"/>
                      <w:color w:val="auto"/>
                      <w:sz w:val="18"/>
                      <w:szCs w:val="18"/>
                      <w:shd w:val="clear" w:color="auto" w:fill="FFFFFF"/>
                      <w:lang w:eastAsia="zh-CN"/>
                    </w:rPr>
                    <w:t>。</w:t>
                  </w:r>
                </w:p>
              </w:tc>
              <w:tc>
                <w:tcPr>
                  <w:tcW w:w="471" w:type="pct"/>
                  <w:vAlign w:val="center"/>
                </w:tcPr>
                <w:p>
                  <w:pPr>
                    <w:widowControl/>
                    <w:jc w:val="center"/>
                    <w:rPr>
                      <w:color w:val="auto"/>
                      <w:kern w:val="0"/>
                      <w:sz w:val="18"/>
                      <w:szCs w:val="18"/>
                      <w:highlight w:val="none"/>
                      <w:lang w:bidi="ar"/>
                    </w:rPr>
                  </w:pPr>
                  <w:r>
                    <w:rPr>
                      <w:color w:val="auto"/>
                      <w:kern w:val="0"/>
                      <w:sz w:val="18"/>
                      <w:szCs w:val="18"/>
                      <w:highlight w:val="none"/>
                      <w:lang w:bidi="ar"/>
                    </w:rPr>
                    <w:t>符合</w:t>
                  </w:r>
                </w:p>
              </w:tc>
            </w:tr>
          </w:tbl>
          <w:p>
            <w:pPr>
              <w:keepNext/>
              <w:keepLines/>
              <w:widowControl/>
              <w:spacing w:line="360" w:lineRule="auto"/>
              <w:ind w:firstLine="422" w:firstLineChars="200"/>
              <w:jc w:val="left"/>
              <w:rPr>
                <w:rFonts w:hint="eastAsia"/>
                <w:b/>
                <w:color w:val="auto"/>
                <w:kern w:val="0"/>
                <w:sz w:val="21"/>
                <w:szCs w:val="21"/>
                <w:lang w:bidi="ar"/>
              </w:rPr>
            </w:pPr>
            <w:r>
              <w:rPr>
                <w:rFonts w:hint="eastAsia"/>
                <w:b/>
                <w:color w:val="auto"/>
                <w:kern w:val="0"/>
                <w:sz w:val="21"/>
                <w:szCs w:val="21"/>
                <w:lang w:bidi="ar"/>
              </w:rPr>
              <w:t>（</w:t>
            </w:r>
            <w:r>
              <w:rPr>
                <w:rFonts w:hint="eastAsia"/>
                <w:b/>
                <w:color w:val="auto"/>
                <w:kern w:val="0"/>
                <w:sz w:val="21"/>
                <w:szCs w:val="21"/>
                <w:lang w:val="en-US" w:eastAsia="zh-CN" w:bidi="ar"/>
              </w:rPr>
              <w:t>4</w:t>
            </w:r>
            <w:r>
              <w:rPr>
                <w:rFonts w:hint="eastAsia"/>
                <w:b/>
                <w:color w:val="auto"/>
                <w:kern w:val="0"/>
                <w:sz w:val="21"/>
                <w:szCs w:val="21"/>
                <w:lang w:bidi="ar"/>
              </w:rPr>
              <w:t>）与</w:t>
            </w:r>
            <w:r>
              <w:rPr>
                <w:rFonts w:hint="eastAsia"/>
                <w:b/>
                <w:color w:val="auto"/>
                <w:kern w:val="0"/>
                <w:sz w:val="21"/>
                <w:szCs w:val="21"/>
                <w:lang w:eastAsia="zh-CN" w:bidi="ar"/>
              </w:rPr>
              <w:t>《</w:t>
            </w:r>
            <w:r>
              <w:rPr>
                <w:rFonts w:hint="eastAsia"/>
                <w:b/>
                <w:color w:val="auto"/>
                <w:kern w:val="0"/>
                <w:sz w:val="21"/>
                <w:szCs w:val="21"/>
                <w:lang w:bidi="ar"/>
              </w:rPr>
              <w:t>关于印发“十四五”塑料污染治理行动方案的通知</w:t>
            </w:r>
            <w:r>
              <w:rPr>
                <w:rFonts w:hint="eastAsia"/>
                <w:b/>
                <w:color w:val="auto"/>
                <w:kern w:val="0"/>
                <w:sz w:val="21"/>
                <w:szCs w:val="21"/>
                <w:lang w:eastAsia="zh-CN" w:bidi="ar"/>
              </w:rPr>
              <w:t>》（</w:t>
            </w:r>
            <w:r>
              <w:rPr>
                <w:rFonts w:hint="eastAsia"/>
                <w:b/>
                <w:color w:val="auto"/>
                <w:kern w:val="0"/>
                <w:sz w:val="21"/>
                <w:szCs w:val="21"/>
                <w:lang w:bidi="ar"/>
              </w:rPr>
              <w:t>发改环资〔2021〕1298号</w:t>
            </w:r>
            <w:r>
              <w:rPr>
                <w:rFonts w:hint="eastAsia"/>
                <w:b/>
                <w:color w:val="auto"/>
                <w:kern w:val="0"/>
                <w:sz w:val="21"/>
                <w:szCs w:val="21"/>
                <w:lang w:eastAsia="zh-CN" w:bidi="ar"/>
              </w:rPr>
              <w:t>）</w:t>
            </w:r>
            <w:r>
              <w:rPr>
                <w:rFonts w:hint="eastAsia"/>
                <w:b/>
                <w:color w:val="auto"/>
                <w:kern w:val="0"/>
                <w:sz w:val="21"/>
                <w:szCs w:val="21"/>
                <w:lang w:bidi="ar"/>
              </w:rPr>
              <w:t>的符合性分析</w:t>
            </w:r>
          </w:p>
          <w:p>
            <w:pPr>
              <w:spacing w:line="360" w:lineRule="auto"/>
              <w:ind w:firstLine="480"/>
              <w:rPr>
                <w:color w:val="auto"/>
              </w:rPr>
            </w:pPr>
            <w:r>
              <w:rPr>
                <w:rFonts w:hint="eastAsia"/>
                <w:color w:val="auto"/>
                <w:lang w:val="en-US" w:eastAsia="zh-CN"/>
              </w:rPr>
              <w:t>对照</w:t>
            </w:r>
            <w:r>
              <w:rPr>
                <w:rFonts w:hint="eastAsia"/>
                <w:color w:val="auto"/>
                <w:lang w:eastAsia="zh-CN"/>
              </w:rPr>
              <w:t>《</w:t>
            </w:r>
            <w:r>
              <w:rPr>
                <w:rFonts w:hint="eastAsia"/>
                <w:color w:val="auto"/>
              </w:rPr>
              <w:t>关于印发“十四五”塑料污染治理行动方案的通知</w:t>
            </w:r>
            <w:r>
              <w:rPr>
                <w:rFonts w:hint="eastAsia"/>
                <w:color w:val="auto"/>
                <w:lang w:eastAsia="zh-CN"/>
              </w:rPr>
              <w:t>》（</w:t>
            </w:r>
            <w:r>
              <w:rPr>
                <w:rFonts w:hint="eastAsia"/>
                <w:color w:val="auto"/>
              </w:rPr>
              <w:t>发改环资〔2021〕1298号</w:t>
            </w:r>
            <w:r>
              <w:rPr>
                <w:rFonts w:hint="eastAsia"/>
                <w:color w:val="auto"/>
                <w:lang w:eastAsia="zh-CN"/>
              </w:rPr>
              <w:t>），</w:t>
            </w:r>
            <w:r>
              <w:rPr>
                <w:rFonts w:hint="eastAsia"/>
                <w:color w:val="auto"/>
                <w:lang w:val="en-US" w:eastAsia="zh-CN"/>
              </w:rPr>
              <w:t>本项目产品不属于发改环资〔2021〕1298号文中禁止生产产品，因此符合发改环资</w:t>
            </w:r>
            <w:r>
              <w:rPr>
                <w:rFonts w:hint="eastAsia"/>
                <w:color w:val="auto"/>
              </w:rPr>
              <w:t>〔2021〕1298号文要求，</w:t>
            </w:r>
            <w:r>
              <w:rPr>
                <w:color w:val="auto"/>
              </w:rPr>
              <w:t>符合性分析详见下表。</w:t>
            </w:r>
          </w:p>
          <w:p>
            <w:pPr>
              <w:spacing w:before="194" w:beforeLines="50"/>
              <w:jc w:val="center"/>
              <w:outlineLvl w:val="5"/>
              <w:rPr>
                <w:rFonts w:hint="eastAsia" w:eastAsia="宋体" w:cs="Times New Roman"/>
                <w:b/>
                <w:color w:val="auto"/>
                <w:spacing w:val="0"/>
                <w:sz w:val="21"/>
                <w:szCs w:val="21"/>
              </w:rPr>
            </w:pPr>
            <w:r>
              <w:rPr>
                <w:rFonts w:hint="eastAsia" w:eastAsia="宋体" w:cs="Times New Roman"/>
                <w:b/>
                <w:color w:val="auto"/>
                <w:spacing w:val="0"/>
                <w:sz w:val="21"/>
                <w:szCs w:val="21"/>
              </w:rPr>
              <w:t>表1-</w:t>
            </w:r>
            <w:r>
              <w:rPr>
                <w:rFonts w:hint="eastAsia" w:eastAsia="宋体" w:cs="Times New Roman"/>
                <w:b/>
                <w:color w:val="auto"/>
                <w:spacing w:val="0"/>
                <w:sz w:val="21"/>
                <w:szCs w:val="21"/>
                <w:lang w:val="en-US" w:eastAsia="zh-CN"/>
              </w:rPr>
              <w:t>4</w:t>
            </w:r>
            <w:r>
              <w:rPr>
                <w:rFonts w:hint="eastAsia" w:eastAsia="宋体" w:cs="Times New Roman"/>
                <w:b/>
                <w:color w:val="auto"/>
                <w:spacing w:val="0"/>
                <w:sz w:val="21"/>
                <w:szCs w:val="21"/>
              </w:rPr>
              <w:t xml:space="preserve"> </w:t>
            </w:r>
            <w:r>
              <w:rPr>
                <w:rFonts w:hint="eastAsia" w:eastAsia="宋体" w:cs="Times New Roman"/>
                <w:b/>
                <w:color w:val="auto"/>
                <w:spacing w:val="0"/>
                <w:sz w:val="21"/>
                <w:szCs w:val="21"/>
                <w:lang w:eastAsia="zh-CN"/>
              </w:rPr>
              <w:t>《</w:t>
            </w:r>
            <w:r>
              <w:rPr>
                <w:rFonts w:hint="eastAsia" w:eastAsia="宋体" w:cs="Times New Roman"/>
                <w:b/>
                <w:color w:val="auto"/>
                <w:spacing w:val="0"/>
                <w:sz w:val="21"/>
                <w:szCs w:val="21"/>
              </w:rPr>
              <w:t>关于印发“十四五”塑料污染治理行动方案的通知</w:t>
            </w:r>
            <w:r>
              <w:rPr>
                <w:rFonts w:hint="eastAsia" w:eastAsia="宋体" w:cs="Times New Roman"/>
                <w:b/>
                <w:color w:val="auto"/>
                <w:spacing w:val="0"/>
                <w:sz w:val="21"/>
                <w:szCs w:val="21"/>
                <w:lang w:eastAsia="zh-CN"/>
              </w:rPr>
              <w:t>》</w:t>
            </w:r>
            <w:r>
              <w:rPr>
                <w:rFonts w:hint="eastAsia" w:eastAsia="宋体" w:cs="Times New Roman"/>
                <w:b/>
                <w:color w:val="auto"/>
                <w:spacing w:val="0"/>
                <w:sz w:val="21"/>
                <w:szCs w:val="21"/>
              </w:rPr>
              <w:t>符合性分析</w:t>
            </w:r>
          </w:p>
          <w:tbl>
            <w:tblPr>
              <w:tblStyle w:val="19"/>
              <w:tblW w:w="495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8"/>
              <w:gridCol w:w="3838"/>
              <w:gridCol w:w="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5" w:hRule="atLeast"/>
                <w:jc w:val="center"/>
              </w:trPr>
              <w:tc>
                <w:tcPr>
                  <w:tcW w:w="1668" w:type="pct"/>
                  <w:vAlign w:val="center"/>
                </w:tcPr>
                <w:p>
                  <w:pPr>
                    <w:jc w:val="center"/>
                    <w:rPr>
                      <w:rFonts w:hint="default" w:eastAsia="宋体"/>
                      <w:b/>
                      <w:bCs/>
                      <w:color w:val="auto"/>
                      <w:sz w:val="18"/>
                      <w:szCs w:val="18"/>
                      <w:lang w:val="en-US" w:eastAsia="zh-CN"/>
                    </w:rPr>
                  </w:pPr>
                  <w:r>
                    <w:rPr>
                      <w:rFonts w:hint="eastAsia"/>
                      <w:b/>
                      <w:bCs/>
                      <w:color w:val="auto"/>
                      <w:sz w:val="18"/>
                      <w:szCs w:val="18"/>
                      <w:lang w:val="en-US" w:eastAsia="zh-CN"/>
                    </w:rPr>
                    <w:t>相关要求</w:t>
                  </w:r>
                </w:p>
              </w:tc>
              <w:tc>
                <w:tcPr>
                  <w:tcW w:w="2860" w:type="pct"/>
                  <w:vAlign w:val="center"/>
                </w:tcPr>
                <w:p>
                  <w:pPr>
                    <w:jc w:val="center"/>
                    <w:rPr>
                      <w:b/>
                      <w:bCs/>
                      <w:color w:val="auto"/>
                      <w:sz w:val="18"/>
                      <w:szCs w:val="18"/>
                    </w:rPr>
                  </w:pPr>
                  <w:r>
                    <w:rPr>
                      <w:b/>
                      <w:bCs/>
                      <w:color w:val="auto"/>
                      <w:sz w:val="18"/>
                      <w:szCs w:val="18"/>
                    </w:rPr>
                    <w:t>本项目情况</w:t>
                  </w:r>
                </w:p>
              </w:tc>
              <w:tc>
                <w:tcPr>
                  <w:tcW w:w="471" w:type="pct"/>
                  <w:vAlign w:val="center"/>
                </w:tcPr>
                <w:p>
                  <w:pPr>
                    <w:jc w:val="center"/>
                    <w:rPr>
                      <w:b/>
                      <w:bCs/>
                      <w:color w:val="auto"/>
                      <w:sz w:val="18"/>
                      <w:szCs w:val="18"/>
                    </w:rPr>
                  </w:pPr>
                  <w:r>
                    <w:rPr>
                      <w:b/>
                      <w:bCs/>
                      <w:color w:val="auto"/>
                      <w:sz w:val="18"/>
                      <w:szCs w:val="18"/>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1668" w:type="pct"/>
                  <w:vAlign w:val="center"/>
                </w:tcPr>
                <w:p>
                  <w:pPr>
                    <w:widowControl/>
                    <w:rPr>
                      <w:rFonts w:hint="default" w:eastAsia="宋体"/>
                      <w:color w:val="auto"/>
                      <w:sz w:val="18"/>
                      <w:szCs w:val="18"/>
                      <w:lang w:val="en-US" w:eastAsia="zh-CN"/>
                    </w:rPr>
                  </w:pPr>
                  <w:r>
                    <w:rPr>
                      <w:rFonts w:hint="eastAsia"/>
                      <w:color w:val="auto"/>
                      <w:sz w:val="18"/>
                      <w:szCs w:val="18"/>
                    </w:rPr>
                    <w:t>禁止生产厚度小于0.025毫米的超薄塑料购物袋、厚度小于0.01毫米的聚乙烯农用地膜、含塑料微珠日化产品等部分危害环境和人体健康的产品。</w:t>
                  </w:r>
                </w:p>
              </w:tc>
              <w:tc>
                <w:tcPr>
                  <w:tcW w:w="2860" w:type="pct"/>
                  <w:vAlign w:val="center"/>
                </w:tcPr>
                <w:p>
                  <w:pPr>
                    <w:widowControl/>
                    <w:rPr>
                      <w:rFonts w:hint="eastAsia" w:eastAsia="宋体"/>
                      <w:color w:val="auto"/>
                      <w:sz w:val="18"/>
                      <w:szCs w:val="18"/>
                      <w:lang w:val="en-US" w:eastAsia="zh-CN"/>
                    </w:rPr>
                  </w:pPr>
                  <w:r>
                    <w:rPr>
                      <w:rFonts w:hint="eastAsia"/>
                      <w:b/>
                      <w:bCs/>
                      <w:color w:val="auto"/>
                      <w:sz w:val="18"/>
                      <w:szCs w:val="18"/>
                    </w:rPr>
                    <w:t>本</w:t>
                  </w:r>
                  <w:r>
                    <w:rPr>
                      <w:rFonts w:hint="eastAsia"/>
                      <w:b/>
                      <w:bCs/>
                      <w:color w:val="auto"/>
                      <w:sz w:val="18"/>
                      <w:szCs w:val="18"/>
                      <w:lang w:val="en-US" w:eastAsia="zh-CN"/>
                    </w:rPr>
                    <w:t>扩建</w:t>
                  </w:r>
                  <w:r>
                    <w:rPr>
                      <w:rFonts w:hint="eastAsia"/>
                      <w:b/>
                      <w:bCs/>
                      <w:color w:val="auto"/>
                      <w:sz w:val="18"/>
                      <w:szCs w:val="18"/>
                    </w:rPr>
                    <w:t>项目</w:t>
                  </w:r>
                  <w:r>
                    <w:rPr>
                      <w:rFonts w:hint="eastAsia"/>
                      <w:b/>
                      <w:bCs/>
                      <w:color w:val="auto"/>
                      <w:sz w:val="18"/>
                      <w:szCs w:val="18"/>
                      <w:lang w:val="en-US" w:eastAsia="zh-CN"/>
                    </w:rPr>
                    <w:t>产品</w:t>
                  </w:r>
                  <w:r>
                    <w:rPr>
                      <w:rFonts w:hint="eastAsia"/>
                      <w:color w:val="auto"/>
                      <w:sz w:val="20"/>
                      <w:szCs w:val="22"/>
                      <w:lang w:val="en-US" w:eastAsia="zh-CN"/>
                    </w:rPr>
                    <w:t>主要用于微电子封装、柔性显示、航空航天及高频通信等领域</w:t>
                  </w:r>
                  <w:r>
                    <w:rPr>
                      <w:rFonts w:hint="eastAsia"/>
                      <w:color w:val="auto"/>
                      <w:sz w:val="20"/>
                      <w:szCs w:val="22"/>
                      <w:lang w:eastAsia="zh-CN"/>
                    </w:rPr>
                    <w:t>，</w:t>
                  </w:r>
                  <w:r>
                    <w:rPr>
                      <w:rFonts w:hint="eastAsia"/>
                      <w:color w:val="auto"/>
                      <w:sz w:val="18"/>
                      <w:szCs w:val="18"/>
                      <w:lang w:val="en-US" w:eastAsia="zh-CN"/>
                    </w:rPr>
                    <w:t>不属于</w:t>
                  </w:r>
                  <w:r>
                    <w:rPr>
                      <w:rFonts w:hint="eastAsia"/>
                      <w:color w:val="auto"/>
                      <w:sz w:val="18"/>
                      <w:szCs w:val="18"/>
                    </w:rPr>
                    <w:t>厚度小于0.025毫米的超薄塑料购物袋、厚度小于0.01毫米的聚乙烯农用地膜、含塑料微珠日化产品等部分危害环境和人体健康的产品</w:t>
                  </w:r>
                  <w:r>
                    <w:rPr>
                      <w:rFonts w:hint="eastAsia"/>
                      <w:color w:val="auto"/>
                      <w:sz w:val="18"/>
                      <w:szCs w:val="18"/>
                      <w:lang w:val="en-US" w:eastAsia="zh-CN"/>
                    </w:rPr>
                    <w:t>范畴。</w:t>
                  </w:r>
                </w:p>
              </w:tc>
              <w:tc>
                <w:tcPr>
                  <w:tcW w:w="471" w:type="pct"/>
                  <w:vAlign w:val="center"/>
                </w:tcPr>
                <w:p>
                  <w:pPr>
                    <w:widowControl/>
                    <w:jc w:val="center"/>
                    <w:rPr>
                      <w:color w:val="auto"/>
                      <w:kern w:val="0"/>
                      <w:sz w:val="18"/>
                      <w:szCs w:val="18"/>
                      <w:lang w:bidi="ar"/>
                    </w:rPr>
                  </w:pPr>
                  <w:r>
                    <w:rPr>
                      <w:color w:val="auto"/>
                      <w:kern w:val="0"/>
                      <w:sz w:val="18"/>
                      <w:szCs w:val="18"/>
                      <w:lang w:bidi="ar"/>
                    </w:rPr>
                    <w:t>符合</w:t>
                  </w:r>
                </w:p>
              </w:tc>
            </w:tr>
          </w:tbl>
          <w:p>
            <w:pPr>
              <w:keepNext/>
              <w:keepLines/>
              <w:widowControl/>
              <w:spacing w:line="360" w:lineRule="auto"/>
              <w:ind w:firstLine="422" w:firstLineChars="200"/>
              <w:jc w:val="left"/>
              <w:rPr>
                <w:rFonts w:hint="eastAsia"/>
                <w:b/>
                <w:color w:val="auto"/>
                <w:kern w:val="0"/>
                <w:sz w:val="21"/>
                <w:szCs w:val="21"/>
                <w:lang w:bidi="ar"/>
              </w:rPr>
            </w:pPr>
            <w:r>
              <w:rPr>
                <w:rFonts w:hint="eastAsia"/>
                <w:b/>
                <w:color w:val="auto"/>
                <w:kern w:val="0"/>
                <w:sz w:val="21"/>
                <w:szCs w:val="21"/>
                <w:lang w:bidi="ar"/>
              </w:rPr>
              <w:t>（</w:t>
            </w:r>
            <w:r>
              <w:rPr>
                <w:rFonts w:hint="eastAsia"/>
                <w:b/>
                <w:color w:val="auto"/>
                <w:kern w:val="0"/>
                <w:sz w:val="21"/>
                <w:szCs w:val="21"/>
                <w:lang w:val="en-US" w:eastAsia="zh-CN" w:bidi="ar"/>
              </w:rPr>
              <w:t>5</w:t>
            </w:r>
            <w:r>
              <w:rPr>
                <w:rFonts w:hint="eastAsia"/>
                <w:b/>
                <w:color w:val="auto"/>
                <w:kern w:val="0"/>
                <w:sz w:val="21"/>
                <w:szCs w:val="21"/>
                <w:lang w:bidi="ar"/>
              </w:rPr>
              <w:t>）与《挥发性有机物（VOCs）污染防治技术政策》</w:t>
            </w:r>
            <w:r>
              <w:rPr>
                <w:rFonts w:hint="eastAsia"/>
                <w:b/>
                <w:color w:val="auto"/>
                <w:kern w:val="0"/>
                <w:sz w:val="21"/>
                <w:szCs w:val="21"/>
                <w:lang w:eastAsia="zh-CN" w:bidi="ar"/>
              </w:rPr>
              <w:t>（</w:t>
            </w:r>
            <w:r>
              <w:rPr>
                <w:rFonts w:hint="eastAsia"/>
                <w:b/>
                <w:color w:val="auto"/>
                <w:kern w:val="0"/>
                <w:sz w:val="21"/>
                <w:szCs w:val="21"/>
                <w:lang w:val="en-US" w:eastAsia="zh-CN" w:bidi="ar"/>
              </w:rPr>
              <w:t>原</w:t>
            </w:r>
            <w:r>
              <w:rPr>
                <w:rFonts w:hint="eastAsia"/>
                <w:b/>
                <w:color w:val="auto"/>
                <w:kern w:val="0"/>
                <w:sz w:val="21"/>
                <w:szCs w:val="21"/>
                <w:lang w:bidi="ar"/>
              </w:rPr>
              <w:t>环境保护部公告 2013年 第31号</w:t>
            </w:r>
            <w:r>
              <w:rPr>
                <w:rFonts w:hint="eastAsia"/>
                <w:b/>
                <w:color w:val="auto"/>
                <w:kern w:val="0"/>
                <w:sz w:val="21"/>
                <w:szCs w:val="21"/>
                <w:lang w:eastAsia="zh-CN" w:bidi="ar"/>
              </w:rPr>
              <w:t>）</w:t>
            </w:r>
            <w:r>
              <w:rPr>
                <w:rFonts w:hint="eastAsia"/>
                <w:b/>
                <w:color w:val="auto"/>
                <w:kern w:val="0"/>
                <w:sz w:val="21"/>
                <w:szCs w:val="21"/>
                <w:lang w:bidi="ar"/>
              </w:rPr>
              <w:t>的符合性分析</w:t>
            </w:r>
          </w:p>
          <w:p>
            <w:pPr>
              <w:spacing w:line="360" w:lineRule="auto"/>
              <w:ind w:firstLine="480"/>
              <w:rPr>
                <w:b/>
                <w:color w:val="auto"/>
              </w:rPr>
            </w:pPr>
            <w:r>
              <w:rPr>
                <w:rFonts w:hint="eastAsia"/>
                <w:color w:val="auto"/>
                <w:lang w:val="en-US" w:eastAsia="zh-CN"/>
              </w:rPr>
              <w:t>对照</w:t>
            </w:r>
            <w:r>
              <w:rPr>
                <w:color w:val="auto"/>
              </w:rPr>
              <w:t>《挥发性有机物（VOCs）污染防治技术政策》</w:t>
            </w:r>
            <w:r>
              <w:rPr>
                <w:rStyle w:val="23"/>
                <w:rFonts w:hint="eastAsia"/>
                <w:color w:val="auto"/>
                <w:lang w:eastAsia="zh-CN"/>
              </w:rPr>
              <w:t>（</w:t>
            </w:r>
            <w:r>
              <w:rPr>
                <w:rStyle w:val="23"/>
                <w:rFonts w:hint="eastAsia"/>
                <w:color w:val="auto"/>
                <w:lang w:val="en-US" w:eastAsia="zh-CN"/>
              </w:rPr>
              <w:t>原</w:t>
            </w:r>
            <w:r>
              <w:rPr>
                <w:rStyle w:val="23"/>
                <w:rFonts w:hint="eastAsia"/>
                <w:color w:val="auto"/>
              </w:rPr>
              <w:t>环境保护部公告 2013年 第31号</w:t>
            </w:r>
            <w:r>
              <w:rPr>
                <w:rStyle w:val="23"/>
                <w:rFonts w:hint="eastAsia"/>
                <w:color w:val="auto"/>
                <w:lang w:eastAsia="zh-CN"/>
              </w:rPr>
              <w:t>），</w:t>
            </w:r>
            <w:r>
              <w:rPr>
                <w:rStyle w:val="23"/>
                <w:rFonts w:hint="eastAsia"/>
                <w:color w:val="auto"/>
                <w:lang w:val="en-US" w:eastAsia="zh-CN"/>
              </w:rPr>
              <w:t>本项目有机废气采取的废气治理设施满足《挥发性有机物（VOCs）污染防治技术政策》的要求，</w:t>
            </w:r>
            <w:r>
              <w:rPr>
                <w:color w:val="auto"/>
              </w:rPr>
              <w:t>符合性分析详见下表。</w:t>
            </w:r>
          </w:p>
          <w:p>
            <w:pPr>
              <w:spacing w:before="194" w:beforeLines="50"/>
              <w:jc w:val="center"/>
              <w:outlineLvl w:val="5"/>
              <w:rPr>
                <w:b/>
                <w:color w:val="auto"/>
              </w:rPr>
            </w:pPr>
            <w:r>
              <w:rPr>
                <w:rFonts w:hint="eastAsia" w:eastAsia="宋体" w:cs="Times New Roman"/>
                <w:b/>
                <w:color w:val="auto"/>
                <w:spacing w:val="0"/>
                <w:sz w:val="21"/>
                <w:szCs w:val="21"/>
              </w:rPr>
              <w:t>表1-</w:t>
            </w:r>
            <w:r>
              <w:rPr>
                <w:rFonts w:hint="eastAsia" w:eastAsia="宋体" w:cs="Times New Roman"/>
                <w:b/>
                <w:color w:val="auto"/>
                <w:spacing w:val="0"/>
                <w:sz w:val="21"/>
                <w:szCs w:val="21"/>
                <w:lang w:val="en-US" w:eastAsia="zh-CN"/>
              </w:rPr>
              <w:t>5</w:t>
            </w:r>
            <w:r>
              <w:rPr>
                <w:rFonts w:hint="eastAsia" w:eastAsia="宋体" w:cs="Times New Roman"/>
                <w:b/>
                <w:color w:val="auto"/>
                <w:spacing w:val="0"/>
                <w:sz w:val="21"/>
                <w:szCs w:val="21"/>
              </w:rPr>
              <w:t xml:space="preserve"> 《挥发性有机物（VOCs）污染防治技术政策》符合性分析</w:t>
            </w:r>
          </w:p>
          <w:tbl>
            <w:tblPr>
              <w:tblStyle w:val="19"/>
              <w:tblW w:w="495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9"/>
              <w:gridCol w:w="3837"/>
              <w:gridCol w:w="6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668" w:type="pct"/>
                  <w:vAlign w:val="center"/>
                </w:tcPr>
                <w:p>
                  <w:pPr>
                    <w:jc w:val="center"/>
                    <w:rPr>
                      <w:b/>
                      <w:bCs/>
                      <w:color w:val="auto"/>
                      <w:sz w:val="18"/>
                      <w:szCs w:val="18"/>
                    </w:rPr>
                  </w:pPr>
                  <w:r>
                    <w:rPr>
                      <w:b/>
                      <w:bCs/>
                      <w:color w:val="auto"/>
                      <w:sz w:val="18"/>
                      <w:szCs w:val="18"/>
                    </w:rPr>
                    <w:t>有关控制要求</w:t>
                  </w:r>
                </w:p>
              </w:tc>
              <w:tc>
                <w:tcPr>
                  <w:tcW w:w="2859" w:type="pct"/>
                  <w:vAlign w:val="center"/>
                </w:tcPr>
                <w:p>
                  <w:pPr>
                    <w:jc w:val="center"/>
                    <w:rPr>
                      <w:b/>
                      <w:bCs/>
                      <w:color w:val="auto"/>
                      <w:sz w:val="18"/>
                      <w:szCs w:val="18"/>
                    </w:rPr>
                  </w:pPr>
                  <w:r>
                    <w:rPr>
                      <w:b/>
                      <w:bCs/>
                      <w:color w:val="auto"/>
                      <w:sz w:val="18"/>
                      <w:szCs w:val="18"/>
                    </w:rPr>
                    <w:t>本项目情况</w:t>
                  </w:r>
                </w:p>
              </w:tc>
              <w:tc>
                <w:tcPr>
                  <w:tcW w:w="472" w:type="pct"/>
                  <w:vAlign w:val="center"/>
                </w:tcPr>
                <w:p>
                  <w:pPr>
                    <w:jc w:val="center"/>
                    <w:rPr>
                      <w:b/>
                      <w:bCs/>
                      <w:color w:val="auto"/>
                      <w:sz w:val="18"/>
                      <w:szCs w:val="18"/>
                    </w:rPr>
                  </w:pPr>
                  <w:r>
                    <w:rPr>
                      <w:b/>
                      <w:bCs/>
                      <w:color w:val="auto"/>
                      <w:sz w:val="18"/>
                      <w:szCs w:val="18"/>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1668" w:type="pct"/>
                  <w:vAlign w:val="center"/>
                </w:tcPr>
                <w:p>
                  <w:pPr>
                    <w:widowControl/>
                    <w:rPr>
                      <w:color w:val="auto"/>
                      <w:sz w:val="18"/>
                      <w:szCs w:val="18"/>
                    </w:rPr>
                  </w:pPr>
                  <w:r>
                    <w:rPr>
                      <w:rFonts w:hint="eastAsia"/>
                      <w:color w:val="auto"/>
                      <w:sz w:val="18"/>
                      <w:szCs w:val="18"/>
                    </w:rPr>
                    <w:t>鼓励采用密闭一体化生产技术。</w:t>
                  </w:r>
                </w:p>
              </w:tc>
              <w:tc>
                <w:tcPr>
                  <w:tcW w:w="2859" w:type="pct"/>
                  <w:vAlign w:val="center"/>
                </w:tcPr>
                <w:p>
                  <w:pPr>
                    <w:widowControl/>
                    <w:rPr>
                      <w:color w:val="auto"/>
                      <w:sz w:val="18"/>
                      <w:szCs w:val="18"/>
                    </w:rPr>
                  </w:pPr>
                  <w:r>
                    <w:rPr>
                      <w:rFonts w:hint="eastAsia"/>
                      <w:color w:val="auto"/>
                      <w:sz w:val="18"/>
                      <w:szCs w:val="18"/>
                    </w:rPr>
                    <w:t>本扩建项目工序均在</w:t>
                  </w:r>
                  <w:r>
                    <w:rPr>
                      <w:rFonts w:hint="eastAsia"/>
                      <w:b/>
                      <w:bCs/>
                      <w:color w:val="auto"/>
                      <w:sz w:val="18"/>
                      <w:szCs w:val="18"/>
                    </w:rPr>
                    <w:t>密闭一体化设备</w:t>
                  </w:r>
                  <w:r>
                    <w:rPr>
                      <w:rFonts w:hint="eastAsia"/>
                      <w:color w:val="auto"/>
                      <w:sz w:val="18"/>
                      <w:szCs w:val="18"/>
                    </w:rPr>
                    <w:t>内完成。</w:t>
                  </w:r>
                </w:p>
              </w:tc>
              <w:tc>
                <w:tcPr>
                  <w:tcW w:w="472" w:type="pct"/>
                  <w:vAlign w:val="center"/>
                </w:tcPr>
                <w:p>
                  <w:pPr>
                    <w:widowControl/>
                    <w:jc w:val="center"/>
                    <w:rPr>
                      <w:color w:val="auto"/>
                      <w:kern w:val="0"/>
                      <w:sz w:val="18"/>
                      <w:szCs w:val="18"/>
                      <w:lang w:bidi="ar"/>
                    </w:rPr>
                  </w:pPr>
                  <w:r>
                    <w:rPr>
                      <w:color w:val="auto"/>
                      <w:kern w:val="0"/>
                      <w:sz w:val="18"/>
                      <w:szCs w:val="18"/>
                      <w:lang w:bidi="ar"/>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1668" w:type="pct"/>
                  <w:vAlign w:val="center"/>
                </w:tcPr>
                <w:p>
                  <w:pPr>
                    <w:widowControl/>
                    <w:rPr>
                      <w:color w:val="auto"/>
                      <w:sz w:val="18"/>
                      <w:szCs w:val="18"/>
                    </w:rPr>
                  </w:pPr>
                  <w:r>
                    <w:rPr>
                      <w:rFonts w:hint="eastAsia"/>
                      <w:color w:val="auto"/>
                      <w:sz w:val="18"/>
                      <w:szCs w:val="18"/>
                    </w:rPr>
                    <w:t>含VOCs产品的使用过程中，应采取废气收集措施，提高废气收集效率，减少废气的无组织排放与逸散，并对收集后的废气进行回收或处理后达标排放。</w:t>
                  </w:r>
                </w:p>
              </w:tc>
              <w:tc>
                <w:tcPr>
                  <w:tcW w:w="2859" w:type="pct"/>
                  <w:vAlign w:val="center"/>
                </w:tcPr>
                <w:p>
                  <w:pPr>
                    <w:widowControl/>
                    <w:rPr>
                      <w:color w:val="auto"/>
                      <w:sz w:val="18"/>
                      <w:szCs w:val="18"/>
                    </w:rPr>
                  </w:pPr>
                  <w:r>
                    <w:rPr>
                      <w:rFonts w:hint="eastAsia"/>
                      <w:color w:val="auto"/>
                      <w:sz w:val="18"/>
                      <w:szCs w:val="18"/>
                    </w:rPr>
                    <w:t>本</w:t>
                  </w:r>
                  <w:r>
                    <w:rPr>
                      <w:rFonts w:hint="eastAsia"/>
                      <w:color w:val="auto"/>
                      <w:sz w:val="18"/>
                      <w:szCs w:val="18"/>
                      <w:lang w:val="en-US" w:eastAsia="zh-CN"/>
                    </w:rPr>
                    <w:t>扩建</w:t>
                  </w:r>
                  <w:r>
                    <w:rPr>
                      <w:rFonts w:hint="eastAsia"/>
                      <w:color w:val="auto"/>
                      <w:sz w:val="18"/>
                      <w:szCs w:val="18"/>
                    </w:rPr>
                    <w:t>项目含VOCs原辅料使用及</w:t>
                  </w:r>
                  <w:r>
                    <w:rPr>
                      <w:rFonts w:hint="eastAsia"/>
                      <w:color w:val="auto"/>
                      <w:sz w:val="18"/>
                      <w:szCs w:val="18"/>
                      <w:lang w:val="en-US" w:eastAsia="zh-CN"/>
                    </w:rPr>
                    <w:t>产品</w:t>
                  </w:r>
                  <w:r>
                    <w:rPr>
                      <w:rFonts w:hint="eastAsia"/>
                      <w:color w:val="auto"/>
                      <w:sz w:val="18"/>
                      <w:szCs w:val="18"/>
                    </w:rPr>
                    <w:t>生产过程产生的有机废气经</w:t>
                  </w:r>
                  <w:r>
                    <w:rPr>
                      <w:rFonts w:hint="eastAsia"/>
                      <w:b/>
                      <w:bCs/>
                      <w:color w:val="auto"/>
                      <w:sz w:val="18"/>
                      <w:szCs w:val="18"/>
                      <w:lang w:val="en-US" w:eastAsia="zh-CN"/>
                    </w:rPr>
                    <w:t>密闭设备和密闭洁净房的</w:t>
                  </w:r>
                  <w:r>
                    <w:rPr>
                      <w:rFonts w:hint="eastAsia"/>
                      <w:b/>
                      <w:bCs/>
                      <w:color w:val="auto"/>
                      <w:sz w:val="18"/>
                      <w:szCs w:val="18"/>
                    </w:rPr>
                    <w:t>管道集中收集</w:t>
                  </w:r>
                  <w:r>
                    <w:rPr>
                      <w:rFonts w:hint="eastAsia"/>
                      <w:color w:val="auto"/>
                      <w:sz w:val="18"/>
                      <w:szCs w:val="18"/>
                      <w:lang w:eastAsia="zh-CN"/>
                    </w:rPr>
                    <w:t>，</w:t>
                  </w:r>
                  <w:r>
                    <w:rPr>
                      <w:rFonts w:hint="eastAsia"/>
                      <w:color w:val="auto"/>
                      <w:sz w:val="18"/>
                      <w:szCs w:val="18"/>
                    </w:rPr>
                    <w:t>减少废气的无组织排放，</w:t>
                  </w:r>
                  <w:r>
                    <w:rPr>
                      <w:rFonts w:hint="eastAsia"/>
                      <w:color w:val="auto"/>
                      <w:sz w:val="18"/>
                      <w:szCs w:val="18"/>
                      <w:lang w:val="en-US" w:eastAsia="zh-CN"/>
                    </w:rPr>
                    <w:t>收集废气</w:t>
                  </w:r>
                  <w:r>
                    <w:rPr>
                      <w:rFonts w:hint="eastAsia"/>
                      <w:color w:val="auto"/>
                      <w:sz w:val="18"/>
                      <w:szCs w:val="18"/>
                    </w:rPr>
                    <w:t>通</w:t>
                  </w:r>
                  <w:r>
                    <w:rPr>
                      <w:rFonts w:hint="eastAsia"/>
                      <w:b w:val="0"/>
                      <w:bCs w:val="0"/>
                      <w:color w:val="auto"/>
                      <w:sz w:val="18"/>
                      <w:szCs w:val="18"/>
                    </w:rPr>
                    <w:t>过</w:t>
                  </w:r>
                  <w:r>
                    <w:rPr>
                      <w:rFonts w:hint="eastAsia"/>
                      <w:b/>
                      <w:bCs/>
                      <w:color w:val="auto"/>
                      <w:sz w:val="18"/>
                      <w:szCs w:val="18"/>
                    </w:rPr>
                    <w:t>二级冷凝</w:t>
                  </w:r>
                  <w:r>
                    <w:rPr>
                      <w:rFonts w:hint="eastAsia"/>
                      <w:b/>
                      <w:bCs/>
                      <w:color w:val="auto"/>
                      <w:sz w:val="18"/>
                      <w:szCs w:val="18"/>
                      <w:lang w:val="en-US" w:eastAsia="zh-CN"/>
                    </w:rPr>
                    <w:t>回收</w:t>
                  </w:r>
                  <w:r>
                    <w:rPr>
                      <w:rFonts w:hint="eastAsia"/>
                      <w:b/>
                      <w:bCs/>
                      <w:color w:val="auto"/>
                      <w:sz w:val="18"/>
                      <w:szCs w:val="18"/>
                    </w:rPr>
                    <w:t>+一级循环水喷淋</w:t>
                  </w:r>
                  <w:r>
                    <w:rPr>
                      <w:rFonts w:hint="eastAsia"/>
                      <w:b/>
                      <w:bCs/>
                      <w:color w:val="auto"/>
                      <w:sz w:val="18"/>
                      <w:szCs w:val="18"/>
                      <w:lang w:eastAsia="zh-CN"/>
                    </w:rPr>
                    <w:t>（</w:t>
                  </w:r>
                  <w:r>
                    <w:rPr>
                      <w:rFonts w:hint="eastAsia"/>
                      <w:b/>
                      <w:bCs/>
                      <w:color w:val="auto"/>
                      <w:sz w:val="18"/>
                      <w:szCs w:val="18"/>
                      <w:lang w:val="en-US" w:eastAsia="zh-CN"/>
                    </w:rPr>
                    <w:t>末端自带水雾干燥</w:t>
                  </w:r>
                  <w:r>
                    <w:rPr>
                      <w:rFonts w:hint="eastAsia"/>
                      <w:b/>
                      <w:bCs/>
                      <w:color w:val="auto"/>
                      <w:sz w:val="18"/>
                      <w:szCs w:val="18"/>
                      <w:lang w:eastAsia="zh-CN"/>
                    </w:rPr>
                    <w:t>）</w:t>
                  </w:r>
                  <w:r>
                    <w:rPr>
                      <w:rFonts w:hint="eastAsia"/>
                      <w:b/>
                      <w:bCs/>
                      <w:color w:val="auto"/>
                      <w:sz w:val="18"/>
                      <w:szCs w:val="18"/>
                    </w:rPr>
                    <w:t>+活性炭吸附处理</w:t>
                  </w:r>
                  <w:r>
                    <w:rPr>
                      <w:rFonts w:hint="eastAsia"/>
                      <w:color w:val="auto"/>
                      <w:sz w:val="18"/>
                      <w:szCs w:val="18"/>
                    </w:rPr>
                    <w:t>，最终由</w:t>
                  </w:r>
                  <w:r>
                    <w:rPr>
                      <w:rFonts w:hint="eastAsia"/>
                      <w:color w:val="auto"/>
                      <w:sz w:val="18"/>
                      <w:szCs w:val="18"/>
                      <w:lang w:val="en-US" w:eastAsia="zh-CN"/>
                    </w:rPr>
                    <w:t>1根</w:t>
                  </w:r>
                  <w:r>
                    <w:rPr>
                      <w:rFonts w:hint="eastAsia"/>
                      <w:color w:val="auto"/>
                      <w:sz w:val="18"/>
                      <w:szCs w:val="18"/>
                    </w:rPr>
                    <w:t>15米高排气筒</w:t>
                  </w:r>
                  <w:r>
                    <w:rPr>
                      <w:rFonts w:hint="eastAsia"/>
                      <w:color w:val="auto"/>
                      <w:sz w:val="18"/>
                      <w:szCs w:val="18"/>
                      <w:lang w:val="en-US" w:eastAsia="zh-CN"/>
                    </w:rPr>
                    <w:t>DA013</w:t>
                  </w:r>
                  <w:r>
                    <w:rPr>
                      <w:rFonts w:hint="eastAsia"/>
                      <w:color w:val="auto"/>
                      <w:sz w:val="18"/>
                      <w:szCs w:val="18"/>
                    </w:rPr>
                    <w:t>达标排放。</w:t>
                  </w:r>
                </w:p>
              </w:tc>
              <w:tc>
                <w:tcPr>
                  <w:tcW w:w="472" w:type="pct"/>
                  <w:vAlign w:val="center"/>
                </w:tcPr>
                <w:p>
                  <w:pPr>
                    <w:widowControl/>
                    <w:jc w:val="center"/>
                    <w:rPr>
                      <w:color w:val="auto"/>
                      <w:kern w:val="0"/>
                      <w:sz w:val="18"/>
                      <w:szCs w:val="18"/>
                      <w:lang w:bidi="ar"/>
                    </w:rPr>
                  </w:pPr>
                  <w:r>
                    <w:rPr>
                      <w:color w:val="auto"/>
                      <w:kern w:val="0"/>
                      <w:sz w:val="18"/>
                      <w:szCs w:val="18"/>
                      <w:lang w:bidi="ar"/>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68" w:type="pct"/>
                  <w:vAlign w:val="center"/>
                </w:tcPr>
                <w:p>
                  <w:pPr>
                    <w:widowControl/>
                    <w:rPr>
                      <w:color w:val="auto"/>
                      <w:sz w:val="18"/>
                      <w:szCs w:val="18"/>
                    </w:rPr>
                  </w:pPr>
                  <w:r>
                    <w:rPr>
                      <w:rFonts w:hint="eastAsia"/>
                      <w:color w:val="auto"/>
                      <w:sz w:val="18"/>
                      <w:szCs w:val="18"/>
                    </w:rPr>
                    <w:t>对于含高浓度VOCs的废气，宜优先采用冷凝回收、吸附回收技术进行回收利用，并辅助以其他治理技术实现达标排放。</w:t>
                  </w:r>
                </w:p>
              </w:tc>
              <w:tc>
                <w:tcPr>
                  <w:tcW w:w="2859" w:type="pct"/>
                  <w:vAlign w:val="center"/>
                </w:tcPr>
                <w:p>
                  <w:pPr>
                    <w:widowControl/>
                    <w:rPr>
                      <w:color w:val="auto"/>
                      <w:sz w:val="18"/>
                      <w:szCs w:val="18"/>
                    </w:rPr>
                  </w:pPr>
                  <w:r>
                    <w:rPr>
                      <w:rFonts w:hint="eastAsia"/>
                      <w:color w:val="auto"/>
                      <w:sz w:val="18"/>
                      <w:szCs w:val="18"/>
                    </w:rPr>
                    <w:t>本</w:t>
                  </w:r>
                  <w:r>
                    <w:rPr>
                      <w:rFonts w:hint="eastAsia"/>
                      <w:color w:val="auto"/>
                      <w:sz w:val="18"/>
                      <w:szCs w:val="18"/>
                      <w:lang w:val="en-US" w:eastAsia="zh-CN"/>
                    </w:rPr>
                    <w:t>扩建</w:t>
                  </w:r>
                  <w:r>
                    <w:rPr>
                      <w:rFonts w:hint="eastAsia"/>
                      <w:color w:val="auto"/>
                      <w:sz w:val="18"/>
                      <w:szCs w:val="18"/>
                    </w:rPr>
                    <w:t>项目高浓度VOCs有机废气</w:t>
                  </w:r>
                  <w:r>
                    <w:rPr>
                      <w:rFonts w:hint="eastAsia"/>
                      <w:color w:val="auto"/>
                      <w:sz w:val="18"/>
                      <w:szCs w:val="18"/>
                      <w:vertAlign w:val="baseline"/>
                      <w:lang w:val="en-US" w:eastAsia="zh-CN"/>
                    </w:rPr>
                    <w:t>（</w:t>
                  </w:r>
                  <w:r>
                    <w:rPr>
                      <w:rFonts w:hint="eastAsia"/>
                      <w:color w:val="auto"/>
                      <w:sz w:val="18"/>
                      <w:szCs w:val="18"/>
                    </w:rPr>
                    <w:t>3811.11 mg/m</w:t>
                  </w:r>
                  <w:r>
                    <w:rPr>
                      <w:rFonts w:hint="eastAsia"/>
                      <w:color w:val="auto"/>
                      <w:sz w:val="18"/>
                      <w:szCs w:val="18"/>
                      <w:vertAlign w:val="superscript"/>
                      <w:lang w:val="en-US" w:eastAsia="zh-CN"/>
                    </w:rPr>
                    <w:t>3</w:t>
                  </w:r>
                  <w:r>
                    <w:rPr>
                      <w:rFonts w:hint="eastAsia"/>
                      <w:color w:val="auto"/>
                      <w:sz w:val="18"/>
                      <w:szCs w:val="18"/>
                      <w:vertAlign w:val="baseline"/>
                      <w:lang w:val="en-US" w:eastAsia="zh-CN"/>
                    </w:rPr>
                    <w:t>）采用冷凝+吸附的组合技术回收处理（</w:t>
                  </w:r>
                  <w:r>
                    <w:rPr>
                      <w:rFonts w:hint="eastAsia"/>
                      <w:b/>
                      <w:bCs/>
                      <w:color w:val="auto"/>
                      <w:sz w:val="18"/>
                      <w:szCs w:val="18"/>
                      <w:lang w:val="en-US" w:eastAsia="zh-CN"/>
                    </w:rPr>
                    <w:t>二级冷凝回收+一级循环水喷淋（末端自带水雾干燥）+活性炭吸附</w:t>
                  </w:r>
                  <w:r>
                    <w:rPr>
                      <w:rFonts w:hint="eastAsia"/>
                      <w:color w:val="auto"/>
                      <w:sz w:val="18"/>
                      <w:szCs w:val="18"/>
                      <w:vertAlign w:val="baseline"/>
                      <w:lang w:val="en-US" w:eastAsia="zh-CN"/>
                    </w:rPr>
                    <w:t>）</w:t>
                  </w:r>
                  <w:r>
                    <w:rPr>
                      <w:rFonts w:hint="eastAsia"/>
                      <w:color w:val="auto"/>
                      <w:sz w:val="18"/>
                      <w:szCs w:val="18"/>
                    </w:rPr>
                    <w:t>，由1根15米高排气筒DA013达标排放。</w:t>
                  </w:r>
                </w:p>
              </w:tc>
              <w:tc>
                <w:tcPr>
                  <w:tcW w:w="472" w:type="pct"/>
                  <w:vAlign w:val="center"/>
                </w:tcPr>
                <w:p>
                  <w:pPr>
                    <w:widowControl/>
                    <w:jc w:val="center"/>
                    <w:rPr>
                      <w:color w:val="auto"/>
                      <w:kern w:val="0"/>
                      <w:sz w:val="18"/>
                      <w:szCs w:val="18"/>
                      <w:lang w:bidi="ar"/>
                    </w:rPr>
                  </w:pPr>
                  <w:r>
                    <w:rPr>
                      <w:color w:val="auto"/>
                      <w:kern w:val="0"/>
                      <w:sz w:val="18"/>
                      <w:szCs w:val="18"/>
                      <w:lang w:bidi="ar"/>
                    </w:rPr>
                    <w:t>符合</w:t>
                  </w:r>
                </w:p>
              </w:tc>
            </w:tr>
          </w:tbl>
          <w:p>
            <w:pPr>
              <w:keepNext/>
              <w:keepLines/>
              <w:widowControl/>
              <w:spacing w:line="360" w:lineRule="auto"/>
              <w:ind w:firstLine="422" w:firstLineChars="200"/>
              <w:jc w:val="left"/>
              <w:rPr>
                <w:rFonts w:hint="eastAsia"/>
                <w:b/>
                <w:color w:val="auto"/>
                <w:kern w:val="0"/>
                <w:sz w:val="21"/>
                <w:szCs w:val="21"/>
                <w:lang w:bidi="ar"/>
              </w:rPr>
            </w:pPr>
            <w:r>
              <w:rPr>
                <w:rFonts w:hint="eastAsia"/>
                <w:b/>
                <w:color w:val="auto"/>
                <w:kern w:val="0"/>
                <w:sz w:val="21"/>
                <w:szCs w:val="21"/>
                <w:lang w:bidi="ar"/>
              </w:rPr>
              <w:t>（</w:t>
            </w:r>
            <w:r>
              <w:rPr>
                <w:rFonts w:hint="eastAsia"/>
                <w:b/>
                <w:color w:val="auto"/>
                <w:kern w:val="0"/>
                <w:sz w:val="21"/>
                <w:szCs w:val="21"/>
                <w:lang w:val="en-US" w:eastAsia="zh-CN" w:bidi="ar"/>
              </w:rPr>
              <w:t>6</w:t>
            </w:r>
            <w:r>
              <w:rPr>
                <w:rFonts w:hint="eastAsia"/>
                <w:b/>
                <w:color w:val="auto"/>
                <w:kern w:val="0"/>
                <w:sz w:val="21"/>
                <w:szCs w:val="21"/>
                <w:lang w:bidi="ar"/>
              </w:rPr>
              <w:t>）与《挥发性有机物无组织排放控制标准》(GB37822-2019）的符合性分析</w:t>
            </w:r>
          </w:p>
          <w:p>
            <w:pPr>
              <w:spacing w:line="360" w:lineRule="auto"/>
              <w:ind w:firstLine="480"/>
              <w:rPr>
                <w:color w:val="auto"/>
              </w:rPr>
            </w:pPr>
            <w:r>
              <w:rPr>
                <w:rFonts w:hint="eastAsia"/>
                <w:color w:val="auto"/>
                <w:lang w:val="en-US" w:eastAsia="zh-CN"/>
              </w:rPr>
              <w:t>对照</w:t>
            </w:r>
            <w:r>
              <w:rPr>
                <w:color w:val="auto"/>
              </w:rPr>
              <w:t>《挥发性有机物无组织排放控制标准》(GB37822-2019）</w:t>
            </w:r>
            <w:r>
              <w:rPr>
                <w:rFonts w:hint="eastAsia"/>
                <w:color w:val="auto"/>
                <w:lang w:eastAsia="zh-CN"/>
              </w:rPr>
              <w:t>，</w:t>
            </w:r>
            <w:r>
              <w:rPr>
                <w:rFonts w:hint="eastAsia"/>
                <w:color w:val="auto"/>
                <w:lang w:val="en-US" w:eastAsia="zh-CN"/>
              </w:rPr>
              <w:t>本项目</w:t>
            </w:r>
            <w:r>
              <w:rPr>
                <w:color w:val="auto"/>
              </w:rPr>
              <w:t>挥发性有机物</w:t>
            </w:r>
            <w:r>
              <w:rPr>
                <w:rFonts w:hint="eastAsia"/>
                <w:color w:val="auto"/>
                <w:lang w:val="en-US" w:eastAsia="zh-CN"/>
              </w:rPr>
              <w:t>的防控措施满足</w:t>
            </w:r>
            <w:r>
              <w:rPr>
                <w:color w:val="auto"/>
              </w:rPr>
              <w:t>《挥发性有机物无组织排放控制标准》</w:t>
            </w:r>
            <w:r>
              <w:rPr>
                <w:rFonts w:hint="eastAsia"/>
                <w:color w:val="auto"/>
                <w:lang w:val="en-US" w:eastAsia="zh-CN"/>
              </w:rPr>
              <w:t>的要求，</w:t>
            </w:r>
            <w:r>
              <w:rPr>
                <w:color w:val="auto"/>
              </w:rPr>
              <w:t>符合性分析详见下表。</w:t>
            </w:r>
          </w:p>
          <w:p>
            <w:pPr>
              <w:jc w:val="center"/>
              <w:rPr>
                <w:b/>
                <w:color w:val="auto"/>
              </w:rPr>
            </w:pPr>
          </w:p>
          <w:p>
            <w:pPr>
              <w:spacing w:before="194" w:beforeLines="50"/>
              <w:jc w:val="center"/>
              <w:outlineLvl w:val="5"/>
              <w:rPr>
                <w:color w:val="auto"/>
              </w:rPr>
            </w:pPr>
            <w:r>
              <w:rPr>
                <w:rFonts w:hint="eastAsia" w:eastAsia="宋体" w:cs="Times New Roman"/>
                <w:b/>
                <w:color w:val="auto"/>
                <w:spacing w:val="0"/>
                <w:sz w:val="21"/>
                <w:szCs w:val="21"/>
              </w:rPr>
              <w:t>表1-</w:t>
            </w:r>
            <w:r>
              <w:rPr>
                <w:rFonts w:hint="eastAsia" w:eastAsia="宋体" w:cs="Times New Roman"/>
                <w:b/>
                <w:color w:val="auto"/>
                <w:spacing w:val="0"/>
                <w:sz w:val="21"/>
                <w:szCs w:val="21"/>
                <w:lang w:val="en-US" w:eastAsia="zh-CN"/>
              </w:rPr>
              <w:t>6</w:t>
            </w:r>
            <w:r>
              <w:rPr>
                <w:rFonts w:hint="eastAsia" w:eastAsia="宋体" w:cs="Times New Roman"/>
                <w:b/>
                <w:color w:val="auto"/>
                <w:spacing w:val="0"/>
                <w:sz w:val="21"/>
                <w:szCs w:val="21"/>
              </w:rPr>
              <w:t xml:space="preserve"> 《挥发性有机物无组织排放控制标准》符合性分析</w:t>
            </w:r>
          </w:p>
          <w:tbl>
            <w:tblPr>
              <w:tblStyle w:val="1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5"/>
              <w:gridCol w:w="2651"/>
              <w:gridCol w:w="2902"/>
              <w:gridCol w:w="5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0" w:type="pct"/>
                  <w:vAlign w:val="center"/>
                </w:tcPr>
                <w:p>
                  <w:pPr>
                    <w:jc w:val="center"/>
                    <w:rPr>
                      <w:b/>
                      <w:bCs/>
                      <w:color w:val="auto"/>
                      <w:sz w:val="18"/>
                      <w:szCs w:val="18"/>
                    </w:rPr>
                  </w:pPr>
                  <w:r>
                    <w:rPr>
                      <w:b/>
                      <w:bCs/>
                      <w:color w:val="auto"/>
                      <w:sz w:val="18"/>
                      <w:szCs w:val="18"/>
                    </w:rPr>
                    <w:t>生产过程</w:t>
                  </w:r>
                </w:p>
              </w:tc>
              <w:tc>
                <w:tcPr>
                  <w:tcW w:w="1958" w:type="pct"/>
                  <w:vAlign w:val="center"/>
                </w:tcPr>
                <w:p>
                  <w:pPr>
                    <w:jc w:val="center"/>
                    <w:rPr>
                      <w:b/>
                      <w:bCs/>
                      <w:color w:val="auto"/>
                      <w:sz w:val="18"/>
                      <w:szCs w:val="18"/>
                    </w:rPr>
                  </w:pPr>
                  <w:r>
                    <w:rPr>
                      <w:b/>
                      <w:bCs/>
                      <w:color w:val="auto"/>
                      <w:sz w:val="18"/>
                      <w:szCs w:val="18"/>
                    </w:rPr>
                    <w:t>有关控制要求</w:t>
                  </w:r>
                </w:p>
              </w:tc>
              <w:tc>
                <w:tcPr>
                  <w:tcW w:w="2143" w:type="pct"/>
                  <w:vAlign w:val="center"/>
                </w:tcPr>
                <w:p>
                  <w:pPr>
                    <w:jc w:val="center"/>
                    <w:rPr>
                      <w:b/>
                      <w:bCs/>
                      <w:color w:val="auto"/>
                      <w:sz w:val="18"/>
                      <w:szCs w:val="18"/>
                    </w:rPr>
                  </w:pPr>
                  <w:r>
                    <w:rPr>
                      <w:b/>
                      <w:bCs/>
                      <w:color w:val="auto"/>
                      <w:sz w:val="18"/>
                      <w:szCs w:val="18"/>
                    </w:rPr>
                    <w:t>本项目情况</w:t>
                  </w:r>
                </w:p>
              </w:tc>
              <w:tc>
                <w:tcPr>
                  <w:tcW w:w="427" w:type="pct"/>
                  <w:vAlign w:val="center"/>
                </w:tcPr>
                <w:p>
                  <w:pPr>
                    <w:jc w:val="center"/>
                    <w:rPr>
                      <w:b/>
                      <w:bCs/>
                      <w:color w:val="auto"/>
                      <w:sz w:val="18"/>
                      <w:szCs w:val="18"/>
                    </w:rPr>
                  </w:pPr>
                  <w:r>
                    <w:rPr>
                      <w:b/>
                      <w:bCs/>
                      <w:color w:val="auto"/>
                      <w:sz w:val="18"/>
                      <w:szCs w:val="18"/>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jc w:val="center"/>
              </w:trPr>
              <w:tc>
                <w:tcPr>
                  <w:tcW w:w="470" w:type="pct"/>
                  <w:vMerge w:val="restart"/>
                  <w:vAlign w:val="center"/>
                </w:tcPr>
                <w:p>
                  <w:pPr>
                    <w:widowControl/>
                    <w:jc w:val="center"/>
                    <w:rPr>
                      <w:color w:val="auto"/>
                      <w:sz w:val="18"/>
                      <w:szCs w:val="18"/>
                    </w:rPr>
                  </w:pPr>
                  <w:r>
                    <w:rPr>
                      <w:color w:val="auto"/>
                      <w:sz w:val="18"/>
                      <w:szCs w:val="18"/>
                    </w:rPr>
                    <w:t>物料储存</w:t>
                  </w:r>
                </w:p>
              </w:tc>
              <w:tc>
                <w:tcPr>
                  <w:tcW w:w="1958" w:type="pct"/>
                  <w:vAlign w:val="center"/>
                </w:tcPr>
                <w:p>
                  <w:pPr>
                    <w:widowControl/>
                    <w:rPr>
                      <w:color w:val="auto"/>
                      <w:sz w:val="18"/>
                      <w:szCs w:val="18"/>
                    </w:rPr>
                  </w:pPr>
                  <w:r>
                    <w:rPr>
                      <w:color w:val="auto"/>
                      <w:sz w:val="18"/>
                      <w:szCs w:val="18"/>
                    </w:rPr>
                    <w:t>①VOCs物料应储存于密闭的容器、包装袋、储罐、储库、料仓中；</w:t>
                  </w:r>
                </w:p>
              </w:tc>
              <w:tc>
                <w:tcPr>
                  <w:tcW w:w="2143" w:type="pct"/>
                  <w:vAlign w:val="center"/>
                </w:tcPr>
                <w:p>
                  <w:pPr>
                    <w:widowControl/>
                    <w:rPr>
                      <w:rFonts w:hint="default" w:eastAsia="宋体"/>
                      <w:color w:val="auto"/>
                      <w:sz w:val="18"/>
                      <w:szCs w:val="18"/>
                      <w:lang w:val="en-US" w:eastAsia="zh-CN"/>
                    </w:rPr>
                  </w:pPr>
                  <w:r>
                    <w:rPr>
                      <w:color w:val="auto"/>
                      <w:sz w:val="18"/>
                      <w:szCs w:val="18"/>
                    </w:rPr>
                    <w:t>①</w:t>
                  </w:r>
                  <w:r>
                    <w:rPr>
                      <w:rFonts w:hint="eastAsia"/>
                      <w:color w:val="auto"/>
                      <w:sz w:val="18"/>
                      <w:szCs w:val="18"/>
                    </w:rPr>
                    <w:t>本扩建项目的VOCs物料</w:t>
                  </w:r>
                  <w:r>
                    <w:rPr>
                      <w:color w:val="auto"/>
                      <w:sz w:val="18"/>
                      <w:szCs w:val="18"/>
                    </w:rPr>
                    <w:t>储存</w:t>
                  </w:r>
                  <w:r>
                    <w:rPr>
                      <w:rFonts w:hint="eastAsia"/>
                      <w:color w:val="auto"/>
                      <w:sz w:val="18"/>
                      <w:szCs w:val="18"/>
                      <w:lang w:val="en-US" w:eastAsia="zh-CN"/>
                    </w:rPr>
                    <w:t>于冷凝回收系统密闭储槽和精馏区密闭暂存槽中</w:t>
                  </w:r>
                  <w:r>
                    <w:rPr>
                      <w:color w:val="auto"/>
                      <w:sz w:val="18"/>
                      <w:szCs w:val="18"/>
                    </w:rPr>
                    <w:t>。</w:t>
                  </w:r>
                </w:p>
              </w:tc>
              <w:tc>
                <w:tcPr>
                  <w:tcW w:w="427" w:type="pct"/>
                  <w:vAlign w:val="center"/>
                </w:tcPr>
                <w:p>
                  <w:pPr>
                    <w:widowControl/>
                    <w:jc w:val="center"/>
                    <w:rPr>
                      <w:color w:val="auto"/>
                      <w:kern w:val="0"/>
                      <w:sz w:val="18"/>
                      <w:szCs w:val="18"/>
                      <w:lang w:bidi="ar"/>
                    </w:rPr>
                  </w:pPr>
                  <w:r>
                    <w:rPr>
                      <w:color w:val="auto"/>
                      <w:kern w:val="0"/>
                      <w:sz w:val="18"/>
                      <w:szCs w:val="18"/>
                      <w:lang w:bidi="ar"/>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jc w:val="center"/>
              </w:trPr>
              <w:tc>
                <w:tcPr>
                  <w:tcW w:w="470" w:type="pct"/>
                  <w:vMerge w:val="continue"/>
                  <w:vAlign w:val="center"/>
                </w:tcPr>
                <w:p>
                  <w:pPr>
                    <w:widowControl/>
                    <w:rPr>
                      <w:color w:val="auto"/>
                    </w:rPr>
                  </w:pPr>
                </w:p>
              </w:tc>
              <w:tc>
                <w:tcPr>
                  <w:tcW w:w="1958" w:type="pct"/>
                  <w:vAlign w:val="center"/>
                </w:tcPr>
                <w:p>
                  <w:pPr>
                    <w:widowControl/>
                    <w:rPr>
                      <w:color w:val="auto"/>
                      <w:sz w:val="18"/>
                      <w:szCs w:val="18"/>
                    </w:rPr>
                  </w:pPr>
                  <w:r>
                    <w:rPr>
                      <w:color w:val="auto"/>
                      <w:sz w:val="18"/>
                      <w:szCs w:val="18"/>
                    </w:rPr>
                    <w:t>②盛装VOCs物料的容器或包装袋应存放于室内，或存放于设置有雨棚、遮阳和防渗设施的专用场地。盛装VOCs物料的容器或包装袋在非取用状态时应加盖、封口，保持密闭</w:t>
                  </w:r>
                </w:p>
              </w:tc>
              <w:tc>
                <w:tcPr>
                  <w:tcW w:w="2143" w:type="pct"/>
                  <w:vAlign w:val="center"/>
                </w:tcPr>
                <w:p>
                  <w:pPr>
                    <w:widowControl/>
                    <w:rPr>
                      <w:color w:val="auto"/>
                      <w:sz w:val="18"/>
                      <w:szCs w:val="18"/>
                    </w:rPr>
                  </w:pPr>
                  <w:r>
                    <w:rPr>
                      <w:color w:val="auto"/>
                      <w:sz w:val="18"/>
                      <w:szCs w:val="18"/>
                    </w:rPr>
                    <w:t>②</w:t>
                  </w:r>
                  <w:r>
                    <w:rPr>
                      <w:rFonts w:hint="eastAsia"/>
                      <w:color w:val="auto"/>
                      <w:sz w:val="18"/>
                      <w:szCs w:val="18"/>
                    </w:rPr>
                    <w:t>本扩建项目冷凝回收系统密闭储槽及氟</w:t>
                  </w:r>
                  <w:r>
                    <w:rPr>
                      <w:rFonts w:hint="eastAsia"/>
                      <w:color w:val="auto"/>
                      <w:sz w:val="18"/>
                      <w:szCs w:val="18"/>
                      <w:lang w:eastAsia="zh-CN"/>
                    </w:rPr>
                    <w:t>原料</w:t>
                  </w:r>
                  <w:r>
                    <w:rPr>
                      <w:rFonts w:hint="eastAsia"/>
                      <w:color w:val="auto"/>
                      <w:sz w:val="18"/>
                      <w:szCs w:val="18"/>
                    </w:rPr>
                    <w:t>浆料消泡釜位于车间X1</w:t>
                  </w:r>
                  <w:r>
                    <w:rPr>
                      <w:rFonts w:hint="eastAsia"/>
                      <w:color w:val="auto"/>
                      <w:sz w:val="18"/>
                      <w:szCs w:val="18"/>
                      <w:lang w:val="en-US" w:eastAsia="zh-CN"/>
                    </w:rPr>
                    <w:t>内</w:t>
                  </w:r>
                  <w:r>
                    <w:rPr>
                      <w:rFonts w:hint="eastAsia"/>
                      <w:color w:val="auto"/>
                      <w:sz w:val="18"/>
                      <w:szCs w:val="18"/>
                    </w:rPr>
                    <w:t>，精馏回收暂存槽位于</w:t>
                  </w:r>
                  <w:r>
                    <w:rPr>
                      <w:rFonts w:hint="eastAsia"/>
                      <w:color w:val="auto"/>
                      <w:sz w:val="18"/>
                      <w:szCs w:val="18"/>
                      <w:lang w:val="en-US" w:eastAsia="zh-CN"/>
                    </w:rPr>
                    <w:t>生产</w:t>
                  </w:r>
                  <w:r>
                    <w:rPr>
                      <w:rFonts w:hint="eastAsia"/>
                      <w:color w:val="auto"/>
                      <w:sz w:val="18"/>
                      <w:szCs w:val="18"/>
                    </w:rPr>
                    <w:t>车间二</w:t>
                  </w:r>
                  <w:r>
                    <w:rPr>
                      <w:rFonts w:hint="eastAsia"/>
                      <w:color w:val="auto"/>
                      <w:sz w:val="18"/>
                      <w:szCs w:val="18"/>
                      <w:lang w:val="en-US" w:eastAsia="zh-CN"/>
                    </w:rPr>
                    <w:t>内</w:t>
                  </w:r>
                  <w:r>
                    <w:rPr>
                      <w:rFonts w:hint="eastAsia"/>
                      <w:color w:val="auto"/>
                      <w:sz w:val="18"/>
                      <w:szCs w:val="18"/>
                    </w:rPr>
                    <w:t>。上述容器非取用状态下均加盖密闭</w:t>
                  </w:r>
                </w:p>
              </w:tc>
              <w:tc>
                <w:tcPr>
                  <w:tcW w:w="427" w:type="pct"/>
                  <w:vAlign w:val="center"/>
                </w:tcPr>
                <w:p>
                  <w:pPr>
                    <w:widowControl/>
                    <w:rPr>
                      <w:color w:val="auto"/>
                      <w:sz w:val="18"/>
                      <w:szCs w:val="18"/>
                    </w:rPr>
                  </w:pPr>
                  <w:r>
                    <w:rPr>
                      <w:color w:val="auto"/>
                      <w:kern w:val="0"/>
                      <w:sz w:val="18"/>
                      <w:szCs w:val="18"/>
                      <w:lang w:bidi="ar"/>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jc w:val="center"/>
              </w:trPr>
              <w:tc>
                <w:tcPr>
                  <w:tcW w:w="470" w:type="pct"/>
                  <w:vMerge w:val="restart"/>
                  <w:vAlign w:val="center"/>
                </w:tcPr>
                <w:p>
                  <w:pPr>
                    <w:widowControl/>
                    <w:jc w:val="center"/>
                    <w:rPr>
                      <w:color w:val="auto"/>
                      <w:sz w:val="18"/>
                      <w:szCs w:val="18"/>
                    </w:rPr>
                  </w:pPr>
                  <w:r>
                    <w:rPr>
                      <w:color w:val="auto"/>
                      <w:sz w:val="18"/>
                      <w:szCs w:val="18"/>
                    </w:rPr>
                    <w:t>转移和输送</w:t>
                  </w:r>
                </w:p>
              </w:tc>
              <w:tc>
                <w:tcPr>
                  <w:tcW w:w="1958" w:type="pct"/>
                  <w:vAlign w:val="center"/>
                </w:tcPr>
                <w:p>
                  <w:pPr>
                    <w:widowControl/>
                    <w:rPr>
                      <w:color w:val="auto"/>
                      <w:sz w:val="18"/>
                      <w:szCs w:val="18"/>
                    </w:rPr>
                  </w:pPr>
                  <w:r>
                    <w:rPr>
                      <w:color w:val="auto"/>
                      <w:sz w:val="18"/>
                      <w:szCs w:val="18"/>
                    </w:rPr>
                    <w:t>①液态VOCs物料应采用密闭管道输送。采用非管道输送方式转移液态VOCs物料时，应采用密闭容器、罐车；</w:t>
                  </w:r>
                </w:p>
              </w:tc>
              <w:tc>
                <w:tcPr>
                  <w:tcW w:w="2143" w:type="pct"/>
                  <w:vAlign w:val="center"/>
                </w:tcPr>
                <w:p>
                  <w:pPr>
                    <w:widowControl/>
                    <w:rPr>
                      <w:color w:val="auto"/>
                      <w:sz w:val="18"/>
                      <w:szCs w:val="18"/>
                    </w:rPr>
                  </w:pPr>
                  <w:r>
                    <w:rPr>
                      <w:color w:val="auto"/>
                      <w:sz w:val="18"/>
                      <w:szCs w:val="18"/>
                    </w:rPr>
                    <w:t>①</w:t>
                  </w:r>
                  <w:r>
                    <w:rPr>
                      <w:rFonts w:hint="eastAsia"/>
                      <w:color w:val="auto"/>
                      <w:sz w:val="18"/>
                      <w:szCs w:val="18"/>
                    </w:rPr>
                    <w:t>本扩建项目浆料由</w:t>
                  </w:r>
                  <w:r>
                    <w:rPr>
                      <w:rFonts w:hint="eastAsia"/>
                      <w:color w:val="auto"/>
                      <w:sz w:val="18"/>
                      <w:szCs w:val="18"/>
                      <w:lang w:val="en-US" w:eastAsia="zh-CN"/>
                    </w:rPr>
                    <w:t>密闭钢瓶</w:t>
                  </w:r>
                  <w:r>
                    <w:rPr>
                      <w:rFonts w:hint="eastAsia"/>
                      <w:color w:val="auto"/>
                      <w:sz w:val="18"/>
                      <w:szCs w:val="18"/>
                    </w:rPr>
                    <w:t>运输至厂区，通过密闭管道</w:t>
                  </w:r>
                  <w:r>
                    <w:rPr>
                      <w:rFonts w:hint="eastAsia"/>
                      <w:color w:val="auto"/>
                      <w:sz w:val="18"/>
                      <w:szCs w:val="18"/>
                      <w:lang w:val="en-US" w:eastAsia="zh-CN"/>
                    </w:rPr>
                    <w:t>进入</w:t>
                  </w:r>
                  <w:r>
                    <w:rPr>
                      <w:rFonts w:hint="eastAsia"/>
                      <w:color w:val="auto"/>
                      <w:sz w:val="18"/>
                      <w:szCs w:val="18"/>
                    </w:rPr>
                    <w:t>消泡釜；回收的</w:t>
                  </w:r>
                  <w:r>
                    <w:rPr>
                      <w:rFonts w:hint="eastAsia"/>
                      <w:color w:val="auto"/>
                      <w:sz w:val="18"/>
                      <w:szCs w:val="18"/>
                      <w:lang w:val="en-US" w:eastAsia="zh-CN"/>
                    </w:rPr>
                    <w:t>溶剂</w:t>
                  </w:r>
                  <w:r>
                    <w:rPr>
                      <w:rFonts w:hint="eastAsia"/>
                      <w:color w:val="auto"/>
                      <w:sz w:val="18"/>
                      <w:szCs w:val="18"/>
                    </w:rPr>
                    <w:t>同样经密闭管道分别输送至消泡釜，全过程实现物料密闭流转。</w:t>
                  </w:r>
                </w:p>
              </w:tc>
              <w:tc>
                <w:tcPr>
                  <w:tcW w:w="427" w:type="pct"/>
                  <w:vAlign w:val="center"/>
                </w:tcPr>
                <w:p>
                  <w:pPr>
                    <w:widowControl/>
                    <w:jc w:val="center"/>
                    <w:rPr>
                      <w:color w:val="auto"/>
                      <w:kern w:val="0"/>
                      <w:sz w:val="18"/>
                      <w:szCs w:val="18"/>
                      <w:lang w:bidi="ar"/>
                    </w:rPr>
                  </w:pPr>
                  <w:r>
                    <w:rPr>
                      <w:color w:val="auto"/>
                      <w:kern w:val="0"/>
                      <w:sz w:val="18"/>
                      <w:szCs w:val="18"/>
                      <w:lang w:bidi="ar"/>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jc w:val="center"/>
              </w:trPr>
              <w:tc>
                <w:tcPr>
                  <w:tcW w:w="470" w:type="pct"/>
                  <w:vMerge w:val="continue"/>
                  <w:vAlign w:val="center"/>
                </w:tcPr>
                <w:p>
                  <w:pPr>
                    <w:widowControl/>
                    <w:rPr>
                      <w:color w:val="auto"/>
                    </w:rPr>
                  </w:pPr>
                </w:p>
              </w:tc>
              <w:tc>
                <w:tcPr>
                  <w:tcW w:w="1958" w:type="pct"/>
                  <w:vAlign w:val="center"/>
                </w:tcPr>
                <w:p>
                  <w:pPr>
                    <w:widowControl/>
                    <w:rPr>
                      <w:color w:val="auto"/>
                      <w:sz w:val="18"/>
                      <w:szCs w:val="18"/>
                    </w:rPr>
                  </w:pPr>
                  <w:r>
                    <w:rPr>
                      <w:color w:val="auto"/>
                      <w:sz w:val="18"/>
                      <w:szCs w:val="18"/>
                    </w:rPr>
                    <w:t>②粉状、粒状VOCs物料应采用气力输送设备、管状带式输送机、螺旋输送机等密闭输送方式，或者采用密闭的包装袋容器或罐车进行物料转移。</w:t>
                  </w:r>
                </w:p>
              </w:tc>
              <w:tc>
                <w:tcPr>
                  <w:tcW w:w="2143" w:type="pct"/>
                  <w:vAlign w:val="center"/>
                </w:tcPr>
                <w:p>
                  <w:pPr>
                    <w:widowControl/>
                    <w:rPr>
                      <w:color w:val="auto"/>
                      <w:sz w:val="18"/>
                      <w:szCs w:val="18"/>
                    </w:rPr>
                  </w:pPr>
                  <w:r>
                    <w:rPr>
                      <w:color w:val="auto"/>
                      <w:sz w:val="18"/>
                      <w:szCs w:val="18"/>
                    </w:rPr>
                    <w:t>②</w:t>
                  </w:r>
                  <w:r>
                    <w:rPr>
                      <w:rFonts w:hint="eastAsia"/>
                      <w:color w:val="auto"/>
                      <w:sz w:val="18"/>
                      <w:szCs w:val="18"/>
                    </w:rPr>
                    <w:t>本</w:t>
                  </w:r>
                  <w:r>
                    <w:rPr>
                      <w:rFonts w:hint="eastAsia"/>
                      <w:color w:val="auto"/>
                      <w:sz w:val="18"/>
                      <w:szCs w:val="18"/>
                      <w:lang w:val="en-US" w:eastAsia="zh-CN"/>
                    </w:rPr>
                    <w:t>扩建</w:t>
                  </w:r>
                  <w:r>
                    <w:rPr>
                      <w:rFonts w:hint="eastAsia"/>
                      <w:color w:val="auto"/>
                      <w:sz w:val="18"/>
                      <w:szCs w:val="18"/>
                    </w:rPr>
                    <w:t>项目不涉及粉状、粒状的</w:t>
                  </w:r>
                  <w:r>
                    <w:rPr>
                      <w:color w:val="auto"/>
                      <w:sz w:val="18"/>
                      <w:szCs w:val="18"/>
                    </w:rPr>
                    <w:t>VOCs物料</w:t>
                  </w:r>
                </w:p>
              </w:tc>
              <w:tc>
                <w:tcPr>
                  <w:tcW w:w="427" w:type="pct"/>
                  <w:shd w:val="clear" w:color="auto" w:fill="auto"/>
                  <w:vAlign w:val="center"/>
                </w:tcPr>
                <w:p>
                  <w:pPr>
                    <w:widowControl/>
                    <w:jc w:val="center"/>
                    <w:rPr>
                      <w:rFonts w:ascii="Times New Roman" w:hAnsi="Times New Roman" w:eastAsia="宋体" w:cs="Times New Roman"/>
                      <w:color w:val="auto"/>
                      <w:kern w:val="0"/>
                      <w:sz w:val="18"/>
                      <w:szCs w:val="18"/>
                      <w:lang w:val="en-US" w:eastAsia="zh-CN" w:bidi="ar"/>
                    </w:rPr>
                  </w:pPr>
                  <w:r>
                    <w:rPr>
                      <w:color w:val="auto"/>
                      <w:kern w:val="0"/>
                      <w:sz w:val="18"/>
                      <w:szCs w:val="18"/>
                      <w:lang w:bidi="ar"/>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470" w:type="pct"/>
                  <w:vMerge w:val="restart"/>
                  <w:vAlign w:val="center"/>
                </w:tcPr>
                <w:p>
                  <w:pPr>
                    <w:widowControl/>
                    <w:jc w:val="center"/>
                    <w:rPr>
                      <w:color w:val="auto"/>
                      <w:sz w:val="18"/>
                      <w:szCs w:val="18"/>
                    </w:rPr>
                  </w:pPr>
                  <w:r>
                    <w:rPr>
                      <w:color w:val="auto"/>
                      <w:sz w:val="18"/>
                      <w:szCs w:val="18"/>
                    </w:rPr>
                    <w:t>工艺过程</w:t>
                  </w:r>
                </w:p>
              </w:tc>
              <w:tc>
                <w:tcPr>
                  <w:tcW w:w="1958" w:type="pct"/>
                  <w:vAlign w:val="center"/>
                </w:tcPr>
                <w:p>
                  <w:pPr>
                    <w:widowControl/>
                    <w:rPr>
                      <w:color w:val="auto"/>
                      <w:sz w:val="18"/>
                      <w:szCs w:val="18"/>
                    </w:rPr>
                  </w:pPr>
                  <w:r>
                    <w:rPr>
                      <w:color w:val="auto"/>
                      <w:sz w:val="18"/>
                      <w:szCs w:val="18"/>
                    </w:rPr>
                    <w:t>①VOCs质量占比大于等于10%的含VOCs产品，其使用过程应采用密闭设备或在密闭空间内操作，废气应排至VOCs废气收集处理系统；无法密闭的，应采取局部气体收集措施，废气应排至VOCs废气收集处理系统。</w:t>
                  </w:r>
                </w:p>
              </w:tc>
              <w:tc>
                <w:tcPr>
                  <w:tcW w:w="2143" w:type="pct"/>
                  <w:vAlign w:val="center"/>
                </w:tcPr>
                <w:p>
                  <w:pPr>
                    <w:widowControl/>
                    <w:rPr>
                      <w:color w:val="auto"/>
                      <w:sz w:val="18"/>
                      <w:szCs w:val="18"/>
                    </w:rPr>
                  </w:pPr>
                  <w:r>
                    <w:rPr>
                      <w:rFonts w:hint="eastAsia"/>
                      <w:color w:val="auto"/>
                      <w:sz w:val="18"/>
                      <w:szCs w:val="18"/>
                    </w:rPr>
                    <w:t>①本</w:t>
                  </w:r>
                  <w:r>
                    <w:rPr>
                      <w:rFonts w:hint="eastAsia"/>
                      <w:color w:val="auto"/>
                      <w:sz w:val="18"/>
                      <w:szCs w:val="18"/>
                      <w:lang w:val="en-US" w:eastAsia="zh-CN"/>
                    </w:rPr>
                    <w:t>扩建</w:t>
                  </w:r>
                  <w:r>
                    <w:rPr>
                      <w:rFonts w:hint="eastAsia"/>
                      <w:color w:val="auto"/>
                      <w:sz w:val="18"/>
                      <w:szCs w:val="18"/>
                    </w:rPr>
                    <w:t>项目含VOCs原辅料</w:t>
                  </w:r>
                  <w:r>
                    <w:rPr>
                      <w:rFonts w:hint="eastAsia"/>
                      <w:color w:val="auto"/>
                      <w:sz w:val="18"/>
                      <w:szCs w:val="18"/>
                      <w:lang w:val="en-US" w:eastAsia="zh-CN"/>
                    </w:rPr>
                    <w:t>的使用均在</w:t>
                  </w:r>
                  <w:r>
                    <w:rPr>
                      <w:rFonts w:hint="eastAsia"/>
                      <w:color w:val="auto"/>
                      <w:sz w:val="18"/>
                      <w:szCs w:val="18"/>
                    </w:rPr>
                    <w:t>负压洁净房</w:t>
                  </w:r>
                  <w:r>
                    <w:rPr>
                      <w:rFonts w:hint="eastAsia"/>
                      <w:color w:val="auto"/>
                      <w:sz w:val="18"/>
                      <w:szCs w:val="18"/>
                      <w:lang w:val="en-US" w:eastAsia="zh-CN"/>
                    </w:rPr>
                    <w:t>的密闭设备内，有机废气经密闭管道收集至“二级冷凝回收+一级循环水喷淋（末端自带水雾干燥）+活性炭吸附”处理；</w:t>
                  </w:r>
                  <w:r>
                    <w:rPr>
                      <w:rFonts w:hint="eastAsia"/>
                      <w:color w:val="auto"/>
                      <w:sz w:val="18"/>
                      <w:szCs w:val="18"/>
                    </w:rPr>
                    <w:t>精馏过程产生的极少量废气依托生产车间二的</w:t>
                  </w:r>
                  <w:r>
                    <w:rPr>
                      <w:rFonts w:hint="eastAsia"/>
                      <w:color w:val="auto"/>
                      <w:sz w:val="18"/>
                      <w:szCs w:val="18"/>
                      <w:lang w:eastAsia="zh-CN"/>
                    </w:rPr>
                    <w:t>“</w:t>
                  </w:r>
                  <w:r>
                    <w:rPr>
                      <w:rFonts w:hint="eastAsia"/>
                      <w:color w:val="auto"/>
                      <w:sz w:val="18"/>
                      <w:szCs w:val="18"/>
                    </w:rPr>
                    <w:t>一级水喷淋系统</w:t>
                  </w:r>
                  <w:r>
                    <w:rPr>
                      <w:rFonts w:hint="eastAsia"/>
                      <w:color w:val="auto"/>
                      <w:sz w:val="18"/>
                      <w:szCs w:val="18"/>
                      <w:lang w:val="en-US" w:eastAsia="zh-CN"/>
                    </w:rPr>
                    <w:t>+活性炭吸附</w:t>
                  </w:r>
                  <w:r>
                    <w:rPr>
                      <w:rFonts w:hint="eastAsia"/>
                      <w:color w:val="auto"/>
                      <w:sz w:val="18"/>
                      <w:szCs w:val="18"/>
                      <w:lang w:eastAsia="zh-CN"/>
                    </w:rPr>
                    <w:t>”</w:t>
                  </w:r>
                  <w:r>
                    <w:rPr>
                      <w:rFonts w:hint="eastAsia"/>
                      <w:color w:val="auto"/>
                      <w:sz w:val="18"/>
                      <w:szCs w:val="18"/>
                      <w:lang w:val="en-US" w:eastAsia="zh-CN"/>
                    </w:rPr>
                    <w:t>治理设施</w:t>
                  </w:r>
                  <w:r>
                    <w:rPr>
                      <w:rFonts w:hint="eastAsia"/>
                      <w:color w:val="auto"/>
                      <w:sz w:val="18"/>
                      <w:szCs w:val="18"/>
                    </w:rPr>
                    <w:t>吸收处理</w:t>
                  </w:r>
                  <w:r>
                    <w:rPr>
                      <w:rFonts w:hint="eastAsia"/>
                      <w:color w:val="auto"/>
                      <w:sz w:val="18"/>
                      <w:szCs w:val="18"/>
                      <w:lang w:eastAsia="zh-CN"/>
                    </w:rPr>
                    <w:t>。</w:t>
                  </w:r>
                </w:p>
              </w:tc>
              <w:tc>
                <w:tcPr>
                  <w:tcW w:w="427" w:type="pct"/>
                  <w:vAlign w:val="center"/>
                </w:tcPr>
                <w:p>
                  <w:pPr>
                    <w:widowControl/>
                    <w:jc w:val="center"/>
                    <w:rPr>
                      <w:color w:val="auto"/>
                      <w:kern w:val="0"/>
                      <w:sz w:val="18"/>
                      <w:szCs w:val="18"/>
                      <w:lang w:bidi="ar"/>
                    </w:rPr>
                  </w:pPr>
                  <w:r>
                    <w:rPr>
                      <w:color w:val="auto"/>
                      <w:kern w:val="0"/>
                      <w:sz w:val="18"/>
                      <w:szCs w:val="18"/>
                      <w:lang w:bidi="ar"/>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470" w:type="pct"/>
                  <w:vMerge w:val="continue"/>
                  <w:vAlign w:val="center"/>
                </w:tcPr>
                <w:p>
                  <w:pPr>
                    <w:widowControl/>
                    <w:rPr>
                      <w:rFonts w:hint="eastAsia"/>
                      <w:color w:val="auto"/>
                      <w:sz w:val="18"/>
                      <w:szCs w:val="18"/>
                    </w:rPr>
                  </w:pPr>
                </w:p>
              </w:tc>
              <w:tc>
                <w:tcPr>
                  <w:tcW w:w="1958" w:type="pct"/>
                  <w:vAlign w:val="center"/>
                </w:tcPr>
                <w:p>
                  <w:pPr>
                    <w:widowControl/>
                    <w:rPr>
                      <w:rFonts w:hint="eastAsia"/>
                      <w:color w:val="auto"/>
                      <w:sz w:val="18"/>
                      <w:szCs w:val="18"/>
                    </w:rPr>
                  </w:pPr>
                  <w:r>
                    <w:rPr>
                      <w:color w:val="auto"/>
                      <w:sz w:val="18"/>
                      <w:szCs w:val="18"/>
                    </w:rPr>
                    <w:t>②</w:t>
                  </w:r>
                  <w:r>
                    <w:rPr>
                      <w:rFonts w:hint="eastAsia"/>
                      <w:color w:val="auto"/>
                      <w:sz w:val="18"/>
                      <w:szCs w:val="18"/>
                    </w:rPr>
                    <w:t>企业应建立台账，记录含VOCs原辅材料和含VOCs产品的名称、使用量、回收量、废弃量、去向以及VOCs含量等信息。台账保存期限不少于3年</w:t>
                  </w:r>
                </w:p>
              </w:tc>
              <w:tc>
                <w:tcPr>
                  <w:tcW w:w="2143" w:type="pct"/>
                  <w:vAlign w:val="center"/>
                </w:tcPr>
                <w:p>
                  <w:pPr>
                    <w:widowControl/>
                    <w:rPr>
                      <w:rFonts w:hint="eastAsia"/>
                      <w:color w:val="auto"/>
                      <w:sz w:val="18"/>
                      <w:szCs w:val="18"/>
                    </w:rPr>
                  </w:pPr>
                  <w:r>
                    <w:rPr>
                      <w:color w:val="auto"/>
                      <w:sz w:val="18"/>
                      <w:szCs w:val="18"/>
                    </w:rPr>
                    <w:t>②</w:t>
                  </w:r>
                  <w:r>
                    <w:rPr>
                      <w:rFonts w:hint="eastAsia"/>
                      <w:color w:val="auto"/>
                      <w:sz w:val="18"/>
                      <w:szCs w:val="18"/>
                    </w:rPr>
                    <w:t>企业建成投产后，应按要求规范建立物料台账，记录含VOCs原辅材料的名称、使用量、回收量、废弃量、去向以及VOCs含量等信息。台账保存期限不少于</w:t>
                  </w:r>
                  <w:r>
                    <w:rPr>
                      <w:color w:val="auto"/>
                      <w:sz w:val="18"/>
                      <w:szCs w:val="18"/>
                    </w:rPr>
                    <w:t>5</w:t>
                  </w:r>
                  <w:r>
                    <w:rPr>
                      <w:rFonts w:hint="eastAsia"/>
                      <w:color w:val="auto"/>
                      <w:sz w:val="18"/>
                      <w:szCs w:val="18"/>
                    </w:rPr>
                    <w:t>年。</w:t>
                  </w:r>
                </w:p>
              </w:tc>
              <w:tc>
                <w:tcPr>
                  <w:tcW w:w="427" w:type="pct"/>
                  <w:vAlign w:val="center"/>
                </w:tcPr>
                <w:p>
                  <w:pPr>
                    <w:widowControl/>
                    <w:rPr>
                      <w:rFonts w:hint="eastAsia"/>
                      <w:color w:val="auto"/>
                      <w:sz w:val="18"/>
                      <w:szCs w:val="18"/>
                    </w:rPr>
                  </w:pPr>
                  <w:r>
                    <w:rPr>
                      <w:color w:val="auto"/>
                      <w:kern w:val="0"/>
                      <w:sz w:val="18"/>
                      <w:szCs w:val="18"/>
                      <w:lang w:bidi="ar"/>
                    </w:rPr>
                    <w:t>符合</w:t>
                  </w:r>
                </w:p>
              </w:tc>
            </w:tr>
          </w:tbl>
          <w:p>
            <w:pPr>
              <w:keepNext/>
              <w:keepLines/>
              <w:widowControl/>
              <w:spacing w:line="360" w:lineRule="auto"/>
              <w:ind w:firstLine="422" w:firstLineChars="200"/>
              <w:jc w:val="left"/>
              <w:rPr>
                <w:rFonts w:hint="eastAsia"/>
                <w:b/>
                <w:color w:val="auto"/>
                <w:kern w:val="0"/>
                <w:sz w:val="21"/>
                <w:szCs w:val="21"/>
                <w:lang w:bidi="ar"/>
              </w:rPr>
            </w:pPr>
            <w:r>
              <w:rPr>
                <w:rFonts w:hint="eastAsia"/>
                <w:b/>
                <w:color w:val="auto"/>
                <w:kern w:val="0"/>
                <w:sz w:val="21"/>
                <w:szCs w:val="21"/>
                <w:lang w:bidi="ar"/>
              </w:rPr>
              <w:t>（</w:t>
            </w:r>
            <w:r>
              <w:rPr>
                <w:rFonts w:hint="eastAsia"/>
                <w:b/>
                <w:color w:val="auto"/>
                <w:kern w:val="0"/>
                <w:sz w:val="21"/>
                <w:szCs w:val="21"/>
                <w:lang w:val="en-US" w:eastAsia="zh-CN" w:bidi="ar"/>
              </w:rPr>
              <w:t>7</w:t>
            </w:r>
            <w:r>
              <w:rPr>
                <w:rFonts w:hint="eastAsia"/>
                <w:b/>
                <w:color w:val="auto"/>
                <w:kern w:val="0"/>
                <w:sz w:val="21"/>
                <w:szCs w:val="21"/>
                <w:lang w:bidi="ar"/>
              </w:rPr>
              <w:t>）与《关于印发《重点行业挥发性有机物综合治理方案》的通知》（环大气〔2019〕53号）符合性分析</w:t>
            </w:r>
          </w:p>
          <w:p>
            <w:pPr>
              <w:spacing w:line="360" w:lineRule="auto"/>
              <w:ind w:firstLine="480"/>
              <w:rPr>
                <w:color w:val="auto"/>
              </w:rPr>
            </w:pPr>
            <w:r>
              <w:rPr>
                <w:rFonts w:hint="eastAsia"/>
                <w:color w:val="auto"/>
                <w:lang w:val="en-US" w:eastAsia="zh-CN"/>
              </w:rPr>
              <w:t>对照《</w:t>
            </w:r>
            <w:r>
              <w:rPr>
                <w:rFonts w:hint="eastAsia"/>
                <w:color w:val="auto"/>
              </w:rPr>
              <w:t>重点行业挥发性有机物综合治理方案</w:t>
            </w:r>
            <w:r>
              <w:rPr>
                <w:rFonts w:hint="eastAsia"/>
                <w:color w:val="auto"/>
                <w:lang w:val="en-US" w:eastAsia="zh-CN"/>
              </w:rPr>
              <w:t>》（环大气〔2019〕53号），本项目</w:t>
            </w:r>
            <w:r>
              <w:rPr>
                <w:color w:val="auto"/>
              </w:rPr>
              <w:t>挥发性有机物</w:t>
            </w:r>
            <w:r>
              <w:rPr>
                <w:rFonts w:hint="eastAsia"/>
                <w:color w:val="auto"/>
                <w:lang w:val="en-US" w:eastAsia="zh-CN"/>
              </w:rPr>
              <w:t>的防控措施符合环大气〔2019〕53号的要求，</w:t>
            </w:r>
            <w:r>
              <w:rPr>
                <w:color w:val="auto"/>
              </w:rPr>
              <w:t>符合性分析详见下表。</w:t>
            </w:r>
          </w:p>
          <w:p>
            <w:pPr>
              <w:spacing w:before="194" w:beforeLines="50"/>
              <w:jc w:val="center"/>
              <w:outlineLvl w:val="5"/>
              <w:rPr>
                <w:rFonts w:hint="eastAsia" w:eastAsia="宋体" w:cs="Times New Roman"/>
                <w:b/>
                <w:color w:val="auto"/>
                <w:spacing w:val="0"/>
                <w:sz w:val="21"/>
                <w:szCs w:val="21"/>
              </w:rPr>
            </w:pPr>
            <w:r>
              <w:rPr>
                <w:rFonts w:hint="eastAsia" w:eastAsia="宋体" w:cs="Times New Roman"/>
                <w:b/>
                <w:color w:val="auto"/>
                <w:spacing w:val="0"/>
                <w:sz w:val="21"/>
                <w:szCs w:val="21"/>
              </w:rPr>
              <w:t>表1-</w:t>
            </w:r>
            <w:r>
              <w:rPr>
                <w:rFonts w:hint="eastAsia" w:eastAsia="宋体" w:cs="Times New Roman"/>
                <w:b/>
                <w:color w:val="auto"/>
                <w:spacing w:val="0"/>
                <w:sz w:val="21"/>
                <w:szCs w:val="21"/>
                <w:lang w:val="en-US" w:eastAsia="zh-CN"/>
              </w:rPr>
              <w:t>7</w:t>
            </w:r>
            <w:r>
              <w:rPr>
                <w:rFonts w:hint="eastAsia" w:eastAsia="宋体" w:cs="Times New Roman"/>
                <w:b/>
                <w:color w:val="auto"/>
                <w:spacing w:val="0"/>
                <w:sz w:val="21"/>
                <w:szCs w:val="21"/>
              </w:rPr>
              <w:t>《重点行业挥发性有机物综合治理方案》符合性分析</w:t>
            </w:r>
          </w:p>
          <w:tbl>
            <w:tblPr>
              <w:tblStyle w:val="1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05"/>
              <w:gridCol w:w="2593"/>
              <w:gridCol w:w="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2516" w:type="pct"/>
                  <w:vAlign w:val="center"/>
                </w:tcPr>
                <w:p>
                  <w:pPr>
                    <w:jc w:val="center"/>
                    <w:rPr>
                      <w:b/>
                      <w:bCs/>
                      <w:color w:val="auto"/>
                      <w:sz w:val="18"/>
                      <w:szCs w:val="18"/>
                    </w:rPr>
                  </w:pPr>
                  <w:r>
                    <w:rPr>
                      <w:rFonts w:hint="eastAsia"/>
                      <w:b/>
                      <w:bCs/>
                      <w:color w:val="auto"/>
                      <w:sz w:val="18"/>
                      <w:szCs w:val="18"/>
                    </w:rPr>
                    <w:t>控制思路与要求</w:t>
                  </w:r>
                </w:p>
              </w:tc>
              <w:tc>
                <w:tcPr>
                  <w:tcW w:w="1916" w:type="pct"/>
                  <w:vAlign w:val="center"/>
                </w:tcPr>
                <w:p>
                  <w:pPr>
                    <w:jc w:val="center"/>
                    <w:rPr>
                      <w:b/>
                      <w:bCs/>
                      <w:color w:val="auto"/>
                      <w:sz w:val="18"/>
                      <w:szCs w:val="18"/>
                    </w:rPr>
                  </w:pPr>
                  <w:r>
                    <w:rPr>
                      <w:b/>
                      <w:bCs/>
                      <w:color w:val="auto"/>
                      <w:sz w:val="18"/>
                      <w:szCs w:val="18"/>
                    </w:rPr>
                    <w:t>本项目情况</w:t>
                  </w:r>
                </w:p>
              </w:tc>
              <w:tc>
                <w:tcPr>
                  <w:tcW w:w="567" w:type="pct"/>
                  <w:vAlign w:val="center"/>
                </w:tcPr>
                <w:p>
                  <w:pPr>
                    <w:jc w:val="center"/>
                    <w:rPr>
                      <w:b/>
                      <w:bCs/>
                      <w:color w:val="auto"/>
                      <w:sz w:val="18"/>
                      <w:szCs w:val="18"/>
                    </w:rPr>
                  </w:pPr>
                  <w:r>
                    <w:rPr>
                      <w:b/>
                      <w:bCs/>
                      <w:color w:val="auto"/>
                      <w:sz w:val="18"/>
                      <w:szCs w:val="18"/>
                    </w:rPr>
                    <w:t>是否</w:t>
                  </w:r>
                </w:p>
                <w:p>
                  <w:pPr>
                    <w:jc w:val="center"/>
                    <w:rPr>
                      <w:b/>
                      <w:bCs/>
                      <w:color w:val="auto"/>
                      <w:sz w:val="18"/>
                      <w:szCs w:val="18"/>
                    </w:rPr>
                  </w:pPr>
                  <w:r>
                    <w:rPr>
                      <w:b/>
                      <w:bCs/>
                      <w:color w:val="auto"/>
                      <w:sz w:val="18"/>
                      <w:szCs w:val="18"/>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1" w:hRule="atLeast"/>
                <w:jc w:val="center"/>
              </w:trPr>
              <w:tc>
                <w:tcPr>
                  <w:tcW w:w="2516" w:type="pct"/>
                  <w:vAlign w:val="center"/>
                </w:tcPr>
                <w:p>
                  <w:pPr>
                    <w:widowControl/>
                    <w:jc w:val="left"/>
                    <w:rPr>
                      <w:color w:val="auto"/>
                      <w:sz w:val="18"/>
                      <w:szCs w:val="18"/>
                    </w:rPr>
                  </w:pPr>
                  <w:r>
                    <w:rPr>
                      <w:rFonts w:hint="eastAsia"/>
                      <w:color w:val="auto"/>
                      <w:sz w:val="18"/>
                      <w:szCs w:val="18"/>
                    </w:rPr>
                    <w:t>含VOCs物料应储存于密闭容器、包装袋，高效密封储罐，封闭式储库、料仓等。含VOCs物料转移和输送，应采用密闭管道或密闭容器、罐车等。含VOCs物料生产和使用过程，应采取有效收集措施或在密闭空间中操作。</w:t>
                  </w:r>
                </w:p>
              </w:tc>
              <w:tc>
                <w:tcPr>
                  <w:tcW w:w="1916" w:type="pct"/>
                  <w:vAlign w:val="center"/>
                </w:tcPr>
                <w:p>
                  <w:pPr>
                    <w:widowControl/>
                    <w:jc w:val="left"/>
                    <w:rPr>
                      <w:rFonts w:hint="eastAsia" w:eastAsia="宋体"/>
                      <w:color w:val="auto"/>
                      <w:sz w:val="18"/>
                      <w:szCs w:val="18"/>
                      <w:lang w:eastAsia="zh-CN"/>
                    </w:rPr>
                  </w:pPr>
                  <w:r>
                    <w:rPr>
                      <w:rFonts w:hint="eastAsia"/>
                      <w:color w:val="auto"/>
                      <w:sz w:val="18"/>
                      <w:szCs w:val="18"/>
                    </w:rPr>
                    <w:t>本扩建项目物料全程密闭流，含VOCs原辅料在负压洁净房密闭设备内使用，废气经密闭管道收集。</w:t>
                  </w:r>
                </w:p>
              </w:tc>
              <w:tc>
                <w:tcPr>
                  <w:tcW w:w="567" w:type="pct"/>
                  <w:vAlign w:val="center"/>
                </w:tcPr>
                <w:p>
                  <w:pPr>
                    <w:widowControl/>
                    <w:jc w:val="center"/>
                    <w:rPr>
                      <w:color w:val="auto"/>
                      <w:kern w:val="0"/>
                      <w:sz w:val="18"/>
                      <w:szCs w:val="18"/>
                      <w:lang w:bidi="ar"/>
                    </w:rPr>
                  </w:pPr>
                  <w:r>
                    <w:rPr>
                      <w:rFonts w:hint="eastAsia"/>
                      <w:color w:val="auto"/>
                      <w:kern w:val="0"/>
                      <w:sz w:val="18"/>
                      <w:szCs w:val="18"/>
                      <w:lang w:bidi="ar"/>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jc w:val="center"/>
              </w:trPr>
              <w:tc>
                <w:tcPr>
                  <w:tcW w:w="2516" w:type="pct"/>
                  <w:vAlign w:val="center"/>
                </w:tcPr>
                <w:p>
                  <w:pPr>
                    <w:widowControl/>
                    <w:jc w:val="left"/>
                    <w:rPr>
                      <w:rFonts w:hint="eastAsia"/>
                      <w:color w:val="auto"/>
                      <w:sz w:val="18"/>
                      <w:szCs w:val="18"/>
                    </w:rPr>
                  </w:pPr>
                  <w:r>
                    <w:rPr>
                      <w:rFonts w:hint="eastAsia"/>
                      <w:color w:val="auto"/>
                      <w:sz w:val="18"/>
                      <w:szCs w:val="18"/>
                    </w:rPr>
                    <w:t>高VOCs含量废水（废水液面上方100毫米处VOCs检测浓度超过200ppm，其中，重点区域超过100ppm，以碳计）的集输、储存和处理过程，应加盖密闭。</w:t>
                  </w:r>
                </w:p>
              </w:tc>
              <w:tc>
                <w:tcPr>
                  <w:tcW w:w="1916" w:type="pct"/>
                  <w:vAlign w:val="center"/>
                </w:tcPr>
                <w:p>
                  <w:pPr>
                    <w:widowControl/>
                    <w:jc w:val="left"/>
                    <w:rPr>
                      <w:rFonts w:hint="eastAsia"/>
                      <w:color w:val="auto"/>
                      <w:sz w:val="18"/>
                      <w:szCs w:val="18"/>
                    </w:rPr>
                  </w:pPr>
                  <w:r>
                    <w:rPr>
                      <w:rFonts w:hint="eastAsia"/>
                      <w:color w:val="auto"/>
                      <w:sz w:val="18"/>
                      <w:szCs w:val="18"/>
                    </w:rPr>
                    <w:t>喷淋废水在密闭喷淋塔及循环水箱内循环使用</w:t>
                  </w:r>
                  <w:r>
                    <w:rPr>
                      <w:rFonts w:hint="eastAsia"/>
                      <w:color w:val="auto"/>
                      <w:sz w:val="18"/>
                      <w:szCs w:val="18"/>
                      <w:lang w:eastAsia="zh-CN"/>
                    </w:rPr>
                    <w:t>；</w:t>
                  </w:r>
                  <w:r>
                    <w:rPr>
                      <w:color w:val="auto"/>
                      <w:sz w:val="18"/>
                      <w:szCs w:val="18"/>
                    </w:rPr>
                    <w:t>达到吸附浓度后，通过密闭管道输送至精馏塔进行精馏回收</w:t>
                  </w:r>
                  <w:r>
                    <w:rPr>
                      <w:rFonts w:hint="eastAsia"/>
                      <w:color w:val="auto"/>
                      <w:sz w:val="18"/>
                      <w:szCs w:val="18"/>
                      <w:lang w:val="en-US" w:eastAsia="zh-CN"/>
                    </w:rPr>
                    <w:t>溶剂</w:t>
                  </w:r>
                  <w:r>
                    <w:rPr>
                      <w:color w:val="auto"/>
                      <w:sz w:val="18"/>
                      <w:szCs w:val="18"/>
                    </w:rPr>
                    <w:t>。</w:t>
                  </w:r>
                </w:p>
              </w:tc>
              <w:tc>
                <w:tcPr>
                  <w:tcW w:w="567" w:type="pct"/>
                  <w:vAlign w:val="center"/>
                </w:tcPr>
                <w:p>
                  <w:pPr>
                    <w:widowControl/>
                    <w:jc w:val="center"/>
                    <w:rPr>
                      <w:rFonts w:hint="eastAsia"/>
                      <w:color w:val="auto"/>
                      <w:sz w:val="18"/>
                      <w:szCs w:val="18"/>
                    </w:rPr>
                  </w:pPr>
                  <w:r>
                    <w:rPr>
                      <w:rFonts w:hint="eastAsia"/>
                      <w:color w:val="auto"/>
                      <w:kern w:val="0"/>
                      <w:sz w:val="18"/>
                      <w:szCs w:val="18"/>
                      <w:lang w:bidi="ar"/>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2516" w:type="pct"/>
                  <w:vAlign w:val="center"/>
                </w:tcPr>
                <w:p>
                  <w:pPr>
                    <w:widowControl/>
                    <w:jc w:val="left"/>
                    <w:rPr>
                      <w:color w:val="auto"/>
                      <w:sz w:val="18"/>
                      <w:szCs w:val="18"/>
                    </w:rPr>
                  </w:pPr>
                  <w:r>
                    <w:rPr>
                      <w:rFonts w:hint="eastAsia"/>
                      <w:color w:val="auto"/>
                      <w:sz w:val="18"/>
                      <w:szCs w:val="18"/>
                    </w:rPr>
                    <w:t>推进使用先进生产工艺。通过采用全密闭、连续化、自动化等生产技术，以及高效工艺与设备等，减少工艺过程无组织排放。</w:t>
                  </w:r>
                </w:p>
              </w:tc>
              <w:tc>
                <w:tcPr>
                  <w:tcW w:w="1916" w:type="pct"/>
                  <w:vAlign w:val="center"/>
                </w:tcPr>
                <w:p>
                  <w:pPr>
                    <w:widowControl/>
                    <w:jc w:val="left"/>
                    <w:rPr>
                      <w:color w:val="auto"/>
                      <w:sz w:val="18"/>
                      <w:szCs w:val="18"/>
                    </w:rPr>
                  </w:pPr>
                  <w:r>
                    <w:rPr>
                      <w:rFonts w:hint="eastAsia"/>
                      <w:color w:val="auto"/>
                      <w:sz w:val="18"/>
                      <w:szCs w:val="18"/>
                    </w:rPr>
                    <w:t>本项目主要工序均在密闭、自动化的一体化生产线中进行。</w:t>
                  </w:r>
                </w:p>
              </w:tc>
              <w:tc>
                <w:tcPr>
                  <w:tcW w:w="567" w:type="pct"/>
                  <w:vAlign w:val="center"/>
                </w:tcPr>
                <w:p>
                  <w:pPr>
                    <w:widowControl/>
                    <w:jc w:val="center"/>
                    <w:rPr>
                      <w:color w:val="auto"/>
                      <w:kern w:val="0"/>
                      <w:sz w:val="18"/>
                      <w:szCs w:val="18"/>
                      <w:lang w:bidi="ar"/>
                    </w:rPr>
                  </w:pPr>
                  <w:r>
                    <w:rPr>
                      <w:rFonts w:hint="eastAsia"/>
                      <w:color w:val="auto"/>
                      <w:kern w:val="0"/>
                      <w:sz w:val="18"/>
                      <w:szCs w:val="18"/>
                      <w:lang w:bidi="ar"/>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16" w:type="pct"/>
                  <w:vAlign w:val="center"/>
                </w:tcPr>
                <w:p>
                  <w:pPr>
                    <w:widowControl/>
                    <w:jc w:val="left"/>
                    <w:rPr>
                      <w:color w:val="auto"/>
                      <w:sz w:val="18"/>
                      <w:szCs w:val="18"/>
                    </w:rPr>
                  </w:pPr>
                  <w:r>
                    <w:rPr>
                      <w:rFonts w:hint="eastAsia"/>
                      <w:color w:val="auto"/>
                      <w:sz w:val="18"/>
                      <w:szCs w:val="18"/>
                    </w:rPr>
                    <w:t>提高废气收集率。遵循“应收尽收、分质收集”的原则，科学设计废气收集系统，将无组织排放转变为有组织排放进行控制。采用全密闭集气罩或密闭空间的，除行业有特殊要求外，应保持微负压状态，并根据相关规范合理设置通风量。采用局部集气罩的，距集气罩开口面最远处的VOCs无组织排放位置，控制风速应不低于0.3米/秒，有行业要求的按相关规定执行。</w:t>
                  </w:r>
                </w:p>
              </w:tc>
              <w:tc>
                <w:tcPr>
                  <w:tcW w:w="1916" w:type="pct"/>
                  <w:vAlign w:val="center"/>
                </w:tcPr>
                <w:p>
                  <w:pPr>
                    <w:widowControl/>
                    <w:jc w:val="left"/>
                    <w:rPr>
                      <w:rFonts w:hint="default" w:eastAsia="宋体"/>
                      <w:color w:val="auto"/>
                      <w:sz w:val="18"/>
                      <w:szCs w:val="18"/>
                      <w:lang w:val="en-US" w:eastAsia="zh-CN"/>
                    </w:rPr>
                  </w:pPr>
                  <w:r>
                    <w:rPr>
                      <w:rFonts w:hint="eastAsia"/>
                      <w:color w:val="auto"/>
                      <w:sz w:val="18"/>
                      <w:szCs w:val="18"/>
                    </w:rPr>
                    <w:t>本扩建项目含VOCs原辅料的使用均在负压洁净房的密闭设备内，有机废气经密闭管道收集</w:t>
                  </w:r>
                  <w:r>
                    <w:rPr>
                      <w:rFonts w:hint="eastAsia"/>
                      <w:color w:val="auto"/>
                      <w:sz w:val="18"/>
                      <w:szCs w:val="18"/>
                      <w:lang w:eastAsia="zh-CN"/>
                    </w:rPr>
                    <w:t>。</w:t>
                  </w:r>
                  <w:r>
                    <w:rPr>
                      <w:rFonts w:hint="eastAsia"/>
                      <w:color w:val="auto"/>
                      <w:sz w:val="18"/>
                      <w:szCs w:val="18"/>
                      <w:lang w:val="en-US" w:eastAsia="zh-CN"/>
                    </w:rPr>
                    <w:t>精馏过程产生废气经密闭管道直接收集</w:t>
                  </w:r>
                  <w:r>
                    <w:rPr>
                      <w:rFonts w:hint="eastAsia"/>
                      <w:color w:val="auto"/>
                      <w:sz w:val="18"/>
                      <w:szCs w:val="18"/>
                      <w:lang w:eastAsia="zh-CN"/>
                    </w:rPr>
                    <w:t>。</w:t>
                  </w:r>
                </w:p>
              </w:tc>
              <w:tc>
                <w:tcPr>
                  <w:tcW w:w="567" w:type="pct"/>
                  <w:vAlign w:val="center"/>
                </w:tcPr>
                <w:p>
                  <w:pPr>
                    <w:widowControl/>
                    <w:jc w:val="center"/>
                    <w:rPr>
                      <w:color w:val="auto"/>
                      <w:kern w:val="0"/>
                      <w:sz w:val="18"/>
                      <w:szCs w:val="18"/>
                      <w:lang w:bidi="ar"/>
                    </w:rPr>
                  </w:pPr>
                  <w:r>
                    <w:rPr>
                      <w:rFonts w:hint="eastAsia"/>
                      <w:color w:val="auto"/>
                      <w:kern w:val="0"/>
                      <w:sz w:val="18"/>
                      <w:szCs w:val="18"/>
                      <w:lang w:bidi="ar"/>
                    </w:rPr>
                    <w:t>符合</w:t>
                  </w:r>
                </w:p>
              </w:tc>
            </w:tr>
          </w:tbl>
          <w:p>
            <w:pPr>
              <w:keepNext/>
              <w:keepLines/>
              <w:widowControl/>
              <w:spacing w:line="360" w:lineRule="auto"/>
              <w:ind w:firstLine="422" w:firstLineChars="200"/>
              <w:jc w:val="left"/>
              <w:rPr>
                <w:rFonts w:hint="eastAsia"/>
                <w:b/>
                <w:color w:val="auto"/>
                <w:kern w:val="0"/>
                <w:sz w:val="21"/>
                <w:szCs w:val="21"/>
                <w:lang w:bidi="ar"/>
              </w:rPr>
            </w:pPr>
            <w:r>
              <w:rPr>
                <w:rFonts w:hint="eastAsia"/>
                <w:b/>
                <w:color w:val="auto"/>
                <w:kern w:val="0"/>
                <w:sz w:val="21"/>
                <w:szCs w:val="21"/>
                <w:lang w:bidi="ar"/>
              </w:rPr>
              <w:t>（</w:t>
            </w:r>
            <w:r>
              <w:rPr>
                <w:rFonts w:hint="eastAsia"/>
                <w:b/>
                <w:color w:val="auto"/>
                <w:kern w:val="0"/>
                <w:sz w:val="21"/>
                <w:szCs w:val="21"/>
                <w:lang w:val="en-US" w:eastAsia="zh-CN" w:bidi="ar"/>
              </w:rPr>
              <w:t>8</w:t>
            </w:r>
            <w:r>
              <w:rPr>
                <w:rFonts w:hint="eastAsia"/>
                <w:b/>
                <w:color w:val="auto"/>
                <w:kern w:val="0"/>
                <w:sz w:val="21"/>
                <w:szCs w:val="21"/>
                <w:lang w:bidi="ar"/>
              </w:rPr>
              <w:t>）与《关于加快解决当前挥发性有机物治理突出问题的通知》（环大气〔2021〕65号）符合性分析</w:t>
            </w:r>
          </w:p>
          <w:p>
            <w:pPr>
              <w:spacing w:line="360" w:lineRule="auto"/>
              <w:ind w:firstLine="480"/>
              <w:rPr>
                <w:color w:val="auto"/>
                <w:sz w:val="21"/>
                <w:szCs w:val="21"/>
              </w:rPr>
            </w:pPr>
            <w:r>
              <w:rPr>
                <w:rFonts w:hint="eastAsia"/>
                <w:color w:val="auto"/>
                <w:sz w:val="21"/>
                <w:szCs w:val="21"/>
                <w:lang w:val="en-US" w:eastAsia="zh-CN"/>
              </w:rPr>
              <w:t>对照</w:t>
            </w:r>
            <w:r>
              <w:rPr>
                <w:rFonts w:hint="eastAsia"/>
                <w:color w:val="auto"/>
                <w:sz w:val="21"/>
                <w:szCs w:val="21"/>
              </w:rPr>
              <w:t>《关于加快解决当前挥发性有机物治理突出问题的通知》（环大气〔2021〕65号）</w:t>
            </w:r>
            <w:r>
              <w:rPr>
                <w:rFonts w:hint="eastAsia"/>
                <w:color w:val="auto"/>
                <w:sz w:val="21"/>
                <w:szCs w:val="21"/>
                <w:lang w:val="en-US" w:eastAsia="zh-CN"/>
              </w:rPr>
              <w:t>，本项目</w:t>
            </w:r>
            <w:r>
              <w:rPr>
                <w:color w:val="auto"/>
                <w:sz w:val="21"/>
                <w:szCs w:val="21"/>
              </w:rPr>
              <w:t>挥发性有机物</w:t>
            </w:r>
            <w:r>
              <w:rPr>
                <w:rFonts w:hint="eastAsia"/>
                <w:color w:val="auto"/>
                <w:sz w:val="21"/>
                <w:szCs w:val="21"/>
                <w:lang w:val="en-US" w:eastAsia="zh-CN"/>
              </w:rPr>
              <w:t>的防控措施符合</w:t>
            </w:r>
            <w:r>
              <w:rPr>
                <w:rFonts w:hint="eastAsia"/>
                <w:color w:val="auto"/>
                <w:sz w:val="21"/>
                <w:szCs w:val="21"/>
              </w:rPr>
              <w:t>环大气〔2021〕65号</w:t>
            </w:r>
            <w:r>
              <w:rPr>
                <w:rFonts w:hint="eastAsia"/>
                <w:color w:val="auto"/>
                <w:sz w:val="21"/>
                <w:szCs w:val="21"/>
                <w:lang w:val="en-US" w:eastAsia="zh-CN"/>
              </w:rPr>
              <w:t>文的要求，</w:t>
            </w:r>
            <w:r>
              <w:rPr>
                <w:color w:val="auto"/>
                <w:sz w:val="21"/>
                <w:szCs w:val="21"/>
              </w:rPr>
              <w:t>符合性分析详见下表。</w:t>
            </w:r>
          </w:p>
          <w:p>
            <w:pPr>
              <w:spacing w:line="360" w:lineRule="auto"/>
              <w:ind w:firstLine="480"/>
              <w:rPr>
                <w:color w:val="auto"/>
              </w:rPr>
            </w:pPr>
          </w:p>
          <w:p>
            <w:pPr>
              <w:spacing w:before="194" w:beforeLines="50"/>
              <w:jc w:val="center"/>
              <w:outlineLvl w:val="5"/>
              <w:rPr>
                <w:color w:val="auto"/>
              </w:rPr>
            </w:pPr>
            <w:r>
              <w:rPr>
                <w:rFonts w:hint="eastAsia" w:eastAsia="宋体" w:cs="Times New Roman"/>
                <w:b/>
                <w:color w:val="auto"/>
                <w:spacing w:val="0"/>
                <w:sz w:val="21"/>
                <w:szCs w:val="21"/>
              </w:rPr>
              <w:t>表1-</w:t>
            </w:r>
            <w:r>
              <w:rPr>
                <w:rFonts w:hint="eastAsia" w:eastAsia="宋体" w:cs="Times New Roman"/>
                <w:b/>
                <w:color w:val="auto"/>
                <w:spacing w:val="0"/>
                <w:sz w:val="21"/>
                <w:szCs w:val="21"/>
                <w:lang w:val="en-US" w:eastAsia="zh-CN"/>
              </w:rPr>
              <w:t>8</w:t>
            </w:r>
            <w:r>
              <w:rPr>
                <w:rFonts w:hint="eastAsia" w:eastAsia="宋体" w:cs="Times New Roman"/>
                <w:b/>
                <w:color w:val="auto"/>
                <w:spacing w:val="0"/>
                <w:sz w:val="21"/>
                <w:szCs w:val="21"/>
              </w:rPr>
              <w:t>《关于加快解决当前挥发性有机物治理突出问题的通知》符合性分析</w:t>
            </w:r>
          </w:p>
          <w:tbl>
            <w:tblPr>
              <w:tblStyle w:val="19"/>
              <w:tblW w:w="68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
              <w:gridCol w:w="2905"/>
              <w:gridCol w:w="2580"/>
              <w:gridCol w:w="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555" w:type="pct"/>
                  <w:vAlign w:val="center"/>
                </w:tcPr>
                <w:p>
                  <w:pPr>
                    <w:keepNext w:val="0"/>
                    <w:keepLines w:val="0"/>
                    <w:pageBreakBefore w:val="0"/>
                    <w:kinsoku/>
                    <w:wordWrap/>
                    <w:overflowPunct/>
                    <w:topLinePunct w:val="0"/>
                    <w:autoSpaceDE/>
                    <w:autoSpaceDN/>
                    <w:bidi w:val="0"/>
                    <w:adjustRightInd/>
                    <w:snapToGrid/>
                    <w:spacing w:line="192" w:lineRule="auto"/>
                    <w:jc w:val="center"/>
                    <w:textAlignment w:val="auto"/>
                    <w:rPr>
                      <w:b/>
                      <w:bCs/>
                      <w:color w:val="auto"/>
                      <w:sz w:val="18"/>
                      <w:szCs w:val="18"/>
                    </w:rPr>
                  </w:pPr>
                  <w:r>
                    <w:rPr>
                      <w:rFonts w:hint="eastAsia"/>
                      <w:b/>
                      <w:bCs/>
                      <w:color w:val="auto"/>
                      <w:sz w:val="18"/>
                      <w:szCs w:val="18"/>
                    </w:rPr>
                    <w:t>治理工作要求</w:t>
                  </w:r>
                </w:p>
              </w:tc>
              <w:tc>
                <w:tcPr>
                  <w:tcW w:w="2110" w:type="pct"/>
                  <w:vAlign w:val="center"/>
                </w:tcPr>
                <w:p>
                  <w:pPr>
                    <w:keepNext w:val="0"/>
                    <w:keepLines w:val="0"/>
                    <w:pageBreakBefore w:val="0"/>
                    <w:kinsoku/>
                    <w:wordWrap/>
                    <w:overflowPunct/>
                    <w:topLinePunct w:val="0"/>
                    <w:autoSpaceDE/>
                    <w:autoSpaceDN/>
                    <w:bidi w:val="0"/>
                    <w:adjustRightInd/>
                    <w:snapToGrid/>
                    <w:spacing w:line="192" w:lineRule="auto"/>
                    <w:jc w:val="center"/>
                    <w:textAlignment w:val="auto"/>
                    <w:rPr>
                      <w:b/>
                      <w:bCs/>
                      <w:color w:val="auto"/>
                      <w:sz w:val="18"/>
                      <w:szCs w:val="18"/>
                    </w:rPr>
                  </w:pPr>
                  <w:r>
                    <w:rPr>
                      <w:b/>
                      <w:bCs/>
                      <w:color w:val="auto"/>
                      <w:sz w:val="18"/>
                      <w:szCs w:val="18"/>
                    </w:rPr>
                    <w:t>有关控制要求</w:t>
                  </w:r>
                </w:p>
              </w:tc>
              <w:tc>
                <w:tcPr>
                  <w:tcW w:w="1874" w:type="pct"/>
                  <w:vAlign w:val="center"/>
                </w:tcPr>
                <w:p>
                  <w:pPr>
                    <w:keepNext w:val="0"/>
                    <w:keepLines w:val="0"/>
                    <w:pageBreakBefore w:val="0"/>
                    <w:kinsoku/>
                    <w:wordWrap/>
                    <w:overflowPunct/>
                    <w:topLinePunct w:val="0"/>
                    <w:autoSpaceDE/>
                    <w:autoSpaceDN/>
                    <w:bidi w:val="0"/>
                    <w:adjustRightInd/>
                    <w:snapToGrid/>
                    <w:spacing w:line="192" w:lineRule="auto"/>
                    <w:jc w:val="center"/>
                    <w:textAlignment w:val="auto"/>
                    <w:rPr>
                      <w:b/>
                      <w:bCs/>
                      <w:color w:val="auto"/>
                      <w:sz w:val="18"/>
                      <w:szCs w:val="18"/>
                    </w:rPr>
                  </w:pPr>
                  <w:r>
                    <w:rPr>
                      <w:b/>
                      <w:bCs/>
                      <w:color w:val="auto"/>
                      <w:sz w:val="18"/>
                      <w:szCs w:val="18"/>
                    </w:rPr>
                    <w:t>本项目情况</w:t>
                  </w:r>
                </w:p>
              </w:tc>
              <w:tc>
                <w:tcPr>
                  <w:tcW w:w="459" w:type="pct"/>
                  <w:vAlign w:val="center"/>
                </w:tcPr>
                <w:p>
                  <w:pPr>
                    <w:keepNext w:val="0"/>
                    <w:keepLines w:val="0"/>
                    <w:pageBreakBefore w:val="0"/>
                    <w:kinsoku/>
                    <w:wordWrap/>
                    <w:overflowPunct/>
                    <w:topLinePunct w:val="0"/>
                    <w:autoSpaceDE/>
                    <w:autoSpaceDN/>
                    <w:bidi w:val="0"/>
                    <w:adjustRightInd/>
                    <w:snapToGrid/>
                    <w:spacing w:line="192" w:lineRule="auto"/>
                    <w:jc w:val="center"/>
                    <w:textAlignment w:val="auto"/>
                    <w:rPr>
                      <w:b/>
                      <w:bCs/>
                      <w:color w:val="auto"/>
                      <w:sz w:val="18"/>
                      <w:szCs w:val="18"/>
                    </w:rPr>
                  </w:pPr>
                  <w:r>
                    <w:rPr>
                      <w:b/>
                      <w:bCs/>
                      <w:color w:val="auto"/>
                      <w:sz w:val="18"/>
                      <w:szCs w:val="18"/>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555" w:type="pct"/>
                  <w:vMerge w:val="restart"/>
                  <w:vAlign w:val="center"/>
                </w:tcPr>
                <w:p>
                  <w:pPr>
                    <w:keepNext w:val="0"/>
                    <w:keepLines w:val="0"/>
                    <w:pageBreakBefore w:val="0"/>
                    <w:widowControl/>
                    <w:kinsoku/>
                    <w:wordWrap/>
                    <w:overflowPunct/>
                    <w:topLinePunct w:val="0"/>
                    <w:autoSpaceDE/>
                    <w:autoSpaceDN/>
                    <w:bidi w:val="0"/>
                    <w:adjustRightInd/>
                    <w:snapToGrid/>
                    <w:spacing w:line="192" w:lineRule="auto"/>
                    <w:textAlignment w:val="auto"/>
                    <w:rPr>
                      <w:color w:val="auto"/>
                      <w:sz w:val="18"/>
                      <w:szCs w:val="18"/>
                    </w:rPr>
                  </w:pPr>
                  <w:r>
                    <w:rPr>
                      <w:rFonts w:hint="eastAsia"/>
                      <w:color w:val="auto"/>
                      <w:sz w:val="18"/>
                      <w:szCs w:val="18"/>
                    </w:rPr>
                    <w:t>五、废气处理设施</w:t>
                  </w:r>
                </w:p>
              </w:tc>
              <w:tc>
                <w:tcPr>
                  <w:tcW w:w="2110" w:type="pct"/>
                  <w:vAlign w:val="center"/>
                </w:tcPr>
                <w:p>
                  <w:pPr>
                    <w:keepNext w:val="0"/>
                    <w:keepLines w:val="0"/>
                    <w:pageBreakBefore w:val="0"/>
                    <w:widowControl/>
                    <w:kinsoku/>
                    <w:wordWrap/>
                    <w:overflowPunct/>
                    <w:topLinePunct w:val="0"/>
                    <w:autoSpaceDE/>
                    <w:autoSpaceDN/>
                    <w:bidi w:val="0"/>
                    <w:adjustRightInd/>
                    <w:snapToGrid/>
                    <w:spacing w:line="192" w:lineRule="auto"/>
                    <w:textAlignment w:val="auto"/>
                    <w:rPr>
                      <w:color w:val="auto"/>
                      <w:sz w:val="18"/>
                      <w:szCs w:val="18"/>
                    </w:rPr>
                  </w:pPr>
                  <w:r>
                    <w:rPr>
                      <w:rFonts w:hint="eastAsia"/>
                      <w:color w:val="auto"/>
                      <w:sz w:val="18"/>
                      <w:szCs w:val="18"/>
                    </w:rPr>
                    <w:t>产生VOCs的生产环节优先采用密闭设备、在密闭空间中操作或采用全密闭集气罩收集方式，并保持负压运行。</w:t>
                  </w:r>
                </w:p>
              </w:tc>
              <w:tc>
                <w:tcPr>
                  <w:tcW w:w="1874" w:type="pct"/>
                  <w:vAlign w:val="center"/>
                </w:tcPr>
                <w:p>
                  <w:pPr>
                    <w:keepNext w:val="0"/>
                    <w:keepLines w:val="0"/>
                    <w:pageBreakBefore w:val="0"/>
                    <w:widowControl/>
                    <w:kinsoku/>
                    <w:wordWrap/>
                    <w:overflowPunct/>
                    <w:topLinePunct w:val="0"/>
                    <w:autoSpaceDE/>
                    <w:autoSpaceDN/>
                    <w:bidi w:val="0"/>
                    <w:adjustRightInd/>
                    <w:snapToGrid/>
                    <w:spacing w:line="192" w:lineRule="auto"/>
                    <w:textAlignment w:val="auto"/>
                    <w:rPr>
                      <w:rFonts w:hint="default"/>
                      <w:color w:val="auto"/>
                      <w:sz w:val="18"/>
                      <w:szCs w:val="18"/>
                      <w:lang w:val="en-US"/>
                    </w:rPr>
                  </w:pPr>
                  <w:r>
                    <w:rPr>
                      <w:rFonts w:hint="eastAsia"/>
                      <w:color w:val="auto"/>
                      <w:sz w:val="18"/>
                      <w:szCs w:val="18"/>
                    </w:rPr>
                    <w:t>本</w:t>
                  </w:r>
                  <w:r>
                    <w:rPr>
                      <w:rFonts w:hint="eastAsia"/>
                      <w:color w:val="auto"/>
                      <w:sz w:val="18"/>
                      <w:szCs w:val="18"/>
                      <w:lang w:val="en-US" w:eastAsia="zh-CN"/>
                    </w:rPr>
                    <w:t>扩建</w:t>
                  </w:r>
                  <w:r>
                    <w:rPr>
                      <w:rFonts w:hint="eastAsia"/>
                      <w:color w:val="auto"/>
                      <w:sz w:val="18"/>
                      <w:szCs w:val="18"/>
                    </w:rPr>
                    <w:t>项目产生VOCs的生产环节</w:t>
                  </w:r>
                  <w:r>
                    <w:rPr>
                      <w:rFonts w:hint="eastAsia"/>
                      <w:color w:val="auto"/>
                      <w:sz w:val="18"/>
                      <w:szCs w:val="18"/>
                      <w:lang w:val="en-US" w:eastAsia="zh-CN"/>
                    </w:rPr>
                    <w:t>均在</w:t>
                  </w:r>
                  <w:r>
                    <w:rPr>
                      <w:rFonts w:hint="eastAsia"/>
                      <w:color w:val="auto"/>
                      <w:sz w:val="18"/>
                      <w:szCs w:val="18"/>
                    </w:rPr>
                    <w:t>负压洁净房</w:t>
                  </w:r>
                  <w:r>
                    <w:rPr>
                      <w:rFonts w:hint="eastAsia"/>
                      <w:color w:val="auto"/>
                      <w:sz w:val="18"/>
                      <w:szCs w:val="18"/>
                      <w:lang w:val="en-US" w:eastAsia="zh-CN"/>
                    </w:rPr>
                    <w:t>的密闭设备内，有机废气经密闭管道负压收集；精馏过程产生废气经密闭管道直接收集</w:t>
                  </w:r>
                  <w:r>
                    <w:rPr>
                      <w:rFonts w:hint="eastAsia"/>
                      <w:color w:val="auto"/>
                      <w:sz w:val="18"/>
                      <w:szCs w:val="18"/>
                      <w:lang w:eastAsia="zh-CN"/>
                    </w:rPr>
                    <w:t>。</w:t>
                  </w:r>
                </w:p>
              </w:tc>
              <w:tc>
                <w:tcPr>
                  <w:tcW w:w="459" w:type="pct"/>
                  <w:vAlign w:val="center"/>
                </w:tcPr>
                <w:p>
                  <w:pPr>
                    <w:keepNext w:val="0"/>
                    <w:keepLines w:val="0"/>
                    <w:pageBreakBefore w:val="0"/>
                    <w:widowControl/>
                    <w:kinsoku/>
                    <w:wordWrap/>
                    <w:overflowPunct/>
                    <w:topLinePunct w:val="0"/>
                    <w:autoSpaceDE/>
                    <w:autoSpaceDN/>
                    <w:bidi w:val="0"/>
                    <w:adjustRightInd/>
                    <w:snapToGrid/>
                    <w:spacing w:line="192" w:lineRule="auto"/>
                    <w:jc w:val="center"/>
                    <w:textAlignment w:val="auto"/>
                    <w:rPr>
                      <w:color w:val="auto"/>
                      <w:kern w:val="0"/>
                      <w:sz w:val="18"/>
                      <w:szCs w:val="18"/>
                      <w:lang w:bidi="ar"/>
                    </w:rPr>
                  </w:pPr>
                  <w:r>
                    <w:rPr>
                      <w:rFonts w:hint="eastAsia"/>
                      <w:color w:val="auto"/>
                      <w:kern w:val="0"/>
                      <w:sz w:val="18"/>
                      <w:szCs w:val="18"/>
                      <w:lang w:bidi="ar"/>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555" w:type="pct"/>
                  <w:vMerge w:val="continue"/>
                  <w:vAlign w:val="center"/>
                </w:tcPr>
                <w:p>
                  <w:pPr>
                    <w:keepNext w:val="0"/>
                    <w:keepLines w:val="0"/>
                    <w:pageBreakBefore w:val="0"/>
                    <w:widowControl/>
                    <w:kinsoku/>
                    <w:wordWrap/>
                    <w:overflowPunct/>
                    <w:topLinePunct w:val="0"/>
                    <w:autoSpaceDE/>
                    <w:autoSpaceDN/>
                    <w:bidi w:val="0"/>
                    <w:adjustRightInd/>
                    <w:snapToGrid/>
                    <w:spacing w:line="192" w:lineRule="auto"/>
                    <w:textAlignment w:val="auto"/>
                    <w:rPr>
                      <w:color w:val="auto"/>
                      <w:sz w:val="18"/>
                      <w:szCs w:val="18"/>
                    </w:rPr>
                  </w:pPr>
                </w:p>
              </w:tc>
              <w:tc>
                <w:tcPr>
                  <w:tcW w:w="2110" w:type="pct"/>
                  <w:vAlign w:val="center"/>
                </w:tcPr>
                <w:p>
                  <w:pPr>
                    <w:keepNext w:val="0"/>
                    <w:keepLines w:val="0"/>
                    <w:pageBreakBefore w:val="0"/>
                    <w:widowControl/>
                    <w:kinsoku/>
                    <w:wordWrap/>
                    <w:overflowPunct/>
                    <w:topLinePunct w:val="0"/>
                    <w:autoSpaceDE/>
                    <w:autoSpaceDN/>
                    <w:bidi w:val="0"/>
                    <w:adjustRightInd/>
                    <w:snapToGrid/>
                    <w:spacing w:line="192" w:lineRule="auto"/>
                    <w:textAlignment w:val="auto"/>
                    <w:rPr>
                      <w:color w:val="auto"/>
                      <w:sz w:val="18"/>
                      <w:szCs w:val="18"/>
                    </w:rPr>
                  </w:pPr>
                  <w:r>
                    <w:rPr>
                      <w:rFonts w:hint="eastAsia"/>
                      <w:color w:val="auto"/>
                      <w:sz w:val="18"/>
                      <w:szCs w:val="18"/>
                    </w:rPr>
                    <w:t>废气收集系统的输送管道应密闭、无破损。</w:t>
                  </w:r>
                </w:p>
              </w:tc>
              <w:tc>
                <w:tcPr>
                  <w:tcW w:w="1874" w:type="pct"/>
                  <w:vAlign w:val="center"/>
                </w:tcPr>
                <w:p>
                  <w:pPr>
                    <w:keepNext w:val="0"/>
                    <w:keepLines w:val="0"/>
                    <w:pageBreakBefore w:val="0"/>
                    <w:widowControl/>
                    <w:kinsoku/>
                    <w:wordWrap/>
                    <w:overflowPunct/>
                    <w:topLinePunct w:val="0"/>
                    <w:autoSpaceDE/>
                    <w:autoSpaceDN/>
                    <w:bidi w:val="0"/>
                    <w:adjustRightInd/>
                    <w:snapToGrid/>
                    <w:spacing w:line="192" w:lineRule="auto"/>
                    <w:textAlignment w:val="auto"/>
                    <w:rPr>
                      <w:color w:val="auto"/>
                      <w:sz w:val="18"/>
                      <w:szCs w:val="18"/>
                    </w:rPr>
                  </w:pPr>
                  <w:r>
                    <w:rPr>
                      <w:rFonts w:hint="eastAsia"/>
                      <w:color w:val="auto"/>
                      <w:sz w:val="18"/>
                      <w:szCs w:val="18"/>
                    </w:rPr>
                    <w:t>废气收集系统的输送管道密闭、无破损。</w:t>
                  </w:r>
                </w:p>
              </w:tc>
              <w:tc>
                <w:tcPr>
                  <w:tcW w:w="459" w:type="pct"/>
                  <w:vAlign w:val="center"/>
                </w:tcPr>
                <w:p>
                  <w:pPr>
                    <w:keepNext w:val="0"/>
                    <w:keepLines w:val="0"/>
                    <w:pageBreakBefore w:val="0"/>
                    <w:widowControl/>
                    <w:kinsoku/>
                    <w:wordWrap/>
                    <w:overflowPunct/>
                    <w:topLinePunct w:val="0"/>
                    <w:autoSpaceDE/>
                    <w:autoSpaceDN/>
                    <w:bidi w:val="0"/>
                    <w:adjustRightInd/>
                    <w:snapToGrid/>
                    <w:spacing w:line="192" w:lineRule="auto"/>
                    <w:jc w:val="center"/>
                    <w:textAlignment w:val="auto"/>
                    <w:rPr>
                      <w:color w:val="auto"/>
                      <w:kern w:val="0"/>
                      <w:sz w:val="18"/>
                      <w:szCs w:val="18"/>
                      <w:lang w:bidi="ar"/>
                    </w:rPr>
                  </w:pPr>
                  <w:r>
                    <w:rPr>
                      <w:rFonts w:hint="eastAsia"/>
                      <w:color w:val="auto"/>
                      <w:kern w:val="0"/>
                      <w:sz w:val="18"/>
                      <w:szCs w:val="18"/>
                      <w:lang w:bidi="ar"/>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5" w:type="pct"/>
                  <w:vMerge w:val="continue"/>
                  <w:vAlign w:val="center"/>
                </w:tcPr>
                <w:p>
                  <w:pPr>
                    <w:keepNext w:val="0"/>
                    <w:keepLines w:val="0"/>
                    <w:pageBreakBefore w:val="0"/>
                    <w:widowControl/>
                    <w:kinsoku/>
                    <w:wordWrap/>
                    <w:overflowPunct/>
                    <w:topLinePunct w:val="0"/>
                    <w:autoSpaceDE/>
                    <w:autoSpaceDN/>
                    <w:bidi w:val="0"/>
                    <w:adjustRightInd/>
                    <w:snapToGrid/>
                    <w:spacing w:line="192" w:lineRule="auto"/>
                    <w:textAlignment w:val="auto"/>
                    <w:rPr>
                      <w:color w:val="auto"/>
                      <w:sz w:val="18"/>
                      <w:szCs w:val="18"/>
                    </w:rPr>
                  </w:pPr>
                </w:p>
              </w:tc>
              <w:tc>
                <w:tcPr>
                  <w:tcW w:w="2110" w:type="pct"/>
                  <w:vAlign w:val="center"/>
                </w:tcPr>
                <w:p>
                  <w:pPr>
                    <w:keepNext w:val="0"/>
                    <w:keepLines w:val="0"/>
                    <w:pageBreakBefore w:val="0"/>
                    <w:widowControl/>
                    <w:kinsoku/>
                    <w:wordWrap/>
                    <w:overflowPunct/>
                    <w:topLinePunct w:val="0"/>
                    <w:autoSpaceDE/>
                    <w:autoSpaceDN/>
                    <w:bidi w:val="0"/>
                    <w:adjustRightInd/>
                    <w:snapToGrid/>
                    <w:spacing w:line="192" w:lineRule="auto"/>
                    <w:textAlignment w:val="auto"/>
                    <w:rPr>
                      <w:color w:val="auto"/>
                      <w:sz w:val="18"/>
                      <w:szCs w:val="18"/>
                    </w:rPr>
                  </w:pPr>
                  <w:r>
                    <w:rPr>
                      <w:rFonts w:hint="eastAsia"/>
                      <w:color w:val="auto"/>
                      <w:sz w:val="18"/>
                      <w:szCs w:val="18"/>
                    </w:rPr>
                    <w:t>含VOCs物料输送原则上采用重力流或泵送方式；</w:t>
                  </w:r>
                </w:p>
              </w:tc>
              <w:tc>
                <w:tcPr>
                  <w:tcW w:w="1874" w:type="pct"/>
                  <w:vAlign w:val="center"/>
                </w:tcPr>
                <w:p>
                  <w:pPr>
                    <w:keepNext w:val="0"/>
                    <w:keepLines w:val="0"/>
                    <w:pageBreakBefore w:val="0"/>
                    <w:widowControl/>
                    <w:kinsoku/>
                    <w:wordWrap/>
                    <w:overflowPunct/>
                    <w:topLinePunct w:val="0"/>
                    <w:autoSpaceDE/>
                    <w:autoSpaceDN/>
                    <w:bidi w:val="0"/>
                    <w:adjustRightInd/>
                    <w:snapToGrid/>
                    <w:spacing w:line="192" w:lineRule="auto"/>
                    <w:textAlignment w:val="auto"/>
                    <w:rPr>
                      <w:color w:val="auto"/>
                      <w:sz w:val="18"/>
                      <w:szCs w:val="18"/>
                    </w:rPr>
                  </w:pPr>
                  <w:r>
                    <w:rPr>
                      <w:rFonts w:hint="eastAsia"/>
                      <w:color w:val="auto"/>
                      <w:sz w:val="18"/>
                      <w:szCs w:val="18"/>
                    </w:rPr>
                    <w:t>含VOCs</w:t>
                  </w:r>
                  <w:r>
                    <w:rPr>
                      <w:color w:val="auto"/>
                      <w:sz w:val="18"/>
                      <w:szCs w:val="18"/>
                    </w:rPr>
                    <w:t>物料使用</w:t>
                  </w:r>
                  <w:r>
                    <w:rPr>
                      <w:rFonts w:hint="eastAsia"/>
                      <w:color w:val="auto"/>
                      <w:sz w:val="18"/>
                      <w:szCs w:val="18"/>
                      <w:lang w:val="en-US" w:eastAsia="zh-CN"/>
                    </w:rPr>
                    <w:t>密闭</w:t>
                  </w:r>
                  <w:r>
                    <w:rPr>
                      <w:color w:val="auto"/>
                      <w:sz w:val="18"/>
                      <w:szCs w:val="18"/>
                    </w:rPr>
                    <w:t>管道</w:t>
                  </w:r>
                  <w:r>
                    <w:rPr>
                      <w:rFonts w:hint="eastAsia"/>
                      <w:color w:val="auto"/>
                      <w:sz w:val="18"/>
                      <w:szCs w:val="18"/>
                    </w:rPr>
                    <w:t>泵</w:t>
                  </w:r>
                  <w:r>
                    <w:rPr>
                      <w:color w:val="auto"/>
                      <w:sz w:val="18"/>
                      <w:szCs w:val="18"/>
                    </w:rPr>
                    <w:t>送</w:t>
                  </w:r>
                  <w:r>
                    <w:rPr>
                      <w:rFonts w:hint="eastAsia"/>
                      <w:color w:val="auto"/>
                      <w:sz w:val="18"/>
                      <w:szCs w:val="18"/>
                    </w:rPr>
                    <w:t>。</w:t>
                  </w:r>
                </w:p>
              </w:tc>
              <w:tc>
                <w:tcPr>
                  <w:tcW w:w="459" w:type="pct"/>
                  <w:vAlign w:val="center"/>
                </w:tcPr>
                <w:p>
                  <w:pPr>
                    <w:keepNext w:val="0"/>
                    <w:keepLines w:val="0"/>
                    <w:pageBreakBefore w:val="0"/>
                    <w:widowControl/>
                    <w:kinsoku/>
                    <w:wordWrap/>
                    <w:overflowPunct/>
                    <w:topLinePunct w:val="0"/>
                    <w:autoSpaceDE/>
                    <w:autoSpaceDN/>
                    <w:bidi w:val="0"/>
                    <w:adjustRightInd/>
                    <w:snapToGrid/>
                    <w:spacing w:line="192" w:lineRule="auto"/>
                    <w:jc w:val="center"/>
                    <w:textAlignment w:val="auto"/>
                    <w:rPr>
                      <w:color w:val="auto"/>
                      <w:kern w:val="0"/>
                      <w:sz w:val="18"/>
                      <w:szCs w:val="18"/>
                      <w:lang w:bidi="ar"/>
                    </w:rPr>
                  </w:pPr>
                  <w:r>
                    <w:rPr>
                      <w:rFonts w:hint="eastAsia"/>
                      <w:color w:val="auto"/>
                      <w:kern w:val="0"/>
                      <w:sz w:val="18"/>
                      <w:szCs w:val="18"/>
                      <w:lang w:bidi="ar"/>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8" w:hRule="atLeast"/>
                <w:jc w:val="center"/>
              </w:trPr>
              <w:tc>
                <w:tcPr>
                  <w:tcW w:w="555" w:type="pct"/>
                  <w:vMerge w:val="restart"/>
                  <w:vAlign w:val="center"/>
                </w:tcPr>
                <w:p>
                  <w:pPr>
                    <w:keepNext w:val="0"/>
                    <w:keepLines w:val="0"/>
                    <w:pageBreakBefore w:val="0"/>
                    <w:widowControl/>
                    <w:kinsoku/>
                    <w:wordWrap/>
                    <w:overflowPunct/>
                    <w:topLinePunct w:val="0"/>
                    <w:autoSpaceDE/>
                    <w:autoSpaceDN/>
                    <w:bidi w:val="0"/>
                    <w:adjustRightInd/>
                    <w:snapToGrid/>
                    <w:spacing w:line="192" w:lineRule="auto"/>
                    <w:textAlignment w:val="auto"/>
                    <w:rPr>
                      <w:color w:val="auto"/>
                      <w:sz w:val="18"/>
                      <w:szCs w:val="18"/>
                    </w:rPr>
                  </w:pPr>
                  <w:r>
                    <w:rPr>
                      <w:rFonts w:hint="eastAsia"/>
                      <w:color w:val="auto"/>
                      <w:sz w:val="18"/>
                      <w:szCs w:val="18"/>
                    </w:rPr>
                    <w:t>七、有机废气治理设施</w:t>
                  </w:r>
                </w:p>
              </w:tc>
              <w:tc>
                <w:tcPr>
                  <w:tcW w:w="2110" w:type="pct"/>
                  <w:vAlign w:val="center"/>
                </w:tcPr>
                <w:p>
                  <w:pPr>
                    <w:keepNext w:val="0"/>
                    <w:keepLines w:val="0"/>
                    <w:pageBreakBefore w:val="0"/>
                    <w:widowControl/>
                    <w:kinsoku/>
                    <w:wordWrap/>
                    <w:overflowPunct/>
                    <w:topLinePunct w:val="0"/>
                    <w:autoSpaceDE/>
                    <w:autoSpaceDN/>
                    <w:bidi w:val="0"/>
                    <w:adjustRightInd/>
                    <w:snapToGrid/>
                    <w:spacing w:line="192" w:lineRule="auto"/>
                    <w:textAlignment w:val="auto"/>
                    <w:rPr>
                      <w:color w:val="auto"/>
                      <w:sz w:val="18"/>
                      <w:szCs w:val="18"/>
                    </w:rPr>
                  </w:pPr>
                  <w:r>
                    <w:rPr>
                      <w:rFonts w:hint="eastAsia"/>
                      <w:color w:val="auto"/>
                      <w:sz w:val="18"/>
                      <w:szCs w:val="18"/>
                    </w:rPr>
                    <w:t>应依据排放废气特征、VOCs组分及浓度、生产工况等，合理选择治理技术；对治理难度大、单一治理工艺难以稳定达标的，宜采用多种技术的组合工艺；除恶臭异味治理外，一般不使用低温等离子、光催化、光氧化等技术。</w:t>
                  </w:r>
                </w:p>
              </w:tc>
              <w:tc>
                <w:tcPr>
                  <w:tcW w:w="1874" w:type="pct"/>
                  <w:vAlign w:val="center"/>
                </w:tcPr>
                <w:p>
                  <w:pPr>
                    <w:keepNext w:val="0"/>
                    <w:keepLines w:val="0"/>
                    <w:pageBreakBefore w:val="0"/>
                    <w:widowControl/>
                    <w:kinsoku/>
                    <w:wordWrap/>
                    <w:overflowPunct/>
                    <w:topLinePunct w:val="0"/>
                    <w:autoSpaceDE/>
                    <w:autoSpaceDN/>
                    <w:bidi w:val="0"/>
                    <w:adjustRightInd/>
                    <w:snapToGrid/>
                    <w:spacing w:line="192" w:lineRule="auto"/>
                    <w:textAlignment w:val="auto"/>
                    <w:rPr>
                      <w:rFonts w:hint="eastAsia"/>
                      <w:color w:val="auto"/>
                      <w:sz w:val="18"/>
                      <w:szCs w:val="18"/>
                      <w:lang w:val="en-US" w:eastAsia="zh-CN"/>
                    </w:rPr>
                  </w:pPr>
                  <w:r>
                    <w:rPr>
                      <w:rFonts w:hint="eastAsia"/>
                      <w:color w:val="auto"/>
                      <w:sz w:val="18"/>
                      <w:szCs w:val="18"/>
                      <w:lang w:val="en-US" w:eastAsia="zh-CN"/>
                    </w:rPr>
                    <w:t>本扩建项目高浓度VOCs废气经“二级冷凝回收+一级循环水喷淋（末端自带水雾干燥）+活性炭吸附”组合工艺处理，由1根</w:t>
                  </w:r>
                  <w:r>
                    <w:rPr>
                      <w:rFonts w:hint="eastAsia"/>
                      <w:color w:val="auto"/>
                      <w:sz w:val="18"/>
                      <w:szCs w:val="18"/>
                    </w:rPr>
                    <w:t>15米高排气筒</w:t>
                  </w:r>
                  <w:r>
                    <w:rPr>
                      <w:rFonts w:hint="eastAsia"/>
                      <w:color w:val="auto"/>
                      <w:sz w:val="18"/>
                      <w:szCs w:val="18"/>
                      <w:lang w:val="en-US" w:eastAsia="zh-CN"/>
                    </w:rPr>
                    <w:t>DA013达标排放；精馏产生低浓度VOCs废气依托生产车间二的“一级循环水喷淋（末端自带水雾干燥）+活性炭吸附”组合工艺处理，由现有15米排气筒DA002达标排放。以上</w:t>
                  </w:r>
                  <w:r>
                    <w:rPr>
                      <w:rFonts w:hint="eastAsia"/>
                      <w:color w:val="auto"/>
                      <w:sz w:val="18"/>
                      <w:szCs w:val="18"/>
                    </w:rPr>
                    <w:t>均未采用低温等离子、光催化、光氧化技术。</w:t>
                  </w:r>
                </w:p>
              </w:tc>
              <w:tc>
                <w:tcPr>
                  <w:tcW w:w="459" w:type="pct"/>
                  <w:vAlign w:val="center"/>
                </w:tcPr>
                <w:p>
                  <w:pPr>
                    <w:keepNext w:val="0"/>
                    <w:keepLines w:val="0"/>
                    <w:pageBreakBefore w:val="0"/>
                    <w:widowControl/>
                    <w:kinsoku/>
                    <w:wordWrap/>
                    <w:overflowPunct/>
                    <w:topLinePunct w:val="0"/>
                    <w:autoSpaceDE/>
                    <w:autoSpaceDN/>
                    <w:bidi w:val="0"/>
                    <w:adjustRightInd/>
                    <w:snapToGrid/>
                    <w:spacing w:line="192" w:lineRule="auto"/>
                    <w:jc w:val="center"/>
                    <w:textAlignment w:val="auto"/>
                    <w:rPr>
                      <w:color w:val="auto"/>
                      <w:kern w:val="0"/>
                      <w:sz w:val="18"/>
                      <w:szCs w:val="18"/>
                      <w:lang w:bidi="ar"/>
                    </w:rPr>
                  </w:pPr>
                  <w:r>
                    <w:rPr>
                      <w:rFonts w:hint="eastAsia"/>
                      <w:color w:val="auto"/>
                      <w:kern w:val="0"/>
                      <w:sz w:val="18"/>
                      <w:szCs w:val="18"/>
                      <w:lang w:bidi="ar"/>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55" w:type="pct"/>
                  <w:vMerge w:val="continue"/>
                  <w:vAlign w:val="center"/>
                </w:tcPr>
                <w:p>
                  <w:pPr>
                    <w:keepNext w:val="0"/>
                    <w:keepLines w:val="0"/>
                    <w:pageBreakBefore w:val="0"/>
                    <w:widowControl/>
                    <w:kinsoku/>
                    <w:wordWrap/>
                    <w:overflowPunct/>
                    <w:topLinePunct w:val="0"/>
                    <w:autoSpaceDE/>
                    <w:autoSpaceDN/>
                    <w:bidi w:val="0"/>
                    <w:adjustRightInd/>
                    <w:snapToGrid/>
                    <w:spacing w:line="192" w:lineRule="auto"/>
                    <w:textAlignment w:val="auto"/>
                    <w:rPr>
                      <w:color w:val="auto"/>
                      <w:sz w:val="18"/>
                      <w:szCs w:val="18"/>
                    </w:rPr>
                  </w:pPr>
                </w:p>
              </w:tc>
              <w:tc>
                <w:tcPr>
                  <w:tcW w:w="2110" w:type="pct"/>
                  <w:vAlign w:val="center"/>
                </w:tcPr>
                <w:p>
                  <w:pPr>
                    <w:keepNext w:val="0"/>
                    <w:keepLines w:val="0"/>
                    <w:pageBreakBefore w:val="0"/>
                    <w:widowControl/>
                    <w:kinsoku/>
                    <w:wordWrap/>
                    <w:overflowPunct/>
                    <w:topLinePunct w:val="0"/>
                    <w:autoSpaceDE/>
                    <w:autoSpaceDN/>
                    <w:bidi w:val="0"/>
                    <w:adjustRightInd/>
                    <w:snapToGrid/>
                    <w:spacing w:line="192" w:lineRule="auto"/>
                    <w:textAlignment w:val="auto"/>
                    <w:rPr>
                      <w:rFonts w:hint="eastAsia" w:eastAsia="宋体"/>
                      <w:color w:val="auto"/>
                      <w:sz w:val="18"/>
                      <w:szCs w:val="18"/>
                      <w:lang w:eastAsia="zh-CN"/>
                    </w:rPr>
                  </w:pPr>
                  <w:r>
                    <w:rPr>
                      <w:rFonts w:hint="eastAsia"/>
                      <w:color w:val="auto"/>
                      <w:sz w:val="18"/>
                      <w:szCs w:val="18"/>
                    </w:rPr>
                    <w:t>加强运行维护管理，做到治理设施较生产设备“先启后停”，在治理设施达到正常运行条件后方可启动生产设备，在生产设备停止、残留VOCs废气收集处理完毕后，方可停运治理设施；及时清理、更换吸附剂、吸收剂、催化剂、蓄热体、过滤棉、灯管、电器元件等治理设施耗材，确保设施能够稳定高效运行；做好生产设备和治理设施启停机时间、检维修情况、治理设施耗材维护更换、处置情况等台账记录；对于VOCs治理设施产生的废过滤棉、废催化剂、废吸附剂、废吸收剂、废有机溶剂等，应及时清运，属于危险废物的应交有资质的单位处理处置</w:t>
                  </w:r>
                  <w:r>
                    <w:rPr>
                      <w:rFonts w:hint="eastAsia"/>
                      <w:color w:val="auto"/>
                      <w:sz w:val="18"/>
                      <w:szCs w:val="18"/>
                      <w:lang w:eastAsia="zh-CN"/>
                    </w:rPr>
                    <w:t>。</w:t>
                  </w:r>
                </w:p>
              </w:tc>
              <w:tc>
                <w:tcPr>
                  <w:tcW w:w="1874" w:type="pct"/>
                  <w:vAlign w:val="center"/>
                </w:tcPr>
                <w:p>
                  <w:pPr>
                    <w:keepNext w:val="0"/>
                    <w:keepLines w:val="0"/>
                    <w:pageBreakBefore w:val="0"/>
                    <w:widowControl/>
                    <w:kinsoku/>
                    <w:wordWrap/>
                    <w:overflowPunct/>
                    <w:topLinePunct w:val="0"/>
                    <w:autoSpaceDE/>
                    <w:autoSpaceDN/>
                    <w:bidi w:val="0"/>
                    <w:adjustRightInd/>
                    <w:snapToGrid/>
                    <w:spacing w:line="192" w:lineRule="auto"/>
                    <w:textAlignment w:val="auto"/>
                    <w:rPr>
                      <w:color w:val="auto"/>
                      <w:sz w:val="18"/>
                      <w:szCs w:val="18"/>
                    </w:rPr>
                  </w:pPr>
                  <w:r>
                    <w:rPr>
                      <w:rFonts w:hint="eastAsia"/>
                      <w:color w:val="auto"/>
                      <w:sz w:val="18"/>
                      <w:szCs w:val="18"/>
                    </w:rPr>
                    <w:t>企业建成运行期，应加强治理设施运行维护管理，按照相关规范要求保证治理设施较生产设备“先启后停”，并定期更换末段治理的废活性炭作危险废物处置，交有资质的单位处理处置；做好生产设备和治理设施启停机时间、检维修情况、治理设施耗材维护更换、处置情况等台账记录。</w:t>
                  </w:r>
                </w:p>
              </w:tc>
              <w:tc>
                <w:tcPr>
                  <w:tcW w:w="459" w:type="pct"/>
                  <w:vAlign w:val="center"/>
                </w:tcPr>
                <w:p>
                  <w:pPr>
                    <w:keepNext w:val="0"/>
                    <w:keepLines w:val="0"/>
                    <w:pageBreakBefore w:val="0"/>
                    <w:widowControl/>
                    <w:kinsoku/>
                    <w:wordWrap/>
                    <w:overflowPunct/>
                    <w:topLinePunct w:val="0"/>
                    <w:autoSpaceDE/>
                    <w:autoSpaceDN/>
                    <w:bidi w:val="0"/>
                    <w:adjustRightInd/>
                    <w:snapToGrid/>
                    <w:spacing w:line="192" w:lineRule="auto"/>
                    <w:jc w:val="center"/>
                    <w:textAlignment w:val="auto"/>
                    <w:rPr>
                      <w:color w:val="auto"/>
                      <w:kern w:val="0"/>
                      <w:sz w:val="18"/>
                      <w:szCs w:val="18"/>
                      <w:lang w:bidi="ar"/>
                    </w:rPr>
                  </w:pPr>
                  <w:r>
                    <w:rPr>
                      <w:rFonts w:hint="eastAsia"/>
                      <w:color w:val="auto"/>
                      <w:kern w:val="0"/>
                      <w:sz w:val="18"/>
                      <w:szCs w:val="18"/>
                      <w:lang w:bidi="ar"/>
                    </w:rPr>
                    <w:t>符合</w:t>
                  </w:r>
                </w:p>
              </w:tc>
            </w:tr>
          </w:tbl>
          <w:p>
            <w:pPr>
              <w:keepNext/>
              <w:keepLines/>
              <w:widowControl/>
              <w:numPr>
                <w:ilvl w:val="0"/>
                <w:numId w:val="0"/>
              </w:numPr>
              <w:spacing w:line="360" w:lineRule="auto"/>
              <w:ind w:firstLine="422" w:firstLineChars="200"/>
              <w:jc w:val="left"/>
              <w:rPr>
                <w:rFonts w:hint="eastAsia"/>
                <w:b/>
                <w:color w:val="auto"/>
                <w:kern w:val="0"/>
                <w:sz w:val="21"/>
                <w:szCs w:val="21"/>
                <w:lang w:bidi="ar"/>
              </w:rPr>
            </w:pPr>
            <w:r>
              <w:rPr>
                <w:rFonts w:hint="eastAsia" w:ascii="Times New Roman" w:hAnsi="Times New Roman" w:eastAsia="宋体" w:cs="Times New Roman"/>
                <w:b/>
                <w:color w:val="auto"/>
                <w:kern w:val="0"/>
                <w:sz w:val="21"/>
                <w:szCs w:val="21"/>
                <w:lang w:val="en-US" w:eastAsia="zh-CN" w:bidi="ar"/>
              </w:rPr>
              <w:t>（</w:t>
            </w:r>
            <w:r>
              <w:rPr>
                <w:rFonts w:hint="eastAsia" w:cs="Times New Roman"/>
                <w:b/>
                <w:color w:val="auto"/>
                <w:kern w:val="0"/>
                <w:sz w:val="21"/>
                <w:szCs w:val="21"/>
                <w:lang w:val="en-US" w:eastAsia="zh-CN" w:bidi="ar"/>
              </w:rPr>
              <w:t>9</w:t>
            </w:r>
            <w:r>
              <w:rPr>
                <w:rFonts w:hint="eastAsia" w:ascii="Times New Roman" w:hAnsi="Times New Roman" w:eastAsia="宋体" w:cs="Times New Roman"/>
                <w:b/>
                <w:color w:val="auto"/>
                <w:kern w:val="0"/>
                <w:sz w:val="21"/>
                <w:szCs w:val="21"/>
                <w:lang w:val="en-US" w:eastAsia="zh-CN" w:bidi="ar"/>
              </w:rPr>
              <w:t>）</w:t>
            </w:r>
            <w:r>
              <w:rPr>
                <w:rFonts w:hint="eastAsia"/>
                <w:b/>
                <w:color w:val="auto"/>
                <w:kern w:val="0"/>
                <w:sz w:val="21"/>
                <w:szCs w:val="21"/>
                <w:lang w:bidi="ar"/>
              </w:rPr>
              <w:t>与《关于印发《“十三五”挥发性有机物污染防治工作方案》的通知》（环大气〔2017〕121号）符合性分析</w:t>
            </w:r>
          </w:p>
          <w:p>
            <w:pPr>
              <w:keepNext/>
              <w:keepLines/>
              <w:widowControl/>
              <w:spacing w:line="360" w:lineRule="auto"/>
              <w:ind w:firstLine="420" w:firstLineChars="200"/>
              <w:jc w:val="left"/>
              <w:rPr>
                <w:color w:val="auto"/>
                <w:sz w:val="21"/>
                <w:szCs w:val="21"/>
              </w:rPr>
            </w:pPr>
            <w:r>
              <w:rPr>
                <w:rFonts w:hint="eastAsia"/>
                <w:color w:val="auto"/>
                <w:sz w:val="21"/>
                <w:szCs w:val="21"/>
                <w:lang w:val="en-US" w:eastAsia="zh-CN"/>
              </w:rPr>
              <w:t>对照</w:t>
            </w:r>
            <w:r>
              <w:rPr>
                <w:rFonts w:hint="eastAsia"/>
                <w:color w:val="auto"/>
                <w:sz w:val="21"/>
                <w:szCs w:val="21"/>
              </w:rPr>
              <w:t>《关于加快解决当前挥发性有机物治理突出问题的通知》（环大气〔2017〕121号）</w:t>
            </w:r>
            <w:r>
              <w:rPr>
                <w:rFonts w:hint="eastAsia"/>
                <w:color w:val="auto"/>
                <w:sz w:val="21"/>
                <w:szCs w:val="21"/>
                <w:lang w:val="en-US" w:eastAsia="zh-CN"/>
              </w:rPr>
              <w:t>，本项目</w:t>
            </w:r>
            <w:r>
              <w:rPr>
                <w:color w:val="auto"/>
                <w:sz w:val="21"/>
                <w:szCs w:val="21"/>
              </w:rPr>
              <w:t>挥发性有机物</w:t>
            </w:r>
            <w:r>
              <w:rPr>
                <w:rFonts w:hint="eastAsia"/>
                <w:color w:val="auto"/>
                <w:sz w:val="21"/>
                <w:szCs w:val="21"/>
                <w:lang w:val="en-US" w:eastAsia="zh-CN"/>
              </w:rPr>
              <w:t>的治理措施符合</w:t>
            </w:r>
            <w:r>
              <w:rPr>
                <w:rFonts w:hint="eastAsia"/>
                <w:color w:val="auto"/>
                <w:sz w:val="21"/>
                <w:szCs w:val="21"/>
              </w:rPr>
              <w:t>环大气〔2017〕121号</w:t>
            </w:r>
            <w:r>
              <w:rPr>
                <w:rFonts w:hint="eastAsia"/>
                <w:color w:val="auto"/>
                <w:sz w:val="21"/>
                <w:szCs w:val="21"/>
                <w:lang w:val="en-US" w:eastAsia="zh-CN"/>
              </w:rPr>
              <w:t>文的要求，</w:t>
            </w:r>
            <w:r>
              <w:rPr>
                <w:color w:val="auto"/>
                <w:sz w:val="21"/>
                <w:szCs w:val="21"/>
              </w:rPr>
              <w:t>符合性分析详见下表。</w:t>
            </w:r>
          </w:p>
          <w:p>
            <w:pPr>
              <w:spacing w:before="194" w:beforeLines="50"/>
              <w:jc w:val="center"/>
              <w:outlineLvl w:val="5"/>
              <w:rPr>
                <w:b/>
                <w:color w:val="auto"/>
                <w:highlight w:val="none"/>
              </w:rPr>
            </w:pPr>
            <w:r>
              <w:rPr>
                <w:rFonts w:hint="eastAsia" w:ascii="Times New Roman" w:hAnsi="Times New Roman" w:eastAsia="宋体" w:cs="Times New Roman"/>
                <w:b/>
                <w:color w:val="auto"/>
                <w:spacing w:val="0"/>
                <w:sz w:val="21"/>
                <w:szCs w:val="21"/>
              </w:rPr>
              <w:t>表1-</w:t>
            </w:r>
            <w:r>
              <w:rPr>
                <w:rFonts w:hint="eastAsia" w:ascii="Times New Roman" w:hAnsi="Times New Roman" w:eastAsia="宋体" w:cs="Times New Roman"/>
                <w:b/>
                <w:color w:val="auto"/>
                <w:spacing w:val="0"/>
                <w:sz w:val="21"/>
                <w:szCs w:val="21"/>
                <w:lang w:val="en-US" w:eastAsia="zh-CN"/>
              </w:rPr>
              <w:t>9</w:t>
            </w:r>
            <w:r>
              <w:rPr>
                <w:rFonts w:hint="eastAsia" w:ascii="Times New Roman" w:hAnsi="Times New Roman" w:eastAsia="宋体" w:cs="Times New Roman"/>
                <w:b/>
                <w:color w:val="auto"/>
                <w:spacing w:val="0"/>
                <w:sz w:val="21"/>
                <w:szCs w:val="21"/>
              </w:rPr>
              <w:t>《“十三五”挥发性有机物污染防治工作方案》符合性分析</w:t>
            </w:r>
          </w:p>
          <w:tbl>
            <w:tblPr>
              <w:tblStyle w:val="19"/>
              <w:tblW w:w="6776"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065"/>
              <w:gridCol w:w="2080"/>
              <w:gridCol w:w="3050"/>
              <w:gridCol w:w="581"/>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85" w:type="pct"/>
                  <w:tcBorders>
                    <w:top w:val="single" w:color="auto" w:sz="4" w:space="0"/>
                    <w:left w:val="single" w:color="auto" w:sz="4" w:space="0"/>
                  </w:tcBorders>
                  <w:noWrap w:val="0"/>
                  <w:vAlign w:val="center"/>
                </w:tcPr>
                <w:p>
                  <w:pPr>
                    <w:jc w:val="center"/>
                    <w:rPr>
                      <w:b/>
                      <w:bCs/>
                      <w:color w:val="auto"/>
                      <w:sz w:val="18"/>
                      <w:szCs w:val="18"/>
                      <w:highlight w:val="none"/>
                    </w:rPr>
                  </w:pPr>
                  <w:r>
                    <w:rPr>
                      <w:rFonts w:hint="eastAsia"/>
                      <w:b/>
                      <w:bCs/>
                      <w:color w:val="auto"/>
                      <w:sz w:val="18"/>
                      <w:szCs w:val="18"/>
                      <w:highlight w:val="none"/>
                    </w:rPr>
                    <w:t>主要任务</w:t>
                  </w:r>
                </w:p>
              </w:tc>
              <w:tc>
                <w:tcPr>
                  <w:tcW w:w="1534" w:type="pct"/>
                  <w:tcBorders>
                    <w:top w:val="single" w:color="auto" w:sz="4" w:space="0"/>
                  </w:tcBorders>
                  <w:noWrap w:val="0"/>
                  <w:vAlign w:val="center"/>
                </w:tcPr>
                <w:p>
                  <w:pPr>
                    <w:jc w:val="center"/>
                    <w:rPr>
                      <w:b/>
                      <w:bCs/>
                      <w:color w:val="auto"/>
                      <w:sz w:val="18"/>
                      <w:szCs w:val="18"/>
                      <w:highlight w:val="none"/>
                    </w:rPr>
                  </w:pPr>
                  <w:r>
                    <w:rPr>
                      <w:b/>
                      <w:bCs/>
                      <w:color w:val="auto"/>
                      <w:sz w:val="18"/>
                      <w:szCs w:val="18"/>
                      <w:highlight w:val="none"/>
                    </w:rPr>
                    <w:t>有关控制要求</w:t>
                  </w:r>
                </w:p>
              </w:tc>
              <w:tc>
                <w:tcPr>
                  <w:tcW w:w="2250" w:type="pct"/>
                  <w:tcBorders>
                    <w:top w:val="single" w:color="auto" w:sz="4" w:space="0"/>
                  </w:tcBorders>
                  <w:noWrap w:val="0"/>
                  <w:vAlign w:val="center"/>
                </w:tcPr>
                <w:p>
                  <w:pPr>
                    <w:jc w:val="center"/>
                    <w:rPr>
                      <w:b/>
                      <w:bCs/>
                      <w:color w:val="auto"/>
                      <w:sz w:val="18"/>
                      <w:szCs w:val="18"/>
                      <w:highlight w:val="none"/>
                    </w:rPr>
                  </w:pPr>
                  <w:r>
                    <w:rPr>
                      <w:b/>
                      <w:bCs/>
                      <w:color w:val="auto"/>
                      <w:sz w:val="18"/>
                      <w:szCs w:val="18"/>
                      <w:highlight w:val="none"/>
                    </w:rPr>
                    <w:t>本项目情况</w:t>
                  </w:r>
                </w:p>
              </w:tc>
              <w:tc>
                <w:tcPr>
                  <w:tcW w:w="428" w:type="pct"/>
                  <w:tcBorders>
                    <w:top w:val="single" w:color="auto" w:sz="4" w:space="0"/>
                    <w:right w:val="single" w:color="auto" w:sz="4" w:space="0"/>
                  </w:tcBorders>
                  <w:noWrap w:val="0"/>
                  <w:vAlign w:val="center"/>
                </w:tcPr>
                <w:p>
                  <w:pPr>
                    <w:jc w:val="center"/>
                    <w:rPr>
                      <w:b/>
                      <w:bCs/>
                      <w:color w:val="auto"/>
                      <w:sz w:val="18"/>
                      <w:szCs w:val="18"/>
                      <w:highlight w:val="none"/>
                    </w:rPr>
                  </w:pPr>
                  <w:r>
                    <w:rPr>
                      <w:b/>
                      <w:bCs/>
                      <w:color w:val="auto"/>
                      <w:sz w:val="18"/>
                      <w:szCs w:val="18"/>
                      <w:highlight w:val="none"/>
                    </w:rPr>
                    <w:t>是否符合</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5" w:hRule="atLeast"/>
                <w:jc w:val="center"/>
              </w:trPr>
              <w:tc>
                <w:tcPr>
                  <w:tcW w:w="785" w:type="pct"/>
                  <w:vMerge w:val="restart"/>
                  <w:tcBorders>
                    <w:left w:val="single" w:color="auto" w:sz="4" w:space="0"/>
                  </w:tcBorders>
                  <w:noWrap w:val="0"/>
                  <w:vAlign w:val="center"/>
                </w:tcPr>
                <w:p>
                  <w:pPr>
                    <w:widowControl/>
                    <w:jc w:val="center"/>
                    <w:rPr>
                      <w:color w:val="auto"/>
                      <w:sz w:val="18"/>
                      <w:szCs w:val="18"/>
                      <w:highlight w:val="none"/>
                    </w:rPr>
                  </w:pPr>
                  <w:r>
                    <w:rPr>
                      <w:rFonts w:hint="eastAsia"/>
                      <w:color w:val="auto"/>
                      <w:sz w:val="18"/>
                      <w:szCs w:val="18"/>
                      <w:highlight w:val="none"/>
                    </w:rPr>
                    <w:t>严格建设项目环境准入</w:t>
                  </w:r>
                </w:p>
              </w:tc>
              <w:tc>
                <w:tcPr>
                  <w:tcW w:w="1534" w:type="pct"/>
                  <w:noWrap w:val="0"/>
                  <w:vAlign w:val="center"/>
                </w:tcPr>
                <w:p>
                  <w:pPr>
                    <w:widowControl/>
                    <w:rPr>
                      <w:color w:val="auto"/>
                      <w:sz w:val="18"/>
                      <w:szCs w:val="18"/>
                      <w:highlight w:val="none"/>
                    </w:rPr>
                  </w:pPr>
                  <w:r>
                    <w:rPr>
                      <w:rFonts w:hint="eastAsia"/>
                      <w:color w:val="auto"/>
                      <w:sz w:val="18"/>
                      <w:szCs w:val="18"/>
                      <w:highlight w:val="none"/>
                    </w:rPr>
                    <w:t>新建涉VOCs排放的工业企业要入园区。</w:t>
                  </w:r>
                </w:p>
              </w:tc>
              <w:tc>
                <w:tcPr>
                  <w:tcW w:w="2250" w:type="pct"/>
                  <w:noWrap w:val="0"/>
                  <w:vAlign w:val="center"/>
                </w:tcPr>
                <w:p>
                  <w:pPr>
                    <w:widowControl/>
                    <w:rPr>
                      <w:rFonts w:hint="default" w:eastAsia="宋体"/>
                      <w:color w:val="auto"/>
                      <w:sz w:val="18"/>
                      <w:szCs w:val="18"/>
                      <w:highlight w:val="none"/>
                      <w:lang w:val="en-US" w:eastAsia="zh-CN"/>
                    </w:rPr>
                  </w:pPr>
                  <w:r>
                    <w:rPr>
                      <w:rFonts w:hint="eastAsia"/>
                      <w:color w:val="auto"/>
                      <w:sz w:val="18"/>
                      <w:szCs w:val="18"/>
                      <w:highlight w:val="none"/>
                      <w:lang w:val="en-US" w:eastAsia="zh-CN"/>
                    </w:rPr>
                    <w:t>根据2018年11月19日生态环境部部长信箱回复意见，“新建涉VOCs排放的工业企业要入园区”的规定，适用范围为全国范围内新建涉高VOCs排放的建设项目，即石化、化工、包装印刷、工业涂装等重点行业，以及其他工业行业中VOCs排放量大、排放强度高的新建项目。本项目属于塑料制品业（292），不属于上述VOCs排放量大、排放强度高的行业类型，因此原则上可不进入园区。</w:t>
                  </w:r>
                </w:p>
              </w:tc>
              <w:tc>
                <w:tcPr>
                  <w:tcW w:w="428" w:type="pct"/>
                  <w:tcBorders>
                    <w:right w:val="single" w:color="auto" w:sz="4" w:space="0"/>
                  </w:tcBorders>
                  <w:noWrap w:val="0"/>
                  <w:vAlign w:val="center"/>
                </w:tcPr>
                <w:p>
                  <w:pPr>
                    <w:widowControl/>
                    <w:jc w:val="center"/>
                    <w:rPr>
                      <w:rFonts w:hint="eastAsia"/>
                      <w:color w:val="auto"/>
                      <w:kern w:val="0"/>
                      <w:sz w:val="18"/>
                      <w:szCs w:val="18"/>
                      <w:highlight w:val="none"/>
                      <w:lang w:bidi="ar"/>
                    </w:rPr>
                  </w:pPr>
                  <w:r>
                    <w:rPr>
                      <w:rFonts w:hint="eastAsia"/>
                      <w:color w:val="auto"/>
                      <w:kern w:val="0"/>
                      <w:sz w:val="18"/>
                      <w:szCs w:val="18"/>
                      <w:highlight w:val="none"/>
                      <w:lang w:bidi="ar"/>
                    </w:rPr>
                    <w:t>符合</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85" w:type="pct"/>
                  <w:vMerge w:val="continue"/>
                  <w:tcBorders>
                    <w:left w:val="single" w:color="auto" w:sz="4" w:space="0"/>
                  </w:tcBorders>
                  <w:noWrap w:val="0"/>
                  <w:vAlign w:val="center"/>
                </w:tcPr>
                <w:p>
                  <w:pPr>
                    <w:widowControl/>
                    <w:jc w:val="center"/>
                    <w:rPr>
                      <w:color w:val="auto"/>
                      <w:sz w:val="18"/>
                      <w:szCs w:val="18"/>
                      <w:highlight w:val="none"/>
                    </w:rPr>
                  </w:pPr>
                </w:p>
              </w:tc>
              <w:tc>
                <w:tcPr>
                  <w:tcW w:w="1534" w:type="pct"/>
                  <w:noWrap w:val="0"/>
                  <w:vAlign w:val="center"/>
                </w:tcPr>
                <w:p>
                  <w:pPr>
                    <w:widowControl/>
                    <w:rPr>
                      <w:color w:val="auto"/>
                      <w:sz w:val="18"/>
                      <w:szCs w:val="18"/>
                      <w:highlight w:val="none"/>
                    </w:rPr>
                  </w:pPr>
                  <w:r>
                    <w:rPr>
                      <w:rFonts w:hint="eastAsia"/>
                      <w:color w:val="auto"/>
                      <w:sz w:val="18"/>
                      <w:szCs w:val="18"/>
                      <w:highlight w:val="none"/>
                    </w:rPr>
                    <w:t>严格涉VOCs建设项目环境影响评价，实行区域内VOCs排放等量或倍量削减替代，并将替代方案落实到企业排污许可证中，纳入环境执法管理。</w:t>
                  </w:r>
                </w:p>
              </w:tc>
              <w:tc>
                <w:tcPr>
                  <w:tcW w:w="2250" w:type="pct"/>
                  <w:noWrap w:val="0"/>
                  <w:vAlign w:val="center"/>
                </w:tcPr>
                <w:p>
                  <w:pPr>
                    <w:widowControl/>
                    <w:rPr>
                      <w:color w:val="auto"/>
                      <w:sz w:val="18"/>
                      <w:szCs w:val="18"/>
                      <w:highlight w:val="none"/>
                    </w:rPr>
                  </w:pPr>
                  <w:r>
                    <w:rPr>
                      <w:rFonts w:hint="eastAsia"/>
                      <w:color w:val="auto"/>
                      <w:sz w:val="18"/>
                      <w:szCs w:val="18"/>
                      <w:highlight w:val="none"/>
                    </w:rPr>
                    <w:t>本项目排放VOCs实行区域内等量替代，并落实到企业排污许可证中，纳入环境执法管理。</w:t>
                  </w:r>
                </w:p>
              </w:tc>
              <w:tc>
                <w:tcPr>
                  <w:tcW w:w="428" w:type="pct"/>
                  <w:tcBorders>
                    <w:right w:val="single" w:color="auto" w:sz="4" w:space="0"/>
                  </w:tcBorders>
                  <w:noWrap w:val="0"/>
                  <w:vAlign w:val="center"/>
                </w:tcPr>
                <w:p>
                  <w:pPr>
                    <w:widowControl/>
                    <w:jc w:val="center"/>
                    <w:rPr>
                      <w:rFonts w:hint="eastAsia"/>
                      <w:color w:val="auto"/>
                      <w:kern w:val="0"/>
                      <w:sz w:val="18"/>
                      <w:szCs w:val="18"/>
                      <w:highlight w:val="none"/>
                      <w:lang w:bidi="ar"/>
                    </w:rPr>
                  </w:pPr>
                  <w:r>
                    <w:rPr>
                      <w:rFonts w:hint="eastAsia"/>
                      <w:color w:val="auto"/>
                      <w:kern w:val="0"/>
                      <w:sz w:val="18"/>
                      <w:szCs w:val="18"/>
                      <w:highlight w:val="none"/>
                      <w:lang w:bidi="ar"/>
                    </w:rPr>
                    <w:t>符合</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23" w:hRule="atLeast"/>
                <w:jc w:val="center"/>
              </w:trPr>
              <w:tc>
                <w:tcPr>
                  <w:tcW w:w="785" w:type="pct"/>
                  <w:vMerge w:val="continue"/>
                  <w:tcBorders>
                    <w:left w:val="single" w:color="auto" w:sz="4" w:space="0"/>
                    <w:bottom w:val="single" w:color="auto" w:sz="4" w:space="0"/>
                  </w:tcBorders>
                  <w:noWrap w:val="0"/>
                  <w:vAlign w:val="center"/>
                </w:tcPr>
                <w:p>
                  <w:pPr>
                    <w:widowControl/>
                    <w:jc w:val="center"/>
                    <w:rPr>
                      <w:color w:val="auto"/>
                      <w:sz w:val="18"/>
                      <w:szCs w:val="18"/>
                      <w:highlight w:val="none"/>
                    </w:rPr>
                  </w:pPr>
                </w:p>
              </w:tc>
              <w:tc>
                <w:tcPr>
                  <w:tcW w:w="1534" w:type="pct"/>
                  <w:tcBorders>
                    <w:bottom w:val="single" w:color="auto" w:sz="4" w:space="0"/>
                  </w:tcBorders>
                  <w:noWrap w:val="0"/>
                  <w:vAlign w:val="center"/>
                </w:tcPr>
                <w:p>
                  <w:pPr>
                    <w:widowControl/>
                    <w:rPr>
                      <w:rFonts w:hint="eastAsia"/>
                      <w:color w:val="auto"/>
                      <w:sz w:val="18"/>
                      <w:szCs w:val="18"/>
                      <w:highlight w:val="none"/>
                    </w:rPr>
                  </w:pPr>
                  <w:r>
                    <w:rPr>
                      <w:rFonts w:hint="eastAsia"/>
                      <w:color w:val="auto"/>
                      <w:sz w:val="18"/>
                      <w:szCs w:val="18"/>
                      <w:highlight w:val="none"/>
                    </w:rPr>
                    <w:t>新、改、扩建涉VOCs排放项目，应从源头加强控制，使用低（无）VOCs含量的原辅材料，加强废气收集，安装高效治理设施。</w:t>
                  </w:r>
                </w:p>
              </w:tc>
              <w:tc>
                <w:tcPr>
                  <w:tcW w:w="2250" w:type="pct"/>
                  <w:tcBorders>
                    <w:bottom w:val="single" w:color="auto" w:sz="4" w:space="0"/>
                  </w:tcBorders>
                  <w:noWrap w:val="0"/>
                  <w:vAlign w:val="center"/>
                </w:tcPr>
                <w:p>
                  <w:pPr>
                    <w:widowControl/>
                    <w:rPr>
                      <w:rFonts w:hint="eastAsia" w:eastAsia="宋体"/>
                      <w:color w:val="auto"/>
                      <w:sz w:val="18"/>
                      <w:szCs w:val="18"/>
                      <w:highlight w:val="none"/>
                      <w:lang w:val="en-US" w:eastAsia="zh-CN"/>
                    </w:rPr>
                  </w:pPr>
                  <w:r>
                    <w:rPr>
                      <w:rFonts w:hint="eastAsia"/>
                      <w:color w:val="auto"/>
                      <w:sz w:val="18"/>
                      <w:szCs w:val="18"/>
                      <w:highlight w:val="none"/>
                      <w:lang w:val="en-US" w:eastAsia="zh-CN"/>
                    </w:rPr>
                    <w:t>本项目属于扩建项目，从源头加强控制，项目含</w:t>
                  </w:r>
                  <w:r>
                    <w:rPr>
                      <w:rFonts w:hint="eastAsia"/>
                      <w:color w:val="auto"/>
                      <w:sz w:val="18"/>
                      <w:szCs w:val="18"/>
                      <w:highlight w:val="none"/>
                    </w:rPr>
                    <w:t>VOCs</w:t>
                  </w:r>
                  <w:r>
                    <w:rPr>
                      <w:rFonts w:hint="eastAsia"/>
                      <w:color w:val="auto"/>
                      <w:sz w:val="18"/>
                      <w:szCs w:val="18"/>
                      <w:highlight w:val="none"/>
                      <w:lang w:eastAsia="zh-CN"/>
                    </w:rPr>
                    <w:t>的</w:t>
                  </w:r>
                  <w:r>
                    <w:rPr>
                      <w:rFonts w:hint="eastAsia"/>
                      <w:color w:val="auto"/>
                      <w:sz w:val="18"/>
                      <w:szCs w:val="18"/>
                      <w:highlight w:val="none"/>
                      <w:lang w:val="en-US" w:eastAsia="zh-CN"/>
                    </w:rPr>
                    <w:t>原辅材料使用过程中均通过密闭容器装运、密闭输送管道泵送，生产过程位于负压洁净房，过程产生的废气经管道收集后经</w:t>
                  </w:r>
                  <w:r>
                    <w:rPr>
                      <w:rFonts w:hint="eastAsia"/>
                      <w:color w:val="auto"/>
                      <w:sz w:val="18"/>
                      <w:szCs w:val="18"/>
                      <w:highlight w:val="none"/>
                    </w:rPr>
                    <w:t>二级冷凝回收+一级循环水喷淋（末端自带水雾干燥）+活性炭吸附处理后达标排放</w:t>
                  </w:r>
                  <w:r>
                    <w:rPr>
                      <w:rFonts w:hint="eastAsia"/>
                      <w:color w:val="auto"/>
                      <w:sz w:val="18"/>
                      <w:szCs w:val="18"/>
                      <w:highlight w:val="none"/>
                      <w:lang w:eastAsia="zh-CN"/>
                    </w:rPr>
                    <w:t>。</w:t>
                  </w:r>
                </w:p>
              </w:tc>
              <w:tc>
                <w:tcPr>
                  <w:tcW w:w="428" w:type="pct"/>
                  <w:tcBorders>
                    <w:bottom w:val="single" w:color="auto" w:sz="4" w:space="0"/>
                    <w:right w:val="single" w:color="auto" w:sz="4" w:space="0"/>
                  </w:tcBorders>
                  <w:noWrap w:val="0"/>
                  <w:vAlign w:val="center"/>
                </w:tcPr>
                <w:p>
                  <w:pPr>
                    <w:widowControl/>
                    <w:jc w:val="center"/>
                    <w:rPr>
                      <w:rFonts w:hint="eastAsia" w:eastAsia="宋体"/>
                      <w:color w:val="auto"/>
                      <w:kern w:val="0"/>
                      <w:sz w:val="18"/>
                      <w:szCs w:val="18"/>
                      <w:highlight w:val="none"/>
                      <w:lang w:val="en-US" w:eastAsia="zh-CN" w:bidi="ar"/>
                    </w:rPr>
                  </w:pPr>
                  <w:r>
                    <w:rPr>
                      <w:rFonts w:hint="eastAsia"/>
                      <w:color w:val="auto"/>
                      <w:kern w:val="0"/>
                      <w:sz w:val="18"/>
                      <w:szCs w:val="18"/>
                      <w:highlight w:val="none"/>
                      <w:lang w:val="en-US" w:eastAsia="zh-CN" w:bidi="ar"/>
                    </w:rPr>
                    <w:t>符合</w:t>
                  </w:r>
                </w:p>
              </w:tc>
            </w:tr>
          </w:tbl>
          <w:p>
            <w:pPr>
              <w:keepNext/>
              <w:keepLines/>
              <w:widowControl/>
              <w:numPr>
                <w:ilvl w:val="0"/>
                <w:numId w:val="0"/>
              </w:numPr>
              <w:spacing w:line="360" w:lineRule="auto"/>
              <w:ind w:firstLine="422" w:firstLineChars="200"/>
              <w:jc w:val="left"/>
              <w:rPr>
                <w:rFonts w:hint="eastAsia" w:ascii="Times New Roman" w:hAnsi="Times New Roman" w:eastAsia="宋体" w:cs="Times New Roman"/>
                <w:b/>
                <w:color w:val="auto"/>
                <w:kern w:val="0"/>
                <w:sz w:val="21"/>
                <w:szCs w:val="21"/>
                <w:lang w:val="en-US" w:eastAsia="zh-CN" w:bidi="ar"/>
              </w:rPr>
            </w:pPr>
            <w:r>
              <w:rPr>
                <w:rFonts w:hint="eastAsia" w:ascii="Times New Roman" w:hAnsi="Times New Roman" w:eastAsia="宋体" w:cs="Times New Roman"/>
                <w:b/>
                <w:color w:val="auto"/>
                <w:kern w:val="0"/>
                <w:sz w:val="21"/>
                <w:szCs w:val="21"/>
                <w:lang w:val="en-US" w:eastAsia="zh-CN" w:bidi="ar"/>
              </w:rPr>
              <w:t>（10）与《关于印发《2020年挥发性有机物治理攻坚方案》的通知》（环大气〔2020〕33号）符合性分析</w:t>
            </w:r>
          </w:p>
          <w:p>
            <w:pPr>
              <w:keepNext/>
              <w:keepLines/>
              <w:widowControl/>
              <w:spacing w:line="360" w:lineRule="auto"/>
              <w:ind w:firstLine="420" w:firstLineChars="200"/>
              <w:jc w:val="left"/>
              <w:rPr>
                <w:rFonts w:hint="eastAsia"/>
                <w:color w:val="auto"/>
                <w:highlight w:val="none"/>
              </w:rPr>
            </w:pPr>
            <w:r>
              <w:rPr>
                <w:rFonts w:hint="eastAsia"/>
                <w:color w:val="auto"/>
                <w:highlight w:val="none"/>
              </w:rPr>
              <w:t>对照《关于印发《2020年挥发性有机物治理攻坚方案》的通知》（环大气〔2020〕33号），本项目挥发性有机物的治理措施符合环大气〔2020〕33号文的要求，符合性分析详见下表。</w:t>
            </w:r>
          </w:p>
          <w:p>
            <w:pPr>
              <w:spacing w:before="194" w:beforeLines="50"/>
              <w:jc w:val="center"/>
              <w:outlineLvl w:val="5"/>
              <w:rPr>
                <w:rFonts w:hint="eastAsia" w:ascii="Times New Roman" w:hAnsi="Times New Roman" w:eastAsia="宋体" w:cs="Times New Roman"/>
                <w:b/>
                <w:color w:val="auto"/>
                <w:spacing w:val="0"/>
                <w:sz w:val="21"/>
                <w:szCs w:val="21"/>
              </w:rPr>
            </w:pPr>
            <w:r>
              <w:rPr>
                <w:rFonts w:hint="eastAsia" w:ascii="Times New Roman" w:hAnsi="Times New Roman" w:eastAsia="宋体" w:cs="Times New Roman"/>
                <w:b/>
                <w:color w:val="auto"/>
                <w:spacing w:val="0"/>
                <w:sz w:val="21"/>
                <w:szCs w:val="21"/>
              </w:rPr>
              <w:t>表1-</w:t>
            </w:r>
            <w:r>
              <w:rPr>
                <w:rFonts w:hint="eastAsia" w:ascii="Times New Roman" w:hAnsi="Times New Roman" w:eastAsia="宋体" w:cs="Times New Roman"/>
                <w:b/>
                <w:color w:val="auto"/>
                <w:spacing w:val="0"/>
                <w:sz w:val="21"/>
                <w:szCs w:val="21"/>
                <w:lang w:val="en-US" w:eastAsia="zh-CN"/>
              </w:rPr>
              <w:t>10</w:t>
            </w:r>
            <w:r>
              <w:rPr>
                <w:rFonts w:hint="eastAsia" w:ascii="Times New Roman" w:hAnsi="Times New Roman" w:eastAsia="宋体" w:cs="Times New Roman"/>
                <w:b/>
                <w:color w:val="auto"/>
                <w:spacing w:val="0"/>
                <w:sz w:val="21"/>
                <w:szCs w:val="21"/>
              </w:rPr>
              <w:t>《2020年挥发性有机物治理攻坚方案》符合性分析</w:t>
            </w:r>
          </w:p>
          <w:tbl>
            <w:tblPr>
              <w:tblStyle w:val="19"/>
              <w:tblW w:w="4895"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324"/>
              <w:gridCol w:w="2479"/>
              <w:gridCol w:w="2096"/>
              <w:gridCol w:w="739"/>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436" w:hRule="atLeast"/>
                <w:jc w:val="center"/>
              </w:trPr>
              <w:tc>
                <w:tcPr>
                  <w:tcW w:w="997" w:type="pct"/>
                  <w:tcBorders>
                    <w:top w:val="single" w:color="auto" w:sz="4" w:space="0"/>
                    <w:left w:val="single" w:color="auto" w:sz="4" w:space="0"/>
                  </w:tcBorders>
                  <w:noWrap w:val="0"/>
                  <w:vAlign w:val="center"/>
                </w:tcPr>
                <w:p>
                  <w:pPr>
                    <w:jc w:val="center"/>
                    <w:rPr>
                      <w:rFonts w:hint="default" w:eastAsia="宋体"/>
                      <w:b/>
                      <w:bCs/>
                      <w:color w:val="auto"/>
                      <w:sz w:val="18"/>
                      <w:szCs w:val="18"/>
                      <w:highlight w:val="none"/>
                      <w:lang w:val="en-US" w:eastAsia="zh-CN"/>
                    </w:rPr>
                  </w:pPr>
                  <w:r>
                    <w:rPr>
                      <w:rFonts w:hint="eastAsia"/>
                      <w:b/>
                      <w:bCs/>
                      <w:color w:val="auto"/>
                      <w:sz w:val="18"/>
                      <w:szCs w:val="18"/>
                      <w:highlight w:val="none"/>
                      <w:lang w:val="en-US" w:eastAsia="zh-CN"/>
                    </w:rPr>
                    <w:t>主要任务</w:t>
                  </w:r>
                </w:p>
              </w:tc>
              <w:tc>
                <w:tcPr>
                  <w:tcW w:w="1867" w:type="pct"/>
                  <w:tcBorders>
                    <w:top w:val="single" w:color="auto" w:sz="4" w:space="0"/>
                  </w:tcBorders>
                  <w:noWrap w:val="0"/>
                  <w:vAlign w:val="center"/>
                </w:tcPr>
                <w:p>
                  <w:pPr>
                    <w:jc w:val="center"/>
                    <w:rPr>
                      <w:b/>
                      <w:bCs/>
                      <w:color w:val="auto"/>
                      <w:sz w:val="18"/>
                      <w:szCs w:val="18"/>
                      <w:highlight w:val="none"/>
                    </w:rPr>
                  </w:pPr>
                  <w:r>
                    <w:rPr>
                      <w:b/>
                      <w:bCs/>
                      <w:color w:val="auto"/>
                      <w:sz w:val="18"/>
                      <w:szCs w:val="18"/>
                      <w:highlight w:val="none"/>
                    </w:rPr>
                    <w:t>有关控制要求</w:t>
                  </w:r>
                </w:p>
              </w:tc>
              <w:tc>
                <w:tcPr>
                  <w:tcW w:w="1578" w:type="pct"/>
                  <w:tcBorders>
                    <w:top w:val="single" w:color="auto" w:sz="4" w:space="0"/>
                  </w:tcBorders>
                  <w:noWrap w:val="0"/>
                  <w:vAlign w:val="center"/>
                </w:tcPr>
                <w:p>
                  <w:pPr>
                    <w:jc w:val="center"/>
                    <w:rPr>
                      <w:b/>
                      <w:bCs/>
                      <w:color w:val="auto"/>
                      <w:sz w:val="18"/>
                      <w:szCs w:val="18"/>
                      <w:highlight w:val="none"/>
                    </w:rPr>
                  </w:pPr>
                  <w:r>
                    <w:rPr>
                      <w:b/>
                      <w:bCs/>
                      <w:color w:val="auto"/>
                      <w:sz w:val="18"/>
                      <w:szCs w:val="18"/>
                      <w:highlight w:val="none"/>
                    </w:rPr>
                    <w:t>本项目情况</w:t>
                  </w:r>
                </w:p>
              </w:tc>
              <w:tc>
                <w:tcPr>
                  <w:tcW w:w="556" w:type="pct"/>
                  <w:tcBorders>
                    <w:top w:val="single" w:color="auto" w:sz="4" w:space="0"/>
                    <w:right w:val="single" w:color="auto" w:sz="4" w:space="0"/>
                  </w:tcBorders>
                  <w:noWrap w:val="0"/>
                  <w:vAlign w:val="center"/>
                </w:tcPr>
                <w:p>
                  <w:pPr>
                    <w:jc w:val="center"/>
                    <w:rPr>
                      <w:b/>
                      <w:bCs/>
                      <w:color w:val="auto"/>
                      <w:sz w:val="18"/>
                      <w:szCs w:val="18"/>
                      <w:highlight w:val="none"/>
                    </w:rPr>
                  </w:pPr>
                  <w:r>
                    <w:rPr>
                      <w:b/>
                      <w:bCs/>
                      <w:color w:val="auto"/>
                      <w:sz w:val="18"/>
                      <w:szCs w:val="18"/>
                      <w:highlight w:val="none"/>
                    </w:rPr>
                    <w:t>是否符合</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833" w:hRule="atLeast"/>
                <w:jc w:val="center"/>
              </w:trPr>
              <w:tc>
                <w:tcPr>
                  <w:tcW w:w="997" w:type="pct"/>
                  <w:tcBorders>
                    <w:left w:val="single" w:color="auto" w:sz="4" w:space="0"/>
                  </w:tcBorders>
                  <w:noWrap w:val="0"/>
                  <w:vAlign w:val="center"/>
                </w:tcPr>
                <w:p>
                  <w:pPr>
                    <w:widowControl/>
                    <w:rPr>
                      <w:color w:val="auto"/>
                      <w:sz w:val="18"/>
                      <w:szCs w:val="18"/>
                      <w:highlight w:val="none"/>
                    </w:rPr>
                  </w:pPr>
                  <w:r>
                    <w:rPr>
                      <w:rFonts w:hint="eastAsia"/>
                      <w:color w:val="auto"/>
                      <w:sz w:val="18"/>
                      <w:szCs w:val="18"/>
                      <w:highlight w:val="none"/>
                    </w:rPr>
                    <w:t>一、大力推进源头替代，有效减少VOCs产生</w:t>
                  </w:r>
                </w:p>
              </w:tc>
              <w:tc>
                <w:tcPr>
                  <w:tcW w:w="1867" w:type="pct"/>
                  <w:noWrap w:val="0"/>
                  <w:vAlign w:val="center"/>
                </w:tcPr>
                <w:p>
                  <w:pPr>
                    <w:widowControl/>
                    <w:rPr>
                      <w:rFonts w:hint="eastAsia"/>
                      <w:color w:val="auto"/>
                      <w:sz w:val="18"/>
                      <w:szCs w:val="18"/>
                      <w:highlight w:val="none"/>
                    </w:rPr>
                  </w:pPr>
                  <w:r>
                    <w:rPr>
                      <w:rFonts w:hint="eastAsia"/>
                      <w:color w:val="auto"/>
                      <w:sz w:val="18"/>
                      <w:szCs w:val="18"/>
                      <w:highlight w:val="none"/>
                    </w:rPr>
                    <w:t>企业应建立原辅材料台账，记录VOCs原辅材料名称、成分、VOCs含量、采购量、使用量、库存量、回收方式、回收量等信息，并保存相关证明材料。</w:t>
                  </w:r>
                </w:p>
              </w:tc>
              <w:tc>
                <w:tcPr>
                  <w:tcW w:w="1578" w:type="pct"/>
                  <w:noWrap w:val="0"/>
                  <w:vAlign w:val="center"/>
                </w:tcPr>
                <w:p>
                  <w:pPr>
                    <w:widowControl/>
                    <w:rPr>
                      <w:color w:val="auto"/>
                      <w:sz w:val="18"/>
                      <w:szCs w:val="18"/>
                      <w:highlight w:val="none"/>
                    </w:rPr>
                  </w:pPr>
                  <w:r>
                    <w:rPr>
                      <w:rFonts w:hint="eastAsia"/>
                      <w:color w:val="auto"/>
                      <w:sz w:val="18"/>
                      <w:szCs w:val="18"/>
                      <w:highlight w:val="none"/>
                    </w:rPr>
                    <w:t>本项目建立原辅材料台账，记录VOCs原辅材料名称、成分、VOCs含量、采购量、使用量、库存量、回收方式、回收量等信息，并保存相关证明材料。</w:t>
                  </w:r>
                </w:p>
              </w:tc>
              <w:tc>
                <w:tcPr>
                  <w:tcW w:w="556" w:type="pct"/>
                  <w:tcBorders>
                    <w:right w:val="single" w:color="auto" w:sz="4" w:space="0"/>
                  </w:tcBorders>
                  <w:noWrap w:val="0"/>
                  <w:vAlign w:val="center"/>
                </w:tcPr>
                <w:p>
                  <w:pPr>
                    <w:widowControl/>
                    <w:jc w:val="center"/>
                    <w:rPr>
                      <w:rFonts w:hint="eastAsia"/>
                      <w:color w:val="auto"/>
                      <w:kern w:val="0"/>
                      <w:sz w:val="18"/>
                      <w:szCs w:val="18"/>
                      <w:highlight w:val="none"/>
                      <w:lang w:bidi="ar"/>
                    </w:rPr>
                  </w:pPr>
                  <w:r>
                    <w:rPr>
                      <w:rFonts w:hint="eastAsia"/>
                      <w:color w:val="auto"/>
                      <w:kern w:val="0"/>
                      <w:sz w:val="18"/>
                      <w:szCs w:val="18"/>
                      <w:highlight w:val="none"/>
                      <w:lang w:bidi="ar"/>
                    </w:rPr>
                    <w:t>符合</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04" w:hRule="atLeast"/>
                <w:jc w:val="center"/>
              </w:trPr>
              <w:tc>
                <w:tcPr>
                  <w:tcW w:w="997" w:type="pct"/>
                  <w:tcBorders>
                    <w:left w:val="single" w:color="auto" w:sz="4" w:space="0"/>
                  </w:tcBorders>
                  <w:noWrap w:val="0"/>
                  <w:vAlign w:val="center"/>
                </w:tcPr>
                <w:p>
                  <w:pPr>
                    <w:widowControl/>
                    <w:rPr>
                      <w:rFonts w:hint="eastAsia"/>
                      <w:color w:val="auto"/>
                      <w:sz w:val="18"/>
                      <w:szCs w:val="18"/>
                      <w:highlight w:val="none"/>
                    </w:rPr>
                  </w:pPr>
                  <w:r>
                    <w:rPr>
                      <w:rFonts w:hint="eastAsia"/>
                      <w:color w:val="auto"/>
                      <w:sz w:val="18"/>
                      <w:szCs w:val="18"/>
                      <w:highlight w:val="none"/>
                    </w:rPr>
                    <w:t>二、全面落实标准要求，强化无组织排放控制</w:t>
                  </w:r>
                </w:p>
              </w:tc>
              <w:tc>
                <w:tcPr>
                  <w:tcW w:w="1867" w:type="pct"/>
                  <w:noWrap w:val="0"/>
                  <w:vAlign w:val="center"/>
                </w:tcPr>
                <w:p>
                  <w:pPr>
                    <w:widowControl/>
                    <w:rPr>
                      <w:rFonts w:hint="eastAsia"/>
                      <w:color w:val="auto"/>
                      <w:sz w:val="18"/>
                      <w:szCs w:val="18"/>
                      <w:highlight w:val="none"/>
                    </w:rPr>
                  </w:pPr>
                  <w:r>
                    <w:rPr>
                      <w:rFonts w:hint="eastAsia"/>
                      <w:color w:val="auto"/>
                      <w:sz w:val="18"/>
                      <w:szCs w:val="18"/>
                      <w:highlight w:val="none"/>
                    </w:rPr>
                    <w:t>储存环节应采用密闭容器、包装袋，高效密封储罐，封闭式储库、料仓等。装卸、转移和输送环节应采用密闭管道或密闭容器、罐车等。生产和使用环节应采用密闭设备，或在密闭空间中操作并有效收集废气，或进行局部气体收集；非取用状态时容器应密闭。处置环节应将盛装过VOCs物料的包装容器、含VOCs废料（渣、液）、废吸附剂等通过加盖、封装等方式密闭，妥善存放，不得随意丢弃，7月15日前集中清运一次，交有资质的单位处置。</w:t>
                  </w:r>
                </w:p>
              </w:tc>
              <w:tc>
                <w:tcPr>
                  <w:tcW w:w="1578" w:type="pct"/>
                  <w:noWrap w:val="0"/>
                  <w:vAlign w:val="center"/>
                </w:tcPr>
                <w:p>
                  <w:pPr>
                    <w:widowControl/>
                    <w:rPr>
                      <w:rFonts w:hint="eastAsia" w:eastAsia="宋体"/>
                      <w:color w:val="auto"/>
                      <w:sz w:val="18"/>
                      <w:szCs w:val="18"/>
                      <w:highlight w:val="none"/>
                      <w:lang w:val="en-US" w:eastAsia="zh-CN"/>
                    </w:rPr>
                  </w:pPr>
                  <w:r>
                    <w:rPr>
                      <w:rFonts w:hint="eastAsia"/>
                      <w:color w:val="auto"/>
                      <w:sz w:val="18"/>
                      <w:szCs w:val="18"/>
                    </w:rPr>
                    <w:t>本扩建项目物料全程密闭流转，含VOCs原辅料在负压洁净房密闭设备内使用，废气经密闭管道收集。</w:t>
                  </w:r>
                  <w:r>
                    <w:rPr>
                      <w:rFonts w:hint="eastAsia"/>
                      <w:color w:val="auto"/>
                      <w:sz w:val="18"/>
                      <w:szCs w:val="18"/>
                      <w:lang w:val="en-US" w:eastAsia="zh-CN"/>
                    </w:rPr>
                    <w:t>废活性炭、精馏釜残、</w:t>
                  </w:r>
                  <w:r>
                    <w:rPr>
                      <w:rFonts w:hint="eastAsia"/>
                      <w:color w:val="auto"/>
                      <w:sz w:val="18"/>
                      <w:szCs w:val="18"/>
                    </w:rPr>
                    <w:t>废滤芯作危险废物</w:t>
                  </w:r>
                  <w:r>
                    <w:rPr>
                      <w:rFonts w:hint="eastAsia"/>
                      <w:color w:val="auto"/>
                      <w:sz w:val="18"/>
                      <w:szCs w:val="18"/>
                      <w:lang w:val="en-US" w:eastAsia="zh-CN"/>
                    </w:rPr>
                    <w:t>暂存二厂危废暂存库</w:t>
                  </w:r>
                  <w:r>
                    <w:rPr>
                      <w:rFonts w:hint="eastAsia"/>
                      <w:color w:val="auto"/>
                      <w:sz w:val="18"/>
                      <w:szCs w:val="18"/>
                    </w:rPr>
                    <w:t>，</w:t>
                  </w:r>
                  <w:r>
                    <w:rPr>
                      <w:rFonts w:hint="eastAsia"/>
                      <w:color w:val="auto"/>
                      <w:sz w:val="18"/>
                      <w:szCs w:val="18"/>
                      <w:lang w:val="en-US" w:eastAsia="zh-CN"/>
                    </w:rPr>
                    <w:t>定期</w:t>
                  </w:r>
                  <w:r>
                    <w:rPr>
                      <w:rFonts w:hint="eastAsia"/>
                      <w:color w:val="auto"/>
                      <w:sz w:val="18"/>
                      <w:szCs w:val="18"/>
                    </w:rPr>
                    <w:t>交有资质的单位处置</w:t>
                  </w:r>
                  <w:r>
                    <w:rPr>
                      <w:rFonts w:hint="eastAsia"/>
                      <w:color w:val="auto"/>
                      <w:sz w:val="18"/>
                      <w:szCs w:val="18"/>
                      <w:lang w:eastAsia="zh-CN"/>
                    </w:rPr>
                    <w:t>。</w:t>
                  </w:r>
                </w:p>
              </w:tc>
              <w:tc>
                <w:tcPr>
                  <w:tcW w:w="556" w:type="pct"/>
                  <w:tcBorders>
                    <w:right w:val="single" w:color="auto" w:sz="4" w:space="0"/>
                  </w:tcBorders>
                  <w:noWrap w:val="0"/>
                  <w:vAlign w:val="center"/>
                </w:tcPr>
                <w:p>
                  <w:pPr>
                    <w:widowControl/>
                    <w:jc w:val="center"/>
                    <w:rPr>
                      <w:rFonts w:hint="eastAsia"/>
                      <w:color w:val="auto"/>
                      <w:kern w:val="0"/>
                      <w:sz w:val="18"/>
                      <w:szCs w:val="18"/>
                      <w:highlight w:val="none"/>
                      <w:lang w:bidi="ar"/>
                    </w:rPr>
                  </w:pPr>
                  <w:r>
                    <w:rPr>
                      <w:rFonts w:hint="eastAsia"/>
                      <w:color w:val="auto"/>
                      <w:kern w:val="0"/>
                      <w:sz w:val="18"/>
                      <w:szCs w:val="18"/>
                      <w:highlight w:val="none"/>
                      <w:lang w:bidi="ar"/>
                    </w:rPr>
                    <w:t>符合</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997" w:type="pct"/>
                  <w:tcBorders>
                    <w:left w:val="single" w:color="auto" w:sz="4" w:space="0"/>
                    <w:bottom w:val="single" w:color="auto" w:sz="4" w:space="0"/>
                  </w:tcBorders>
                  <w:noWrap w:val="0"/>
                  <w:vAlign w:val="center"/>
                </w:tcPr>
                <w:p>
                  <w:pPr>
                    <w:widowControl/>
                    <w:rPr>
                      <w:rFonts w:hint="eastAsia"/>
                      <w:color w:val="auto"/>
                      <w:sz w:val="18"/>
                      <w:szCs w:val="18"/>
                      <w:highlight w:val="none"/>
                    </w:rPr>
                  </w:pPr>
                  <w:r>
                    <w:rPr>
                      <w:rFonts w:hint="eastAsia"/>
                      <w:color w:val="auto"/>
                      <w:sz w:val="18"/>
                      <w:szCs w:val="18"/>
                      <w:highlight w:val="none"/>
                    </w:rPr>
                    <w:t>三、聚焦治污设施“三率”，提升综合治理效率</w:t>
                  </w:r>
                </w:p>
              </w:tc>
              <w:tc>
                <w:tcPr>
                  <w:tcW w:w="1867" w:type="pct"/>
                  <w:tcBorders>
                    <w:bottom w:val="single" w:color="auto" w:sz="4" w:space="0"/>
                  </w:tcBorders>
                  <w:noWrap w:val="0"/>
                  <w:vAlign w:val="center"/>
                </w:tcPr>
                <w:p>
                  <w:pPr>
                    <w:widowControl/>
                    <w:rPr>
                      <w:rFonts w:hint="eastAsia"/>
                      <w:color w:val="auto"/>
                      <w:sz w:val="18"/>
                      <w:szCs w:val="18"/>
                      <w:highlight w:val="none"/>
                    </w:rPr>
                  </w:pPr>
                  <w:r>
                    <w:rPr>
                      <w:rFonts w:hint="eastAsia"/>
                      <w:color w:val="auto"/>
                      <w:sz w:val="18"/>
                      <w:szCs w:val="18"/>
                      <w:highlight w:val="none"/>
                    </w:rPr>
                    <w:t>将无组织排放转变为有组织排放进行控制，优先采用密闭设备、在密闭空间中操作或采用全密闭集气罩收集方式。</w:t>
                  </w:r>
                </w:p>
              </w:tc>
              <w:tc>
                <w:tcPr>
                  <w:tcW w:w="1578" w:type="pct"/>
                  <w:tcBorders>
                    <w:bottom w:val="single" w:color="auto" w:sz="4" w:space="0"/>
                  </w:tcBorders>
                  <w:noWrap w:val="0"/>
                  <w:vAlign w:val="center"/>
                </w:tcPr>
                <w:p>
                  <w:pPr>
                    <w:widowControl/>
                    <w:rPr>
                      <w:color w:val="auto"/>
                      <w:sz w:val="18"/>
                      <w:szCs w:val="18"/>
                      <w:highlight w:val="none"/>
                    </w:rPr>
                  </w:pPr>
                  <w:r>
                    <w:rPr>
                      <w:rFonts w:hint="eastAsia"/>
                      <w:color w:val="auto"/>
                      <w:sz w:val="18"/>
                      <w:szCs w:val="18"/>
                      <w:highlight w:val="none"/>
                    </w:rPr>
                    <w:t>本扩建项目含VOCs原辅料的使用均在负压洁净房的密闭设备内，有机废气经密闭管道收集。精馏过程产生废气经密闭管道直接收集。</w:t>
                  </w:r>
                </w:p>
              </w:tc>
              <w:tc>
                <w:tcPr>
                  <w:tcW w:w="556" w:type="pct"/>
                  <w:tcBorders>
                    <w:bottom w:val="single" w:color="auto" w:sz="4" w:space="0"/>
                    <w:right w:val="single" w:color="auto" w:sz="4" w:space="0"/>
                  </w:tcBorders>
                  <w:noWrap w:val="0"/>
                  <w:vAlign w:val="center"/>
                </w:tcPr>
                <w:p>
                  <w:pPr>
                    <w:widowControl/>
                    <w:jc w:val="center"/>
                    <w:rPr>
                      <w:color w:val="auto"/>
                      <w:kern w:val="0"/>
                      <w:sz w:val="18"/>
                      <w:szCs w:val="18"/>
                      <w:highlight w:val="none"/>
                      <w:lang w:bidi="ar"/>
                    </w:rPr>
                  </w:pPr>
                  <w:r>
                    <w:rPr>
                      <w:rFonts w:hint="eastAsia"/>
                      <w:color w:val="auto"/>
                      <w:kern w:val="0"/>
                      <w:sz w:val="18"/>
                      <w:szCs w:val="18"/>
                      <w:highlight w:val="none"/>
                      <w:lang w:bidi="ar"/>
                    </w:rPr>
                    <w:t>符合</w:t>
                  </w:r>
                </w:p>
              </w:tc>
            </w:tr>
          </w:tbl>
          <w:p>
            <w:pPr>
              <w:keepNext/>
              <w:keepLines/>
              <w:widowControl/>
              <w:numPr>
                <w:ilvl w:val="0"/>
                <w:numId w:val="0"/>
              </w:numPr>
              <w:spacing w:line="360" w:lineRule="auto"/>
              <w:ind w:firstLine="422" w:firstLineChars="200"/>
              <w:jc w:val="left"/>
              <w:rPr>
                <w:rFonts w:hint="eastAsia" w:ascii="Times New Roman" w:hAnsi="Times New Roman" w:eastAsia="宋体" w:cs="Times New Roman"/>
                <w:b/>
                <w:color w:val="auto"/>
                <w:kern w:val="0"/>
                <w:sz w:val="21"/>
                <w:szCs w:val="21"/>
                <w:lang w:val="en-US" w:eastAsia="zh-CN" w:bidi="ar"/>
              </w:rPr>
            </w:pPr>
            <w:r>
              <w:rPr>
                <w:rFonts w:hint="eastAsia" w:ascii="Times New Roman" w:hAnsi="Times New Roman" w:eastAsia="宋体" w:cs="Times New Roman"/>
                <w:b/>
                <w:color w:val="auto"/>
                <w:kern w:val="0"/>
                <w:sz w:val="21"/>
                <w:szCs w:val="21"/>
                <w:lang w:val="en-US" w:eastAsia="zh-CN" w:bidi="ar"/>
              </w:rPr>
              <w:t>（11）与《关于印发《福建省2020年挥发性有机物治理攻坚实施方案》的通知》（闽环保大气〔2020〕6号）符合性分析</w:t>
            </w:r>
          </w:p>
          <w:p>
            <w:pPr>
              <w:keepNext/>
              <w:keepLines/>
              <w:widowControl/>
              <w:spacing w:line="360" w:lineRule="auto"/>
              <w:ind w:firstLine="420" w:firstLineChars="200"/>
              <w:jc w:val="left"/>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对照《关于印发《福建省2020年挥发性有机物治理攻坚实施方案》的通知》（闽环保大气〔2020〕6号），本项目挥发性有机物的治理措施符合闽环保大气〔2020〕6号文的要求，符合性分析详见下表。</w:t>
            </w:r>
          </w:p>
          <w:p>
            <w:pPr>
              <w:keepNext/>
              <w:keepLines/>
              <w:widowControl/>
              <w:spacing w:line="360" w:lineRule="auto"/>
              <w:ind w:firstLine="420" w:firstLineChars="200"/>
              <w:jc w:val="left"/>
              <w:rPr>
                <w:rFonts w:hint="eastAsia" w:ascii="Times New Roman" w:hAnsi="Times New Roman" w:eastAsia="宋体" w:cs="Times New Roman"/>
                <w:color w:val="auto"/>
                <w:highlight w:val="none"/>
                <w:lang w:val="en-US" w:eastAsia="zh-CN"/>
              </w:rPr>
            </w:pPr>
          </w:p>
          <w:p>
            <w:pPr>
              <w:spacing w:before="194" w:beforeLines="50"/>
              <w:jc w:val="center"/>
              <w:outlineLvl w:val="5"/>
              <w:rPr>
                <w:rFonts w:hint="eastAsia" w:ascii="Times New Roman" w:hAnsi="Times New Roman" w:eastAsia="宋体" w:cs="Times New Roman"/>
                <w:b/>
                <w:color w:val="auto"/>
                <w:spacing w:val="0"/>
                <w:sz w:val="21"/>
                <w:szCs w:val="21"/>
                <w:lang w:val="en-US" w:eastAsia="zh-CN"/>
              </w:rPr>
            </w:pPr>
            <w:r>
              <w:rPr>
                <w:rFonts w:hint="eastAsia" w:ascii="Times New Roman" w:hAnsi="Times New Roman" w:eastAsia="宋体" w:cs="Times New Roman"/>
                <w:b/>
                <w:color w:val="auto"/>
                <w:spacing w:val="0"/>
                <w:sz w:val="21"/>
                <w:szCs w:val="21"/>
                <w:lang w:val="en-US" w:eastAsia="zh-CN"/>
              </w:rPr>
              <w:t>表1-11《福建省2020年挥发性有机物治理攻坚实施方案》符合性分析</w:t>
            </w:r>
          </w:p>
          <w:tbl>
            <w:tblPr>
              <w:tblStyle w:val="19"/>
              <w:tblW w:w="4909"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205"/>
              <w:gridCol w:w="2799"/>
              <w:gridCol w:w="1969"/>
              <w:gridCol w:w="685"/>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36" w:hRule="atLeast"/>
                <w:jc w:val="center"/>
              </w:trPr>
              <w:tc>
                <w:tcPr>
                  <w:tcW w:w="904" w:type="pct"/>
                  <w:tcBorders>
                    <w:top w:val="single" w:color="auto" w:sz="4" w:space="0"/>
                    <w:left w:val="single" w:color="auto" w:sz="4" w:space="0"/>
                  </w:tcBorders>
                  <w:noWrap w:val="0"/>
                  <w:vAlign w:val="center"/>
                </w:tcPr>
                <w:p>
                  <w:pPr>
                    <w:jc w:val="center"/>
                    <w:rPr>
                      <w:rFonts w:hint="default" w:eastAsia="宋体"/>
                      <w:b/>
                      <w:bCs/>
                      <w:color w:val="auto"/>
                      <w:sz w:val="18"/>
                      <w:szCs w:val="18"/>
                      <w:highlight w:val="none"/>
                      <w:lang w:val="en-US" w:eastAsia="zh-CN"/>
                    </w:rPr>
                  </w:pPr>
                  <w:r>
                    <w:rPr>
                      <w:rFonts w:hint="eastAsia"/>
                      <w:b/>
                      <w:bCs/>
                      <w:color w:val="auto"/>
                      <w:sz w:val="18"/>
                      <w:szCs w:val="18"/>
                      <w:highlight w:val="none"/>
                      <w:lang w:val="en-US" w:eastAsia="zh-CN"/>
                    </w:rPr>
                    <w:t>主要任务</w:t>
                  </w:r>
                </w:p>
              </w:tc>
              <w:tc>
                <w:tcPr>
                  <w:tcW w:w="2102" w:type="pct"/>
                  <w:tcBorders>
                    <w:top w:val="single" w:color="auto" w:sz="4" w:space="0"/>
                  </w:tcBorders>
                  <w:noWrap w:val="0"/>
                  <w:vAlign w:val="center"/>
                </w:tcPr>
                <w:p>
                  <w:pPr>
                    <w:jc w:val="center"/>
                    <w:rPr>
                      <w:b/>
                      <w:bCs/>
                      <w:color w:val="auto"/>
                      <w:sz w:val="18"/>
                      <w:szCs w:val="18"/>
                      <w:highlight w:val="none"/>
                    </w:rPr>
                  </w:pPr>
                  <w:r>
                    <w:rPr>
                      <w:b/>
                      <w:bCs/>
                      <w:color w:val="auto"/>
                      <w:sz w:val="18"/>
                      <w:szCs w:val="18"/>
                      <w:highlight w:val="none"/>
                    </w:rPr>
                    <w:t>有关控制要求</w:t>
                  </w:r>
                </w:p>
              </w:tc>
              <w:tc>
                <w:tcPr>
                  <w:tcW w:w="1478" w:type="pct"/>
                  <w:tcBorders>
                    <w:top w:val="single" w:color="auto" w:sz="4" w:space="0"/>
                  </w:tcBorders>
                  <w:noWrap w:val="0"/>
                  <w:vAlign w:val="center"/>
                </w:tcPr>
                <w:p>
                  <w:pPr>
                    <w:jc w:val="center"/>
                    <w:rPr>
                      <w:b/>
                      <w:bCs/>
                      <w:color w:val="auto"/>
                      <w:sz w:val="18"/>
                      <w:szCs w:val="18"/>
                      <w:highlight w:val="none"/>
                    </w:rPr>
                  </w:pPr>
                  <w:r>
                    <w:rPr>
                      <w:b/>
                      <w:bCs/>
                      <w:color w:val="auto"/>
                      <w:sz w:val="18"/>
                      <w:szCs w:val="18"/>
                      <w:highlight w:val="none"/>
                    </w:rPr>
                    <w:t>本项目情况</w:t>
                  </w:r>
                </w:p>
              </w:tc>
              <w:tc>
                <w:tcPr>
                  <w:tcW w:w="514" w:type="pct"/>
                  <w:tcBorders>
                    <w:top w:val="single" w:color="auto" w:sz="4" w:space="0"/>
                    <w:right w:val="single" w:color="auto" w:sz="4" w:space="0"/>
                  </w:tcBorders>
                  <w:noWrap w:val="0"/>
                  <w:vAlign w:val="center"/>
                </w:tcPr>
                <w:p>
                  <w:pPr>
                    <w:jc w:val="center"/>
                    <w:rPr>
                      <w:b/>
                      <w:bCs/>
                      <w:color w:val="auto"/>
                      <w:sz w:val="18"/>
                      <w:szCs w:val="18"/>
                      <w:highlight w:val="none"/>
                    </w:rPr>
                  </w:pPr>
                  <w:r>
                    <w:rPr>
                      <w:b/>
                      <w:bCs/>
                      <w:color w:val="auto"/>
                      <w:sz w:val="18"/>
                      <w:szCs w:val="18"/>
                      <w:highlight w:val="none"/>
                    </w:rPr>
                    <w:t>是否符合</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833" w:hRule="atLeast"/>
                <w:jc w:val="center"/>
              </w:trPr>
              <w:tc>
                <w:tcPr>
                  <w:tcW w:w="904" w:type="pct"/>
                  <w:tcBorders>
                    <w:left w:val="single" w:color="auto" w:sz="4" w:space="0"/>
                  </w:tcBorders>
                  <w:noWrap w:val="0"/>
                  <w:vAlign w:val="center"/>
                </w:tcPr>
                <w:p>
                  <w:pPr>
                    <w:widowControl/>
                    <w:rPr>
                      <w:color w:val="auto"/>
                      <w:sz w:val="18"/>
                      <w:szCs w:val="18"/>
                      <w:highlight w:val="none"/>
                    </w:rPr>
                  </w:pPr>
                  <w:r>
                    <w:rPr>
                      <w:rFonts w:hint="eastAsia"/>
                      <w:color w:val="auto"/>
                      <w:sz w:val="18"/>
                      <w:szCs w:val="18"/>
                      <w:highlight w:val="none"/>
                    </w:rPr>
                    <w:t>一、大力推进源头替代，有效减少VOCs产生</w:t>
                  </w:r>
                </w:p>
              </w:tc>
              <w:tc>
                <w:tcPr>
                  <w:tcW w:w="2102" w:type="pct"/>
                  <w:noWrap w:val="0"/>
                  <w:vAlign w:val="center"/>
                </w:tcPr>
                <w:p>
                  <w:pPr>
                    <w:widowControl/>
                    <w:rPr>
                      <w:rFonts w:hint="eastAsia"/>
                      <w:color w:val="auto"/>
                      <w:sz w:val="18"/>
                      <w:szCs w:val="18"/>
                      <w:highlight w:val="none"/>
                    </w:rPr>
                  </w:pPr>
                  <w:r>
                    <w:rPr>
                      <w:rFonts w:hint="eastAsia"/>
                      <w:color w:val="auto"/>
                      <w:sz w:val="18"/>
                      <w:szCs w:val="18"/>
                      <w:highlight w:val="none"/>
                    </w:rPr>
                    <w:t>企业应建立原辅材料台账，记录VOCs原辅材料名称、成分、VOCs含量、采购量、使用量、库存量、回收方式、回收量等信息，并保存相关证明材料。</w:t>
                  </w:r>
                </w:p>
              </w:tc>
              <w:tc>
                <w:tcPr>
                  <w:tcW w:w="1478" w:type="pct"/>
                  <w:noWrap w:val="0"/>
                  <w:vAlign w:val="center"/>
                </w:tcPr>
                <w:p>
                  <w:pPr>
                    <w:widowControl/>
                    <w:rPr>
                      <w:color w:val="auto"/>
                      <w:sz w:val="18"/>
                      <w:szCs w:val="18"/>
                      <w:highlight w:val="none"/>
                    </w:rPr>
                  </w:pPr>
                  <w:r>
                    <w:rPr>
                      <w:rFonts w:hint="eastAsia"/>
                      <w:color w:val="auto"/>
                      <w:sz w:val="18"/>
                      <w:szCs w:val="18"/>
                      <w:highlight w:val="none"/>
                    </w:rPr>
                    <w:t>本项目建立原辅材料台账，记录VOCs原辅材料名称、成分、VOCs含量、采购量、使用量、库存量、回收方式、回收量等信息，并保存相关证明材料。</w:t>
                  </w:r>
                </w:p>
              </w:tc>
              <w:tc>
                <w:tcPr>
                  <w:tcW w:w="514" w:type="pct"/>
                  <w:tcBorders>
                    <w:right w:val="single" w:color="auto" w:sz="4" w:space="0"/>
                  </w:tcBorders>
                  <w:noWrap w:val="0"/>
                  <w:vAlign w:val="center"/>
                </w:tcPr>
                <w:p>
                  <w:pPr>
                    <w:widowControl/>
                    <w:jc w:val="center"/>
                    <w:rPr>
                      <w:rFonts w:hint="eastAsia"/>
                      <w:color w:val="auto"/>
                      <w:kern w:val="0"/>
                      <w:sz w:val="18"/>
                      <w:szCs w:val="18"/>
                      <w:highlight w:val="none"/>
                      <w:lang w:bidi="ar"/>
                    </w:rPr>
                  </w:pPr>
                  <w:r>
                    <w:rPr>
                      <w:rFonts w:hint="eastAsia"/>
                      <w:color w:val="auto"/>
                      <w:kern w:val="0"/>
                      <w:sz w:val="18"/>
                      <w:szCs w:val="18"/>
                      <w:highlight w:val="none"/>
                      <w:lang w:bidi="ar"/>
                    </w:rPr>
                    <w:t>符合</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04" w:hRule="atLeast"/>
                <w:jc w:val="center"/>
              </w:trPr>
              <w:tc>
                <w:tcPr>
                  <w:tcW w:w="904" w:type="pct"/>
                  <w:tcBorders>
                    <w:left w:val="single" w:color="auto" w:sz="4" w:space="0"/>
                  </w:tcBorders>
                  <w:noWrap w:val="0"/>
                  <w:vAlign w:val="center"/>
                </w:tcPr>
                <w:p>
                  <w:pPr>
                    <w:widowControl/>
                    <w:rPr>
                      <w:rFonts w:hint="eastAsia"/>
                      <w:color w:val="auto"/>
                      <w:sz w:val="18"/>
                      <w:szCs w:val="18"/>
                      <w:highlight w:val="none"/>
                    </w:rPr>
                  </w:pPr>
                  <w:r>
                    <w:rPr>
                      <w:rFonts w:hint="eastAsia"/>
                      <w:color w:val="auto"/>
                      <w:sz w:val="18"/>
                      <w:szCs w:val="18"/>
                      <w:highlight w:val="none"/>
                    </w:rPr>
                    <w:t>二、全面落实标准要求，强化无组织排放控制</w:t>
                  </w:r>
                </w:p>
              </w:tc>
              <w:tc>
                <w:tcPr>
                  <w:tcW w:w="2102" w:type="pct"/>
                  <w:noWrap w:val="0"/>
                  <w:vAlign w:val="center"/>
                </w:tcPr>
                <w:p>
                  <w:pPr>
                    <w:widowControl/>
                    <w:rPr>
                      <w:rFonts w:hint="eastAsia"/>
                      <w:color w:val="auto"/>
                      <w:sz w:val="18"/>
                      <w:szCs w:val="18"/>
                      <w:highlight w:val="none"/>
                    </w:rPr>
                  </w:pPr>
                  <w:r>
                    <w:rPr>
                      <w:rFonts w:hint="eastAsia"/>
                      <w:color w:val="auto"/>
                      <w:sz w:val="18"/>
                      <w:szCs w:val="18"/>
                      <w:highlight w:val="none"/>
                    </w:rPr>
                    <w:t>加强含VOCs物料全方位、全链条、全环节密闭管理。储存环节应采用密闭容器、包装袋，高效密封储罐，封闭式储库、料仓等。装卸、转移和输送环节应采用密闭管道或密闭容器、罐车等。生产和使用环节应采用密闭设备，或在密闭空间中操作并有效收集废气，或进行局部气体收集；非取用状态时容器应密闭。处置环节应将盛装过VOCs物料的包装容器、含VOCs废料（渣、液）、废吸附剂等通过加盖、封装等方式密闭，妥善存放，集中清运，交有资质的单位处置，不得随意丢弃；处置单位在贮存、清洗、破碎等环节应按要求对VOCs无组织排放废气进行收集、处理。高VOCs含量废水的集输、储存和处理环节，应加盖密闭。按时对盛装过VOCs物料的包装容器、含VOCs废料（渣、液）、废吸附剂等集中清运一次，交有资质的单位处置。</w:t>
                  </w:r>
                </w:p>
              </w:tc>
              <w:tc>
                <w:tcPr>
                  <w:tcW w:w="1478" w:type="pct"/>
                  <w:noWrap w:val="0"/>
                  <w:vAlign w:val="center"/>
                </w:tcPr>
                <w:p>
                  <w:pPr>
                    <w:widowControl/>
                    <w:rPr>
                      <w:rFonts w:hint="eastAsia" w:eastAsia="宋体"/>
                      <w:color w:val="auto"/>
                      <w:sz w:val="18"/>
                      <w:szCs w:val="18"/>
                      <w:highlight w:val="none"/>
                      <w:lang w:val="en-US" w:eastAsia="zh-CN"/>
                    </w:rPr>
                  </w:pPr>
                  <w:r>
                    <w:rPr>
                      <w:rFonts w:hint="eastAsia"/>
                      <w:color w:val="auto"/>
                      <w:sz w:val="18"/>
                      <w:szCs w:val="18"/>
                    </w:rPr>
                    <w:t>本扩建项目物料全程密闭流转，含VOCs原辅料在负压洁净房密闭设备内使用，废气经密闭管道收集。</w:t>
                  </w:r>
                  <w:r>
                    <w:rPr>
                      <w:rFonts w:hint="eastAsia"/>
                      <w:color w:val="auto"/>
                      <w:sz w:val="18"/>
                      <w:szCs w:val="18"/>
                      <w:lang w:val="en-US" w:eastAsia="zh-CN"/>
                    </w:rPr>
                    <w:t>废活性炭、精馏釜残、</w:t>
                  </w:r>
                  <w:r>
                    <w:rPr>
                      <w:rFonts w:hint="eastAsia"/>
                      <w:color w:val="auto"/>
                      <w:sz w:val="18"/>
                      <w:szCs w:val="18"/>
                    </w:rPr>
                    <w:t>废滤芯作危险废物</w:t>
                  </w:r>
                  <w:r>
                    <w:rPr>
                      <w:rFonts w:hint="eastAsia"/>
                      <w:color w:val="auto"/>
                      <w:sz w:val="18"/>
                      <w:szCs w:val="18"/>
                      <w:lang w:val="en-US" w:eastAsia="zh-CN"/>
                    </w:rPr>
                    <w:t>暂存二厂危废暂存库</w:t>
                  </w:r>
                  <w:r>
                    <w:rPr>
                      <w:rFonts w:hint="eastAsia"/>
                      <w:color w:val="auto"/>
                      <w:sz w:val="18"/>
                      <w:szCs w:val="18"/>
                    </w:rPr>
                    <w:t>，</w:t>
                  </w:r>
                  <w:r>
                    <w:rPr>
                      <w:rFonts w:hint="eastAsia"/>
                      <w:color w:val="auto"/>
                      <w:sz w:val="18"/>
                      <w:szCs w:val="18"/>
                      <w:lang w:val="en-US" w:eastAsia="zh-CN"/>
                    </w:rPr>
                    <w:t>定期</w:t>
                  </w:r>
                  <w:r>
                    <w:rPr>
                      <w:rFonts w:hint="eastAsia"/>
                      <w:color w:val="auto"/>
                      <w:sz w:val="18"/>
                      <w:szCs w:val="18"/>
                    </w:rPr>
                    <w:t>交有资质的单位处置</w:t>
                  </w:r>
                  <w:r>
                    <w:rPr>
                      <w:rFonts w:hint="eastAsia"/>
                      <w:color w:val="auto"/>
                      <w:sz w:val="18"/>
                      <w:szCs w:val="18"/>
                      <w:lang w:eastAsia="zh-CN"/>
                    </w:rPr>
                    <w:t>。喷淋废水在密闭喷淋塔及循环水箱内循环使用；达到吸附浓度后，通过密闭管道输送至精馏塔进行精馏回收。</w:t>
                  </w:r>
                </w:p>
              </w:tc>
              <w:tc>
                <w:tcPr>
                  <w:tcW w:w="514" w:type="pct"/>
                  <w:tcBorders>
                    <w:right w:val="single" w:color="auto" w:sz="4" w:space="0"/>
                  </w:tcBorders>
                  <w:noWrap w:val="0"/>
                  <w:vAlign w:val="center"/>
                </w:tcPr>
                <w:p>
                  <w:pPr>
                    <w:widowControl/>
                    <w:jc w:val="center"/>
                    <w:rPr>
                      <w:rFonts w:hint="eastAsia"/>
                      <w:color w:val="auto"/>
                      <w:kern w:val="0"/>
                      <w:sz w:val="18"/>
                      <w:szCs w:val="18"/>
                      <w:highlight w:val="none"/>
                      <w:lang w:bidi="ar"/>
                    </w:rPr>
                  </w:pPr>
                  <w:r>
                    <w:rPr>
                      <w:rFonts w:hint="eastAsia"/>
                      <w:color w:val="auto"/>
                      <w:kern w:val="0"/>
                      <w:sz w:val="18"/>
                      <w:szCs w:val="18"/>
                      <w:highlight w:val="none"/>
                      <w:lang w:bidi="ar"/>
                    </w:rPr>
                    <w:t>符合</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90" w:hRule="atLeast"/>
                <w:jc w:val="center"/>
              </w:trPr>
              <w:tc>
                <w:tcPr>
                  <w:tcW w:w="904" w:type="pct"/>
                  <w:tcBorders>
                    <w:left w:val="single" w:color="auto" w:sz="4" w:space="0"/>
                    <w:bottom w:val="single" w:color="auto" w:sz="4" w:space="0"/>
                  </w:tcBorders>
                  <w:noWrap w:val="0"/>
                  <w:vAlign w:val="center"/>
                </w:tcPr>
                <w:p>
                  <w:pPr>
                    <w:widowControl/>
                    <w:rPr>
                      <w:rFonts w:hint="eastAsia"/>
                      <w:color w:val="auto"/>
                      <w:sz w:val="18"/>
                      <w:szCs w:val="18"/>
                      <w:highlight w:val="none"/>
                    </w:rPr>
                  </w:pPr>
                  <w:r>
                    <w:rPr>
                      <w:rFonts w:hint="eastAsia"/>
                      <w:color w:val="auto"/>
                      <w:sz w:val="18"/>
                      <w:szCs w:val="18"/>
                      <w:highlight w:val="none"/>
                    </w:rPr>
                    <w:t>三、聚焦治污设施“三率”，提升综合治理效率</w:t>
                  </w:r>
                </w:p>
              </w:tc>
              <w:tc>
                <w:tcPr>
                  <w:tcW w:w="2102" w:type="pct"/>
                  <w:tcBorders>
                    <w:bottom w:val="single" w:color="auto" w:sz="4" w:space="0"/>
                  </w:tcBorders>
                  <w:noWrap w:val="0"/>
                  <w:vAlign w:val="center"/>
                </w:tcPr>
                <w:p>
                  <w:pPr>
                    <w:widowControl/>
                    <w:rPr>
                      <w:rFonts w:hint="eastAsia"/>
                      <w:color w:val="auto"/>
                      <w:sz w:val="18"/>
                      <w:szCs w:val="18"/>
                      <w:highlight w:val="none"/>
                    </w:rPr>
                  </w:pPr>
                  <w:r>
                    <w:rPr>
                      <w:rFonts w:hint="eastAsia"/>
                      <w:color w:val="auto"/>
                      <w:sz w:val="18"/>
                      <w:szCs w:val="18"/>
                      <w:highlight w:val="none"/>
                    </w:rPr>
                    <w:t>将无组织排放转变为有组织排放进行控制，优先采用密闭设备、在密闭空间中操作或采用全密闭集气罩收集方式。</w:t>
                  </w:r>
                </w:p>
              </w:tc>
              <w:tc>
                <w:tcPr>
                  <w:tcW w:w="1478" w:type="pct"/>
                  <w:tcBorders>
                    <w:bottom w:val="single" w:color="auto" w:sz="4" w:space="0"/>
                  </w:tcBorders>
                  <w:noWrap w:val="0"/>
                  <w:vAlign w:val="center"/>
                </w:tcPr>
                <w:p>
                  <w:pPr>
                    <w:widowControl/>
                    <w:rPr>
                      <w:color w:val="auto"/>
                      <w:sz w:val="18"/>
                      <w:szCs w:val="18"/>
                      <w:highlight w:val="none"/>
                    </w:rPr>
                  </w:pPr>
                  <w:r>
                    <w:rPr>
                      <w:rFonts w:hint="eastAsia"/>
                      <w:color w:val="auto"/>
                      <w:sz w:val="18"/>
                      <w:szCs w:val="18"/>
                      <w:highlight w:val="none"/>
                    </w:rPr>
                    <w:t>本扩建项目含VOCs原辅料的使用均在负压洁净房的密闭设备内，有机废气经密闭管道收集。精馏过程产生废气经密闭管道直接收集。</w:t>
                  </w:r>
                </w:p>
              </w:tc>
              <w:tc>
                <w:tcPr>
                  <w:tcW w:w="514" w:type="pct"/>
                  <w:tcBorders>
                    <w:bottom w:val="single" w:color="auto" w:sz="4" w:space="0"/>
                    <w:right w:val="single" w:color="auto" w:sz="4" w:space="0"/>
                  </w:tcBorders>
                  <w:noWrap w:val="0"/>
                  <w:vAlign w:val="center"/>
                </w:tcPr>
                <w:p>
                  <w:pPr>
                    <w:widowControl/>
                    <w:jc w:val="center"/>
                    <w:rPr>
                      <w:color w:val="auto"/>
                      <w:kern w:val="0"/>
                      <w:sz w:val="18"/>
                      <w:szCs w:val="18"/>
                      <w:highlight w:val="none"/>
                      <w:lang w:bidi="ar"/>
                    </w:rPr>
                  </w:pPr>
                  <w:r>
                    <w:rPr>
                      <w:rFonts w:hint="eastAsia"/>
                      <w:color w:val="auto"/>
                      <w:kern w:val="0"/>
                      <w:sz w:val="18"/>
                      <w:szCs w:val="18"/>
                      <w:highlight w:val="none"/>
                      <w:lang w:bidi="ar"/>
                    </w:rPr>
                    <w:t>符合</w:t>
                  </w:r>
                </w:p>
              </w:tc>
            </w:tr>
          </w:tbl>
          <w:p>
            <w:pPr>
              <w:spacing w:before="194" w:beforeLines="50"/>
              <w:jc w:val="center"/>
              <w:outlineLvl w:val="5"/>
              <w:rPr>
                <w:rFonts w:hint="eastAsia" w:ascii="Times New Roman" w:hAnsi="Times New Roman" w:eastAsia="宋体" w:cs="Times New Roman"/>
                <w:b/>
                <w:color w:val="auto"/>
                <w:spacing w:val="0"/>
                <w:sz w:val="21"/>
                <w:szCs w:val="21"/>
                <w:lang w:val="en-US" w:eastAsia="zh-CN"/>
              </w:rPr>
            </w:pPr>
          </w:p>
          <w:p>
            <w:pPr>
              <w:keepNext/>
              <w:keepLines/>
              <w:widowControl/>
              <w:spacing w:line="360" w:lineRule="auto"/>
              <w:ind w:firstLine="422" w:firstLineChars="200"/>
              <w:jc w:val="left"/>
              <w:rPr>
                <w:rFonts w:hint="eastAsia"/>
                <w:b/>
                <w:color w:val="auto"/>
                <w:kern w:val="0"/>
                <w:sz w:val="21"/>
                <w:szCs w:val="21"/>
                <w:lang w:bidi="ar"/>
              </w:rPr>
            </w:pPr>
            <w:r>
              <w:rPr>
                <w:rFonts w:hint="eastAsia"/>
                <w:b/>
                <w:color w:val="auto"/>
                <w:kern w:val="0"/>
                <w:sz w:val="21"/>
                <w:szCs w:val="21"/>
                <w:lang w:bidi="ar"/>
              </w:rPr>
              <w:t>（</w:t>
            </w:r>
            <w:r>
              <w:rPr>
                <w:rFonts w:hint="eastAsia"/>
                <w:b/>
                <w:color w:val="auto"/>
                <w:kern w:val="0"/>
                <w:sz w:val="21"/>
                <w:szCs w:val="21"/>
                <w:lang w:val="en-US" w:eastAsia="zh-CN" w:bidi="ar"/>
              </w:rPr>
              <w:t>12</w:t>
            </w:r>
            <w:r>
              <w:rPr>
                <w:rFonts w:hint="eastAsia"/>
                <w:b/>
                <w:color w:val="auto"/>
                <w:kern w:val="0"/>
                <w:sz w:val="21"/>
                <w:szCs w:val="21"/>
                <w:lang w:bidi="ar"/>
              </w:rPr>
              <w:t>）《明溪县国土空间总体规划（2021-2035年）》符合性分析</w:t>
            </w:r>
          </w:p>
          <w:p>
            <w:pPr>
              <w:keepNext/>
              <w:keepLines/>
              <w:widowControl/>
              <w:spacing w:line="360" w:lineRule="auto"/>
              <w:ind w:firstLine="420" w:firstLineChars="200"/>
              <w:jc w:val="left"/>
              <w:rPr>
                <w:rFonts w:hint="eastAsia"/>
                <w:color w:val="auto"/>
                <w:sz w:val="21"/>
                <w:szCs w:val="21"/>
              </w:rPr>
            </w:pPr>
            <w:r>
              <w:rPr>
                <w:rFonts w:hint="eastAsia"/>
                <w:color w:val="auto"/>
                <w:sz w:val="21"/>
                <w:szCs w:val="21"/>
              </w:rPr>
              <w:t>项目仅在一厂区闲置空地（原甲类仓库）进行建设，不新增用地，对照《</w:t>
            </w:r>
            <w:r>
              <w:rPr>
                <w:rFonts w:ascii="Times New Roman" w:hAnsi="Times New Roman" w:cs="Times New Roman"/>
                <w:color w:val="auto"/>
                <w:sz w:val="21"/>
                <w:szCs w:val="21"/>
              </w:rPr>
              <w:t>明溪县国土空间总体规划（2021-2035年）</w:t>
            </w:r>
            <w:r>
              <w:rPr>
                <w:rFonts w:hint="eastAsia"/>
                <w:color w:val="auto"/>
                <w:sz w:val="21"/>
                <w:szCs w:val="21"/>
              </w:rPr>
              <w:t>》（附图</w:t>
            </w:r>
            <w:r>
              <w:rPr>
                <w:rFonts w:hint="eastAsia" w:ascii="Times New Roman" w:hAnsi="Times New Roman" w:cs="Times New Roman"/>
                <w:color w:val="auto"/>
                <w:sz w:val="21"/>
                <w:szCs w:val="21"/>
              </w:rPr>
              <w:t>8</w:t>
            </w:r>
            <w:r>
              <w:rPr>
                <w:rFonts w:hint="eastAsia"/>
                <w:color w:val="auto"/>
                <w:sz w:val="21"/>
                <w:szCs w:val="21"/>
              </w:rPr>
              <w:t>），项目用地为二类工业用地，在城市开发边界范围内，符合明溪县国土空间总体规划要求。</w:t>
            </w:r>
          </w:p>
          <w:p>
            <w:pPr>
              <w:keepNext/>
              <w:keepLines/>
              <w:widowControl/>
              <w:spacing w:line="360" w:lineRule="auto"/>
              <w:ind w:firstLine="422" w:firstLineChars="200"/>
              <w:jc w:val="left"/>
              <w:rPr>
                <w:rFonts w:hint="eastAsia"/>
                <w:b/>
                <w:color w:val="auto"/>
                <w:kern w:val="0"/>
                <w:sz w:val="21"/>
                <w:szCs w:val="21"/>
                <w:lang w:bidi="ar"/>
              </w:rPr>
            </w:pPr>
            <w:r>
              <w:rPr>
                <w:rFonts w:hint="eastAsia"/>
                <w:b/>
                <w:color w:val="auto"/>
                <w:kern w:val="0"/>
                <w:sz w:val="21"/>
                <w:szCs w:val="21"/>
                <w:lang w:bidi="ar"/>
              </w:rPr>
              <w:t>（</w:t>
            </w:r>
            <w:r>
              <w:rPr>
                <w:rFonts w:hint="eastAsia"/>
                <w:b/>
                <w:color w:val="auto"/>
                <w:kern w:val="0"/>
                <w:sz w:val="21"/>
                <w:szCs w:val="21"/>
                <w:lang w:val="en-US" w:eastAsia="zh-CN" w:bidi="ar"/>
              </w:rPr>
              <w:t>13</w:t>
            </w:r>
            <w:r>
              <w:rPr>
                <w:rFonts w:hint="eastAsia"/>
                <w:b/>
                <w:color w:val="auto"/>
                <w:kern w:val="0"/>
                <w:sz w:val="21"/>
                <w:szCs w:val="21"/>
                <w:lang w:bidi="ar"/>
              </w:rPr>
              <w:t>）生态分区管控符合性分析</w:t>
            </w:r>
          </w:p>
          <w:p>
            <w:pPr>
              <w:keepNext/>
              <w:keepLines/>
              <w:widowControl/>
              <w:spacing w:line="360" w:lineRule="auto"/>
              <w:ind w:firstLine="420" w:firstLineChars="200"/>
              <w:jc w:val="left"/>
              <w:rPr>
                <w:rFonts w:hint="eastAsia"/>
                <w:color w:val="auto"/>
                <w:sz w:val="21"/>
                <w:szCs w:val="21"/>
              </w:rPr>
            </w:pPr>
            <w:r>
              <w:rPr>
                <w:rFonts w:hint="eastAsia"/>
                <w:color w:val="auto"/>
                <w:sz w:val="21"/>
                <w:szCs w:val="21"/>
              </w:rPr>
              <w:t>①生态保护红线</w:t>
            </w:r>
          </w:p>
          <w:p>
            <w:pPr>
              <w:keepNext/>
              <w:keepLines/>
              <w:widowControl/>
              <w:spacing w:line="360" w:lineRule="auto"/>
              <w:ind w:firstLine="420" w:firstLineChars="200"/>
              <w:jc w:val="left"/>
              <w:rPr>
                <w:color w:val="auto"/>
                <w:szCs w:val="21"/>
              </w:rPr>
            </w:pPr>
            <w:r>
              <w:rPr>
                <w:rFonts w:hint="eastAsia"/>
                <w:color w:val="auto"/>
                <w:sz w:val="21"/>
                <w:szCs w:val="21"/>
              </w:rPr>
              <w:t>项目位于明溪县经济开发区D区1号，根据《明溪县生态环境功能区划图》（附图</w:t>
            </w:r>
            <w:r>
              <w:rPr>
                <w:rFonts w:hint="eastAsia"/>
                <w:color w:val="auto"/>
                <w:sz w:val="21"/>
                <w:szCs w:val="21"/>
                <w:lang w:val="en-US" w:eastAsia="zh-CN"/>
              </w:rPr>
              <w:t>10</w:t>
            </w:r>
            <w:r>
              <w:rPr>
                <w:rFonts w:hint="eastAsia"/>
                <w:color w:val="auto"/>
                <w:sz w:val="21"/>
                <w:szCs w:val="21"/>
              </w:rPr>
              <w:t>），项目所在区域生态功能小区为明溪中部生态农业与城乡协调建设生态功能小区。项目不在当地饮用水源、风景区、自然保护区等生态保护区内，不在生态环境保护红线范围内。因此，项目建设符合生态红线控制要求。</w:t>
            </w:r>
          </w:p>
          <w:p>
            <w:pPr>
              <w:keepNext/>
              <w:keepLines/>
              <w:widowControl/>
              <w:spacing w:line="360" w:lineRule="auto"/>
              <w:ind w:firstLine="420" w:firstLineChars="200"/>
              <w:jc w:val="left"/>
              <w:rPr>
                <w:rFonts w:hint="eastAsia"/>
                <w:color w:val="auto"/>
                <w:sz w:val="21"/>
                <w:szCs w:val="21"/>
              </w:rPr>
            </w:pPr>
            <w:r>
              <w:rPr>
                <w:rFonts w:hint="eastAsia"/>
                <w:color w:val="auto"/>
                <w:sz w:val="21"/>
                <w:szCs w:val="21"/>
              </w:rPr>
              <w:t>②环境质量底线</w:t>
            </w:r>
          </w:p>
          <w:p>
            <w:pPr>
              <w:keepNext/>
              <w:keepLines/>
              <w:widowControl/>
              <w:spacing w:line="360" w:lineRule="auto"/>
              <w:ind w:firstLine="420" w:firstLineChars="200"/>
              <w:jc w:val="left"/>
              <w:rPr>
                <w:rFonts w:hint="eastAsia"/>
                <w:color w:val="auto"/>
                <w:sz w:val="21"/>
                <w:szCs w:val="21"/>
              </w:rPr>
            </w:pPr>
            <w:r>
              <w:rPr>
                <w:rFonts w:hint="eastAsia"/>
                <w:color w:val="auto"/>
                <w:sz w:val="21"/>
                <w:szCs w:val="21"/>
              </w:rPr>
              <w:t>本项目所在区域环境空气功能类别属二类区，</w:t>
            </w:r>
            <w:r>
              <w:rPr>
                <w:rFonts w:hint="eastAsia"/>
                <w:color w:val="auto"/>
                <w:sz w:val="21"/>
                <w:szCs w:val="21"/>
                <w:lang w:val="en-US" w:eastAsia="zh-CN"/>
              </w:rPr>
              <w:t>现阶段-2031年</w:t>
            </w:r>
            <w:r>
              <w:rPr>
                <w:rFonts w:hint="eastAsia"/>
                <w:color w:val="auto"/>
                <w:sz w:val="21"/>
                <w:szCs w:val="21"/>
              </w:rPr>
              <w:t>环境空气质量执行《环境空气质量标准》（GB3095-20</w:t>
            </w:r>
            <w:r>
              <w:rPr>
                <w:rFonts w:hint="eastAsia"/>
                <w:color w:val="auto"/>
                <w:sz w:val="21"/>
                <w:szCs w:val="21"/>
                <w:lang w:val="en-US" w:eastAsia="zh-CN"/>
              </w:rPr>
              <w:t>26</w:t>
            </w:r>
            <w:r>
              <w:rPr>
                <w:rFonts w:hint="eastAsia"/>
                <w:color w:val="auto"/>
                <w:sz w:val="21"/>
                <w:szCs w:val="21"/>
              </w:rPr>
              <w:t>）</w:t>
            </w:r>
            <w:r>
              <w:rPr>
                <w:rFonts w:hint="eastAsia"/>
                <w:color w:val="auto"/>
                <w:sz w:val="21"/>
                <w:szCs w:val="21"/>
                <w:lang w:val="en-US" w:eastAsia="zh-CN"/>
              </w:rPr>
              <w:t>过渡阶段</w:t>
            </w:r>
            <w:r>
              <w:rPr>
                <w:rFonts w:hint="eastAsia"/>
                <w:color w:val="auto"/>
                <w:sz w:val="21"/>
                <w:szCs w:val="21"/>
              </w:rPr>
              <w:t>二级标准</w:t>
            </w:r>
            <w:r>
              <w:rPr>
                <w:rFonts w:hint="eastAsia"/>
                <w:color w:val="auto"/>
                <w:sz w:val="21"/>
                <w:szCs w:val="21"/>
                <w:lang w:eastAsia="zh-CN"/>
              </w:rPr>
              <w:t>，</w:t>
            </w:r>
            <w:r>
              <w:rPr>
                <w:rFonts w:hint="eastAsia"/>
                <w:color w:val="auto"/>
                <w:sz w:val="21"/>
                <w:szCs w:val="21"/>
                <w:lang w:val="en-US" w:eastAsia="zh-CN"/>
              </w:rPr>
              <w:t>2031年后</w:t>
            </w:r>
            <w:r>
              <w:rPr>
                <w:rFonts w:hint="eastAsia"/>
                <w:color w:val="auto"/>
                <w:sz w:val="21"/>
                <w:szCs w:val="21"/>
              </w:rPr>
              <w:t>环境空气质量执行《环境空气质量标准》（GB3095-20</w:t>
            </w:r>
            <w:r>
              <w:rPr>
                <w:rFonts w:hint="eastAsia"/>
                <w:color w:val="auto"/>
                <w:sz w:val="21"/>
                <w:szCs w:val="21"/>
                <w:lang w:val="en-US" w:eastAsia="zh-CN"/>
              </w:rPr>
              <w:t>26</w:t>
            </w:r>
            <w:r>
              <w:rPr>
                <w:rFonts w:hint="eastAsia"/>
                <w:color w:val="auto"/>
                <w:sz w:val="21"/>
                <w:szCs w:val="21"/>
              </w:rPr>
              <w:t>）二级标准。渔塘溪属Ⅲ类功能水域，水环境质量执行《地表水环境质量标准》（GB3838-2002）Ⅲ类标准。项目所在区域属3类声环境功能区，声环境质量执行《声环境质量标准》（GB3096-2008）3类标准。</w:t>
            </w:r>
          </w:p>
          <w:p>
            <w:pPr>
              <w:keepNext/>
              <w:keepLines/>
              <w:widowControl/>
              <w:spacing w:line="360" w:lineRule="auto"/>
              <w:ind w:firstLine="420" w:firstLineChars="200"/>
              <w:jc w:val="left"/>
              <w:rPr>
                <w:rFonts w:hint="eastAsia"/>
                <w:color w:val="auto"/>
                <w:sz w:val="21"/>
                <w:szCs w:val="21"/>
              </w:rPr>
            </w:pPr>
            <w:r>
              <w:rPr>
                <w:rFonts w:hint="eastAsia"/>
                <w:color w:val="auto"/>
                <w:sz w:val="21"/>
                <w:szCs w:val="21"/>
              </w:rPr>
              <w:t>根据《2024年三明市生态环境状况公报》，区域环境满足环境功能区要求，项目产生的“三废”污染物经有效的治理后，能够满足达标排放要求，对周围环境影响较小。项目建设不会突破当地环境质量底线。</w:t>
            </w:r>
          </w:p>
          <w:p>
            <w:pPr>
              <w:keepNext/>
              <w:keepLines/>
              <w:widowControl/>
              <w:spacing w:line="360" w:lineRule="auto"/>
              <w:ind w:firstLine="420" w:firstLineChars="200"/>
              <w:jc w:val="left"/>
              <w:rPr>
                <w:rFonts w:hint="eastAsia"/>
                <w:color w:val="auto"/>
                <w:sz w:val="21"/>
                <w:szCs w:val="21"/>
              </w:rPr>
            </w:pPr>
            <w:r>
              <w:rPr>
                <w:rFonts w:hint="eastAsia"/>
                <w:color w:val="auto"/>
                <w:sz w:val="21"/>
                <w:szCs w:val="21"/>
              </w:rPr>
              <w:t>③资源利用上线</w:t>
            </w:r>
          </w:p>
          <w:p>
            <w:pPr>
              <w:keepNext/>
              <w:keepLines/>
              <w:widowControl/>
              <w:spacing w:line="360" w:lineRule="auto"/>
              <w:ind w:firstLine="420" w:firstLineChars="200"/>
              <w:jc w:val="left"/>
              <w:rPr>
                <w:rFonts w:hint="eastAsia"/>
                <w:color w:val="auto"/>
                <w:sz w:val="21"/>
                <w:szCs w:val="21"/>
              </w:rPr>
            </w:pPr>
            <w:r>
              <w:rPr>
                <w:rFonts w:hint="eastAsia"/>
                <w:color w:val="auto"/>
                <w:sz w:val="21"/>
                <w:szCs w:val="21"/>
              </w:rPr>
              <w:t>土地资源：项目仅在企业现有一厂区内进行建设，不需新增土地占用。</w:t>
            </w:r>
          </w:p>
          <w:p>
            <w:pPr>
              <w:keepNext/>
              <w:keepLines/>
              <w:widowControl/>
              <w:spacing w:line="360" w:lineRule="auto"/>
              <w:ind w:firstLine="420" w:firstLineChars="200"/>
              <w:jc w:val="left"/>
              <w:rPr>
                <w:rFonts w:hint="eastAsia"/>
                <w:color w:val="auto"/>
                <w:sz w:val="21"/>
                <w:szCs w:val="21"/>
              </w:rPr>
            </w:pPr>
            <w:r>
              <w:rPr>
                <w:rFonts w:hint="eastAsia"/>
                <w:color w:val="auto"/>
                <w:sz w:val="21"/>
                <w:szCs w:val="21"/>
              </w:rPr>
              <w:t>水资源：项目生活、生产用水取自自来水，由园区供水系统提供。</w:t>
            </w:r>
          </w:p>
          <w:p>
            <w:pPr>
              <w:keepNext/>
              <w:keepLines/>
              <w:widowControl/>
              <w:spacing w:line="360" w:lineRule="auto"/>
              <w:ind w:firstLine="420" w:firstLineChars="200"/>
              <w:jc w:val="left"/>
              <w:rPr>
                <w:rFonts w:hint="eastAsia"/>
                <w:color w:val="auto"/>
                <w:sz w:val="21"/>
                <w:szCs w:val="21"/>
              </w:rPr>
            </w:pPr>
            <w:r>
              <w:rPr>
                <w:rFonts w:hint="eastAsia"/>
                <w:color w:val="auto"/>
                <w:sz w:val="21"/>
                <w:szCs w:val="21"/>
              </w:rPr>
              <w:t>能源：项目生产设备主要利用电能，供电由厂区供电电网提供。</w:t>
            </w:r>
          </w:p>
          <w:p>
            <w:pPr>
              <w:keepNext/>
              <w:keepLines/>
              <w:widowControl/>
              <w:spacing w:line="360" w:lineRule="auto"/>
              <w:ind w:firstLine="420" w:firstLineChars="200"/>
              <w:jc w:val="left"/>
              <w:rPr>
                <w:rFonts w:hint="eastAsia"/>
                <w:color w:val="auto"/>
                <w:sz w:val="21"/>
                <w:szCs w:val="21"/>
              </w:rPr>
            </w:pPr>
            <w:r>
              <w:rPr>
                <w:rFonts w:hint="eastAsia"/>
                <w:color w:val="auto"/>
                <w:sz w:val="21"/>
                <w:szCs w:val="21"/>
              </w:rPr>
              <w:t>项目生产所需资源没有突破区域资源利用上线要求。</w:t>
            </w:r>
          </w:p>
          <w:p>
            <w:pPr>
              <w:keepNext/>
              <w:keepLines/>
              <w:widowControl/>
              <w:spacing w:line="360" w:lineRule="auto"/>
              <w:ind w:firstLine="420" w:firstLineChars="200"/>
              <w:jc w:val="left"/>
              <w:rPr>
                <w:rFonts w:hint="eastAsia"/>
                <w:color w:val="auto"/>
                <w:sz w:val="21"/>
                <w:szCs w:val="21"/>
              </w:rPr>
            </w:pPr>
            <w:r>
              <w:rPr>
                <w:rFonts w:hint="eastAsia"/>
                <w:color w:val="auto"/>
                <w:sz w:val="21"/>
                <w:szCs w:val="21"/>
              </w:rPr>
              <w:t>④生态环境准入清单符合性分析</w:t>
            </w:r>
          </w:p>
          <w:p>
            <w:pPr>
              <w:keepNext/>
              <w:keepLines/>
              <w:widowControl/>
              <w:spacing w:line="360" w:lineRule="auto"/>
              <w:ind w:firstLine="420" w:firstLineChars="200"/>
              <w:jc w:val="left"/>
              <w:rPr>
                <w:color w:val="auto"/>
                <w:kern w:val="0"/>
                <w:szCs w:val="21"/>
              </w:rPr>
            </w:pPr>
            <w:r>
              <w:rPr>
                <w:rFonts w:hint="eastAsia"/>
                <w:color w:val="auto"/>
                <w:sz w:val="21"/>
                <w:szCs w:val="21"/>
              </w:rPr>
              <w:t>对照《三明市生态环境局关于发布三明市2023年生态环境分区管控动态更新成果的通知》(明环规〔2024〕2号)明溪县生态环境准入清单，项目所在位置管控单元类别为“明溪县重点管控单元1”，管控分区查询</w:t>
            </w:r>
            <w:r>
              <w:rPr>
                <w:rFonts w:hint="eastAsia"/>
                <w:color w:val="auto"/>
                <w:sz w:val="21"/>
                <w:szCs w:val="21"/>
                <w:lang w:val="en-US" w:eastAsia="zh-CN"/>
              </w:rPr>
              <w:t>结果</w:t>
            </w:r>
            <w:r>
              <w:rPr>
                <w:rFonts w:hint="eastAsia"/>
                <w:color w:val="auto"/>
                <w:sz w:val="21"/>
                <w:szCs w:val="21"/>
              </w:rPr>
              <w:t>见</w:t>
            </w:r>
            <w:r>
              <w:rPr>
                <w:rFonts w:hint="eastAsia"/>
                <w:color w:val="auto"/>
                <w:sz w:val="21"/>
                <w:szCs w:val="21"/>
                <w:lang w:val="en-US" w:eastAsia="zh-CN"/>
              </w:rPr>
              <w:t>图1-1</w:t>
            </w:r>
            <w:r>
              <w:rPr>
                <w:rFonts w:hint="eastAsia"/>
                <w:color w:val="auto"/>
                <w:sz w:val="21"/>
                <w:szCs w:val="21"/>
              </w:rPr>
              <w:t>，本项目建设对照准入清单要求符合性分析见表1-</w:t>
            </w:r>
            <w:r>
              <w:rPr>
                <w:rFonts w:hint="eastAsia"/>
                <w:color w:val="auto"/>
                <w:sz w:val="21"/>
                <w:szCs w:val="21"/>
                <w:lang w:val="en-US" w:eastAsia="zh-CN"/>
              </w:rPr>
              <w:t>9</w:t>
            </w:r>
            <w:r>
              <w:rPr>
                <w:rFonts w:hint="eastAsia"/>
                <w:color w:val="auto"/>
                <w:sz w:val="21"/>
                <w:szCs w:val="21"/>
              </w:rPr>
              <w:t>。</w:t>
            </w:r>
          </w:p>
          <w:p>
            <w:pPr>
              <w:spacing w:line="360" w:lineRule="auto"/>
              <w:jc w:val="center"/>
              <w:rPr>
                <w:color w:val="auto"/>
              </w:rPr>
            </w:pPr>
            <w:r>
              <w:rPr>
                <w:color w:val="auto"/>
              </w:rPr>
              <w:drawing>
                <wp:inline distT="0" distB="0" distL="114300" distR="114300">
                  <wp:extent cx="4366895" cy="7736840"/>
                  <wp:effectExtent l="0" t="0" r="14605" b="16510"/>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7"/>
                          <a:stretch>
                            <a:fillRect/>
                          </a:stretch>
                        </pic:blipFill>
                        <pic:spPr>
                          <a:xfrm>
                            <a:off x="0" y="0"/>
                            <a:ext cx="4366895" cy="7736840"/>
                          </a:xfrm>
                          <a:prstGeom prst="rect">
                            <a:avLst/>
                          </a:prstGeom>
                          <a:noFill/>
                          <a:ln>
                            <a:noFill/>
                          </a:ln>
                        </pic:spPr>
                      </pic:pic>
                    </a:graphicData>
                  </a:graphic>
                </wp:inline>
              </w:drawing>
            </w:r>
          </w:p>
          <w:p>
            <w:pPr>
              <w:spacing w:line="360" w:lineRule="auto"/>
              <w:jc w:val="center"/>
              <w:rPr>
                <w:color w:val="auto"/>
              </w:rPr>
            </w:pPr>
            <w:r>
              <w:rPr>
                <w:color w:val="auto"/>
              </w:rPr>
              <w:drawing>
                <wp:inline distT="0" distB="0" distL="114300" distR="114300">
                  <wp:extent cx="4017645" cy="7410450"/>
                  <wp:effectExtent l="0" t="0" r="1905" b="0"/>
                  <wp:docPr id="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8"/>
                          <pic:cNvPicPr>
                            <a:picLocks noChangeAspect="1"/>
                          </pic:cNvPicPr>
                        </pic:nvPicPr>
                        <pic:blipFill>
                          <a:blip r:embed="rId8"/>
                          <a:stretch>
                            <a:fillRect/>
                          </a:stretch>
                        </pic:blipFill>
                        <pic:spPr>
                          <a:xfrm>
                            <a:off x="0" y="0"/>
                            <a:ext cx="4017645" cy="7410450"/>
                          </a:xfrm>
                          <a:prstGeom prst="rect">
                            <a:avLst/>
                          </a:prstGeom>
                          <a:noFill/>
                          <a:ln>
                            <a:noFill/>
                          </a:ln>
                        </pic:spPr>
                      </pic:pic>
                    </a:graphicData>
                  </a:graphic>
                </wp:inline>
              </w:drawing>
            </w:r>
          </w:p>
          <w:p>
            <w:pPr>
              <w:spacing w:line="360" w:lineRule="auto"/>
              <w:jc w:val="center"/>
              <w:rPr>
                <w:color w:val="auto"/>
              </w:rPr>
            </w:pPr>
            <w:r>
              <w:rPr>
                <w:color w:val="auto"/>
              </w:rPr>
              <w:drawing>
                <wp:inline distT="0" distB="0" distL="114300" distR="114300">
                  <wp:extent cx="3866515" cy="4512310"/>
                  <wp:effectExtent l="0" t="0" r="635" b="2540"/>
                  <wp:docPr id="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9"/>
                          <pic:cNvPicPr>
                            <a:picLocks noChangeAspect="1"/>
                          </pic:cNvPicPr>
                        </pic:nvPicPr>
                        <pic:blipFill>
                          <a:blip r:embed="rId9"/>
                          <a:stretch>
                            <a:fillRect/>
                          </a:stretch>
                        </pic:blipFill>
                        <pic:spPr>
                          <a:xfrm>
                            <a:off x="0" y="0"/>
                            <a:ext cx="3866515" cy="4512310"/>
                          </a:xfrm>
                          <a:prstGeom prst="rect">
                            <a:avLst/>
                          </a:prstGeom>
                          <a:noFill/>
                          <a:ln>
                            <a:noFill/>
                          </a:ln>
                        </pic:spPr>
                      </pic:pic>
                    </a:graphicData>
                  </a:graphic>
                </wp:inline>
              </w:drawing>
            </w:r>
          </w:p>
          <w:p>
            <w:pPr>
              <w:spacing w:before="194" w:beforeLines="50"/>
              <w:jc w:val="center"/>
              <w:outlineLvl w:val="5"/>
              <w:rPr>
                <w:rFonts w:hint="eastAsia" w:eastAsia="宋体" w:cs="Times New Roman"/>
                <w:b/>
                <w:color w:val="auto"/>
                <w:spacing w:val="0"/>
                <w:sz w:val="21"/>
                <w:szCs w:val="21"/>
              </w:rPr>
            </w:pPr>
            <w:r>
              <w:rPr>
                <w:rFonts w:hint="eastAsia" w:eastAsia="宋体" w:cs="Times New Roman"/>
                <w:b/>
                <w:color w:val="auto"/>
                <w:spacing w:val="0"/>
                <w:sz w:val="21"/>
                <w:szCs w:val="21"/>
                <w:lang w:val="en-US" w:eastAsia="zh-CN"/>
              </w:rPr>
              <w:t xml:space="preserve">图1-1 </w:t>
            </w:r>
            <w:r>
              <w:rPr>
                <w:rFonts w:hint="eastAsia" w:eastAsia="宋体" w:cs="Times New Roman"/>
                <w:b/>
                <w:color w:val="auto"/>
                <w:spacing w:val="0"/>
                <w:sz w:val="21"/>
                <w:szCs w:val="21"/>
              </w:rPr>
              <w:t>福建省生态环境分区管控综合查询报告</w:t>
            </w:r>
          </w:p>
          <w:p>
            <w:pPr>
              <w:adjustRightInd w:val="0"/>
              <w:snapToGrid w:val="0"/>
              <w:spacing w:line="360" w:lineRule="auto"/>
              <w:rPr>
                <w:color w:val="auto"/>
                <w:kern w:val="0"/>
                <w:szCs w:val="21"/>
                <w:lang w:val="en-GB"/>
              </w:rPr>
            </w:pPr>
          </w:p>
          <w:p>
            <w:pPr>
              <w:adjustRightInd w:val="0"/>
              <w:snapToGrid w:val="0"/>
              <w:spacing w:line="360" w:lineRule="auto"/>
              <w:ind w:firstLine="420" w:firstLineChars="200"/>
              <w:rPr>
                <w:color w:val="auto"/>
                <w:kern w:val="0"/>
                <w:szCs w:val="21"/>
                <w:lang w:val="en-GB"/>
              </w:rPr>
            </w:pPr>
          </w:p>
          <w:p>
            <w:pPr>
              <w:adjustRightInd w:val="0"/>
              <w:snapToGrid w:val="0"/>
              <w:spacing w:line="360" w:lineRule="auto"/>
              <w:ind w:firstLine="420" w:firstLineChars="200"/>
              <w:rPr>
                <w:color w:val="auto"/>
                <w:kern w:val="0"/>
                <w:szCs w:val="21"/>
                <w:lang w:val="en-GB"/>
              </w:rPr>
            </w:pPr>
          </w:p>
          <w:p>
            <w:pPr>
              <w:adjustRightInd w:val="0"/>
              <w:snapToGrid w:val="0"/>
              <w:spacing w:line="360" w:lineRule="auto"/>
              <w:ind w:firstLine="420" w:firstLineChars="200"/>
              <w:rPr>
                <w:color w:val="auto"/>
                <w:kern w:val="0"/>
                <w:szCs w:val="21"/>
                <w:lang w:val="en-GB"/>
              </w:rPr>
            </w:pPr>
          </w:p>
          <w:p>
            <w:pPr>
              <w:adjustRightInd w:val="0"/>
              <w:snapToGrid w:val="0"/>
              <w:spacing w:line="360" w:lineRule="auto"/>
              <w:ind w:firstLine="420" w:firstLineChars="200"/>
              <w:rPr>
                <w:color w:val="auto"/>
                <w:kern w:val="0"/>
                <w:szCs w:val="21"/>
                <w:lang w:val="en-GB"/>
              </w:rPr>
            </w:pPr>
          </w:p>
          <w:p>
            <w:pPr>
              <w:adjustRightInd w:val="0"/>
              <w:snapToGrid w:val="0"/>
              <w:spacing w:line="360" w:lineRule="auto"/>
              <w:ind w:firstLine="420" w:firstLineChars="200"/>
              <w:rPr>
                <w:color w:val="auto"/>
                <w:kern w:val="0"/>
                <w:szCs w:val="21"/>
                <w:lang w:val="en-GB"/>
              </w:rPr>
            </w:pPr>
          </w:p>
          <w:p>
            <w:pPr>
              <w:adjustRightInd w:val="0"/>
              <w:snapToGrid w:val="0"/>
              <w:spacing w:line="360" w:lineRule="auto"/>
              <w:ind w:firstLine="420" w:firstLineChars="200"/>
              <w:rPr>
                <w:color w:val="auto"/>
                <w:kern w:val="0"/>
                <w:szCs w:val="21"/>
                <w:lang w:val="en-GB"/>
              </w:rPr>
            </w:pPr>
          </w:p>
          <w:p>
            <w:pPr>
              <w:pStyle w:val="13"/>
              <w:rPr>
                <w:color w:val="auto"/>
                <w:kern w:val="0"/>
                <w:szCs w:val="21"/>
                <w:lang w:val="en-GB"/>
              </w:rPr>
            </w:pPr>
          </w:p>
          <w:p>
            <w:pPr>
              <w:rPr>
                <w:color w:val="auto"/>
                <w:kern w:val="0"/>
                <w:szCs w:val="21"/>
                <w:lang w:val="en-GB"/>
              </w:rPr>
            </w:pPr>
          </w:p>
          <w:p>
            <w:pPr>
              <w:pStyle w:val="13"/>
              <w:rPr>
                <w:color w:val="auto"/>
                <w:kern w:val="0"/>
                <w:szCs w:val="21"/>
                <w:lang w:val="en-GB"/>
              </w:rPr>
            </w:pPr>
          </w:p>
          <w:p>
            <w:pPr>
              <w:rPr>
                <w:color w:val="auto"/>
                <w:kern w:val="0"/>
                <w:szCs w:val="21"/>
                <w:lang w:val="en-GB"/>
              </w:rPr>
            </w:pPr>
          </w:p>
          <w:p>
            <w:pPr>
              <w:pStyle w:val="13"/>
              <w:rPr>
                <w:color w:val="auto"/>
                <w:kern w:val="0"/>
                <w:szCs w:val="21"/>
                <w:lang w:val="en-GB"/>
              </w:rPr>
            </w:pPr>
          </w:p>
          <w:p>
            <w:pPr>
              <w:rPr>
                <w:color w:val="auto"/>
                <w:lang w:val="en-GB"/>
              </w:rPr>
            </w:pPr>
          </w:p>
          <w:p>
            <w:pPr>
              <w:adjustRightInd w:val="0"/>
              <w:snapToGrid w:val="0"/>
              <w:spacing w:line="360" w:lineRule="auto"/>
              <w:ind w:firstLine="420" w:firstLineChars="200"/>
              <w:rPr>
                <w:color w:val="auto"/>
                <w:kern w:val="0"/>
                <w:szCs w:val="21"/>
                <w:lang w:val="en-GB"/>
              </w:rPr>
            </w:pPr>
          </w:p>
          <w:p>
            <w:pPr>
              <w:adjustRightInd w:val="0"/>
              <w:snapToGrid w:val="0"/>
              <w:spacing w:line="360" w:lineRule="auto"/>
              <w:ind w:firstLine="420" w:firstLineChars="200"/>
              <w:rPr>
                <w:color w:val="auto"/>
                <w:kern w:val="0"/>
                <w:szCs w:val="21"/>
                <w:lang w:val="en-GB"/>
              </w:rPr>
            </w:pPr>
          </w:p>
          <w:p>
            <w:pPr>
              <w:adjustRightInd w:val="0"/>
              <w:snapToGrid w:val="0"/>
              <w:spacing w:line="360" w:lineRule="auto"/>
              <w:ind w:firstLine="420" w:firstLineChars="200"/>
              <w:rPr>
                <w:color w:val="auto"/>
                <w:kern w:val="0"/>
                <w:szCs w:val="21"/>
                <w:lang w:val="en-GB"/>
              </w:rPr>
            </w:pPr>
          </w:p>
          <w:p>
            <w:pPr>
              <w:adjustRightInd w:val="0"/>
              <w:snapToGrid w:val="0"/>
              <w:spacing w:line="360" w:lineRule="auto"/>
              <w:ind w:firstLine="420" w:firstLineChars="200"/>
              <w:rPr>
                <w:color w:val="auto"/>
                <w:kern w:val="0"/>
                <w:szCs w:val="21"/>
                <w:lang w:val="en-GB"/>
              </w:rPr>
            </w:pPr>
          </w:p>
          <w:p>
            <w:pPr>
              <w:adjustRightInd w:val="0"/>
              <w:snapToGrid w:val="0"/>
              <w:spacing w:line="360" w:lineRule="auto"/>
              <w:rPr>
                <w:color w:val="auto"/>
                <w:kern w:val="0"/>
                <w:szCs w:val="21"/>
                <w:lang w:val="en-GB"/>
              </w:rPr>
            </w:pPr>
          </w:p>
        </w:tc>
      </w:tr>
    </w:tbl>
    <w:p>
      <w:pPr>
        <w:pStyle w:val="15"/>
        <w:jc w:val="center"/>
        <w:outlineLvl w:val="0"/>
        <w:rPr>
          <w:rFonts w:ascii="Times New Roman" w:hAnsi="Times New Roman" w:eastAsia="黑体"/>
          <w:snapToGrid w:val="0"/>
          <w:sz w:val="30"/>
          <w:szCs w:val="30"/>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0"/>
        <w:gridCol w:w="12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0" w:hRule="atLeast"/>
        </w:trPr>
        <w:tc>
          <w:tcPr>
            <w:tcW w:w="1330" w:type="dxa"/>
            <w:vAlign w:val="center"/>
          </w:tcPr>
          <w:p>
            <w:pPr>
              <w:pStyle w:val="15"/>
              <w:jc w:val="center"/>
              <w:outlineLvl w:val="0"/>
              <w:rPr>
                <w:rFonts w:ascii="Times New Roman" w:hAnsi="Times New Roman" w:eastAsia="黑体"/>
                <w:snapToGrid w:val="0"/>
                <w:sz w:val="30"/>
                <w:szCs w:val="30"/>
                <w:vertAlign w:val="baseline"/>
              </w:rPr>
            </w:pPr>
            <w:bookmarkStart w:id="10" w:name="_Toc2787"/>
            <w:bookmarkStart w:id="11" w:name="_Toc7788"/>
            <w:bookmarkStart w:id="12" w:name="_Toc30750"/>
            <w:r>
              <w:rPr>
                <w:kern w:val="0"/>
                <w:szCs w:val="21"/>
              </w:rPr>
              <w:t>其他符合性分析</w:t>
            </w:r>
            <w:bookmarkEnd w:id="10"/>
            <w:bookmarkEnd w:id="11"/>
            <w:bookmarkEnd w:id="12"/>
          </w:p>
        </w:tc>
        <w:tc>
          <w:tcPr>
            <w:tcW w:w="12844" w:type="dxa"/>
          </w:tcPr>
          <w:p>
            <w:pPr>
              <w:spacing w:before="194" w:beforeLines="50"/>
              <w:jc w:val="center"/>
              <w:outlineLvl w:val="5"/>
              <w:rPr>
                <w:rFonts w:hint="eastAsia"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表1-</w:t>
            </w:r>
            <w:r>
              <w:rPr>
                <w:rFonts w:hint="eastAsia" w:cs="Times New Roman"/>
                <w:b/>
                <w:color w:val="auto"/>
                <w:spacing w:val="0"/>
                <w:sz w:val="21"/>
                <w:szCs w:val="21"/>
                <w:lang w:val="en-US" w:eastAsia="zh-CN"/>
              </w:rPr>
              <w:t>12</w:t>
            </w:r>
            <w:r>
              <w:rPr>
                <w:rFonts w:hint="eastAsia" w:eastAsia="宋体" w:cs="Times New Roman"/>
                <w:b/>
                <w:color w:val="auto"/>
                <w:spacing w:val="0"/>
                <w:sz w:val="21"/>
                <w:szCs w:val="21"/>
                <w:lang w:val="en-US" w:eastAsia="zh-CN"/>
              </w:rPr>
              <w:t>项目与准入清单对比情况</w:t>
            </w:r>
          </w:p>
          <w:tbl>
            <w:tblPr>
              <w:tblStyle w:val="19"/>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0" w:type="dxa"/>
                <w:bottom w:w="0" w:type="dxa"/>
                <w:right w:w="0" w:type="dxa"/>
              </w:tblCellMar>
            </w:tblPr>
            <w:tblGrid>
              <w:gridCol w:w="948"/>
              <w:gridCol w:w="835"/>
              <w:gridCol w:w="3883"/>
              <w:gridCol w:w="695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948" w:type="dxa"/>
                  <w:tcBorders>
                    <w:right w:val="single" w:color="auto" w:sz="4" w:space="0"/>
                  </w:tcBorders>
                  <w:tcMar>
                    <w:left w:w="0" w:type="dxa"/>
                    <w:right w:w="0" w:type="dxa"/>
                  </w:tcMar>
                  <w:vAlign w:val="center"/>
                </w:tcPr>
                <w:p>
                  <w:pPr>
                    <w:pStyle w:val="27"/>
                    <w:spacing w:line="240" w:lineRule="auto"/>
                    <w:rPr>
                      <w:color w:val="auto"/>
                      <w:sz w:val="18"/>
                      <w:szCs w:val="18"/>
                    </w:rPr>
                  </w:pPr>
                  <w:r>
                    <w:rPr>
                      <w:color w:val="auto"/>
                      <w:sz w:val="18"/>
                      <w:szCs w:val="18"/>
                    </w:rPr>
                    <w:t>管控单元</w:t>
                  </w:r>
                </w:p>
              </w:tc>
              <w:tc>
                <w:tcPr>
                  <w:tcW w:w="4718" w:type="dxa"/>
                  <w:gridSpan w:val="2"/>
                  <w:tcBorders>
                    <w:right w:val="single" w:color="auto" w:sz="4" w:space="0"/>
                  </w:tcBorders>
                  <w:tcMar>
                    <w:left w:w="0" w:type="dxa"/>
                    <w:right w:w="0" w:type="dxa"/>
                  </w:tcMar>
                  <w:vAlign w:val="center"/>
                </w:tcPr>
                <w:p>
                  <w:pPr>
                    <w:pStyle w:val="27"/>
                    <w:rPr>
                      <w:color w:val="auto"/>
                      <w:sz w:val="18"/>
                      <w:szCs w:val="18"/>
                    </w:rPr>
                  </w:pPr>
                  <w:r>
                    <w:rPr>
                      <w:color w:val="auto"/>
                      <w:sz w:val="18"/>
                      <w:szCs w:val="18"/>
                    </w:rPr>
                    <w:t>管控要求</w:t>
                  </w:r>
                </w:p>
              </w:tc>
              <w:tc>
                <w:tcPr>
                  <w:tcW w:w="6957" w:type="dxa"/>
                  <w:tcBorders>
                    <w:left w:val="single" w:color="auto" w:sz="4" w:space="0"/>
                  </w:tcBorders>
                  <w:vAlign w:val="center"/>
                </w:tcPr>
                <w:p>
                  <w:pPr>
                    <w:pStyle w:val="27"/>
                    <w:rPr>
                      <w:color w:val="auto"/>
                      <w:sz w:val="18"/>
                      <w:szCs w:val="18"/>
                    </w:rPr>
                  </w:pPr>
                  <w:r>
                    <w:rPr>
                      <w:color w:val="auto"/>
                      <w:sz w:val="18"/>
                      <w:szCs w:val="18"/>
                    </w:rPr>
                    <w:t>符合性分析</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150" w:hRule="atLeast"/>
                <w:jc w:val="center"/>
              </w:trPr>
              <w:tc>
                <w:tcPr>
                  <w:tcW w:w="948" w:type="dxa"/>
                  <w:vMerge w:val="restart"/>
                  <w:tcBorders>
                    <w:right w:val="single" w:color="auto" w:sz="4" w:space="0"/>
                  </w:tcBorders>
                  <w:tcMar>
                    <w:left w:w="0" w:type="dxa"/>
                    <w:right w:w="0" w:type="dxa"/>
                  </w:tcMar>
                  <w:vAlign w:val="center"/>
                </w:tcPr>
                <w:p>
                  <w:pPr>
                    <w:pStyle w:val="27"/>
                    <w:rPr>
                      <w:color w:val="auto"/>
                      <w:sz w:val="18"/>
                      <w:szCs w:val="18"/>
                    </w:rPr>
                  </w:pPr>
                  <w:r>
                    <w:rPr>
                      <w:color w:val="auto"/>
                      <w:sz w:val="18"/>
                      <w:szCs w:val="18"/>
                    </w:rPr>
                    <w:t>明溪县重点管控单元1</w:t>
                  </w:r>
                </w:p>
              </w:tc>
              <w:tc>
                <w:tcPr>
                  <w:tcW w:w="835" w:type="dxa"/>
                  <w:vMerge w:val="restart"/>
                  <w:tcBorders>
                    <w:right w:val="single" w:color="auto" w:sz="4" w:space="0"/>
                  </w:tcBorders>
                  <w:tcMar>
                    <w:left w:w="0" w:type="dxa"/>
                    <w:right w:w="0" w:type="dxa"/>
                  </w:tcMar>
                  <w:vAlign w:val="center"/>
                </w:tcPr>
                <w:p>
                  <w:pPr>
                    <w:pStyle w:val="27"/>
                    <w:rPr>
                      <w:color w:val="auto"/>
                      <w:sz w:val="18"/>
                      <w:szCs w:val="18"/>
                    </w:rPr>
                  </w:pPr>
                  <w:r>
                    <w:rPr>
                      <w:color w:val="auto"/>
                      <w:sz w:val="18"/>
                      <w:szCs w:val="18"/>
                    </w:rPr>
                    <w:t>空间布局约束</w:t>
                  </w:r>
                </w:p>
              </w:tc>
              <w:tc>
                <w:tcPr>
                  <w:tcW w:w="3883" w:type="dxa"/>
                  <w:tcBorders>
                    <w:right w:val="single" w:color="auto" w:sz="4" w:space="0"/>
                  </w:tcBorders>
                  <w:vAlign w:val="center"/>
                </w:tcPr>
                <w:p>
                  <w:pPr>
                    <w:numPr>
                      <w:ilvl w:val="0"/>
                      <w:numId w:val="0"/>
                    </w:numPr>
                    <w:adjustRightInd w:val="0"/>
                    <w:spacing w:line="288" w:lineRule="auto"/>
                    <w:ind w:right="105" w:rightChars="50" w:firstLine="360" w:firstLineChars="200"/>
                    <w:rPr>
                      <w:color w:val="auto"/>
                      <w:sz w:val="18"/>
                      <w:szCs w:val="18"/>
                    </w:rPr>
                  </w:pPr>
                  <w:r>
                    <w:rPr>
                      <w:rFonts w:ascii="Times New Roman" w:hAnsi="Times New Roman" w:eastAsia="宋体" w:cs="Times New Roman"/>
                      <w:color w:val="auto"/>
                      <w:kern w:val="2"/>
                      <w:sz w:val="18"/>
                      <w:szCs w:val="18"/>
                      <w:lang w:val="en-US" w:eastAsia="zh-CN" w:bidi="ar-SA"/>
                    </w:rPr>
                    <w:t>1.</w:t>
                  </w:r>
                  <w:r>
                    <w:rPr>
                      <w:color w:val="auto"/>
                      <w:sz w:val="18"/>
                      <w:szCs w:val="18"/>
                    </w:rPr>
                    <w:t>严禁在人口聚集区新建涉及化学品和危险废物排放的项目</w:t>
                  </w:r>
                  <w:r>
                    <w:rPr>
                      <w:rFonts w:hint="eastAsia"/>
                      <w:color w:val="auto"/>
                      <w:sz w:val="18"/>
                      <w:szCs w:val="18"/>
                      <w:lang w:eastAsia="zh-CN"/>
                    </w:rPr>
                    <w:t>；</w:t>
                  </w:r>
                </w:p>
              </w:tc>
              <w:tc>
                <w:tcPr>
                  <w:tcW w:w="6957" w:type="dxa"/>
                  <w:tcBorders>
                    <w:left w:val="single" w:color="auto" w:sz="4" w:space="0"/>
                  </w:tcBorders>
                  <w:vAlign w:val="center"/>
                </w:tcPr>
                <w:p>
                  <w:pPr>
                    <w:adjustRightInd w:val="0"/>
                    <w:spacing w:line="288" w:lineRule="auto"/>
                    <w:ind w:right="105" w:rightChars="50" w:firstLine="360" w:firstLineChars="200"/>
                    <w:rPr>
                      <w:color w:val="auto"/>
                      <w:sz w:val="18"/>
                      <w:szCs w:val="18"/>
                    </w:rPr>
                  </w:pPr>
                  <w:r>
                    <w:rPr>
                      <w:rFonts w:hint="eastAsia"/>
                      <w:color w:val="auto"/>
                      <w:sz w:val="18"/>
                      <w:szCs w:val="18"/>
                      <w:lang w:val="en-US" w:eastAsia="zh-CN"/>
                    </w:rPr>
                    <w:t>本次扩建项目原辅材料不属于危险化学品，且企业设置了自车间X1外延50m的卫生防护距离。企业危险废物经收集后，在二厂危险废物贮存库贮存，定期委托有相应资质单位处置，无危险废物排放。</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150" w:hRule="atLeast"/>
                <w:jc w:val="center"/>
              </w:trPr>
              <w:tc>
                <w:tcPr>
                  <w:tcW w:w="948" w:type="dxa"/>
                  <w:vMerge w:val="continue"/>
                  <w:tcBorders>
                    <w:right w:val="single" w:color="auto" w:sz="4" w:space="0"/>
                  </w:tcBorders>
                  <w:tcMar>
                    <w:left w:w="0" w:type="dxa"/>
                    <w:right w:w="0" w:type="dxa"/>
                  </w:tcMar>
                  <w:vAlign w:val="center"/>
                </w:tcPr>
                <w:p>
                  <w:pPr>
                    <w:adjustRightInd w:val="0"/>
                    <w:spacing w:line="288" w:lineRule="auto"/>
                    <w:ind w:right="105" w:rightChars="50" w:firstLine="420" w:firstLineChars="200"/>
                    <w:rPr>
                      <w:color w:val="auto"/>
                    </w:rPr>
                  </w:pPr>
                </w:p>
              </w:tc>
              <w:tc>
                <w:tcPr>
                  <w:tcW w:w="835" w:type="dxa"/>
                  <w:vMerge w:val="continue"/>
                  <w:tcBorders>
                    <w:right w:val="single" w:color="auto" w:sz="4" w:space="0"/>
                  </w:tcBorders>
                  <w:tcMar>
                    <w:left w:w="0" w:type="dxa"/>
                    <w:right w:w="0" w:type="dxa"/>
                  </w:tcMar>
                  <w:vAlign w:val="center"/>
                </w:tcPr>
                <w:p>
                  <w:pPr>
                    <w:adjustRightInd w:val="0"/>
                    <w:spacing w:line="288" w:lineRule="auto"/>
                    <w:ind w:right="105" w:rightChars="50" w:firstLine="420" w:firstLineChars="200"/>
                    <w:rPr>
                      <w:color w:val="auto"/>
                    </w:rPr>
                  </w:pPr>
                </w:p>
              </w:tc>
              <w:tc>
                <w:tcPr>
                  <w:tcW w:w="3883" w:type="dxa"/>
                  <w:tcBorders>
                    <w:right w:val="single" w:color="auto" w:sz="4" w:space="0"/>
                  </w:tcBorders>
                  <w:vAlign w:val="center"/>
                </w:tcPr>
                <w:p>
                  <w:pPr>
                    <w:numPr>
                      <w:ilvl w:val="0"/>
                      <w:numId w:val="0"/>
                    </w:numPr>
                    <w:adjustRightInd w:val="0"/>
                    <w:spacing w:line="288" w:lineRule="auto"/>
                    <w:ind w:right="105" w:rightChars="50" w:firstLine="360" w:firstLineChars="200"/>
                    <w:rPr>
                      <w:rFonts w:hint="eastAsia"/>
                      <w:color w:val="auto"/>
                      <w:sz w:val="18"/>
                      <w:szCs w:val="18"/>
                      <w:lang w:val="en-US" w:eastAsia="zh-CN"/>
                    </w:rPr>
                  </w:pPr>
                  <w:r>
                    <w:rPr>
                      <w:rFonts w:hint="eastAsia"/>
                      <w:color w:val="auto"/>
                      <w:sz w:val="18"/>
                      <w:szCs w:val="18"/>
                      <w:lang w:val="en-US" w:eastAsia="zh-CN"/>
                    </w:rPr>
                    <w:t>2.</w:t>
                  </w:r>
                  <w:r>
                    <w:rPr>
                      <w:color w:val="auto"/>
                      <w:sz w:val="18"/>
                      <w:szCs w:val="18"/>
                    </w:rPr>
                    <w:t>禁止在大气环境布局敏感重点管控区新建、扩建石化、化工、焦化、有色等高污染、高风险的涉气项目；</w:t>
                  </w:r>
                </w:p>
              </w:tc>
              <w:tc>
                <w:tcPr>
                  <w:tcW w:w="6957" w:type="dxa"/>
                  <w:tcBorders>
                    <w:left w:val="single" w:color="auto" w:sz="4" w:space="0"/>
                  </w:tcBorders>
                  <w:vAlign w:val="center"/>
                </w:tcPr>
                <w:p>
                  <w:pPr>
                    <w:adjustRightInd w:val="0"/>
                    <w:spacing w:line="288" w:lineRule="auto"/>
                    <w:ind w:right="105" w:rightChars="50" w:firstLine="360" w:firstLineChars="200"/>
                    <w:rPr>
                      <w:rFonts w:hint="eastAsia"/>
                      <w:color w:val="auto"/>
                      <w:sz w:val="18"/>
                      <w:szCs w:val="18"/>
                      <w:lang w:val="en-US" w:eastAsia="zh-CN"/>
                    </w:rPr>
                  </w:pPr>
                  <w:r>
                    <w:rPr>
                      <w:rFonts w:hint="eastAsia"/>
                      <w:color w:val="auto"/>
                      <w:sz w:val="18"/>
                      <w:szCs w:val="18"/>
                      <w:lang w:val="en-US" w:eastAsia="zh-CN"/>
                    </w:rPr>
                    <w:t>本次扩建项目属于2921塑料薄膜制造，因此本次扩建工程不属于石化、化工、焦化、有色等高污染、高风险的涉气项目。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0" w:hRule="atLeast"/>
                <w:jc w:val="center"/>
              </w:trPr>
              <w:tc>
                <w:tcPr>
                  <w:tcW w:w="948" w:type="dxa"/>
                  <w:vMerge w:val="continue"/>
                  <w:tcBorders>
                    <w:right w:val="single" w:color="auto" w:sz="4" w:space="0"/>
                  </w:tcBorders>
                  <w:tcMar>
                    <w:left w:w="0" w:type="dxa"/>
                    <w:right w:w="0" w:type="dxa"/>
                  </w:tcMar>
                  <w:vAlign w:val="center"/>
                </w:tcPr>
                <w:p>
                  <w:pPr>
                    <w:adjustRightInd w:val="0"/>
                    <w:spacing w:line="288" w:lineRule="auto"/>
                    <w:ind w:right="105" w:rightChars="50" w:firstLine="360" w:firstLineChars="200"/>
                    <w:rPr>
                      <w:rFonts w:hint="eastAsia"/>
                      <w:color w:val="auto"/>
                      <w:sz w:val="18"/>
                      <w:szCs w:val="18"/>
                      <w:lang w:val="en-US" w:eastAsia="zh-CN"/>
                    </w:rPr>
                  </w:pPr>
                </w:p>
              </w:tc>
              <w:tc>
                <w:tcPr>
                  <w:tcW w:w="835" w:type="dxa"/>
                  <w:vMerge w:val="continue"/>
                  <w:tcBorders>
                    <w:right w:val="single" w:color="auto" w:sz="4" w:space="0"/>
                  </w:tcBorders>
                  <w:tcMar>
                    <w:left w:w="0" w:type="dxa"/>
                    <w:right w:w="0" w:type="dxa"/>
                  </w:tcMar>
                  <w:vAlign w:val="center"/>
                </w:tcPr>
                <w:p>
                  <w:pPr>
                    <w:adjustRightInd w:val="0"/>
                    <w:spacing w:line="288" w:lineRule="auto"/>
                    <w:ind w:right="105" w:rightChars="50" w:firstLine="360" w:firstLineChars="200"/>
                    <w:rPr>
                      <w:rFonts w:hint="eastAsia"/>
                      <w:color w:val="auto"/>
                      <w:sz w:val="18"/>
                      <w:szCs w:val="18"/>
                      <w:lang w:val="en-US" w:eastAsia="zh-CN"/>
                    </w:rPr>
                  </w:pPr>
                </w:p>
              </w:tc>
              <w:tc>
                <w:tcPr>
                  <w:tcW w:w="3883" w:type="dxa"/>
                  <w:tcBorders>
                    <w:right w:val="single" w:color="auto" w:sz="4" w:space="0"/>
                  </w:tcBorders>
                  <w:vAlign w:val="center"/>
                </w:tcPr>
                <w:p>
                  <w:pPr>
                    <w:adjustRightInd w:val="0"/>
                    <w:spacing w:line="288" w:lineRule="auto"/>
                    <w:ind w:right="105" w:rightChars="50" w:firstLine="360" w:firstLineChars="200"/>
                    <w:rPr>
                      <w:rFonts w:hint="eastAsia"/>
                      <w:color w:val="auto"/>
                      <w:sz w:val="18"/>
                      <w:szCs w:val="18"/>
                      <w:lang w:val="en-US" w:eastAsia="zh-CN"/>
                    </w:rPr>
                  </w:pPr>
                  <w:r>
                    <w:rPr>
                      <w:rFonts w:hint="eastAsia"/>
                      <w:color w:val="auto"/>
                      <w:sz w:val="18"/>
                      <w:szCs w:val="18"/>
                      <w:lang w:val="en-US" w:eastAsia="zh-CN"/>
                    </w:rPr>
                    <w:t>3.</w:t>
                  </w:r>
                  <w:r>
                    <w:rPr>
                      <w:color w:val="auto"/>
                      <w:sz w:val="18"/>
                      <w:szCs w:val="18"/>
                    </w:rPr>
                    <w:t>城市建成区内现有原料药制造、化工等污染较重的企业应有序搬迁改造或依法关闭。</w:t>
                  </w:r>
                </w:p>
              </w:tc>
              <w:tc>
                <w:tcPr>
                  <w:tcW w:w="6957" w:type="dxa"/>
                  <w:tcBorders>
                    <w:left w:val="single" w:color="auto" w:sz="4" w:space="0"/>
                  </w:tcBorders>
                  <w:vAlign w:val="center"/>
                </w:tcPr>
                <w:p>
                  <w:pPr>
                    <w:adjustRightInd w:val="0"/>
                    <w:spacing w:line="288" w:lineRule="auto"/>
                    <w:ind w:right="105" w:rightChars="50" w:firstLine="360" w:firstLineChars="200"/>
                    <w:rPr>
                      <w:rFonts w:hint="eastAsia" w:eastAsia="宋体"/>
                      <w:color w:val="auto"/>
                      <w:sz w:val="18"/>
                      <w:szCs w:val="18"/>
                      <w:lang w:val="en-US" w:eastAsia="zh-CN"/>
                    </w:rPr>
                  </w:pPr>
                  <w:r>
                    <w:rPr>
                      <w:rFonts w:hint="eastAsia"/>
                      <w:color w:val="auto"/>
                      <w:sz w:val="18"/>
                      <w:szCs w:val="18"/>
                      <w:lang w:val="en-US" w:eastAsia="zh-CN"/>
                    </w:rPr>
                    <w:t>本次扩建项目属于2921塑料薄膜制造，不属于</w:t>
                  </w:r>
                  <w:r>
                    <w:rPr>
                      <w:color w:val="auto"/>
                      <w:sz w:val="18"/>
                      <w:szCs w:val="18"/>
                    </w:rPr>
                    <w:t>原料药制造、化工等污染较重的</w:t>
                  </w:r>
                  <w:r>
                    <w:rPr>
                      <w:rFonts w:hint="eastAsia"/>
                      <w:color w:val="auto"/>
                      <w:sz w:val="18"/>
                      <w:szCs w:val="18"/>
                      <w:lang w:val="en-US" w:eastAsia="zh-CN"/>
                    </w:rPr>
                    <w:t>项目</w:t>
                  </w:r>
                  <w:r>
                    <w:rPr>
                      <w:rFonts w:hint="eastAsia"/>
                      <w:color w:val="auto"/>
                      <w:sz w:val="18"/>
                      <w:szCs w:val="18"/>
                      <w:lang w:eastAsia="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40" w:hRule="atLeast"/>
                <w:jc w:val="center"/>
              </w:trPr>
              <w:tc>
                <w:tcPr>
                  <w:tcW w:w="948" w:type="dxa"/>
                  <w:vMerge w:val="continue"/>
                  <w:tcBorders>
                    <w:right w:val="single" w:color="auto" w:sz="4" w:space="0"/>
                  </w:tcBorders>
                  <w:tcMar>
                    <w:left w:w="0" w:type="dxa"/>
                    <w:right w:w="0" w:type="dxa"/>
                  </w:tcMar>
                  <w:vAlign w:val="center"/>
                </w:tcPr>
                <w:p>
                  <w:pPr>
                    <w:adjustRightInd w:val="0"/>
                    <w:spacing w:line="288" w:lineRule="auto"/>
                    <w:ind w:right="105" w:rightChars="50" w:firstLine="420" w:firstLineChars="200"/>
                    <w:rPr>
                      <w:color w:val="auto"/>
                    </w:rPr>
                  </w:pPr>
                </w:p>
              </w:tc>
              <w:tc>
                <w:tcPr>
                  <w:tcW w:w="835" w:type="dxa"/>
                  <w:vMerge w:val="continue"/>
                  <w:tcBorders>
                    <w:right w:val="single" w:color="auto" w:sz="4" w:space="0"/>
                  </w:tcBorders>
                  <w:tcMar>
                    <w:left w:w="0" w:type="dxa"/>
                    <w:right w:w="0" w:type="dxa"/>
                  </w:tcMar>
                  <w:vAlign w:val="center"/>
                </w:tcPr>
                <w:p>
                  <w:pPr>
                    <w:adjustRightInd w:val="0"/>
                    <w:spacing w:line="288" w:lineRule="auto"/>
                    <w:ind w:right="105" w:rightChars="50" w:firstLine="420" w:firstLineChars="200"/>
                    <w:rPr>
                      <w:color w:val="auto"/>
                    </w:rPr>
                  </w:pPr>
                </w:p>
              </w:tc>
              <w:tc>
                <w:tcPr>
                  <w:tcW w:w="3883" w:type="dxa"/>
                  <w:tcBorders>
                    <w:right w:val="single" w:color="auto" w:sz="4" w:space="0"/>
                  </w:tcBorders>
                  <w:vAlign w:val="center"/>
                </w:tcPr>
                <w:p>
                  <w:pPr>
                    <w:adjustRightInd w:val="0"/>
                    <w:spacing w:line="288" w:lineRule="auto"/>
                    <w:ind w:right="105" w:rightChars="50" w:firstLine="360" w:firstLineChars="200"/>
                    <w:rPr>
                      <w:color w:val="auto"/>
                      <w:sz w:val="18"/>
                      <w:szCs w:val="18"/>
                    </w:rPr>
                  </w:pPr>
                  <w:r>
                    <w:rPr>
                      <w:rFonts w:hint="eastAsia"/>
                      <w:color w:val="auto"/>
                      <w:sz w:val="18"/>
                      <w:szCs w:val="18"/>
                      <w:lang w:val="en-US" w:eastAsia="zh-CN"/>
                    </w:rPr>
                    <w:t>4</w:t>
                  </w:r>
                  <w:r>
                    <w:rPr>
                      <w:color w:val="auto"/>
                      <w:sz w:val="18"/>
                      <w:szCs w:val="18"/>
                    </w:rPr>
                    <w:t>.严格限制建设生产和使用高VOCs含量的溶剂涂料、油墨、胶黏剂等项目。</w:t>
                  </w:r>
                </w:p>
              </w:tc>
              <w:tc>
                <w:tcPr>
                  <w:tcW w:w="6957" w:type="dxa"/>
                  <w:tcBorders>
                    <w:left w:val="single" w:color="auto" w:sz="4" w:space="0"/>
                  </w:tcBorders>
                  <w:vAlign w:val="center"/>
                </w:tcPr>
                <w:p>
                  <w:pPr>
                    <w:adjustRightInd w:val="0"/>
                    <w:spacing w:line="288" w:lineRule="auto"/>
                    <w:ind w:right="105" w:rightChars="50" w:firstLine="360" w:firstLineChars="200"/>
                    <w:rPr>
                      <w:color w:val="auto"/>
                      <w:sz w:val="18"/>
                      <w:szCs w:val="18"/>
                    </w:rPr>
                  </w:pPr>
                  <w:r>
                    <w:rPr>
                      <w:rFonts w:hint="eastAsia"/>
                      <w:color w:val="auto"/>
                      <w:sz w:val="18"/>
                      <w:szCs w:val="18"/>
                      <w:lang w:val="en-US" w:eastAsia="zh-CN"/>
                    </w:rPr>
                    <w:t>本次扩建项目产品不属于</w:t>
                  </w:r>
                  <w:r>
                    <w:rPr>
                      <w:color w:val="auto"/>
                      <w:sz w:val="18"/>
                      <w:szCs w:val="18"/>
                    </w:rPr>
                    <w:t>生产和使用高VOCs含量的</w:t>
                  </w:r>
                  <w:r>
                    <w:rPr>
                      <w:rFonts w:hint="eastAsia"/>
                      <w:color w:val="auto"/>
                      <w:sz w:val="18"/>
                      <w:szCs w:val="18"/>
                      <w:lang w:val="en-US" w:eastAsia="zh-CN"/>
                    </w:rPr>
                    <w:t>溶剂涂料、油墨、胶黏剂项目</w:t>
                  </w:r>
                  <w:r>
                    <w:rPr>
                      <w:rFonts w:hint="eastAsia"/>
                      <w:color w:val="auto"/>
                      <w:sz w:val="18"/>
                      <w:szCs w:val="18"/>
                      <w:lang w:eastAsia="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38" w:hRule="atLeast"/>
                <w:jc w:val="center"/>
              </w:trPr>
              <w:tc>
                <w:tcPr>
                  <w:tcW w:w="948" w:type="dxa"/>
                  <w:vMerge w:val="continue"/>
                  <w:tcBorders>
                    <w:right w:val="single" w:color="auto" w:sz="4" w:space="0"/>
                  </w:tcBorders>
                  <w:tcMar>
                    <w:left w:w="0" w:type="dxa"/>
                    <w:right w:w="0" w:type="dxa"/>
                  </w:tcMar>
                  <w:vAlign w:val="center"/>
                </w:tcPr>
                <w:p>
                  <w:pPr>
                    <w:adjustRightInd w:val="0"/>
                    <w:spacing w:line="288" w:lineRule="auto"/>
                    <w:ind w:right="105" w:rightChars="50" w:firstLine="360" w:firstLineChars="200"/>
                    <w:rPr>
                      <w:color w:val="auto"/>
                      <w:sz w:val="18"/>
                      <w:szCs w:val="18"/>
                    </w:rPr>
                  </w:pPr>
                </w:p>
              </w:tc>
              <w:tc>
                <w:tcPr>
                  <w:tcW w:w="835" w:type="dxa"/>
                  <w:vMerge w:val="continue"/>
                  <w:tcBorders>
                    <w:right w:val="single" w:color="auto" w:sz="4" w:space="0"/>
                  </w:tcBorders>
                  <w:tcMar>
                    <w:left w:w="0" w:type="dxa"/>
                    <w:right w:w="0" w:type="dxa"/>
                  </w:tcMar>
                  <w:vAlign w:val="center"/>
                </w:tcPr>
                <w:p>
                  <w:pPr>
                    <w:adjustRightInd w:val="0"/>
                    <w:spacing w:line="288" w:lineRule="auto"/>
                    <w:ind w:right="105" w:rightChars="50" w:firstLine="360" w:firstLineChars="200"/>
                    <w:rPr>
                      <w:color w:val="auto"/>
                      <w:sz w:val="18"/>
                      <w:szCs w:val="18"/>
                    </w:rPr>
                  </w:pPr>
                </w:p>
              </w:tc>
              <w:tc>
                <w:tcPr>
                  <w:tcW w:w="3883" w:type="dxa"/>
                  <w:tcBorders>
                    <w:right w:val="single" w:color="auto" w:sz="4" w:space="0"/>
                  </w:tcBorders>
                  <w:vAlign w:val="center"/>
                </w:tcPr>
                <w:p>
                  <w:pPr>
                    <w:adjustRightInd w:val="0"/>
                    <w:spacing w:line="288" w:lineRule="auto"/>
                    <w:ind w:right="105" w:rightChars="50" w:firstLine="360" w:firstLineChars="200"/>
                    <w:rPr>
                      <w:color w:val="auto"/>
                      <w:sz w:val="18"/>
                      <w:szCs w:val="18"/>
                    </w:rPr>
                  </w:pPr>
                  <w:r>
                    <w:rPr>
                      <w:rFonts w:hint="eastAsia"/>
                      <w:color w:val="auto"/>
                      <w:sz w:val="18"/>
                      <w:szCs w:val="18"/>
                      <w:lang w:val="en-US" w:eastAsia="zh-CN"/>
                    </w:rPr>
                    <w:t>5</w:t>
                  </w:r>
                  <w:r>
                    <w:rPr>
                      <w:color w:val="auto"/>
                      <w:sz w:val="18"/>
                      <w:szCs w:val="18"/>
                    </w:rPr>
                    <w:t>.禁止开发利用未经评估和无害化处理的列入建设用地污染地块名录及开发利用负面清单的土地。</w:t>
                  </w:r>
                </w:p>
              </w:tc>
              <w:tc>
                <w:tcPr>
                  <w:tcW w:w="6957" w:type="dxa"/>
                  <w:tcBorders>
                    <w:left w:val="single" w:color="auto" w:sz="4" w:space="0"/>
                  </w:tcBorders>
                  <w:vAlign w:val="center"/>
                </w:tcPr>
                <w:p>
                  <w:pPr>
                    <w:adjustRightInd w:val="0"/>
                    <w:spacing w:line="288" w:lineRule="auto"/>
                    <w:ind w:right="105" w:rightChars="50" w:firstLine="360" w:firstLineChars="200"/>
                    <w:rPr>
                      <w:color w:val="auto"/>
                      <w:sz w:val="18"/>
                      <w:szCs w:val="18"/>
                    </w:rPr>
                  </w:pPr>
                  <w:r>
                    <w:rPr>
                      <w:rFonts w:hint="eastAsia"/>
                      <w:color w:val="auto"/>
                      <w:sz w:val="18"/>
                      <w:szCs w:val="18"/>
                      <w:lang w:val="en-US" w:eastAsia="zh-CN"/>
                    </w:rPr>
                    <w:t>本次扩建项目用地为海斯福一厂厂区内闲置工业用地，不属于</w:t>
                  </w:r>
                  <w:r>
                    <w:rPr>
                      <w:rFonts w:hint="eastAsia"/>
                      <w:color w:val="auto"/>
                      <w:sz w:val="18"/>
                      <w:szCs w:val="18"/>
                    </w:rPr>
                    <w:t>未经评估和无害化处理的列入建设用地污染地块名录及开发利用负面清单的土地</w:t>
                  </w:r>
                  <w:r>
                    <w:rPr>
                      <w:rFonts w:hint="eastAsia"/>
                      <w:color w:val="auto"/>
                      <w:sz w:val="18"/>
                      <w:szCs w:val="18"/>
                      <w:lang w:val="en-US" w:eastAsia="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346" w:hRule="atLeast"/>
                <w:jc w:val="center"/>
              </w:trPr>
              <w:tc>
                <w:tcPr>
                  <w:tcW w:w="948" w:type="dxa"/>
                  <w:vMerge w:val="continue"/>
                  <w:tcBorders>
                    <w:right w:val="single" w:color="auto" w:sz="4" w:space="0"/>
                  </w:tcBorders>
                  <w:tcMar>
                    <w:left w:w="0" w:type="dxa"/>
                    <w:right w:w="0" w:type="dxa"/>
                  </w:tcMar>
                  <w:vAlign w:val="center"/>
                </w:tcPr>
                <w:p>
                  <w:pPr>
                    <w:pStyle w:val="27"/>
                    <w:rPr>
                      <w:color w:val="auto"/>
                      <w:sz w:val="18"/>
                      <w:szCs w:val="18"/>
                    </w:rPr>
                  </w:pPr>
                </w:p>
              </w:tc>
              <w:tc>
                <w:tcPr>
                  <w:tcW w:w="835" w:type="dxa"/>
                  <w:vMerge w:val="restart"/>
                  <w:tcBorders>
                    <w:right w:val="single" w:color="auto" w:sz="4" w:space="0"/>
                  </w:tcBorders>
                  <w:tcMar>
                    <w:left w:w="0" w:type="dxa"/>
                    <w:right w:w="0" w:type="dxa"/>
                  </w:tcMar>
                  <w:vAlign w:val="center"/>
                </w:tcPr>
                <w:p>
                  <w:pPr>
                    <w:pStyle w:val="27"/>
                    <w:rPr>
                      <w:color w:val="auto"/>
                      <w:sz w:val="18"/>
                      <w:szCs w:val="18"/>
                    </w:rPr>
                  </w:pPr>
                  <w:r>
                    <w:rPr>
                      <w:color w:val="auto"/>
                      <w:sz w:val="18"/>
                      <w:szCs w:val="18"/>
                    </w:rPr>
                    <w:t>污染物排放管控</w:t>
                  </w:r>
                </w:p>
              </w:tc>
              <w:tc>
                <w:tcPr>
                  <w:tcW w:w="3883" w:type="dxa"/>
                  <w:tcBorders>
                    <w:right w:val="single" w:color="auto" w:sz="4" w:space="0"/>
                  </w:tcBorders>
                  <w:vAlign w:val="center"/>
                </w:tcPr>
                <w:p>
                  <w:pPr>
                    <w:adjustRightInd w:val="0"/>
                    <w:spacing w:line="288" w:lineRule="auto"/>
                    <w:ind w:right="105" w:rightChars="50" w:firstLine="360" w:firstLineChars="200"/>
                    <w:rPr>
                      <w:color w:val="auto"/>
                      <w:sz w:val="18"/>
                      <w:szCs w:val="18"/>
                    </w:rPr>
                  </w:pPr>
                  <w:r>
                    <w:rPr>
                      <w:color w:val="auto"/>
                      <w:sz w:val="18"/>
                      <w:szCs w:val="18"/>
                    </w:rPr>
                    <w:t>新建、改建、扩建项目，新增污染物排放按照福建省排污权有偿使用和交易相关文件执行。</w:t>
                  </w:r>
                </w:p>
              </w:tc>
              <w:tc>
                <w:tcPr>
                  <w:tcW w:w="6957" w:type="dxa"/>
                  <w:tcBorders>
                    <w:left w:val="single" w:color="auto" w:sz="4" w:space="0"/>
                  </w:tcBorders>
                  <w:vAlign w:val="center"/>
                </w:tcPr>
                <w:p>
                  <w:pPr>
                    <w:adjustRightInd w:val="0"/>
                    <w:spacing w:line="288" w:lineRule="auto"/>
                    <w:ind w:right="105" w:rightChars="50" w:firstLine="360" w:firstLineChars="200"/>
                    <w:rPr>
                      <w:color w:val="auto"/>
                      <w:sz w:val="18"/>
                      <w:szCs w:val="18"/>
                    </w:rPr>
                  </w:pPr>
                  <w:r>
                    <w:rPr>
                      <w:rFonts w:hint="eastAsia"/>
                      <w:color w:val="auto"/>
                      <w:sz w:val="18"/>
                      <w:szCs w:val="18"/>
                    </w:rPr>
                    <w:t>据《三明市生态环境局关于印发授权各县(市)生态环境局开展行政许可具体工作方案(试行)的通知》(明环 (2019) 33 号)附件4第4条中豁免购买排放权及来源确认的规定“新扩改建设项目环评文件中载明的4项主要污染物年排放量</w:t>
                  </w:r>
                  <w:r>
                    <w:rPr>
                      <w:rFonts w:hint="eastAsia"/>
                      <w:b/>
                      <w:bCs/>
                      <w:color w:val="auto"/>
                      <w:sz w:val="18"/>
                      <w:szCs w:val="18"/>
                    </w:rPr>
                    <w:t>同时满足化学需氧量&lt;1.5吨、氨氮&lt;0.25 吨、二氧化硫≤1吨、氮氧化物&lt;1吨的，可豁免购买排污权及来源确认</w:t>
                  </w:r>
                  <w:r>
                    <w:rPr>
                      <w:rFonts w:hint="eastAsia"/>
                      <w:color w:val="auto"/>
                      <w:sz w:val="18"/>
                      <w:szCs w:val="18"/>
                    </w:rPr>
                    <w:t>”，</w:t>
                  </w:r>
                  <w:r>
                    <w:rPr>
                      <w:rFonts w:hint="eastAsia"/>
                      <w:color w:val="auto"/>
                      <w:sz w:val="18"/>
                      <w:szCs w:val="18"/>
                      <w:lang w:val="en-US" w:eastAsia="zh-CN"/>
                    </w:rPr>
                    <w:t>本扩建</w:t>
                  </w:r>
                  <w:r>
                    <w:rPr>
                      <w:color w:val="auto"/>
                      <w:sz w:val="18"/>
                      <w:szCs w:val="18"/>
                    </w:rPr>
                    <w:t>项目</w:t>
                  </w:r>
                  <w:r>
                    <w:rPr>
                      <w:rFonts w:hint="eastAsia"/>
                      <w:color w:val="auto"/>
                      <w:sz w:val="18"/>
                      <w:szCs w:val="18"/>
                      <w:lang w:val="en-US" w:eastAsia="zh-CN"/>
                    </w:rPr>
                    <w:t>建成后</w:t>
                  </w:r>
                  <w:r>
                    <w:rPr>
                      <w:b/>
                      <w:bCs/>
                      <w:color w:val="auto"/>
                      <w:sz w:val="18"/>
                      <w:szCs w:val="18"/>
                    </w:rPr>
                    <w:t>新增COD排放总量</w:t>
                  </w:r>
                  <w:r>
                    <w:rPr>
                      <w:rFonts w:hint="eastAsia"/>
                      <w:b/>
                      <w:bCs/>
                      <w:color w:val="auto"/>
                      <w:sz w:val="18"/>
                      <w:szCs w:val="18"/>
                    </w:rPr>
                    <w:t xml:space="preserve"> 0.01</w:t>
                  </w:r>
                  <w:r>
                    <w:rPr>
                      <w:rFonts w:hint="eastAsia"/>
                      <w:b/>
                      <w:bCs/>
                      <w:color w:val="auto"/>
                      <w:sz w:val="18"/>
                      <w:szCs w:val="18"/>
                      <w:lang w:val="en-US" w:eastAsia="zh-CN"/>
                    </w:rPr>
                    <w:t>47</w:t>
                  </w:r>
                  <w:r>
                    <w:rPr>
                      <w:rFonts w:hint="eastAsia"/>
                      <w:b/>
                      <w:bCs/>
                      <w:color w:val="auto"/>
                      <w:sz w:val="18"/>
                      <w:szCs w:val="18"/>
                    </w:rPr>
                    <w:t>t/a</w:t>
                  </w:r>
                  <w:r>
                    <w:rPr>
                      <w:b/>
                      <w:bCs/>
                      <w:color w:val="auto"/>
                      <w:sz w:val="18"/>
                      <w:szCs w:val="18"/>
                    </w:rPr>
                    <w:t>、氨氮排放总量</w:t>
                  </w:r>
                  <w:r>
                    <w:rPr>
                      <w:rFonts w:hint="eastAsia"/>
                      <w:b/>
                      <w:bCs/>
                      <w:color w:val="auto"/>
                      <w:sz w:val="18"/>
                      <w:szCs w:val="18"/>
                    </w:rPr>
                    <w:t xml:space="preserve"> 0.00</w:t>
                  </w:r>
                  <w:r>
                    <w:rPr>
                      <w:rFonts w:hint="eastAsia"/>
                      <w:b/>
                      <w:bCs/>
                      <w:color w:val="auto"/>
                      <w:sz w:val="18"/>
                      <w:szCs w:val="18"/>
                      <w:lang w:val="en-US" w:eastAsia="zh-CN"/>
                    </w:rPr>
                    <w:t>44</w:t>
                  </w:r>
                  <w:r>
                    <w:rPr>
                      <w:rFonts w:hint="eastAsia"/>
                      <w:b/>
                      <w:bCs/>
                      <w:color w:val="auto"/>
                      <w:sz w:val="18"/>
                      <w:szCs w:val="18"/>
                    </w:rPr>
                    <w:t>t/a</w:t>
                  </w:r>
                  <w:r>
                    <w:rPr>
                      <w:rFonts w:hint="eastAsia"/>
                      <w:color w:val="auto"/>
                      <w:sz w:val="18"/>
                      <w:szCs w:val="18"/>
                    </w:rPr>
                    <w:t>均小于“明环 (2019) 33 号”规定的排放量，符合</w:t>
                  </w:r>
                  <w:r>
                    <w:rPr>
                      <w:rFonts w:hint="eastAsia"/>
                      <w:b/>
                      <w:bCs/>
                      <w:color w:val="auto"/>
                      <w:sz w:val="18"/>
                      <w:szCs w:val="18"/>
                    </w:rPr>
                    <w:t>豁免</w:t>
                  </w:r>
                  <w:r>
                    <w:rPr>
                      <w:rFonts w:hint="eastAsia"/>
                      <w:color w:val="auto"/>
                      <w:sz w:val="18"/>
                      <w:szCs w:val="18"/>
                    </w:rPr>
                    <w:t>要求，可豁免购买排污权及来源确认</w:t>
                  </w:r>
                  <w:r>
                    <w:rPr>
                      <w:color w:val="auto"/>
                      <w:sz w:val="18"/>
                      <w:szCs w:val="18"/>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231" w:hRule="atLeast"/>
                <w:jc w:val="center"/>
              </w:trPr>
              <w:tc>
                <w:tcPr>
                  <w:tcW w:w="948" w:type="dxa"/>
                  <w:vMerge w:val="continue"/>
                  <w:tcBorders>
                    <w:right w:val="single" w:color="auto" w:sz="4" w:space="0"/>
                  </w:tcBorders>
                  <w:tcMar>
                    <w:left w:w="0" w:type="dxa"/>
                    <w:right w:w="0" w:type="dxa"/>
                  </w:tcMar>
                  <w:vAlign w:val="center"/>
                </w:tcPr>
                <w:p>
                  <w:pPr>
                    <w:adjustRightInd w:val="0"/>
                    <w:spacing w:line="288" w:lineRule="auto"/>
                    <w:ind w:right="105" w:rightChars="50" w:firstLine="420" w:firstLineChars="200"/>
                    <w:rPr>
                      <w:color w:val="auto"/>
                    </w:rPr>
                  </w:pPr>
                </w:p>
              </w:tc>
              <w:tc>
                <w:tcPr>
                  <w:tcW w:w="835" w:type="dxa"/>
                  <w:vMerge w:val="continue"/>
                  <w:tcBorders>
                    <w:right w:val="single" w:color="auto" w:sz="4" w:space="0"/>
                  </w:tcBorders>
                  <w:tcMar>
                    <w:left w:w="0" w:type="dxa"/>
                    <w:right w:w="0" w:type="dxa"/>
                  </w:tcMar>
                  <w:vAlign w:val="center"/>
                </w:tcPr>
                <w:p>
                  <w:pPr>
                    <w:adjustRightInd w:val="0"/>
                    <w:spacing w:line="288" w:lineRule="auto"/>
                    <w:ind w:right="105" w:rightChars="50" w:firstLine="420" w:firstLineChars="200"/>
                    <w:rPr>
                      <w:color w:val="auto"/>
                    </w:rPr>
                  </w:pPr>
                </w:p>
              </w:tc>
              <w:tc>
                <w:tcPr>
                  <w:tcW w:w="3883" w:type="dxa"/>
                  <w:tcBorders>
                    <w:right w:val="single" w:color="auto" w:sz="4" w:space="0"/>
                  </w:tcBorders>
                  <w:vAlign w:val="center"/>
                </w:tcPr>
                <w:p>
                  <w:pPr>
                    <w:adjustRightInd w:val="0"/>
                    <w:spacing w:line="288" w:lineRule="auto"/>
                    <w:ind w:right="105" w:rightChars="50" w:firstLine="360" w:firstLineChars="200"/>
                    <w:rPr>
                      <w:color w:val="auto"/>
                      <w:sz w:val="18"/>
                      <w:szCs w:val="18"/>
                    </w:rPr>
                  </w:pPr>
                  <w:r>
                    <w:rPr>
                      <w:color w:val="auto"/>
                      <w:sz w:val="18"/>
                      <w:szCs w:val="18"/>
                    </w:rPr>
                    <w:t>新建涉VOCs项目，VOCs排放按照福建省相关政策要求落实。</w:t>
                  </w:r>
                </w:p>
              </w:tc>
              <w:tc>
                <w:tcPr>
                  <w:tcW w:w="6957" w:type="dxa"/>
                  <w:tcBorders>
                    <w:left w:val="single" w:color="auto" w:sz="4" w:space="0"/>
                  </w:tcBorders>
                  <w:vAlign w:val="center"/>
                </w:tcPr>
                <w:p>
                  <w:pPr>
                    <w:adjustRightInd w:val="0"/>
                    <w:spacing w:line="288" w:lineRule="auto"/>
                    <w:ind w:right="105" w:rightChars="50" w:firstLine="360" w:firstLineChars="200"/>
                    <w:rPr>
                      <w:color w:val="auto"/>
                      <w:sz w:val="18"/>
                      <w:szCs w:val="18"/>
                    </w:rPr>
                  </w:pPr>
                  <w:r>
                    <w:rPr>
                      <w:rFonts w:hint="eastAsia"/>
                      <w:color w:val="auto"/>
                      <w:sz w:val="18"/>
                      <w:szCs w:val="18"/>
                    </w:rPr>
                    <w:t>本扩建</w:t>
                  </w:r>
                  <w:r>
                    <w:rPr>
                      <w:color w:val="auto"/>
                      <w:sz w:val="18"/>
                      <w:szCs w:val="18"/>
                    </w:rPr>
                    <w:t>项目</w:t>
                  </w:r>
                  <w:r>
                    <w:rPr>
                      <w:rFonts w:hint="eastAsia"/>
                      <w:color w:val="auto"/>
                      <w:sz w:val="18"/>
                      <w:szCs w:val="18"/>
                    </w:rPr>
                    <w:t>建成后</w:t>
                  </w:r>
                  <w:r>
                    <w:rPr>
                      <w:rFonts w:hint="eastAsia"/>
                      <w:b/>
                      <w:bCs/>
                      <w:color w:val="auto"/>
                      <w:sz w:val="18"/>
                      <w:szCs w:val="18"/>
                      <w:lang w:val="en-US" w:eastAsia="zh-CN"/>
                    </w:rPr>
                    <w:t>新增</w:t>
                  </w:r>
                  <w:r>
                    <w:rPr>
                      <w:color w:val="auto"/>
                      <w:sz w:val="18"/>
                      <w:szCs w:val="18"/>
                    </w:rPr>
                    <w:t>非甲烷总烃</w:t>
                  </w:r>
                  <w:r>
                    <w:rPr>
                      <w:rFonts w:hint="eastAsia"/>
                      <w:color w:val="auto"/>
                      <w:sz w:val="18"/>
                      <w:szCs w:val="18"/>
                    </w:rPr>
                    <w:t>7.5</w:t>
                  </w:r>
                  <w:r>
                    <w:rPr>
                      <w:rFonts w:hint="eastAsia"/>
                      <w:color w:val="auto"/>
                      <w:sz w:val="18"/>
                      <w:szCs w:val="18"/>
                      <w:lang w:val="en-US" w:eastAsia="zh-CN"/>
                    </w:rPr>
                    <w:t>6</w:t>
                  </w:r>
                  <w:r>
                    <w:rPr>
                      <w:rFonts w:hint="eastAsia"/>
                      <w:color w:val="auto"/>
                      <w:sz w:val="18"/>
                      <w:szCs w:val="18"/>
                    </w:rPr>
                    <w:t>t/a</w:t>
                  </w:r>
                  <w:r>
                    <w:rPr>
                      <w:color w:val="auto"/>
                      <w:sz w:val="18"/>
                      <w:szCs w:val="18"/>
                    </w:rPr>
                    <w:t>，</w:t>
                  </w:r>
                  <w:r>
                    <w:rPr>
                      <w:rFonts w:hint="eastAsia"/>
                      <w:color w:val="auto"/>
                      <w:sz w:val="18"/>
                      <w:szCs w:val="18"/>
                    </w:rPr>
                    <w:t>其中有组织排放量1.9</w:t>
                  </w:r>
                  <w:r>
                    <w:rPr>
                      <w:rFonts w:hint="eastAsia"/>
                      <w:color w:val="auto"/>
                      <w:sz w:val="18"/>
                      <w:szCs w:val="18"/>
                      <w:lang w:val="en-US" w:eastAsia="zh-CN"/>
                    </w:rPr>
                    <w:t>6</w:t>
                  </w:r>
                  <w:r>
                    <w:rPr>
                      <w:rFonts w:hint="eastAsia"/>
                      <w:color w:val="auto"/>
                      <w:sz w:val="18"/>
                      <w:szCs w:val="18"/>
                    </w:rPr>
                    <w:t>t/a，无组织排放量5.6t/a，需向生态环境行政主管部门申请调剂指标1.9</w:t>
                  </w:r>
                  <w:r>
                    <w:rPr>
                      <w:rFonts w:hint="eastAsia"/>
                      <w:color w:val="auto"/>
                      <w:sz w:val="18"/>
                      <w:szCs w:val="18"/>
                      <w:lang w:val="en-US" w:eastAsia="zh-CN"/>
                    </w:rPr>
                    <w:t>6</w:t>
                  </w:r>
                  <w:r>
                    <w:rPr>
                      <w:rFonts w:hint="eastAsia"/>
                      <w:color w:val="auto"/>
                      <w:sz w:val="18"/>
                      <w:szCs w:val="18"/>
                    </w:rPr>
                    <w:t>t/a</w:t>
                  </w:r>
                  <w:r>
                    <w:rPr>
                      <w:color w:val="auto"/>
                      <w:sz w:val="18"/>
                      <w:szCs w:val="18"/>
                    </w:rPr>
                    <w:t>。符合污染物排放管控要求。</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948" w:type="dxa"/>
                  <w:vMerge w:val="continue"/>
                  <w:tcBorders>
                    <w:right w:val="single" w:color="auto" w:sz="4" w:space="0"/>
                  </w:tcBorders>
                  <w:tcMar>
                    <w:left w:w="0" w:type="dxa"/>
                    <w:right w:w="0" w:type="dxa"/>
                  </w:tcMar>
                  <w:vAlign w:val="center"/>
                </w:tcPr>
                <w:p>
                  <w:pPr>
                    <w:pStyle w:val="27"/>
                    <w:rPr>
                      <w:color w:val="auto"/>
                      <w:sz w:val="18"/>
                      <w:szCs w:val="18"/>
                    </w:rPr>
                  </w:pPr>
                </w:p>
              </w:tc>
              <w:tc>
                <w:tcPr>
                  <w:tcW w:w="835" w:type="dxa"/>
                  <w:tcBorders>
                    <w:right w:val="single" w:color="auto" w:sz="4" w:space="0"/>
                  </w:tcBorders>
                  <w:tcMar>
                    <w:left w:w="0" w:type="dxa"/>
                    <w:right w:w="0" w:type="dxa"/>
                  </w:tcMar>
                  <w:vAlign w:val="center"/>
                </w:tcPr>
                <w:p>
                  <w:pPr>
                    <w:pStyle w:val="27"/>
                    <w:rPr>
                      <w:color w:val="auto"/>
                      <w:sz w:val="18"/>
                      <w:szCs w:val="18"/>
                    </w:rPr>
                  </w:pPr>
                  <w:r>
                    <w:rPr>
                      <w:color w:val="auto"/>
                      <w:sz w:val="18"/>
                      <w:szCs w:val="18"/>
                    </w:rPr>
                    <w:t>环境风险防控</w:t>
                  </w:r>
                </w:p>
              </w:tc>
              <w:tc>
                <w:tcPr>
                  <w:tcW w:w="3883" w:type="dxa"/>
                  <w:tcBorders>
                    <w:right w:val="single" w:color="auto" w:sz="4" w:space="0"/>
                  </w:tcBorders>
                  <w:vAlign w:val="center"/>
                </w:tcPr>
                <w:p>
                  <w:pPr>
                    <w:adjustRightInd w:val="0"/>
                    <w:spacing w:line="288" w:lineRule="auto"/>
                    <w:ind w:right="105" w:rightChars="50" w:firstLine="360" w:firstLineChars="200"/>
                    <w:rPr>
                      <w:color w:val="auto"/>
                      <w:sz w:val="18"/>
                      <w:szCs w:val="18"/>
                    </w:rPr>
                  </w:pPr>
                  <w:r>
                    <w:rPr>
                      <w:color w:val="auto"/>
                      <w:sz w:val="18"/>
                      <w:szCs w:val="18"/>
                    </w:rPr>
                    <w:t>土壤污染重点监管单位拆除设施、设备或者建筑物、构筑物的，应当制定包括应急措施在内的土壤污染防治工作方案，报地方人民政府生态环境、工业和信息化主管部门备案并实施；土壤污染重点监管单位生产经营用地的用途变更或者在其土地使用权收回、转让前，应当由土地使用权人按照规定进行土壤污染状况调查；土壤污染责任人负责实施土壤污染风险管控和修复。</w:t>
                  </w:r>
                </w:p>
              </w:tc>
              <w:tc>
                <w:tcPr>
                  <w:tcW w:w="6957" w:type="dxa"/>
                  <w:tcBorders>
                    <w:left w:val="single" w:color="auto" w:sz="4" w:space="0"/>
                  </w:tcBorders>
                  <w:vAlign w:val="center"/>
                </w:tcPr>
                <w:p>
                  <w:pPr>
                    <w:adjustRightInd w:val="0"/>
                    <w:spacing w:line="288" w:lineRule="auto"/>
                    <w:ind w:right="105" w:rightChars="50" w:firstLine="360" w:firstLineChars="200"/>
                    <w:rPr>
                      <w:color w:val="auto"/>
                      <w:sz w:val="18"/>
                      <w:szCs w:val="18"/>
                    </w:rPr>
                  </w:pPr>
                  <w:r>
                    <w:rPr>
                      <w:color w:val="auto"/>
                      <w:sz w:val="18"/>
                      <w:szCs w:val="18"/>
                    </w:rPr>
                    <w:t>企业属土壤污染重点排污单位，企业运营以来，未对区域内土壤和地下水造成污染。项目</w:t>
                  </w:r>
                  <w:r>
                    <w:rPr>
                      <w:rFonts w:hint="eastAsia"/>
                      <w:color w:val="auto"/>
                      <w:sz w:val="18"/>
                      <w:szCs w:val="18"/>
                      <w:lang w:val="en-US" w:eastAsia="zh-CN"/>
                    </w:rPr>
                    <w:t>所在</w:t>
                  </w:r>
                  <w:r>
                    <w:rPr>
                      <w:color w:val="auto"/>
                      <w:sz w:val="18"/>
                      <w:szCs w:val="18"/>
                    </w:rPr>
                    <w:t>一厂区定期开展土壤、地下水环境监测工作</w:t>
                  </w:r>
                  <w:r>
                    <w:rPr>
                      <w:rFonts w:hint="eastAsia"/>
                      <w:color w:val="auto"/>
                      <w:sz w:val="18"/>
                      <w:szCs w:val="18"/>
                      <w:lang w:eastAsia="zh-CN"/>
                    </w:rPr>
                    <w:t>，</w:t>
                  </w:r>
                  <w:r>
                    <w:rPr>
                      <w:rFonts w:hint="eastAsia"/>
                      <w:color w:val="auto"/>
                      <w:sz w:val="18"/>
                      <w:szCs w:val="18"/>
                    </w:rPr>
                    <w:t>一厂区土壤和地下水未见异常</w:t>
                  </w:r>
                  <w:r>
                    <w:rPr>
                      <w:color w:val="auto"/>
                      <w:sz w:val="18"/>
                      <w:szCs w:val="18"/>
                    </w:rPr>
                    <w:t>；生产用地用途</w:t>
                  </w:r>
                  <w:r>
                    <w:rPr>
                      <w:rFonts w:hint="eastAsia"/>
                      <w:color w:val="auto"/>
                      <w:sz w:val="18"/>
                      <w:szCs w:val="18"/>
                      <w:lang w:val="en-US" w:eastAsia="zh-CN"/>
                    </w:rPr>
                    <w:t>不涉及变更</w:t>
                  </w:r>
                  <w:r>
                    <w:rPr>
                      <w:color w:val="auto"/>
                      <w:sz w:val="18"/>
                      <w:szCs w:val="18"/>
                    </w:rPr>
                    <w:t>；符合环境风险防控要求。</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948" w:type="dxa"/>
                  <w:vMerge w:val="continue"/>
                  <w:tcBorders>
                    <w:right w:val="single" w:color="auto" w:sz="4" w:space="0"/>
                  </w:tcBorders>
                  <w:tcMar>
                    <w:left w:w="0" w:type="dxa"/>
                    <w:right w:w="0" w:type="dxa"/>
                  </w:tcMar>
                  <w:vAlign w:val="center"/>
                </w:tcPr>
                <w:p>
                  <w:pPr>
                    <w:pStyle w:val="27"/>
                    <w:rPr>
                      <w:color w:val="auto"/>
                      <w:sz w:val="18"/>
                      <w:szCs w:val="18"/>
                    </w:rPr>
                  </w:pPr>
                </w:p>
              </w:tc>
              <w:tc>
                <w:tcPr>
                  <w:tcW w:w="835" w:type="dxa"/>
                  <w:tcBorders>
                    <w:right w:val="single" w:color="auto" w:sz="4" w:space="0"/>
                  </w:tcBorders>
                  <w:tcMar>
                    <w:left w:w="0" w:type="dxa"/>
                    <w:right w:w="0" w:type="dxa"/>
                  </w:tcMar>
                  <w:vAlign w:val="center"/>
                </w:tcPr>
                <w:p>
                  <w:pPr>
                    <w:pStyle w:val="27"/>
                    <w:rPr>
                      <w:color w:val="auto"/>
                      <w:sz w:val="18"/>
                      <w:szCs w:val="18"/>
                    </w:rPr>
                  </w:pPr>
                  <w:r>
                    <w:rPr>
                      <w:color w:val="auto"/>
                      <w:sz w:val="18"/>
                      <w:szCs w:val="18"/>
                    </w:rPr>
                    <w:t>资源开发效率要求</w:t>
                  </w:r>
                </w:p>
              </w:tc>
              <w:tc>
                <w:tcPr>
                  <w:tcW w:w="3883" w:type="dxa"/>
                  <w:tcBorders>
                    <w:right w:val="single" w:color="auto" w:sz="4" w:space="0"/>
                  </w:tcBorders>
                  <w:vAlign w:val="center"/>
                </w:tcPr>
                <w:p>
                  <w:pPr>
                    <w:adjustRightInd w:val="0"/>
                    <w:spacing w:line="288" w:lineRule="auto"/>
                    <w:ind w:right="105" w:rightChars="50" w:firstLine="360" w:firstLineChars="200"/>
                    <w:rPr>
                      <w:color w:val="auto"/>
                      <w:sz w:val="18"/>
                      <w:szCs w:val="18"/>
                    </w:rPr>
                  </w:pPr>
                  <w:r>
                    <w:rPr>
                      <w:color w:val="auto"/>
                      <w:sz w:val="18"/>
                      <w:szCs w:val="18"/>
                    </w:rPr>
                    <w:t>高污染燃料禁燃区内禁止燃用高污染燃料，禁止新建、扩建燃用高污染燃料的设施。现有使用高污染燃料的设施，限期改用清洁能源；现有使用生物质燃料的设施，限期改为专用锅炉并配置高效除尘设施。</w:t>
                  </w:r>
                </w:p>
              </w:tc>
              <w:tc>
                <w:tcPr>
                  <w:tcW w:w="6957" w:type="dxa"/>
                  <w:tcBorders>
                    <w:left w:val="single" w:color="auto" w:sz="4" w:space="0"/>
                  </w:tcBorders>
                  <w:vAlign w:val="center"/>
                </w:tcPr>
                <w:p>
                  <w:pPr>
                    <w:adjustRightInd w:val="0"/>
                    <w:spacing w:line="288" w:lineRule="auto"/>
                    <w:ind w:right="105" w:rightChars="50" w:firstLine="360" w:firstLineChars="200"/>
                    <w:rPr>
                      <w:color w:val="auto"/>
                      <w:sz w:val="18"/>
                      <w:szCs w:val="18"/>
                    </w:rPr>
                  </w:pPr>
                  <w:r>
                    <w:rPr>
                      <w:color w:val="auto"/>
                      <w:sz w:val="18"/>
                      <w:szCs w:val="18"/>
                      <w:highlight w:val="none"/>
                    </w:rPr>
                    <w:t>项目设备主要使用电能，</w:t>
                  </w:r>
                  <w:r>
                    <w:rPr>
                      <w:rFonts w:hint="eastAsia"/>
                      <w:color w:val="auto"/>
                      <w:sz w:val="18"/>
                      <w:szCs w:val="18"/>
                      <w:highlight w:val="none"/>
                      <w:lang w:val="en-US" w:eastAsia="zh-CN"/>
                    </w:rPr>
                    <w:t>供热使用锅炉富余蒸汽，</w:t>
                  </w:r>
                  <w:r>
                    <w:rPr>
                      <w:color w:val="auto"/>
                      <w:sz w:val="18"/>
                      <w:szCs w:val="18"/>
                      <w:highlight w:val="none"/>
                    </w:rPr>
                    <w:t>不涉及燃料使用，</w:t>
                  </w:r>
                  <w:r>
                    <w:rPr>
                      <w:rFonts w:hint="eastAsia"/>
                      <w:color w:val="auto"/>
                      <w:sz w:val="18"/>
                      <w:szCs w:val="18"/>
                      <w:highlight w:val="none"/>
                    </w:rPr>
                    <w:t>项目的能源消耗量与能源结构均较为合理，符合行业用能特点，不属于“两高”项目</w:t>
                  </w:r>
                  <w:r>
                    <w:rPr>
                      <w:rFonts w:hint="eastAsia"/>
                      <w:color w:val="auto"/>
                      <w:sz w:val="18"/>
                      <w:szCs w:val="18"/>
                      <w:highlight w:val="none"/>
                      <w:lang w:eastAsia="zh-CN"/>
                    </w:rPr>
                    <w:t>，</w:t>
                  </w:r>
                  <w:r>
                    <w:rPr>
                      <w:color w:val="auto"/>
                      <w:sz w:val="18"/>
                      <w:szCs w:val="18"/>
                      <w:highlight w:val="none"/>
                    </w:rPr>
                    <w:t>符合要求。</w:t>
                  </w:r>
                </w:p>
              </w:tc>
            </w:tr>
          </w:tbl>
          <w:p>
            <w:pPr>
              <w:spacing w:line="360" w:lineRule="auto"/>
              <w:ind w:firstLine="420" w:firstLineChars="200"/>
              <w:rPr>
                <w:rFonts w:ascii="Times New Roman" w:hAnsi="Times New Roman" w:eastAsia="宋体" w:cs="Times New Roman"/>
                <w:kern w:val="0"/>
                <w:szCs w:val="21"/>
                <w:lang w:val="en-GB"/>
              </w:rPr>
            </w:pPr>
            <w:r>
              <w:rPr>
                <w:rFonts w:ascii="Times New Roman" w:hAnsi="Times New Roman" w:eastAsia="宋体" w:cs="Times New Roman"/>
                <w:kern w:val="0"/>
                <w:szCs w:val="21"/>
              </w:rPr>
              <w:t>综上，</w:t>
            </w:r>
            <w:r>
              <w:rPr>
                <w:rFonts w:hint="eastAsia" w:ascii="Times New Roman" w:hAnsi="Times New Roman" w:eastAsia="宋体" w:cs="Times New Roman"/>
                <w:kern w:val="0"/>
                <w:szCs w:val="21"/>
              </w:rPr>
              <w:t>从空间布局、污染管控、风险管控及资源开发四个维度对比分析，</w:t>
            </w:r>
            <w:r>
              <w:rPr>
                <w:rFonts w:ascii="Times New Roman" w:hAnsi="Times New Roman" w:eastAsia="宋体" w:cs="Times New Roman"/>
                <w:kern w:val="0"/>
                <w:szCs w:val="21"/>
              </w:rPr>
              <w:t>本项目符合</w:t>
            </w:r>
            <w:r>
              <w:rPr>
                <w:rFonts w:hint="eastAsia" w:ascii="Times New Roman" w:hAnsi="Times New Roman" w:eastAsia="宋体" w:cs="Times New Roman"/>
                <w:kern w:val="0"/>
                <w:szCs w:val="21"/>
              </w:rPr>
              <w:t>《三明市生态环境分区管控方案》及动态更新成果</w:t>
            </w:r>
            <w:r>
              <w:rPr>
                <w:rFonts w:ascii="Times New Roman" w:hAnsi="Times New Roman" w:eastAsia="宋体" w:cs="Times New Roman"/>
                <w:kern w:val="0"/>
                <w:szCs w:val="21"/>
              </w:rPr>
              <w:t>规定的可准入条件，项目不含禁止准入生产工艺，</w:t>
            </w:r>
            <w:r>
              <w:rPr>
                <w:rFonts w:hint="eastAsia" w:ascii="Times New Roman" w:hAnsi="Times New Roman" w:eastAsia="宋体" w:cs="Times New Roman"/>
                <w:kern w:val="0"/>
                <w:szCs w:val="21"/>
              </w:rPr>
              <w:t>污染物经处理后</w:t>
            </w:r>
            <w:r>
              <w:rPr>
                <w:rFonts w:ascii="Times New Roman" w:hAnsi="Times New Roman" w:eastAsia="宋体" w:cs="Times New Roman"/>
                <w:kern w:val="0"/>
                <w:szCs w:val="21"/>
              </w:rPr>
              <w:t>对四周环境基本无影响，因此本项目符合清单准入要求。</w:t>
            </w:r>
          </w:p>
          <w:p>
            <w:pPr>
              <w:adjustRightInd w:val="0"/>
              <w:snapToGrid w:val="0"/>
              <w:spacing w:line="360" w:lineRule="auto"/>
              <w:ind w:firstLine="600" w:firstLineChars="200"/>
              <w:rPr>
                <w:rFonts w:ascii="Times New Roman" w:hAnsi="Times New Roman" w:eastAsia="黑体"/>
                <w:snapToGrid w:val="0"/>
                <w:sz w:val="30"/>
                <w:szCs w:val="30"/>
                <w:vertAlign w:val="baseline"/>
              </w:rPr>
            </w:pPr>
          </w:p>
        </w:tc>
      </w:tr>
    </w:tbl>
    <w:p>
      <w:pPr>
        <w:pStyle w:val="15"/>
        <w:jc w:val="center"/>
        <w:outlineLvl w:val="0"/>
        <w:rPr>
          <w:rFonts w:ascii="Times New Roman" w:hAnsi="Times New Roman" w:eastAsia="黑体"/>
          <w:snapToGrid w:val="0"/>
          <w:sz w:val="30"/>
          <w:szCs w:val="30"/>
        </w:rPr>
        <w:sectPr>
          <w:pgSz w:w="16838" w:h="11906" w:orient="landscape"/>
          <w:pgMar w:top="1134" w:right="1134" w:bottom="1134" w:left="1134"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15"/>
        <w:jc w:val="center"/>
        <w:outlineLvl w:val="0"/>
        <w:rPr>
          <w:rFonts w:ascii="Times New Roman" w:hAnsi="Times New Roman" w:eastAsia="黑体"/>
          <w:snapToGrid w:val="0"/>
          <w:sz w:val="30"/>
          <w:szCs w:val="30"/>
        </w:rPr>
      </w:pPr>
      <w:bookmarkStart w:id="13" w:name="_Toc16150"/>
      <w:r>
        <w:rPr>
          <w:rFonts w:ascii="Times New Roman" w:hAnsi="Times New Roman" w:eastAsia="黑体"/>
          <w:snapToGrid w:val="0"/>
          <w:sz w:val="30"/>
          <w:szCs w:val="30"/>
        </w:rPr>
        <w:t>二、建设项目工程分析</w:t>
      </w:r>
      <w:bookmarkEnd w:id="13"/>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8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3" w:hRule="atLeast"/>
        </w:trPr>
        <w:tc>
          <w:tcPr>
            <w:tcW w:w="416" w:type="dxa"/>
            <w:vAlign w:val="center"/>
          </w:tcPr>
          <w:p>
            <w:pPr>
              <w:pStyle w:val="15"/>
              <w:adjustRightInd w:val="0"/>
              <w:snapToGrid w:val="0"/>
              <w:spacing w:before="0" w:beforeAutospacing="0" w:after="0" w:afterAutospacing="0"/>
              <w:jc w:val="center"/>
              <w:rPr>
                <w:color w:val="auto"/>
              </w:rPr>
            </w:pPr>
            <w:r>
              <w:rPr>
                <w:rFonts w:ascii="Times New Roman" w:hAnsi="Times New Roman"/>
                <w:color w:val="auto"/>
                <w:sz w:val="21"/>
                <w:szCs w:val="21"/>
              </w:rPr>
              <w:t>建设内容</w:t>
            </w:r>
          </w:p>
        </w:tc>
        <w:tc>
          <w:tcPr>
            <w:tcW w:w="8106" w:type="dxa"/>
          </w:tcPr>
          <w:p>
            <w:pPr>
              <w:pageBreakBefore/>
              <w:spacing w:line="360" w:lineRule="auto"/>
              <w:outlineLvl w:val="1"/>
              <w:rPr>
                <w:b/>
                <w:color w:val="auto"/>
                <w:szCs w:val="21"/>
              </w:rPr>
            </w:pPr>
            <w:bookmarkStart w:id="14" w:name="_Toc2480"/>
            <w:bookmarkStart w:id="15" w:name="_Toc11582"/>
            <w:bookmarkStart w:id="16" w:name="_Toc18320"/>
            <w:bookmarkStart w:id="17" w:name="_Toc23974"/>
            <w:bookmarkStart w:id="18" w:name="_Toc22244"/>
            <w:bookmarkStart w:id="19" w:name="_Toc1313"/>
            <w:r>
              <w:rPr>
                <w:b/>
                <w:color w:val="auto"/>
                <w:szCs w:val="21"/>
              </w:rPr>
              <w:t>2.1项目由来</w:t>
            </w:r>
            <w:bookmarkEnd w:id="14"/>
            <w:bookmarkEnd w:id="15"/>
            <w:bookmarkEnd w:id="16"/>
            <w:bookmarkEnd w:id="17"/>
            <w:bookmarkEnd w:id="18"/>
            <w:bookmarkEnd w:id="19"/>
          </w:p>
          <w:p>
            <w:pPr>
              <w:pStyle w:val="35"/>
              <w:ind w:firstLine="42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rPr>
              <w:t>三明市海斯福化工有限责任公司（简称海斯福）成立于2007年，位于福建省明溪县，系深圳新宙邦科技股份有限公司全资子公司，是一家致力于研究、开发、生产含氟功能产品的民营科技企业。海斯福在明溪县现有三个厂区，一厂、二厂位于明溪县经济开发区D区1号</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rPr>
              <w:t>一厂</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lang w:val="en-US" w:eastAsia="zh-CN"/>
              </w:rPr>
              <w:t>本项目位置</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lang w:val="en-US" w:eastAsia="zh-CN"/>
              </w:rPr>
              <w:t>不属于</w:t>
            </w:r>
            <w:r>
              <w:rPr>
                <w:rFonts w:hint="eastAsia" w:ascii="Times New Roman" w:hAnsi="Times New Roman" w:eastAsia="宋体" w:cs="Times New Roman"/>
                <w:color w:val="auto"/>
                <w:sz w:val="21"/>
                <w:szCs w:val="21"/>
              </w:rPr>
              <w:t>化工园区，二厂位于化工园区内，三厂位于明溪县经济开发区D区29号（化工园区内）。</w:t>
            </w:r>
            <w:r>
              <w:rPr>
                <w:rFonts w:hint="eastAsia" w:ascii="Times New Roman" w:hAnsi="Times New Roman" w:eastAsia="宋体" w:cs="Times New Roman"/>
                <w:color w:val="auto"/>
                <w:sz w:val="21"/>
                <w:szCs w:val="21"/>
                <w:lang w:val="en-US" w:eastAsia="zh-CN"/>
              </w:rPr>
              <w:t>具体位置及三个厂区位置关系图见附图1。</w:t>
            </w:r>
          </w:p>
          <w:p>
            <w:pPr>
              <w:pStyle w:val="35"/>
              <w:ind w:firstLine="420"/>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海斯福现一二厂和三厂的排污许可证已分开申领，本次扩建在</w:t>
            </w:r>
            <w:r>
              <w:rPr>
                <w:rFonts w:hint="eastAsia" w:ascii="Times New Roman" w:hAnsi="Times New Roman" w:eastAsia="宋体" w:cs="Times New Roman"/>
                <w:color w:val="auto"/>
                <w:sz w:val="21"/>
                <w:szCs w:val="21"/>
                <w:lang w:val="en-US" w:eastAsia="zh-CN"/>
              </w:rPr>
              <w:t>不位于化工园区内的</w:t>
            </w:r>
            <w:r>
              <w:rPr>
                <w:rFonts w:hint="eastAsia" w:ascii="Times New Roman" w:hAnsi="Times New Roman" w:eastAsia="宋体" w:cs="Times New Roman"/>
                <w:color w:val="auto"/>
                <w:sz w:val="21"/>
                <w:szCs w:val="21"/>
              </w:rPr>
              <w:t>一厂区，本次评价仅对一二厂相关情况进行回顾。</w:t>
            </w:r>
          </w:p>
          <w:p>
            <w:pPr>
              <w:pStyle w:val="35"/>
              <w:ind w:firstLine="420"/>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随着市场对该薄膜需求的持续走热，以及三明市海斯福化工有限责任公司拓展自身产品业务的发展需求，公司拟在现有一厂区内建设年产50吨功能性氟材料生产线，本次扩建需新建厂房，并新购置主要生产设备，现有工程不发生变动。据此，本次评价主要针对扩建的年产50吨功能性氟材料项目及其依托工程进行分析。</w:t>
            </w:r>
          </w:p>
          <w:p>
            <w:pPr>
              <w:pStyle w:val="35"/>
              <w:ind w:firstLine="420"/>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根据《建设项目环境影响评价分类管理名录》（2021年），本项目属于二十六、橡胶和塑料制品业29、塑料制品业292中“其他（年用非溶剂型低VOCs含量涂料10吨以下的除外）”，因此属于编制环境影响报告表。为此，建设单位于2026年</w:t>
            </w:r>
            <w:r>
              <w:rPr>
                <w:rFonts w:hint="eastAsia" w:ascii="Times New Roman" w:hAnsi="Times New Roman" w:eastAsia="宋体" w:cs="Times New Roman"/>
                <w:color w:val="auto"/>
                <w:kern w:val="2"/>
                <w:sz w:val="21"/>
                <w:szCs w:val="20"/>
                <w:lang w:val="en-US" w:eastAsia="zh-CN"/>
              </w:rPr>
              <w:t>3月</w:t>
            </w:r>
            <w:r>
              <w:rPr>
                <w:rFonts w:hint="eastAsia" w:ascii="Times New Roman" w:hAnsi="Times New Roman" w:eastAsia="宋体" w:cs="Times New Roman"/>
                <w:color w:val="auto"/>
                <w:sz w:val="21"/>
                <w:szCs w:val="21"/>
              </w:rPr>
              <w:t>委托三明市闽环国投环保有限公司承担本项目的环境影响评价工作（见附件</w:t>
            </w:r>
            <w:r>
              <w:rPr>
                <w:rFonts w:hint="eastAsia" w:ascii="Times New Roman" w:hAnsi="Times New Roman" w:eastAsia="宋体" w:cs="Times New Roman"/>
                <w:color w:val="auto"/>
                <w:sz w:val="21"/>
                <w:szCs w:val="21"/>
                <w:lang w:val="en-US" w:eastAsia="zh-CN"/>
              </w:rPr>
              <w:t>1</w:t>
            </w:r>
            <w:r>
              <w:rPr>
                <w:rFonts w:hint="eastAsia" w:ascii="Times New Roman" w:hAnsi="Times New Roman" w:eastAsia="宋体" w:cs="Times New Roman"/>
                <w:color w:val="auto"/>
                <w:sz w:val="21"/>
                <w:szCs w:val="21"/>
              </w:rPr>
              <w:t>：委托书）。接受委托后本单位立即派技术人员踏勘现场和收集有关资料，并依照相关环评技术规范编写环境影响报告表，供建设单位报生态环境部门审批。</w:t>
            </w:r>
          </w:p>
          <w:p>
            <w:pPr>
              <w:spacing w:before="194" w:beforeLines="50"/>
              <w:jc w:val="center"/>
              <w:outlineLvl w:val="5"/>
              <w:rPr>
                <w:rFonts w:hAnsi="宋体"/>
                <w:color w:val="auto"/>
                <w:sz w:val="21"/>
                <w:szCs w:val="21"/>
              </w:rPr>
            </w:pPr>
            <w:r>
              <w:rPr>
                <w:rFonts w:hint="eastAsia" w:eastAsia="宋体" w:cs="Times New Roman"/>
                <w:b/>
                <w:color w:val="auto"/>
                <w:spacing w:val="0"/>
                <w:sz w:val="21"/>
                <w:szCs w:val="21"/>
                <w:lang w:val="en-US" w:eastAsia="zh-CN"/>
              </w:rPr>
              <w:t>表2-1  建设项目环境影响评价分类管理目录</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71"/>
              <w:gridCol w:w="2249"/>
              <w:gridCol w:w="1958"/>
              <w:gridCol w:w="8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3031" w:type="dxa"/>
                  <w:tcBorders>
                    <w:tl2br w:val="nil"/>
                    <w:tr2bl w:val="nil"/>
                  </w:tcBorders>
                  <w:shd w:val="clear" w:color="auto" w:fill="auto"/>
                  <w:vAlign w:val="center"/>
                </w:tcPr>
                <w:p>
                  <w:pPr>
                    <w:adjustRightInd w:val="0"/>
                    <w:snapToGrid w:val="0"/>
                    <w:jc w:val="center"/>
                    <w:rPr>
                      <w:b/>
                      <w:color w:val="auto"/>
                      <w:sz w:val="18"/>
                      <w:szCs w:val="18"/>
                    </w:rPr>
                  </w:pPr>
                  <w:r>
                    <w:rPr>
                      <w:b/>
                      <w:color w:val="auto"/>
                      <w:sz w:val="18"/>
                      <w:szCs w:val="18"/>
                    </w:rPr>
                    <w:t>类别</w:t>
                  </w:r>
                </w:p>
              </w:tc>
              <w:tc>
                <w:tcPr>
                  <w:tcW w:w="2439" w:type="dxa"/>
                  <w:tcBorders>
                    <w:tl2br w:val="nil"/>
                    <w:tr2bl w:val="nil"/>
                  </w:tcBorders>
                  <w:shd w:val="clear" w:color="auto" w:fill="auto"/>
                  <w:vAlign w:val="center"/>
                </w:tcPr>
                <w:p>
                  <w:pPr>
                    <w:adjustRightInd w:val="0"/>
                    <w:snapToGrid w:val="0"/>
                    <w:jc w:val="center"/>
                    <w:rPr>
                      <w:b/>
                      <w:color w:val="auto"/>
                      <w:sz w:val="18"/>
                      <w:szCs w:val="18"/>
                    </w:rPr>
                  </w:pPr>
                  <w:r>
                    <w:rPr>
                      <w:b/>
                      <w:color w:val="auto"/>
                      <w:sz w:val="18"/>
                      <w:szCs w:val="18"/>
                    </w:rPr>
                    <w:t>报告书</w:t>
                  </w:r>
                </w:p>
              </w:tc>
              <w:tc>
                <w:tcPr>
                  <w:tcW w:w="2104" w:type="dxa"/>
                  <w:tcBorders>
                    <w:tl2br w:val="nil"/>
                    <w:tr2bl w:val="nil"/>
                  </w:tcBorders>
                  <w:shd w:val="clear" w:color="auto" w:fill="F1F1F1"/>
                  <w:vAlign w:val="center"/>
                </w:tcPr>
                <w:p>
                  <w:pPr>
                    <w:adjustRightInd w:val="0"/>
                    <w:snapToGrid w:val="0"/>
                    <w:jc w:val="center"/>
                    <w:rPr>
                      <w:b/>
                      <w:color w:val="auto"/>
                      <w:sz w:val="18"/>
                      <w:szCs w:val="18"/>
                    </w:rPr>
                  </w:pPr>
                  <w:r>
                    <w:rPr>
                      <w:b/>
                      <w:color w:val="auto"/>
                      <w:sz w:val="18"/>
                      <w:szCs w:val="18"/>
                    </w:rPr>
                    <w:t>报告表</w:t>
                  </w:r>
                </w:p>
              </w:tc>
              <w:tc>
                <w:tcPr>
                  <w:tcW w:w="948" w:type="dxa"/>
                  <w:tcBorders>
                    <w:tl2br w:val="nil"/>
                    <w:tr2bl w:val="nil"/>
                  </w:tcBorders>
                  <w:vAlign w:val="center"/>
                </w:tcPr>
                <w:p>
                  <w:pPr>
                    <w:adjustRightInd w:val="0"/>
                    <w:snapToGrid w:val="0"/>
                    <w:jc w:val="center"/>
                    <w:rPr>
                      <w:b/>
                      <w:color w:val="auto"/>
                      <w:sz w:val="18"/>
                      <w:szCs w:val="18"/>
                    </w:rPr>
                  </w:pPr>
                  <w:r>
                    <w:rPr>
                      <w:b/>
                      <w:color w:val="auto"/>
                      <w:sz w:val="18"/>
                      <w:szCs w:val="18"/>
                    </w:rPr>
                    <w:t>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8522" w:type="dxa"/>
                  <w:gridSpan w:val="4"/>
                  <w:tcBorders>
                    <w:tl2br w:val="nil"/>
                    <w:tr2bl w:val="nil"/>
                  </w:tcBorders>
                  <w:vAlign w:val="center"/>
                </w:tcPr>
                <w:p>
                  <w:pPr>
                    <w:jc w:val="left"/>
                    <w:rPr>
                      <w:color w:val="auto"/>
                      <w:kern w:val="0"/>
                      <w:sz w:val="18"/>
                      <w:szCs w:val="18"/>
                    </w:rPr>
                  </w:pPr>
                  <w:r>
                    <w:rPr>
                      <w:color w:val="auto"/>
                      <w:kern w:val="0"/>
                      <w:sz w:val="18"/>
                      <w:szCs w:val="18"/>
                    </w:rPr>
                    <w:t>二十六、橡胶和塑料制品业29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3031" w:type="dxa"/>
                  <w:tcBorders>
                    <w:tl2br w:val="nil"/>
                    <w:tr2bl w:val="nil"/>
                  </w:tcBorders>
                  <w:shd w:val="clear" w:color="auto" w:fill="auto"/>
                  <w:vAlign w:val="center"/>
                </w:tcPr>
                <w:p>
                  <w:pPr>
                    <w:adjustRightInd w:val="0"/>
                    <w:snapToGrid w:val="0"/>
                    <w:jc w:val="center"/>
                    <w:rPr>
                      <w:color w:val="auto"/>
                      <w:kern w:val="0"/>
                      <w:sz w:val="18"/>
                      <w:szCs w:val="18"/>
                    </w:rPr>
                  </w:pPr>
                  <w:r>
                    <w:rPr>
                      <w:color w:val="auto"/>
                      <w:kern w:val="0"/>
                      <w:sz w:val="18"/>
                      <w:szCs w:val="18"/>
                    </w:rPr>
                    <w:t>塑料制品业292</w:t>
                  </w:r>
                </w:p>
              </w:tc>
              <w:tc>
                <w:tcPr>
                  <w:tcW w:w="2439" w:type="dxa"/>
                  <w:tcBorders>
                    <w:tl2br w:val="nil"/>
                    <w:tr2bl w:val="nil"/>
                  </w:tcBorders>
                  <w:shd w:val="clear" w:color="auto" w:fill="auto"/>
                  <w:vAlign w:val="center"/>
                </w:tcPr>
                <w:p>
                  <w:pPr>
                    <w:adjustRightInd w:val="0"/>
                    <w:rPr>
                      <w:color w:val="auto"/>
                      <w:kern w:val="0"/>
                      <w:sz w:val="18"/>
                      <w:szCs w:val="18"/>
                    </w:rPr>
                  </w:pPr>
                  <w:r>
                    <w:rPr>
                      <w:color w:val="auto"/>
                      <w:kern w:val="0"/>
                      <w:sz w:val="18"/>
                      <w:szCs w:val="18"/>
                    </w:rPr>
                    <w:t>以再生塑料为原料生产的；有电镀工艺的；年用溶剂型胶粘剂10吨及以上的；年用溶剂型涂料（含稀释剂）10吨及以上的</w:t>
                  </w:r>
                </w:p>
              </w:tc>
              <w:tc>
                <w:tcPr>
                  <w:tcW w:w="2104" w:type="dxa"/>
                  <w:tcBorders>
                    <w:tl2br w:val="nil"/>
                    <w:tr2bl w:val="nil"/>
                  </w:tcBorders>
                  <w:shd w:val="clear" w:color="auto" w:fill="F1F1F1"/>
                  <w:vAlign w:val="center"/>
                </w:tcPr>
                <w:p>
                  <w:pPr>
                    <w:adjustRightInd w:val="0"/>
                    <w:jc w:val="center"/>
                    <w:rPr>
                      <w:b/>
                      <w:color w:val="auto"/>
                      <w:kern w:val="0"/>
                      <w:sz w:val="18"/>
                      <w:szCs w:val="18"/>
                      <w:u w:val="single"/>
                    </w:rPr>
                  </w:pPr>
                  <w:r>
                    <w:rPr>
                      <w:b/>
                      <w:color w:val="auto"/>
                      <w:kern w:val="0"/>
                      <w:sz w:val="18"/>
                      <w:szCs w:val="18"/>
                      <w:u w:val="single"/>
                    </w:rPr>
                    <w:t>其他</w:t>
                  </w:r>
                  <w:r>
                    <w:rPr>
                      <w:bCs/>
                      <w:color w:val="auto"/>
                      <w:kern w:val="0"/>
                      <w:sz w:val="18"/>
                      <w:szCs w:val="18"/>
                    </w:rPr>
                    <w:t>（年用非溶剂型低VOCs含量涂料10吨以下的除外）</w:t>
                  </w:r>
                </w:p>
              </w:tc>
              <w:tc>
                <w:tcPr>
                  <w:tcW w:w="948" w:type="dxa"/>
                  <w:tcBorders>
                    <w:tl2br w:val="nil"/>
                    <w:tr2bl w:val="nil"/>
                  </w:tcBorders>
                  <w:vAlign w:val="center"/>
                </w:tcPr>
                <w:p>
                  <w:pPr>
                    <w:jc w:val="center"/>
                    <w:rPr>
                      <w:color w:val="auto"/>
                      <w:kern w:val="0"/>
                      <w:sz w:val="18"/>
                      <w:szCs w:val="18"/>
                    </w:rPr>
                  </w:pPr>
                  <w:r>
                    <w:rPr>
                      <w:color w:val="auto"/>
                      <w:kern w:val="0"/>
                      <w:sz w:val="18"/>
                      <w:szCs w:val="18"/>
                    </w:rPr>
                    <w:t>/</w:t>
                  </w:r>
                </w:p>
              </w:tc>
            </w:tr>
          </w:tbl>
          <w:p>
            <w:pPr>
              <w:pageBreakBefore/>
              <w:spacing w:line="360" w:lineRule="auto"/>
              <w:outlineLvl w:val="1"/>
              <w:rPr>
                <w:b/>
                <w:color w:val="auto"/>
                <w:szCs w:val="21"/>
              </w:rPr>
            </w:pPr>
            <w:bookmarkStart w:id="20" w:name="_Toc14737"/>
            <w:bookmarkStart w:id="21" w:name="_Toc22421"/>
            <w:bookmarkStart w:id="22" w:name="_Toc27644"/>
            <w:bookmarkStart w:id="23" w:name="_Toc24587"/>
            <w:bookmarkStart w:id="24" w:name="_Toc539"/>
            <w:bookmarkStart w:id="25" w:name="_Toc32447"/>
            <w:r>
              <w:rPr>
                <w:b/>
                <w:color w:val="auto"/>
                <w:szCs w:val="21"/>
              </w:rPr>
              <w:t>2.</w:t>
            </w:r>
            <w:r>
              <w:rPr>
                <w:rFonts w:hint="eastAsia"/>
                <w:b/>
                <w:color w:val="auto"/>
                <w:szCs w:val="21"/>
                <w:lang w:val="en-US" w:eastAsia="zh-CN"/>
              </w:rPr>
              <w:t>2</w:t>
            </w:r>
            <w:r>
              <w:rPr>
                <w:b/>
                <w:color w:val="auto"/>
                <w:szCs w:val="21"/>
              </w:rPr>
              <w:t>项目组成</w:t>
            </w:r>
            <w:bookmarkEnd w:id="20"/>
            <w:bookmarkEnd w:id="21"/>
            <w:bookmarkEnd w:id="22"/>
            <w:bookmarkEnd w:id="23"/>
            <w:bookmarkEnd w:id="24"/>
            <w:bookmarkEnd w:id="25"/>
          </w:p>
          <w:p>
            <w:pPr>
              <w:pStyle w:val="35"/>
              <w:ind w:left="0" w:leftChars="0" w:firstLine="0" w:firstLineChars="0"/>
              <w:rPr>
                <w:rFonts w:ascii="Times New Roman" w:hAnsi="Times New Roman" w:eastAsia="宋体" w:cs="Times New Roman"/>
                <w:b/>
                <w:bCs/>
                <w:color w:val="auto"/>
                <w:sz w:val="21"/>
                <w:szCs w:val="21"/>
              </w:rPr>
            </w:pPr>
            <w:r>
              <w:rPr>
                <w:rFonts w:hint="eastAsia" w:ascii="Times New Roman" w:hAnsi="Times New Roman" w:eastAsia="宋体" w:cs="Times New Roman"/>
                <w:b/>
                <w:bCs/>
                <w:color w:val="auto"/>
                <w:sz w:val="21"/>
                <w:szCs w:val="21"/>
              </w:rPr>
              <w:t>2</w:t>
            </w:r>
            <w:r>
              <w:rPr>
                <w:rFonts w:ascii="Times New Roman" w:hAnsi="Times New Roman" w:eastAsia="宋体" w:cs="Times New Roman"/>
                <w:b/>
                <w:bCs/>
                <w:color w:val="auto"/>
                <w:sz w:val="21"/>
                <w:szCs w:val="21"/>
              </w:rPr>
              <w:t>.</w:t>
            </w:r>
            <w:r>
              <w:rPr>
                <w:rFonts w:hint="eastAsia" w:ascii="Times New Roman" w:hAnsi="Times New Roman" w:eastAsia="宋体" w:cs="Times New Roman"/>
                <w:b/>
                <w:bCs/>
                <w:color w:val="auto"/>
                <w:sz w:val="21"/>
                <w:szCs w:val="21"/>
                <w:lang w:val="en-US" w:eastAsia="zh-CN"/>
              </w:rPr>
              <w:t>2</w:t>
            </w:r>
            <w:r>
              <w:rPr>
                <w:rFonts w:ascii="Times New Roman" w:hAnsi="Times New Roman" w:eastAsia="宋体" w:cs="Times New Roman"/>
                <w:b/>
                <w:bCs/>
                <w:color w:val="auto"/>
                <w:sz w:val="21"/>
                <w:szCs w:val="21"/>
              </w:rPr>
              <w:t xml:space="preserve">.1  </w:t>
            </w:r>
            <w:r>
              <w:rPr>
                <w:rFonts w:hint="eastAsia" w:ascii="Times New Roman" w:hAnsi="Times New Roman" w:eastAsia="宋体" w:cs="Times New Roman"/>
                <w:b/>
                <w:bCs/>
                <w:color w:val="auto"/>
                <w:sz w:val="21"/>
                <w:szCs w:val="21"/>
              </w:rPr>
              <w:t>项目概况</w:t>
            </w:r>
          </w:p>
          <w:p>
            <w:pPr>
              <w:pStyle w:val="35"/>
              <w:ind w:firstLine="420"/>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项目名称：年产50吨功能性氟材料项目</w:t>
            </w:r>
          </w:p>
          <w:p>
            <w:pPr>
              <w:pStyle w:val="35"/>
              <w:ind w:firstLine="420"/>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建设单位：三明市海斯福化工有限责任公司</w:t>
            </w:r>
          </w:p>
          <w:p>
            <w:pPr>
              <w:pStyle w:val="35"/>
              <w:ind w:firstLine="420"/>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统一社会信用代码：913504216650885883</w:t>
            </w:r>
          </w:p>
          <w:p>
            <w:pPr>
              <w:pStyle w:val="35"/>
              <w:ind w:firstLine="420"/>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建设性质：扩建</w:t>
            </w:r>
          </w:p>
          <w:p>
            <w:pPr>
              <w:pStyle w:val="35"/>
              <w:ind w:firstLine="420"/>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建设地点：福建省三明市明溪县经济开发区D区1号</w:t>
            </w:r>
          </w:p>
          <w:p>
            <w:pPr>
              <w:pStyle w:val="35"/>
              <w:ind w:firstLine="420"/>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建设规模：占地面积1464.3m</w:t>
            </w:r>
            <w:r>
              <w:rPr>
                <w:rFonts w:hint="eastAsia" w:ascii="Times New Roman" w:hAnsi="Times New Roman" w:eastAsia="宋体" w:cs="Times New Roman"/>
                <w:color w:val="auto"/>
                <w:sz w:val="21"/>
                <w:szCs w:val="21"/>
                <w:vertAlign w:val="superscript"/>
              </w:rPr>
              <w:t>2</w:t>
            </w:r>
            <w:r>
              <w:rPr>
                <w:rFonts w:hint="eastAsia" w:ascii="Times New Roman" w:hAnsi="Times New Roman" w:eastAsia="宋体" w:cs="Times New Roman"/>
                <w:color w:val="auto"/>
                <w:sz w:val="21"/>
                <w:szCs w:val="21"/>
              </w:rPr>
              <w:t>，总建筑面积2023.86m</w:t>
            </w:r>
            <w:r>
              <w:rPr>
                <w:rFonts w:hint="eastAsia" w:ascii="Times New Roman" w:hAnsi="Times New Roman" w:eastAsia="宋体" w:cs="Times New Roman"/>
                <w:color w:val="auto"/>
                <w:sz w:val="21"/>
                <w:szCs w:val="21"/>
                <w:vertAlign w:val="superscript"/>
              </w:rPr>
              <w:t>2</w:t>
            </w:r>
          </w:p>
          <w:p>
            <w:pPr>
              <w:pStyle w:val="35"/>
              <w:ind w:firstLine="420"/>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工程投资：项目总投资额为2200万元，环保投资</w:t>
            </w:r>
            <w:r>
              <w:rPr>
                <w:rFonts w:hint="eastAsia" w:ascii="Times New Roman" w:hAnsi="Times New Roman" w:eastAsia="宋体" w:cs="Times New Roman"/>
                <w:color w:val="auto"/>
                <w:sz w:val="21"/>
                <w:szCs w:val="21"/>
                <w:lang w:val="en-US" w:eastAsia="zh-CN"/>
              </w:rPr>
              <w:t>71</w:t>
            </w:r>
            <w:r>
              <w:rPr>
                <w:rFonts w:hint="eastAsia" w:ascii="Times New Roman" w:hAnsi="Times New Roman" w:eastAsia="宋体" w:cs="Times New Roman"/>
                <w:color w:val="auto"/>
                <w:sz w:val="21"/>
                <w:szCs w:val="21"/>
              </w:rPr>
              <w:t>万元</w:t>
            </w:r>
          </w:p>
          <w:p>
            <w:pPr>
              <w:pStyle w:val="35"/>
              <w:ind w:firstLine="420"/>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工作制度：年生产300天，两班制，每班12小时</w:t>
            </w:r>
          </w:p>
          <w:p>
            <w:pPr>
              <w:pStyle w:val="35"/>
              <w:ind w:firstLine="420"/>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员工人数：新增员工6人</w:t>
            </w:r>
          </w:p>
          <w:p>
            <w:pPr>
              <w:pStyle w:val="35"/>
              <w:ind w:left="0" w:leftChars="0" w:firstLine="0" w:firstLineChars="0"/>
              <w:rPr>
                <w:rFonts w:ascii="Times New Roman" w:hAnsi="Times New Roman" w:eastAsia="宋体" w:cs="Times New Roman"/>
                <w:b/>
                <w:bCs/>
                <w:color w:val="auto"/>
                <w:sz w:val="21"/>
                <w:szCs w:val="21"/>
              </w:rPr>
            </w:pPr>
            <w:r>
              <w:rPr>
                <w:rFonts w:hint="eastAsia" w:ascii="Times New Roman" w:hAnsi="Times New Roman" w:eastAsia="宋体" w:cs="Times New Roman"/>
                <w:b/>
                <w:bCs/>
                <w:color w:val="auto"/>
                <w:sz w:val="21"/>
                <w:szCs w:val="21"/>
              </w:rPr>
              <w:t>2</w:t>
            </w:r>
            <w:r>
              <w:rPr>
                <w:rFonts w:ascii="Times New Roman" w:hAnsi="Times New Roman" w:eastAsia="宋体" w:cs="Times New Roman"/>
                <w:b/>
                <w:bCs/>
                <w:color w:val="auto"/>
                <w:sz w:val="21"/>
                <w:szCs w:val="21"/>
              </w:rPr>
              <w:t>.</w:t>
            </w:r>
            <w:r>
              <w:rPr>
                <w:rFonts w:hint="eastAsia" w:ascii="Times New Roman" w:hAnsi="Times New Roman" w:eastAsia="宋体" w:cs="Times New Roman"/>
                <w:b/>
                <w:bCs/>
                <w:color w:val="auto"/>
                <w:sz w:val="21"/>
                <w:szCs w:val="21"/>
                <w:lang w:val="en-US" w:eastAsia="zh-CN"/>
              </w:rPr>
              <w:t>2</w:t>
            </w:r>
            <w:r>
              <w:rPr>
                <w:rFonts w:ascii="Times New Roman" w:hAnsi="Times New Roman" w:eastAsia="宋体" w:cs="Times New Roman"/>
                <w:b/>
                <w:bCs/>
                <w:color w:val="auto"/>
                <w:sz w:val="21"/>
                <w:szCs w:val="21"/>
              </w:rPr>
              <w:t xml:space="preserve">.2  </w:t>
            </w:r>
            <w:r>
              <w:rPr>
                <w:rFonts w:hint="eastAsia" w:ascii="Times New Roman" w:hAnsi="Times New Roman" w:eastAsia="宋体" w:cs="Times New Roman"/>
                <w:b/>
                <w:bCs/>
                <w:color w:val="auto"/>
                <w:sz w:val="21"/>
                <w:szCs w:val="21"/>
              </w:rPr>
              <w:t>项目工程组成</w:t>
            </w:r>
          </w:p>
          <w:p>
            <w:pPr>
              <w:pStyle w:val="35"/>
              <w:ind w:firstLine="420"/>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海斯</w:t>
            </w:r>
            <w:r>
              <w:rPr>
                <w:rFonts w:hint="eastAsia" w:ascii="Times New Roman" w:hAnsi="Times New Roman" w:eastAsia="宋体" w:cs="Times New Roman"/>
                <w:color w:val="auto"/>
                <w:sz w:val="21"/>
                <w:szCs w:val="21"/>
                <w:lang w:val="en-US" w:eastAsia="zh-CN"/>
              </w:rPr>
              <w:t>福</w:t>
            </w:r>
            <w:r>
              <w:rPr>
                <w:rFonts w:hint="eastAsia" w:ascii="Times New Roman" w:hAnsi="Times New Roman" w:eastAsia="宋体" w:cs="Times New Roman"/>
                <w:color w:val="auto"/>
                <w:sz w:val="21"/>
                <w:szCs w:val="21"/>
              </w:rPr>
              <w:t>一厂</w:t>
            </w:r>
            <w:r>
              <w:rPr>
                <w:rFonts w:hint="eastAsia" w:ascii="Times New Roman" w:hAnsi="Times New Roman" w:eastAsia="宋体" w:cs="Times New Roman"/>
                <w:color w:val="auto"/>
                <w:sz w:val="21"/>
                <w:szCs w:val="21"/>
                <w:lang w:val="en-US" w:eastAsia="zh-CN"/>
              </w:rPr>
              <w:t>和二厂项目</w:t>
            </w:r>
            <w:r>
              <w:rPr>
                <w:rFonts w:hint="eastAsia" w:ascii="Times New Roman" w:hAnsi="Times New Roman" w:eastAsia="宋体" w:cs="Times New Roman"/>
                <w:color w:val="auto"/>
                <w:sz w:val="21"/>
                <w:szCs w:val="21"/>
              </w:rPr>
              <w:t>工程组成详见下表2</w:t>
            </w:r>
            <w:r>
              <w:rPr>
                <w:rFonts w:ascii="Times New Roman" w:hAnsi="Times New Roman" w:eastAsia="宋体" w:cs="Times New Roman"/>
                <w:color w:val="auto"/>
                <w:sz w:val="21"/>
                <w:szCs w:val="21"/>
              </w:rPr>
              <w:t>-</w:t>
            </w:r>
            <w:r>
              <w:rPr>
                <w:rFonts w:hint="eastAsia" w:ascii="Times New Roman" w:hAnsi="Times New Roman" w:eastAsia="宋体" w:cs="Times New Roman"/>
                <w:color w:val="auto"/>
                <w:sz w:val="21"/>
                <w:szCs w:val="21"/>
                <w:lang w:val="en-US" w:eastAsia="zh-CN"/>
              </w:rPr>
              <w:t>2</w:t>
            </w:r>
            <w:r>
              <w:rPr>
                <w:rFonts w:hint="eastAsia" w:ascii="Times New Roman" w:hAnsi="Times New Roman" w:eastAsia="宋体" w:cs="Times New Roman"/>
                <w:color w:val="auto"/>
                <w:sz w:val="21"/>
                <w:szCs w:val="21"/>
              </w:rPr>
              <w:t>。</w:t>
            </w:r>
          </w:p>
          <w:p>
            <w:pPr>
              <w:pStyle w:val="35"/>
              <w:ind w:firstLine="0" w:firstLineChars="0"/>
              <w:rPr>
                <w:rFonts w:ascii="Times New Roman" w:hAnsi="Times New Roman" w:eastAsia="宋体" w:cs="Times New Roman"/>
                <w:color w:val="auto"/>
                <w:sz w:val="21"/>
                <w:szCs w:val="21"/>
              </w:rPr>
            </w:pPr>
          </w:p>
          <w:p>
            <w:pPr>
              <w:pStyle w:val="35"/>
              <w:ind w:firstLine="0" w:firstLineChars="0"/>
              <w:rPr>
                <w:rFonts w:ascii="Times New Roman" w:hAnsi="Times New Roman" w:eastAsia="宋体" w:cs="Times New Roman"/>
                <w:color w:val="auto"/>
                <w:sz w:val="21"/>
                <w:szCs w:val="21"/>
              </w:rPr>
            </w:pPr>
          </w:p>
          <w:p>
            <w:pPr>
              <w:pStyle w:val="35"/>
              <w:ind w:firstLine="0" w:firstLineChars="0"/>
              <w:rPr>
                <w:rFonts w:ascii="Times New Roman" w:hAnsi="Times New Roman" w:eastAsia="宋体" w:cs="Times New Roman"/>
                <w:color w:val="auto"/>
                <w:sz w:val="21"/>
                <w:szCs w:val="21"/>
              </w:rPr>
            </w:pPr>
          </w:p>
          <w:p>
            <w:pPr>
              <w:pStyle w:val="35"/>
              <w:ind w:firstLine="0" w:firstLineChars="0"/>
              <w:rPr>
                <w:rFonts w:ascii="Times New Roman" w:hAnsi="Times New Roman" w:eastAsia="宋体" w:cs="Times New Roman"/>
                <w:color w:val="auto"/>
                <w:sz w:val="21"/>
                <w:szCs w:val="21"/>
              </w:rPr>
            </w:pPr>
          </w:p>
          <w:p>
            <w:pPr>
              <w:pStyle w:val="35"/>
              <w:ind w:firstLine="0" w:firstLineChars="0"/>
              <w:rPr>
                <w:rFonts w:ascii="Times New Roman" w:hAnsi="Times New Roman" w:eastAsia="宋体" w:cs="Times New Roman"/>
                <w:color w:val="auto"/>
                <w:sz w:val="21"/>
                <w:szCs w:val="21"/>
              </w:rPr>
            </w:pPr>
          </w:p>
        </w:tc>
      </w:tr>
    </w:tbl>
    <w:p>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bidi w:val="0"/>
        <w:rPr>
          <w:rFonts w:hint="eastAsia"/>
          <w:lang w:val="en-US" w:eastAsia="zh-CN"/>
        </w:rPr>
      </w:pPr>
      <w:r>
        <w:rPr>
          <w:rFonts w:hint="eastAsia"/>
          <w:lang w:val="en-US" w:eastAsia="zh-CN"/>
        </w:rPr>
        <w:t>表2-2  海斯福一厂、二厂项目工程组成情况一览表（涉密）</w:t>
      </w:r>
    </w:p>
    <w:p>
      <w:pPr>
        <w:jc w:val="center"/>
        <w:rPr>
          <w:b/>
          <w:color w:val="FF0000"/>
          <w:sz w:val="21"/>
          <w:szCs w:val="21"/>
        </w:rPr>
        <w:sectPr>
          <w:pgSz w:w="16838" w:h="11906" w:orient="landscape"/>
          <w:pgMar w:top="1576" w:right="1440" w:bottom="1633"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2"/>
        <w:gridCol w:w="8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81" w:hRule="atLeast"/>
        </w:trPr>
        <w:tc>
          <w:tcPr>
            <w:tcW w:w="422" w:type="dxa"/>
          </w:tcPr>
          <w:p>
            <w:pPr>
              <w:rPr>
                <w:vertAlign w:val="baseline"/>
              </w:rPr>
            </w:pPr>
          </w:p>
        </w:tc>
        <w:tc>
          <w:tcPr>
            <w:tcW w:w="8100" w:type="dxa"/>
          </w:tcPr>
          <w:p>
            <w:pPr>
              <w:pageBreakBefore/>
              <w:spacing w:line="360" w:lineRule="auto"/>
              <w:outlineLvl w:val="1"/>
              <w:rPr>
                <w:b/>
                <w:szCs w:val="21"/>
              </w:rPr>
            </w:pPr>
            <w:bookmarkStart w:id="26" w:name="_Toc18753"/>
            <w:bookmarkStart w:id="27" w:name="_Toc28741"/>
            <w:bookmarkStart w:id="28" w:name="_Toc17516"/>
            <w:bookmarkStart w:id="29" w:name="_Toc27078"/>
            <w:bookmarkStart w:id="30" w:name="_Toc9926"/>
            <w:bookmarkStart w:id="31" w:name="_Toc2642"/>
            <w:r>
              <w:rPr>
                <w:b/>
                <w:szCs w:val="21"/>
              </w:rPr>
              <w:t>2.</w:t>
            </w:r>
            <w:r>
              <w:rPr>
                <w:rFonts w:hint="eastAsia"/>
                <w:b/>
                <w:szCs w:val="21"/>
                <w:lang w:val="en-US" w:eastAsia="zh-CN"/>
              </w:rPr>
              <w:t>3</w:t>
            </w:r>
            <w:r>
              <w:rPr>
                <w:rFonts w:hint="eastAsia"/>
                <w:b/>
                <w:szCs w:val="21"/>
              </w:rPr>
              <w:t>产品规模及产能核算</w:t>
            </w:r>
            <w:bookmarkEnd w:id="26"/>
            <w:bookmarkEnd w:id="27"/>
            <w:bookmarkEnd w:id="28"/>
            <w:bookmarkEnd w:id="29"/>
            <w:bookmarkEnd w:id="30"/>
          </w:p>
          <w:p>
            <w:pPr>
              <w:pStyle w:val="35"/>
              <w:ind w:firstLine="420"/>
              <w:jc w:val="both"/>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本次扩建项目生产线单批次设计产能为0.125t，单批次生产周期为18h。生产线年运行300天，每日安排2班，每班12h，年总运行时间为7200h。按此运行制度核算，全年可完成400个批次生产，设计年产量可达50t。</w:t>
            </w:r>
          </w:p>
          <w:p>
            <w:pPr>
              <w:pageBreakBefore/>
              <w:spacing w:line="360" w:lineRule="auto"/>
              <w:outlineLvl w:val="1"/>
              <w:rPr>
                <w:b/>
                <w:sz w:val="24"/>
                <w:szCs w:val="22"/>
              </w:rPr>
            </w:pPr>
            <w:bookmarkStart w:id="32" w:name="_Toc23573"/>
            <w:bookmarkStart w:id="33" w:name="_Toc6105"/>
            <w:bookmarkStart w:id="34" w:name="_Toc12199"/>
            <w:bookmarkStart w:id="35" w:name="_Toc9444"/>
            <w:bookmarkStart w:id="36" w:name="_Toc2795"/>
            <w:r>
              <w:rPr>
                <w:b/>
                <w:szCs w:val="21"/>
              </w:rPr>
              <w:t>2.4主要原材料及生产设备</w:t>
            </w:r>
            <w:bookmarkEnd w:id="31"/>
            <w:bookmarkEnd w:id="32"/>
            <w:bookmarkEnd w:id="33"/>
            <w:bookmarkEnd w:id="34"/>
            <w:bookmarkEnd w:id="35"/>
            <w:bookmarkEnd w:id="36"/>
          </w:p>
          <w:p>
            <w:pPr>
              <w:pStyle w:val="35"/>
              <w:ind w:firstLine="0" w:firstLineChars="0"/>
              <w:jc w:val="both"/>
              <w:rPr>
                <w:rFonts w:hint="eastAsia" w:ascii="Times New Roman" w:hAnsi="Times New Roman" w:cs="Times New Roman" w:eastAsiaTheme="minorEastAsia"/>
                <w:b/>
                <w:bCs/>
                <w:spacing w:val="-4"/>
                <w:kern w:val="2"/>
                <w:sz w:val="21"/>
                <w:szCs w:val="21"/>
                <w:lang w:eastAsia="zh-CN"/>
              </w:rPr>
            </w:pPr>
            <w:r>
              <w:rPr>
                <w:rFonts w:ascii="Times New Roman" w:hAnsi="Times New Roman" w:cs="Times New Roman"/>
                <w:b/>
                <w:bCs/>
                <w:spacing w:val="-4"/>
                <w:kern w:val="2"/>
                <w:sz w:val="21"/>
                <w:szCs w:val="21"/>
              </w:rPr>
              <w:t>2.4.1原材料和能源消耗情况</w:t>
            </w:r>
            <w:r>
              <w:rPr>
                <w:rFonts w:hint="eastAsia" w:ascii="Times New Roman" w:hAnsi="Times New Roman" w:cs="Times New Roman"/>
                <w:b/>
                <w:bCs/>
                <w:spacing w:val="-4"/>
                <w:kern w:val="2"/>
                <w:sz w:val="21"/>
                <w:szCs w:val="21"/>
                <w:lang w:eastAsia="zh-CN"/>
              </w:rPr>
              <w:t>（</w:t>
            </w:r>
            <w:r>
              <w:rPr>
                <w:rFonts w:hint="eastAsia" w:ascii="Times New Roman" w:hAnsi="Times New Roman" w:cs="Times New Roman"/>
                <w:b/>
                <w:bCs/>
                <w:spacing w:val="-4"/>
                <w:kern w:val="2"/>
                <w:sz w:val="21"/>
                <w:szCs w:val="21"/>
                <w:lang w:val="en-US" w:eastAsia="zh-CN"/>
              </w:rPr>
              <w:t>涉密</w:t>
            </w:r>
            <w:r>
              <w:rPr>
                <w:rFonts w:hint="eastAsia" w:ascii="Times New Roman" w:hAnsi="Times New Roman" w:cs="Times New Roman"/>
                <w:b/>
                <w:bCs/>
                <w:spacing w:val="-4"/>
                <w:kern w:val="2"/>
                <w:sz w:val="21"/>
                <w:szCs w:val="21"/>
                <w:lang w:eastAsia="zh-CN"/>
              </w:rPr>
              <w:t>）</w:t>
            </w:r>
          </w:p>
          <w:p>
            <w:pPr>
              <w:rPr>
                <w:vertAlign w:val="baseline"/>
              </w:rPr>
            </w:pPr>
          </w:p>
        </w:tc>
      </w:tr>
    </w:tbl>
    <w:p>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131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128" w:hRule="atLeast"/>
        </w:trPr>
        <w:tc>
          <w:tcPr>
            <w:tcW w:w="643" w:type="dxa"/>
            <w:vAlign w:val="center"/>
          </w:tcPr>
          <w:p>
            <w:pPr>
              <w:jc w:val="center"/>
              <w:rPr>
                <w:szCs w:val="21"/>
              </w:rPr>
            </w:pPr>
          </w:p>
        </w:tc>
        <w:tc>
          <w:tcPr>
            <w:tcW w:w="13116" w:type="dxa"/>
          </w:tcPr>
          <w:p>
            <w:pPr>
              <w:pStyle w:val="35"/>
              <w:ind w:firstLine="420"/>
              <w:rPr>
                <w:rFonts w:ascii="Times New Roman" w:hAnsi="Times New Roman" w:cs="Times New Roman"/>
                <w:sz w:val="21"/>
                <w:szCs w:val="20"/>
              </w:rPr>
            </w:pPr>
          </w:p>
          <w:p>
            <w:pPr>
              <w:spacing w:before="194" w:beforeLines="50"/>
              <w:jc w:val="center"/>
              <w:outlineLvl w:val="5"/>
              <w:rPr>
                <w:rFonts w:hint="default" w:ascii="Times New Roman" w:hAnsi="Times New Roman" w:cs="Times New Roman" w:eastAsiaTheme="minorEastAsia"/>
                <w:sz w:val="21"/>
                <w:szCs w:val="20"/>
                <w:lang w:val="en-US" w:eastAsia="zh-CN"/>
              </w:rPr>
            </w:pPr>
            <w:r>
              <w:rPr>
                <w:rFonts w:hint="eastAsia" w:eastAsia="宋体" w:cs="Times New Roman"/>
                <w:b/>
                <w:color w:val="auto"/>
                <w:spacing w:val="0"/>
                <w:sz w:val="21"/>
                <w:szCs w:val="21"/>
                <w:lang w:val="en-US" w:eastAsia="zh-CN"/>
              </w:rPr>
              <w:t>图2-1 本次扩建项目物料平衡</w:t>
            </w:r>
            <w:r>
              <w:rPr>
                <w:rFonts w:hint="eastAsia" w:cs="Times New Roman"/>
                <w:b/>
                <w:color w:val="auto"/>
                <w:spacing w:val="0"/>
                <w:sz w:val="21"/>
                <w:szCs w:val="21"/>
                <w:lang w:val="en-US" w:eastAsia="zh-CN"/>
              </w:rPr>
              <w:t>（涉密）</w:t>
            </w:r>
          </w:p>
        </w:tc>
      </w:tr>
    </w:tbl>
    <w:p>
      <w:p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8"/>
        <w:gridCol w:w="80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8" w:hRule="atLeast"/>
        </w:trPr>
        <w:tc>
          <w:tcPr>
            <w:tcW w:w="428" w:type="dxa"/>
            <w:vAlign w:val="center"/>
          </w:tcPr>
          <w:p>
            <w:pPr>
              <w:jc w:val="center"/>
              <w:rPr>
                <w:color w:val="auto"/>
                <w:szCs w:val="21"/>
              </w:rPr>
            </w:pPr>
          </w:p>
        </w:tc>
        <w:tc>
          <w:tcPr>
            <w:tcW w:w="8094" w:type="dxa"/>
          </w:tcPr>
          <w:p>
            <w:pPr>
              <w:pStyle w:val="35"/>
              <w:ind w:firstLine="0" w:firstLineChars="0"/>
              <w:rPr>
                <w:rFonts w:hint="eastAsia" w:ascii="Times New Roman" w:hAnsi="Times New Roman" w:cs="Times New Roman" w:eastAsiaTheme="minorEastAsia"/>
                <w:b/>
                <w:bCs/>
                <w:color w:val="auto"/>
                <w:spacing w:val="-4"/>
                <w:kern w:val="2"/>
                <w:sz w:val="21"/>
                <w:szCs w:val="21"/>
                <w:lang w:eastAsia="zh-CN"/>
              </w:rPr>
            </w:pPr>
            <w:r>
              <w:rPr>
                <w:rFonts w:hint="eastAsia" w:ascii="Times New Roman" w:hAnsi="Times New Roman" w:cs="Times New Roman"/>
                <w:b/>
                <w:bCs/>
                <w:color w:val="auto"/>
                <w:spacing w:val="-4"/>
                <w:kern w:val="2"/>
                <w:sz w:val="21"/>
                <w:szCs w:val="21"/>
              </w:rPr>
              <w:t>2.4.2生产设备</w:t>
            </w:r>
            <w:r>
              <w:rPr>
                <w:rFonts w:hint="eastAsia" w:ascii="Times New Roman" w:hAnsi="Times New Roman" w:cs="Times New Roman"/>
                <w:b/>
                <w:bCs/>
                <w:color w:val="auto"/>
                <w:spacing w:val="-4"/>
                <w:kern w:val="2"/>
                <w:sz w:val="21"/>
                <w:szCs w:val="21"/>
                <w:lang w:eastAsia="zh-CN"/>
              </w:rPr>
              <w:t>（</w:t>
            </w:r>
            <w:r>
              <w:rPr>
                <w:rFonts w:hint="eastAsia" w:ascii="Times New Roman" w:hAnsi="Times New Roman" w:cs="Times New Roman"/>
                <w:b/>
                <w:bCs/>
                <w:color w:val="auto"/>
                <w:spacing w:val="-4"/>
                <w:kern w:val="2"/>
                <w:sz w:val="21"/>
                <w:szCs w:val="21"/>
                <w:lang w:val="en-US" w:eastAsia="zh-CN"/>
              </w:rPr>
              <w:t>涉密</w:t>
            </w:r>
            <w:r>
              <w:rPr>
                <w:rFonts w:hint="eastAsia" w:ascii="Times New Roman" w:hAnsi="Times New Roman" w:cs="Times New Roman"/>
                <w:b/>
                <w:bCs/>
                <w:color w:val="auto"/>
                <w:spacing w:val="-4"/>
                <w:kern w:val="2"/>
                <w:sz w:val="21"/>
                <w:szCs w:val="21"/>
                <w:lang w:eastAsia="zh-CN"/>
              </w:rPr>
              <w:t>）</w:t>
            </w:r>
          </w:p>
          <w:p>
            <w:pPr>
              <w:pStyle w:val="35"/>
              <w:ind w:firstLine="0" w:firstLineChars="0"/>
              <w:rPr>
                <w:rFonts w:hint="eastAsia" w:eastAsiaTheme="minorEastAsia"/>
                <w:color w:val="auto"/>
                <w:lang w:eastAsia="zh-CN"/>
              </w:rPr>
            </w:pPr>
            <w:r>
              <w:rPr>
                <w:rFonts w:hint="eastAsia" w:ascii="Times New Roman" w:hAnsi="Times New Roman" w:cs="Times New Roman"/>
                <w:b/>
                <w:bCs/>
                <w:color w:val="auto"/>
                <w:spacing w:val="-4"/>
                <w:kern w:val="2"/>
                <w:sz w:val="21"/>
                <w:szCs w:val="21"/>
              </w:rPr>
              <w:t>2.5项目水平衡</w:t>
            </w:r>
            <w:r>
              <w:rPr>
                <w:rFonts w:hint="eastAsia" w:ascii="Times New Roman" w:hAnsi="Times New Roman" w:cs="Times New Roman"/>
                <w:b/>
                <w:bCs/>
                <w:color w:val="auto"/>
                <w:spacing w:val="-4"/>
                <w:kern w:val="2"/>
                <w:sz w:val="21"/>
                <w:szCs w:val="21"/>
                <w:lang w:eastAsia="zh-CN"/>
              </w:rPr>
              <w:t>（</w:t>
            </w:r>
            <w:r>
              <w:rPr>
                <w:rFonts w:hint="eastAsia" w:ascii="Times New Roman" w:hAnsi="Times New Roman" w:cs="Times New Roman"/>
                <w:b/>
                <w:bCs/>
                <w:color w:val="auto"/>
                <w:spacing w:val="-4"/>
                <w:kern w:val="2"/>
                <w:sz w:val="21"/>
                <w:szCs w:val="21"/>
                <w:lang w:val="en-US" w:eastAsia="zh-CN"/>
              </w:rPr>
              <w:t>涉密</w:t>
            </w:r>
            <w:r>
              <w:rPr>
                <w:rFonts w:hint="eastAsia" w:ascii="Times New Roman" w:hAnsi="Times New Roman" w:cs="Times New Roman"/>
                <w:b/>
                <w:bCs/>
                <w:color w:val="auto"/>
                <w:spacing w:val="-4"/>
                <w:kern w:val="2"/>
                <w:sz w:val="21"/>
                <w:szCs w:val="21"/>
                <w:lang w:eastAsia="zh-CN"/>
              </w:rPr>
              <w:t>）</w:t>
            </w:r>
          </w:p>
        </w:tc>
      </w:tr>
    </w:tbl>
    <w:p>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8"/>
        <w:gridCol w:w="13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dxa"/>
          </w:tcPr>
          <w:p>
            <w:pPr>
              <w:rPr>
                <w:color w:val="auto"/>
                <w:vertAlign w:val="baseline"/>
              </w:rPr>
            </w:pPr>
          </w:p>
        </w:tc>
        <w:tc>
          <w:tcPr>
            <w:tcW w:w="13766" w:type="dxa"/>
          </w:tcPr>
          <w:p>
            <w:pPr>
              <w:pStyle w:val="35"/>
              <w:ind w:firstLine="0" w:firstLineChars="0"/>
              <w:jc w:val="center"/>
              <w:rPr>
                <w:rFonts w:ascii="Times New Roman" w:hAnsi="Times New Roman" w:cs="Times New Roman"/>
                <w:color w:val="auto"/>
                <w:sz w:val="21"/>
                <w:szCs w:val="20"/>
              </w:rPr>
            </w:pPr>
          </w:p>
          <w:p>
            <w:pPr>
              <w:spacing w:before="194" w:beforeLines="50"/>
              <w:jc w:val="center"/>
              <w:outlineLvl w:val="5"/>
              <w:rPr>
                <w:rFonts w:hint="eastAsia"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图2-2-1 本项目水平衡图（</w:t>
            </w:r>
            <w:r>
              <w:rPr>
                <w:rFonts w:hint="eastAsia" w:cs="Times New Roman"/>
                <w:b/>
                <w:color w:val="auto"/>
                <w:spacing w:val="0"/>
                <w:sz w:val="21"/>
                <w:szCs w:val="21"/>
                <w:lang w:val="en-US" w:eastAsia="zh-CN"/>
              </w:rPr>
              <w:t>涉密</w:t>
            </w:r>
            <w:r>
              <w:rPr>
                <w:rFonts w:hint="eastAsia" w:eastAsia="宋体" w:cs="Times New Roman"/>
                <w:b/>
                <w:color w:val="auto"/>
                <w:spacing w:val="0"/>
                <w:sz w:val="21"/>
                <w:szCs w:val="21"/>
                <w:lang w:val="en-US" w:eastAsia="zh-CN"/>
              </w:rPr>
              <w:t>）</w:t>
            </w:r>
          </w:p>
          <w:p>
            <w:pPr>
              <w:pStyle w:val="35"/>
              <w:ind w:firstLine="0" w:firstLineChars="0"/>
              <w:jc w:val="center"/>
              <w:rPr>
                <w:rFonts w:hint="eastAsia" w:ascii="Times New Roman" w:hAnsi="Times New Roman" w:cs="Times New Roman" w:eastAsiaTheme="minorEastAsia"/>
                <w:color w:val="auto"/>
                <w:sz w:val="21"/>
                <w:szCs w:val="20"/>
                <w:lang w:eastAsia="zh-CN"/>
              </w:rPr>
            </w:pPr>
          </w:p>
          <w:p>
            <w:pPr>
              <w:spacing w:before="194" w:beforeLines="50"/>
              <w:jc w:val="center"/>
              <w:outlineLvl w:val="5"/>
              <w:rPr>
                <w:rFonts w:hint="eastAsia"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图2-2-2 本项目水平衡图（</w:t>
            </w:r>
            <w:r>
              <w:rPr>
                <w:rFonts w:hint="eastAsia" w:cs="Times New Roman"/>
                <w:b/>
                <w:color w:val="auto"/>
                <w:spacing w:val="0"/>
                <w:sz w:val="21"/>
                <w:szCs w:val="21"/>
                <w:lang w:val="en-US" w:eastAsia="zh-CN"/>
              </w:rPr>
              <w:t>涉密</w:t>
            </w:r>
            <w:r>
              <w:rPr>
                <w:rFonts w:hint="eastAsia" w:eastAsia="宋体" w:cs="Times New Roman"/>
                <w:b/>
                <w:color w:val="auto"/>
                <w:spacing w:val="0"/>
                <w:sz w:val="21"/>
                <w:szCs w:val="21"/>
                <w:lang w:val="en-US" w:eastAsia="zh-CN"/>
              </w:rPr>
              <w:t>）</w:t>
            </w:r>
          </w:p>
          <w:p>
            <w:pPr>
              <w:spacing w:before="194" w:beforeLines="50"/>
              <w:jc w:val="center"/>
              <w:outlineLvl w:val="5"/>
              <w:rPr>
                <w:rFonts w:hint="eastAsia" w:eastAsia="宋体" w:cs="Times New Roman"/>
                <w:b/>
                <w:color w:val="auto"/>
                <w:spacing w:val="0"/>
                <w:sz w:val="21"/>
                <w:szCs w:val="21"/>
                <w:lang w:val="en-US" w:eastAsia="zh-CN"/>
              </w:rPr>
            </w:pPr>
          </w:p>
          <w:p>
            <w:pPr>
              <w:spacing w:before="194" w:beforeLines="50"/>
              <w:jc w:val="center"/>
              <w:outlineLvl w:val="5"/>
              <w:rPr>
                <w:rFonts w:hint="eastAsia"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图2-3-1 本项目建成后一厂、二厂全厂水平衡图（</w:t>
            </w:r>
            <w:r>
              <w:rPr>
                <w:rFonts w:hint="eastAsia" w:cs="Times New Roman"/>
                <w:b/>
                <w:color w:val="auto"/>
                <w:spacing w:val="0"/>
                <w:sz w:val="21"/>
                <w:szCs w:val="21"/>
                <w:lang w:val="en-US" w:eastAsia="zh-CN"/>
              </w:rPr>
              <w:t>涉密</w:t>
            </w:r>
            <w:r>
              <w:rPr>
                <w:rFonts w:hint="eastAsia" w:eastAsia="宋体" w:cs="Times New Roman"/>
                <w:b/>
                <w:color w:val="auto"/>
                <w:spacing w:val="0"/>
                <w:sz w:val="21"/>
                <w:szCs w:val="21"/>
                <w:lang w:val="en-US" w:eastAsia="zh-CN"/>
              </w:rPr>
              <w:t>）</w:t>
            </w:r>
          </w:p>
          <w:p>
            <w:pPr>
              <w:jc w:val="center"/>
              <w:rPr>
                <w:rFonts w:hint="eastAsia" w:ascii="Times New Roman" w:hAnsi="Times New Roman" w:eastAsia="宋体" w:cs="Times New Roman"/>
                <w:b/>
                <w:bCs/>
                <w:color w:val="auto"/>
                <w:sz w:val="21"/>
                <w:szCs w:val="20"/>
                <w:lang w:eastAsia="zh-CN"/>
              </w:rPr>
            </w:pPr>
          </w:p>
          <w:p>
            <w:pPr>
              <w:spacing w:before="194" w:beforeLines="50"/>
              <w:jc w:val="center"/>
              <w:outlineLvl w:val="5"/>
              <w:rPr>
                <w:rFonts w:hint="eastAsia"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图2-3-2 本项目建成后一厂、二厂全厂水平衡图（</w:t>
            </w:r>
            <w:r>
              <w:rPr>
                <w:rFonts w:hint="eastAsia" w:cs="Times New Roman"/>
                <w:b/>
                <w:color w:val="auto"/>
                <w:spacing w:val="0"/>
                <w:sz w:val="21"/>
                <w:szCs w:val="21"/>
                <w:lang w:val="en-US" w:eastAsia="zh-CN"/>
              </w:rPr>
              <w:t>涉密</w:t>
            </w:r>
            <w:r>
              <w:rPr>
                <w:rFonts w:hint="eastAsia" w:eastAsia="宋体" w:cs="Times New Roman"/>
                <w:b/>
                <w:color w:val="auto"/>
                <w:spacing w:val="0"/>
                <w:sz w:val="21"/>
                <w:szCs w:val="21"/>
                <w:lang w:val="en-US" w:eastAsia="zh-CN"/>
              </w:rPr>
              <w:t>）</w:t>
            </w:r>
          </w:p>
          <w:p>
            <w:pPr>
              <w:rPr>
                <w:color w:val="auto"/>
                <w:vertAlign w:val="baseline"/>
              </w:rPr>
            </w:pPr>
          </w:p>
        </w:tc>
      </w:tr>
    </w:tbl>
    <w:p>
      <w:p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0"/>
        <w:gridCol w:w="83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0" w:type="dxa"/>
          </w:tcPr>
          <w:p>
            <w:pPr>
              <w:rPr>
                <w:rFonts w:hint="eastAsia" w:ascii="Times New Roman" w:hAnsi="Times New Roman" w:eastAsia="宋体" w:cs="Times New Roman"/>
                <w:b/>
                <w:bCs/>
                <w:color w:val="auto"/>
                <w:sz w:val="21"/>
                <w:szCs w:val="20"/>
                <w:vertAlign w:val="baseline"/>
                <w:lang w:eastAsia="zh-CN"/>
              </w:rPr>
            </w:pPr>
          </w:p>
        </w:tc>
        <w:tc>
          <w:tcPr>
            <w:tcW w:w="8323" w:type="dxa"/>
          </w:tcPr>
          <w:p>
            <w:pPr>
              <w:pStyle w:val="35"/>
              <w:ind w:firstLine="0" w:firstLineChars="0"/>
              <w:jc w:val="both"/>
              <w:rPr>
                <w:rFonts w:hint="eastAsia" w:ascii="Times New Roman" w:hAnsi="Times New Roman" w:cs="Times New Roman" w:eastAsiaTheme="minorEastAsia"/>
                <w:b/>
                <w:bCs/>
                <w:color w:val="auto"/>
                <w:spacing w:val="-4"/>
                <w:kern w:val="2"/>
                <w:sz w:val="21"/>
                <w:szCs w:val="21"/>
                <w:lang w:eastAsia="zh-CN"/>
              </w:rPr>
            </w:pPr>
            <w:r>
              <w:rPr>
                <w:rFonts w:hint="eastAsia" w:ascii="Times New Roman" w:hAnsi="Times New Roman" w:cs="Times New Roman"/>
                <w:b/>
                <w:bCs/>
                <w:color w:val="auto"/>
                <w:spacing w:val="-4"/>
                <w:kern w:val="2"/>
                <w:sz w:val="21"/>
                <w:szCs w:val="21"/>
              </w:rPr>
              <w:t>2.</w:t>
            </w:r>
            <w:r>
              <w:rPr>
                <w:rFonts w:hint="eastAsia" w:ascii="Times New Roman" w:hAnsi="Times New Roman" w:cs="Times New Roman"/>
                <w:b/>
                <w:bCs/>
                <w:color w:val="auto"/>
                <w:spacing w:val="-4"/>
                <w:kern w:val="2"/>
                <w:sz w:val="21"/>
                <w:szCs w:val="21"/>
                <w:lang w:val="en-US" w:eastAsia="zh-CN"/>
              </w:rPr>
              <w:t>6</w:t>
            </w:r>
            <w:r>
              <w:rPr>
                <w:rFonts w:hint="eastAsia" w:ascii="Times New Roman" w:hAnsi="Times New Roman" w:cs="Times New Roman"/>
                <w:b/>
                <w:bCs/>
                <w:color w:val="auto"/>
                <w:spacing w:val="-4"/>
                <w:kern w:val="2"/>
                <w:sz w:val="21"/>
                <w:szCs w:val="21"/>
              </w:rPr>
              <w:t>项目</w:t>
            </w:r>
            <w:r>
              <w:rPr>
                <w:rFonts w:hint="eastAsia" w:ascii="Times New Roman" w:hAnsi="Times New Roman" w:cs="Times New Roman"/>
                <w:b/>
                <w:bCs/>
                <w:color w:val="auto"/>
                <w:spacing w:val="-4"/>
                <w:kern w:val="2"/>
                <w:sz w:val="21"/>
                <w:szCs w:val="21"/>
                <w:lang w:val="en-US" w:eastAsia="zh-CN"/>
              </w:rPr>
              <w:t>蒸汽</w:t>
            </w:r>
            <w:r>
              <w:rPr>
                <w:rFonts w:hint="eastAsia" w:ascii="Times New Roman" w:hAnsi="Times New Roman" w:cs="Times New Roman"/>
                <w:b/>
                <w:bCs/>
                <w:color w:val="auto"/>
                <w:spacing w:val="-4"/>
                <w:kern w:val="2"/>
                <w:sz w:val="21"/>
                <w:szCs w:val="21"/>
              </w:rPr>
              <w:t>平衡</w:t>
            </w:r>
          </w:p>
          <w:p>
            <w:pPr>
              <w:pStyle w:val="35"/>
              <w:ind w:firstLine="420"/>
              <w:jc w:val="both"/>
              <w:rPr>
                <w:rFonts w:hint="default" w:ascii="Times New Roman" w:hAnsi="Times New Roman" w:eastAsia="宋体" w:cs="Times New Roman"/>
                <w:color w:val="auto"/>
                <w:sz w:val="21"/>
                <w:szCs w:val="20"/>
                <w:lang w:val="en-US" w:eastAsia="zh-CN"/>
              </w:rPr>
            </w:pPr>
            <w:r>
              <w:rPr>
                <w:rFonts w:hint="default" w:ascii="Times New Roman" w:hAnsi="Times New Roman" w:eastAsia="宋体" w:cs="Times New Roman"/>
                <w:color w:val="auto"/>
                <w:sz w:val="21"/>
                <w:szCs w:val="20"/>
              </w:rPr>
              <w:t>本次扩建项目</w:t>
            </w:r>
            <w:r>
              <w:rPr>
                <w:rFonts w:hint="eastAsia" w:ascii="Times New Roman" w:hAnsi="Times New Roman" w:eastAsia="宋体" w:cs="Times New Roman"/>
                <w:color w:val="auto"/>
                <w:sz w:val="21"/>
                <w:szCs w:val="20"/>
                <w:lang w:val="en-US" w:eastAsia="zh-CN"/>
              </w:rPr>
              <w:t>蒸汽</w:t>
            </w:r>
            <w:r>
              <w:rPr>
                <w:rFonts w:hint="default" w:ascii="Times New Roman" w:hAnsi="Times New Roman" w:eastAsia="宋体" w:cs="Times New Roman"/>
                <w:color w:val="auto"/>
                <w:sz w:val="21"/>
                <w:szCs w:val="20"/>
              </w:rPr>
              <w:t>平衡分析如下：</w:t>
            </w:r>
          </w:p>
          <w:p>
            <w:pPr>
              <w:pStyle w:val="35"/>
              <w:ind w:firstLine="420"/>
              <w:jc w:val="both"/>
              <w:rPr>
                <w:rFonts w:hint="eastAsia" w:ascii="Times New Roman" w:hAnsi="Times New Roman" w:eastAsia="宋体" w:cs="Times New Roman"/>
                <w:color w:val="auto"/>
                <w:sz w:val="21"/>
                <w:szCs w:val="20"/>
                <w:lang w:val="en-US" w:eastAsia="zh-CN"/>
              </w:rPr>
            </w:pPr>
            <w:r>
              <w:rPr>
                <w:rFonts w:hint="default" w:ascii="Times New Roman" w:hAnsi="Times New Roman" w:eastAsia="宋体" w:cs="Times New Roman"/>
                <w:color w:val="auto"/>
                <w:sz w:val="21"/>
                <w:szCs w:val="20"/>
              </w:rPr>
              <w:t>本次扩建项目</w:t>
            </w:r>
            <w:r>
              <w:rPr>
                <w:rFonts w:hint="default" w:ascii="Times New Roman" w:hAnsi="Times New Roman" w:eastAsia="宋体" w:cs="Times New Roman"/>
                <w:color w:val="auto"/>
                <w:sz w:val="21"/>
                <w:szCs w:val="20"/>
                <w:lang w:val="en-US" w:eastAsia="zh-CN"/>
              </w:rPr>
              <w:t>精馏塔热源依托二厂供热工程供蒸汽，精馏塔需蒸汽</w:t>
            </w:r>
            <w:r>
              <w:rPr>
                <w:rFonts w:hint="eastAsia" w:ascii="Times New Roman" w:hAnsi="Times New Roman" w:eastAsia="宋体" w:cs="Times New Roman"/>
                <w:color w:val="auto"/>
                <w:sz w:val="21"/>
                <w:szCs w:val="20"/>
                <w:lang w:val="en-US" w:eastAsia="zh-CN"/>
              </w:rPr>
              <w:t>约精馏废水量的1.1倍，精馏废水量</w:t>
            </w:r>
            <w:r>
              <w:rPr>
                <w:rFonts w:hint="default" w:ascii="Times New Roman" w:hAnsi="Times New Roman" w:eastAsia="宋体" w:cs="Times New Roman"/>
                <w:color w:val="auto"/>
                <w:sz w:val="21"/>
                <w:szCs w:val="20"/>
                <w:lang w:val="en-US" w:eastAsia="zh-CN"/>
              </w:rPr>
              <w:t>约</w:t>
            </w:r>
            <w:r>
              <w:rPr>
                <w:rFonts w:hint="eastAsia" w:ascii="Times New Roman" w:hAnsi="Times New Roman" w:eastAsia="宋体" w:cs="Times New Roman"/>
                <w:color w:val="auto"/>
                <w:sz w:val="21"/>
                <w:szCs w:val="20"/>
                <w:lang w:val="en-US" w:eastAsia="zh-CN"/>
              </w:rPr>
              <w:t>174.7</w:t>
            </w:r>
            <w:r>
              <w:rPr>
                <w:rFonts w:hint="default" w:ascii="Times New Roman" w:hAnsi="Times New Roman" w:eastAsia="宋体" w:cs="Times New Roman"/>
                <w:color w:val="auto"/>
                <w:sz w:val="21"/>
                <w:szCs w:val="20"/>
                <w:lang w:val="en-US" w:eastAsia="zh-CN"/>
              </w:rPr>
              <w:t>t/a</w:t>
            </w:r>
            <w:r>
              <w:rPr>
                <w:rFonts w:hint="eastAsia" w:ascii="Times New Roman" w:hAnsi="Times New Roman" w:eastAsia="宋体" w:cs="Times New Roman"/>
                <w:color w:val="auto"/>
                <w:sz w:val="21"/>
                <w:szCs w:val="20"/>
                <w:lang w:val="en-US" w:eastAsia="zh-CN"/>
              </w:rPr>
              <w:t>，则需蒸汽</w:t>
            </w:r>
            <w:r>
              <w:rPr>
                <w:rFonts w:hint="default" w:ascii="Times New Roman" w:hAnsi="Times New Roman" w:eastAsia="宋体" w:cs="Times New Roman"/>
                <w:color w:val="auto"/>
                <w:sz w:val="21"/>
                <w:szCs w:val="20"/>
                <w:lang w:val="en-US" w:eastAsia="zh-CN"/>
              </w:rPr>
              <w:t>192.17t/a</w:t>
            </w:r>
            <w:r>
              <w:rPr>
                <w:rFonts w:hint="eastAsia" w:ascii="Times New Roman" w:hAnsi="Times New Roman" w:eastAsia="宋体" w:cs="Times New Roman"/>
                <w:color w:val="auto"/>
                <w:sz w:val="21"/>
                <w:szCs w:val="20"/>
                <w:lang w:val="en-US" w:eastAsia="zh-CN"/>
              </w:rPr>
              <w:t>（9.6085t/d）。</w:t>
            </w:r>
            <w:r>
              <w:rPr>
                <w:rFonts w:hint="default" w:ascii="Times New Roman" w:hAnsi="Times New Roman" w:eastAsia="宋体" w:cs="Times New Roman"/>
                <w:color w:val="auto"/>
                <w:sz w:val="21"/>
                <w:szCs w:val="20"/>
                <w:lang w:val="en-US" w:eastAsia="zh-CN"/>
              </w:rPr>
              <w:t>二厂可供蒸汽33600t/a</w:t>
            </w:r>
            <w:r>
              <w:rPr>
                <w:rFonts w:hint="eastAsia" w:ascii="Times New Roman" w:hAnsi="Times New Roman" w:eastAsia="宋体" w:cs="Times New Roman"/>
                <w:color w:val="auto"/>
                <w:sz w:val="21"/>
                <w:szCs w:val="20"/>
                <w:lang w:val="en-US" w:eastAsia="zh-CN"/>
              </w:rPr>
              <w:t>（112t/d）</w:t>
            </w:r>
            <w:r>
              <w:rPr>
                <w:rFonts w:hint="default" w:ascii="Times New Roman" w:hAnsi="Times New Roman" w:eastAsia="宋体" w:cs="Times New Roman"/>
                <w:color w:val="auto"/>
                <w:sz w:val="21"/>
                <w:szCs w:val="20"/>
                <w:lang w:val="en-US" w:eastAsia="zh-CN"/>
              </w:rPr>
              <w:t>，现一厂+二厂蒸汽使用量为29841t/a</w:t>
            </w:r>
            <w:r>
              <w:rPr>
                <w:rFonts w:hint="eastAsia" w:ascii="Times New Roman" w:hAnsi="Times New Roman" w:eastAsia="宋体" w:cs="Times New Roman"/>
                <w:color w:val="auto"/>
                <w:sz w:val="21"/>
                <w:szCs w:val="20"/>
                <w:lang w:val="en-US" w:eastAsia="zh-CN"/>
              </w:rPr>
              <w:t>（99.47t/d），尚有蒸汽余量供给</w:t>
            </w:r>
            <w:r>
              <w:rPr>
                <w:rFonts w:hint="default" w:ascii="Times New Roman" w:hAnsi="Times New Roman" w:eastAsia="宋体" w:cs="Times New Roman"/>
                <w:color w:val="auto"/>
                <w:sz w:val="21"/>
                <w:szCs w:val="20"/>
              </w:rPr>
              <w:t>本次扩建项目</w:t>
            </w:r>
            <w:r>
              <w:rPr>
                <w:rFonts w:hint="eastAsia" w:ascii="Times New Roman" w:hAnsi="Times New Roman" w:eastAsia="宋体" w:cs="Times New Roman"/>
                <w:color w:val="auto"/>
                <w:sz w:val="21"/>
                <w:szCs w:val="20"/>
                <w:lang w:val="en-US" w:eastAsia="zh-CN"/>
              </w:rPr>
              <w:t>。</w:t>
            </w:r>
            <w:r>
              <w:rPr>
                <w:rFonts w:hint="default" w:ascii="Times New Roman" w:hAnsi="Times New Roman" w:eastAsia="宋体" w:cs="Times New Roman"/>
                <w:color w:val="auto"/>
                <w:sz w:val="21"/>
                <w:szCs w:val="20"/>
              </w:rPr>
              <w:t>本次扩建项目</w:t>
            </w:r>
            <w:r>
              <w:rPr>
                <w:rFonts w:hint="eastAsia" w:ascii="Times New Roman" w:hAnsi="Times New Roman" w:eastAsia="宋体" w:cs="Times New Roman"/>
                <w:color w:val="auto"/>
                <w:sz w:val="21"/>
                <w:szCs w:val="20"/>
                <w:lang w:val="en-US" w:eastAsia="zh-CN"/>
              </w:rPr>
              <w:t>建成后一厂+二厂全厂蒸汽用量30033.17t/a（109.0785t/d），蒸汽平衡如下图：</w:t>
            </w:r>
          </w:p>
          <w:p>
            <w:pPr>
              <w:spacing w:before="194" w:beforeLines="50"/>
              <w:jc w:val="center"/>
              <w:outlineLvl w:val="5"/>
              <w:rPr>
                <w:rFonts w:hint="eastAsia" w:cs="Times New Roman"/>
                <w:b/>
                <w:bCs/>
                <w:color w:val="auto"/>
                <w:sz w:val="21"/>
                <w:szCs w:val="20"/>
                <w:lang w:val="en-US" w:eastAsia="zh-CN"/>
              </w:rPr>
            </w:pPr>
            <w:r>
              <w:rPr>
                <w:rFonts w:hint="eastAsia" w:eastAsia="宋体" w:cs="Times New Roman"/>
                <w:b/>
                <w:color w:val="auto"/>
                <w:spacing w:val="0"/>
                <w:sz w:val="21"/>
                <w:szCs w:val="21"/>
                <w:lang w:val="en-US" w:eastAsia="zh-CN"/>
              </w:rPr>
              <w:t>图2-4-1：本项目建成后一厂二厂蒸汽平衡图（</w:t>
            </w:r>
            <w:r>
              <w:rPr>
                <w:rFonts w:hint="eastAsia" w:cs="Times New Roman"/>
                <w:b/>
                <w:color w:val="auto"/>
                <w:spacing w:val="0"/>
                <w:sz w:val="21"/>
                <w:szCs w:val="21"/>
                <w:lang w:val="en-US" w:eastAsia="zh-CN"/>
              </w:rPr>
              <w:t>涉密</w:t>
            </w:r>
            <w:r>
              <w:rPr>
                <w:rFonts w:hint="eastAsia" w:eastAsia="宋体" w:cs="Times New Roman"/>
                <w:b/>
                <w:color w:val="auto"/>
                <w:spacing w:val="0"/>
                <w:sz w:val="21"/>
                <w:szCs w:val="21"/>
                <w:lang w:val="en-US" w:eastAsia="zh-CN"/>
              </w:rPr>
              <w:t>）</w:t>
            </w:r>
          </w:p>
          <w:p>
            <w:pPr>
              <w:spacing w:before="194" w:beforeLines="50"/>
              <w:jc w:val="center"/>
              <w:outlineLvl w:val="5"/>
              <w:rPr>
                <w:rFonts w:hint="eastAsia"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图2-4-2：本项目建成后一厂二厂蒸汽平衡图（</w:t>
            </w:r>
            <w:r>
              <w:rPr>
                <w:rFonts w:hint="eastAsia" w:cs="Times New Roman"/>
                <w:b/>
                <w:color w:val="auto"/>
                <w:spacing w:val="0"/>
                <w:sz w:val="21"/>
                <w:szCs w:val="21"/>
                <w:lang w:val="en-US" w:eastAsia="zh-CN"/>
              </w:rPr>
              <w:t>涉密</w:t>
            </w:r>
            <w:r>
              <w:rPr>
                <w:rFonts w:hint="eastAsia" w:eastAsia="宋体" w:cs="Times New Roman"/>
                <w:b/>
                <w:color w:val="auto"/>
                <w:spacing w:val="0"/>
                <w:sz w:val="21"/>
                <w:szCs w:val="21"/>
                <w:lang w:val="en-US" w:eastAsia="zh-CN"/>
              </w:rPr>
              <w:t>）</w:t>
            </w:r>
          </w:p>
          <w:p>
            <w:pPr>
              <w:pStyle w:val="35"/>
              <w:ind w:firstLine="0" w:firstLineChars="0"/>
              <w:jc w:val="both"/>
              <w:rPr>
                <w:rFonts w:ascii="Times New Roman" w:hAnsi="Times New Roman" w:cs="Times New Roman"/>
                <w:b/>
                <w:bCs/>
                <w:color w:val="auto"/>
                <w:spacing w:val="-4"/>
                <w:kern w:val="2"/>
                <w:sz w:val="21"/>
                <w:szCs w:val="21"/>
              </w:rPr>
            </w:pPr>
            <w:r>
              <w:rPr>
                <w:rFonts w:ascii="Times New Roman" w:hAnsi="Times New Roman" w:cs="Times New Roman"/>
                <w:b/>
                <w:bCs/>
                <w:color w:val="auto"/>
                <w:spacing w:val="-4"/>
                <w:kern w:val="2"/>
                <w:sz w:val="21"/>
                <w:szCs w:val="21"/>
              </w:rPr>
              <w:t>2.</w:t>
            </w:r>
            <w:r>
              <w:rPr>
                <w:rFonts w:hint="eastAsia" w:ascii="Times New Roman" w:hAnsi="Times New Roman" w:cs="Times New Roman"/>
                <w:b/>
                <w:bCs/>
                <w:color w:val="auto"/>
                <w:spacing w:val="-4"/>
                <w:kern w:val="2"/>
                <w:sz w:val="21"/>
                <w:szCs w:val="21"/>
                <w:lang w:val="en-US" w:eastAsia="zh-CN"/>
              </w:rPr>
              <w:t>7</w:t>
            </w:r>
            <w:r>
              <w:rPr>
                <w:rFonts w:hint="eastAsia" w:ascii="Times New Roman" w:hAnsi="Times New Roman" w:cs="Times New Roman"/>
                <w:b/>
                <w:bCs/>
                <w:color w:val="auto"/>
                <w:spacing w:val="-4"/>
                <w:kern w:val="2"/>
                <w:sz w:val="21"/>
                <w:szCs w:val="21"/>
              </w:rPr>
              <w:t>厂区平面布置图及其合理性分析</w:t>
            </w:r>
          </w:p>
          <w:p>
            <w:pPr>
              <w:pStyle w:val="35"/>
              <w:ind w:firstLine="420"/>
              <w:jc w:val="both"/>
              <w:rPr>
                <w:rFonts w:hint="eastAsia" w:ascii="Times New Roman" w:hAnsi="Times New Roman" w:eastAsia="宋体" w:cs="Times New Roman"/>
                <w:b w:val="0"/>
                <w:bCs w:val="0"/>
                <w:color w:val="auto"/>
                <w:sz w:val="21"/>
                <w:szCs w:val="20"/>
              </w:rPr>
            </w:pPr>
            <w:r>
              <w:rPr>
                <w:rFonts w:hint="eastAsia" w:ascii="Times New Roman" w:hAnsi="Times New Roman" w:eastAsia="宋体" w:cs="Times New Roman"/>
                <w:b w:val="0"/>
                <w:bCs w:val="0"/>
                <w:color w:val="auto"/>
                <w:sz w:val="21"/>
                <w:szCs w:val="20"/>
              </w:rPr>
              <w:t>项目位于三明市明溪县，在三明市海斯福化工有限责任公司现有一厂区闲置土地进行建设，不新增用地。一厂四至为：东临园区林地，南靠腾恩生物科技，西接鑫达树脂、福建烁坤竹制品，北邻王陂村及306省道。厂区实行生活区与生产区分开布置。</w:t>
            </w:r>
          </w:p>
          <w:p>
            <w:pPr>
              <w:pStyle w:val="35"/>
              <w:ind w:firstLine="420"/>
              <w:jc w:val="both"/>
              <w:rPr>
                <w:rFonts w:hint="eastAsia" w:ascii="Times New Roman" w:hAnsi="Times New Roman" w:eastAsia="宋体" w:cs="Times New Roman"/>
                <w:b w:val="0"/>
                <w:bCs w:val="0"/>
                <w:color w:val="auto"/>
                <w:sz w:val="21"/>
                <w:szCs w:val="20"/>
              </w:rPr>
            </w:pPr>
            <w:r>
              <w:rPr>
                <w:rFonts w:hint="eastAsia" w:ascii="Times New Roman" w:hAnsi="Times New Roman" w:eastAsia="宋体" w:cs="Times New Roman"/>
                <w:b w:val="0"/>
                <w:bCs w:val="0"/>
                <w:color w:val="auto"/>
                <w:sz w:val="21"/>
                <w:szCs w:val="20"/>
              </w:rPr>
              <w:t>项目周边敏感目标包括：北侧王陂村、西南侧大焦村2户拟拆迁居民点、大焦村、庭坊。本次扩建项目卫生防护距离以</w:t>
            </w:r>
            <w:r>
              <w:rPr>
                <w:rFonts w:hint="eastAsia" w:ascii="Times New Roman" w:hAnsi="Times New Roman" w:eastAsia="宋体" w:cs="Times New Roman"/>
                <w:b w:val="0"/>
                <w:bCs w:val="0"/>
                <w:color w:val="auto"/>
                <w:sz w:val="21"/>
                <w:szCs w:val="20"/>
                <w:lang w:eastAsia="zh-CN"/>
              </w:rPr>
              <w:t>车间X1</w:t>
            </w:r>
            <w:r>
              <w:rPr>
                <w:rFonts w:hint="eastAsia" w:ascii="Times New Roman" w:hAnsi="Times New Roman" w:eastAsia="宋体" w:cs="Times New Roman"/>
                <w:b w:val="0"/>
                <w:bCs w:val="0"/>
                <w:color w:val="auto"/>
                <w:sz w:val="21"/>
                <w:szCs w:val="20"/>
              </w:rPr>
              <w:t>一边界外延50m范围；经废气环境影响分析，项目产生的废气经有效收集处理后可达标排放，不会造成废气扰民。根据现状监测，北侧靠近王陂村的厂界噪声符合《声环境质量标准》（GB3096-2008）</w:t>
            </w:r>
            <w:r>
              <w:rPr>
                <w:rFonts w:hint="eastAsia" w:ascii="Times New Roman" w:hAnsi="Times New Roman" w:eastAsia="宋体" w:cs="Times New Roman"/>
                <w:b w:val="0"/>
                <w:bCs w:val="0"/>
                <w:color w:val="auto"/>
                <w:sz w:val="21"/>
                <w:szCs w:val="20"/>
                <w:lang w:val="en-US" w:eastAsia="zh-CN"/>
              </w:rPr>
              <w:t>3</w:t>
            </w:r>
            <w:r>
              <w:rPr>
                <w:rFonts w:hint="eastAsia" w:ascii="Times New Roman" w:hAnsi="Times New Roman" w:eastAsia="宋体" w:cs="Times New Roman"/>
                <w:b w:val="0"/>
                <w:bCs w:val="0"/>
                <w:color w:val="auto"/>
                <w:sz w:val="21"/>
                <w:szCs w:val="20"/>
              </w:rPr>
              <w:t>类标准，噪声对敏感目标无显著影响。项目所在地主导风向为西风，周边敏感目标均位于一厂的侧风向，受废气影响较小。</w:t>
            </w:r>
          </w:p>
          <w:p>
            <w:pPr>
              <w:pStyle w:val="35"/>
              <w:ind w:firstLine="420"/>
              <w:jc w:val="both"/>
              <w:rPr>
                <w:rFonts w:hint="eastAsia" w:ascii="Times New Roman" w:hAnsi="Times New Roman" w:eastAsia="宋体" w:cs="Times New Roman"/>
                <w:b/>
                <w:bCs/>
                <w:color w:val="auto"/>
                <w:sz w:val="21"/>
                <w:szCs w:val="20"/>
                <w:vertAlign w:val="baseline"/>
                <w:lang w:eastAsia="zh-CN"/>
              </w:rPr>
            </w:pPr>
            <w:r>
              <w:rPr>
                <w:rFonts w:hint="eastAsia" w:ascii="Times New Roman" w:hAnsi="Times New Roman" w:eastAsia="宋体" w:cs="Times New Roman"/>
                <w:b w:val="0"/>
                <w:bCs w:val="0"/>
                <w:color w:val="auto"/>
                <w:sz w:val="21"/>
                <w:szCs w:val="20"/>
              </w:rPr>
              <w:t>厂区平面布置参照《石油化工企业设计防火标准》的要求，综合考虑了厂区地形、周边用地条件和本工程生产特点和火灾危险性，结合厂址特征及综合考虑风向、朝向等因素进行总平面布置，厂区均将生产区和生活区分开，总体来说，总平布局可较好的满足生产生活需要，项目平面布置从环境保护角度分析基本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0" w:type="dxa"/>
            <w:vAlign w:val="center"/>
          </w:tcPr>
          <w:p>
            <w:pPr>
              <w:jc w:val="center"/>
              <w:rPr>
                <w:rFonts w:hint="eastAsia" w:ascii="Times New Roman" w:hAnsi="Times New Roman" w:eastAsia="宋体" w:cs="Times New Roman"/>
                <w:b/>
                <w:bCs/>
                <w:color w:val="auto"/>
                <w:sz w:val="21"/>
                <w:szCs w:val="20"/>
                <w:vertAlign w:val="baseline"/>
                <w:lang w:eastAsia="zh-CN"/>
              </w:rPr>
            </w:pPr>
            <w:r>
              <w:rPr>
                <w:color w:val="auto"/>
                <w:szCs w:val="21"/>
              </w:rPr>
              <w:t>工艺流程和产排污环节</w:t>
            </w:r>
          </w:p>
        </w:tc>
        <w:tc>
          <w:tcPr>
            <w:tcW w:w="8323" w:type="dxa"/>
          </w:tcPr>
          <w:p>
            <w:pPr>
              <w:pStyle w:val="35"/>
              <w:spacing w:line="360" w:lineRule="auto"/>
              <w:jc w:val="both"/>
              <w:rPr>
                <w:rFonts w:hint="default" w:ascii="Times New Roman" w:hAnsi="Times New Roman" w:eastAsia="宋体" w:cs="Times New Roman"/>
                <w:color w:val="auto"/>
                <w:sz w:val="21"/>
                <w:szCs w:val="20"/>
              </w:rPr>
            </w:pPr>
          </w:p>
          <w:p>
            <w:pPr>
              <w:pStyle w:val="35"/>
              <w:spacing w:line="360" w:lineRule="auto"/>
              <w:ind w:firstLine="420"/>
              <w:jc w:val="both"/>
              <w:rPr>
                <w:rFonts w:hint="default" w:ascii="Times New Roman" w:hAnsi="Times New Roman" w:eastAsia="宋体" w:cs="Times New Roman"/>
                <w:color w:val="auto"/>
                <w:sz w:val="21"/>
                <w:szCs w:val="20"/>
                <w:lang w:val="en-US" w:eastAsia="zh-CN"/>
              </w:rPr>
            </w:pPr>
            <w:r>
              <w:rPr>
                <w:rFonts w:hint="default" w:ascii="Times New Roman" w:hAnsi="Times New Roman" w:eastAsia="宋体" w:cs="Times New Roman"/>
                <w:color w:val="auto"/>
                <w:sz w:val="21"/>
                <w:szCs w:val="20"/>
              </w:rPr>
              <w:t>本次扩建项目</w:t>
            </w:r>
            <w:r>
              <w:rPr>
                <w:rFonts w:hint="eastAsia" w:ascii="Times New Roman" w:hAnsi="Times New Roman" w:eastAsia="宋体" w:cs="Times New Roman"/>
                <w:color w:val="auto"/>
                <w:sz w:val="21"/>
                <w:szCs w:val="20"/>
                <w:lang w:val="en-US" w:eastAsia="zh-CN"/>
              </w:rPr>
              <w:t>工艺流程和产排污环节</w:t>
            </w:r>
            <w:r>
              <w:rPr>
                <w:rFonts w:hint="default" w:ascii="Times New Roman" w:hAnsi="Times New Roman" w:eastAsia="宋体" w:cs="Times New Roman"/>
                <w:color w:val="auto"/>
                <w:sz w:val="21"/>
                <w:szCs w:val="20"/>
              </w:rPr>
              <w:t>如下：</w:t>
            </w:r>
          </w:p>
          <w:p>
            <w:pPr>
              <w:pStyle w:val="26"/>
              <w:spacing w:line="360" w:lineRule="auto"/>
              <w:ind w:firstLine="420" w:firstLineChars="200"/>
              <w:jc w:val="both"/>
              <w:rPr>
                <w:rFonts w:hint="eastAsia" w:cs="Times New Roman" w:eastAsiaTheme="minorEastAsia"/>
                <w:b w:val="0"/>
                <w:color w:val="auto"/>
                <w:sz w:val="21"/>
                <w:szCs w:val="20"/>
                <w:lang w:eastAsia="zh-CN"/>
              </w:rPr>
            </w:pPr>
            <w:r>
              <w:rPr>
                <w:rFonts w:hint="eastAsia" w:cs="Times New Roman" w:eastAsiaTheme="minorEastAsia"/>
                <w:b w:val="0"/>
                <w:color w:val="auto"/>
                <w:sz w:val="21"/>
                <w:szCs w:val="20"/>
              </w:rPr>
              <w:t>1.工艺流程</w:t>
            </w:r>
            <w:r>
              <w:rPr>
                <w:rFonts w:hint="eastAsia" w:cs="Times New Roman" w:eastAsiaTheme="minorEastAsia"/>
                <w:b w:val="0"/>
                <w:color w:val="auto"/>
                <w:sz w:val="21"/>
                <w:szCs w:val="20"/>
                <w:lang w:eastAsia="zh-CN"/>
              </w:rPr>
              <w:t>（</w:t>
            </w:r>
            <w:r>
              <w:rPr>
                <w:rFonts w:hint="eastAsia" w:cs="Times New Roman" w:eastAsiaTheme="minorEastAsia"/>
                <w:b w:val="0"/>
                <w:color w:val="auto"/>
                <w:sz w:val="21"/>
                <w:szCs w:val="20"/>
                <w:lang w:val="en-US" w:eastAsia="zh-CN"/>
              </w:rPr>
              <w:t>涉密</w:t>
            </w:r>
            <w:r>
              <w:rPr>
                <w:rFonts w:hint="eastAsia" w:cs="Times New Roman" w:eastAsiaTheme="minorEastAsia"/>
                <w:b w:val="0"/>
                <w:color w:val="auto"/>
                <w:sz w:val="21"/>
                <w:szCs w:val="20"/>
                <w:lang w:eastAsia="zh-CN"/>
              </w:rPr>
              <w:t>）</w:t>
            </w:r>
          </w:p>
          <w:p>
            <w:pPr>
              <w:pStyle w:val="35"/>
              <w:ind w:firstLine="0" w:firstLineChars="0"/>
              <w:jc w:val="center"/>
              <w:rPr>
                <w:rFonts w:ascii="Times New Roman" w:hAnsi="Times New Roman" w:cs="Times New Roman"/>
                <w:color w:val="auto"/>
                <w:sz w:val="21"/>
                <w:szCs w:val="20"/>
              </w:rPr>
            </w:pPr>
          </w:p>
          <w:p>
            <w:pPr>
              <w:spacing w:before="194" w:beforeLines="50"/>
              <w:jc w:val="center"/>
              <w:outlineLvl w:val="5"/>
              <w:rPr>
                <w:rFonts w:hint="eastAsia"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图2-5  项目工艺流程与产污环节图</w:t>
            </w:r>
            <w:r>
              <w:rPr>
                <w:rFonts w:hint="eastAsia" w:cs="Times New Roman"/>
                <w:b/>
                <w:color w:val="auto"/>
                <w:spacing w:val="0"/>
                <w:sz w:val="21"/>
                <w:szCs w:val="21"/>
                <w:lang w:val="en-US" w:eastAsia="zh-CN"/>
              </w:rPr>
              <w:t>（涉密）</w:t>
            </w:r>
          </w:p>
          <w:p>
            <w:pPr>
              <w:pStyle w:val="26"/>
              <w:spacing w:line="360" w:lineRule="auto"/>
              <w:ind w:firstLine="420" w:firstLineChars="200"/>
              <w:jc w:val="both"/>
              <w:rPr>
                <w:rFonts w:cs="Times New Roman" w:eastAsiaTheme="minorEastAsia"/>
                <w:b w:val="0"/>
                <w:color w:val="auto"/>
                <w:sz w:val="21"/>
                <w:szCs w:val="20"/>
              </w:rPr>
            </w:pPr>
            <w:r>
              <w:rPr>
                <w:rFonts w:hint="eastAsia" w:cs="Times New Roman" w:eastAsiaTheme="minorEastAsia"/>
                <w:b w:val="0"/>
                <w:color w:val="auto"/>
                <w:sz w:val="21"/>
                <w:szCs w:val="20"/>
              </w:rPr>
              <w:t>2.产污环节分析</w:t>
            </w:r>
          </w:p>
          <w:p>
            <w:pPr>
              <w:pStyle w:val="26"/>
              <w:spacing w:line="360" w:lineRule="auto"/>
              <w:ind w:firstLine="420" w:firstLineChars="200"/>
              <w:jc w:val="both"/>
              <w:rPr>
                <w:rFonts w:cs="Times New Roman" w:eastAsiaTheme="minorEastAsia"/>
                <w:b w:val="0"/>
                <w:color w:val="auto"/>
                <w:sz w:val="21"/>
                <w:szCs w:val="20"/>
              </w:rPr>
            </w:pPr>
            <w:r>
              <w:rPr>
                <w:rFonts w:hint="eastAsia" w:cs="Times New Roman" w:eastAsiaTheme="minorEastAsia"/>
                <w:b w:val="0"/>
                <w:color w:val="auto"/>
                <w:sz w:val="21"/>
                <w:szCs w:val="20"/>
              </w:rPr>
              <w:t>项目产排污环节一览表详见表</w:t>
            </w:r>
            <w:r>
              <w:rPr>
                <w:rFonts w:hint="eastAsia" w:cs="Times New Roman" w:eastAsiaTheme="minorEastAsia"/>
                <w:b w:val="0"/>
                <w:color w:val="auto"/>
                <w:sz w:val="21"/>
                <w:szCs w:val="20"/>
                <w:lang w:val="en-US" w:eastAsia="zh-CN"/>
              </w:rPr>
              <w:t>2-9</w:t>
            </w:r>
            <w:r>
              <w:rPr>
                <w:rFonts w:hint="eastAsia" w:cs="Times New Roman" w:eastAsiaTheme="minorEastAsia"/>
                <w:b w:val="0"/>
                <w:color w:val="auto"/>
                <w:sz w:val="21"/>
                <w:szCs w:val="20"/>
              </w:rPr>
              <w:t>。</w:t>
            </w:r>
          </w:p>
          <w:p>
            <w:pPr>
              <w:pStyle w:val="30"/>
              <w:rPr>
                <w:rFonts w:hint="eastAsia" w:cs="Times New Roman" w:eastAsiaTheme="minorEastAsia"/>
                <w:b/>
                <w:bCs/>
                <w:color w:val="auto"/>
                <w:kern w:val="0"/>
                <w:sz w:val="21"/>
              </w:rPr>
            </w:pPr>
          </w:p>
          <w:p>
            <w:pPr>
              <w:rPr>
                <w:rFonts w:hint="eastAsia" w:cs="Times New Roman" w:eastAsiaTheme="minorEastAsia"/>
                <w:b/>
                <w:bCs/>
                <w:color w:val="auto"/>
                <w:kern w:val="0"/>
                <w:sz w:val="21"/>
              </w:rPr>
            </w:pPr>
          </w:p>
          <w:p>
            <w:pPr>
              <w:rPr>
                <w:rFonts w:hint="eastAsia" w:cs="Times New Roman" w:eastAsiaTheme="minorEastAsia"/>
                <w:b/>
                <w:bCs/>
                <w:color w:val="auto"/>
                <w:kern w:val="0"/>
                <w:sz w:val="21"/>
              </w:rPr>
            </w:pPr>
          </w:p>
          <w:p>
            <w:pPr>
              <w:rPr>
                <w:rFonts w:hint="eastAsia" w:cs="Times New Roman" w:eastAsiaTheme="minorEastAsia"/>
                <w:b/>
                <w:bCs/>
                <w:color w:val="auto"/>
                <w:kern w:val="0"/>
                <w:sz w:val="21"/>
              </w:rPr>
            </w:pPr>
          </w:p>
          <w:p>
            <w:pPr>
              <w:spacing w:before="194" w:beforeLines="50"/>
              <w:jc w:val="center"/>
              <w:outlineLvl w:val="5"/>
              <w:rPr>
                <w:rFonts w:hint="eastAsia"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表2-9  产排污环节基本情况一览表</w:t>
            </w:r>
          </w:p>
          <w:tbl>
            <w:tblPr>
              <w:tblStyle w:val="19"/>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478"/>
              <w:gridCol w:w="521"/>
              <w:gridCol w:w="261"/>
              <w:gridCol w:w="549"/>
              <w:gridCol w:w="612"/>
              <w:gridCol w:w="1457"/>
              <w:gridCol w:w="3000"/>
              <w:gridCol w:w="99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478" w:type="dxa"/>
                  <w:tcMar>
                    <w:left w:w="0" w:type="dxa"/>
                    <w:right w:w="0" w:type="dxa"/>
                  </w:tcMar>
                  <w:vAlign w:val="center"/>
                </w:tcPr>
                <w:p>
                  <w:pPr>
                    <w:pStyle w:val="27"/>
                    <w:rPr>
                      <w:b/>
                      <w:bCs/>
                      <w:color w:val="auto"/>
                      <w:sz w:val="18"/>
                      <w:szCs w:val="18"/>
                    </w:rPr>
                  </w:pPr>
                  <w:r>
                    <w:rPr>
                      <w:b/>
                      <w:bCs/>
                      <w:color w:val="auto"/>
                      <w:sz w:val="18"/>
                      <w:szCs w:val="18"/>
                    </w:rPr>
                    <w:t>类别</w:t>
                  </w:r>
                </w:p>
              </w:tc>
              <w:tc>
                <w:tcPr>
                  <w:tcW w:w="1331" w:type="dxa"/>
                  <w:gridSpan w:val="3"/>
                  <w:tcMar>
                    <w:left w:w="0" w:type="dxa"/>
                    <w:right w:w="0" w:type="dxa"/>
                  </w:tcMar>
                  <w:vAlign w:val="center"/>
                </w:tcPr>
                <w:p>
                  <w:pPr>
                    <w:pStyle w:val="27"/>
                    <w:rPr>
                      <w:b/>
                      <w:bCs/>
                      <w:color w:val="auto"/>
                      <w:sz w:val="18"/>
                      <w:szCs w:val="18"/>
                    </w:rPr>
                  </w:pPr>
                  <w:r>
                    <w:rPr>
                      <w:b/>
                      <w:bCs/>
                      <w:color w:val="auto"/>
                      <w:sz w:val="18"/>
                      <w:szCs w:val="18"/>
                    </w:rPr>
                    <w:t>污染源名称</w:t>
                  </w:r>
                </w:p>
              </w:tc>
              <w:tc>
                <w:tcPr>
                  <w:tcW w:w="612" w:type="dxa"/>
                  <w:tcMar>
                    <w:left w:w="0" w:type="dxa"/>
                    <w:right w:w="0" w:type="dxa"/>
                  </w:tcMar>
                  <w:vAlign w:val="center"/>
                </w:tcPr>
                <w:p>
                  <w:pPr>
                    <w:pStyle w:val="27"/>
                    <w:rPr>
                      <w:b/>
                      <w:bCs/>
                      <w:color w:val="auto"/>
                      <w:sz w:val="18"/>
                      <w:szCs w:val="18"/>
                    </w:rPr>
                  </w:pPr>
                  <w:r>
                    <w:rPr>
                      <w:b/>
                      <w:bCs/>
                      <w:color w:val="auto"/>
                      <w:sz w:val="18"/>
                      <w:szCs w:val="18"/>
                    </w:rPr>
                    <w:t>产污环节</w:t>
                  </w:r>
                </w:p>
              </w:tc>
              <w:tc>
                <w:tcPr>
                  <w:tcW w:w="1457" w:type="dxa"/>
                  <w:tcMar>
                    <w:left w:w="0" w:type="dxa"/>
                    <w:right w:w="0" w:type="dxa"/>
                  </w:tcMar>
                  <w:vAlign w:val="center"/>
                </w:tcPr>
                <w:p>
                  <w:pPr>
                    <w:pStyle w:val="27"/>
                    <w:rPr>
                      <w:b/>
                      <w:bCs/>
                      <w:color w:val="auto"/>
                      <w:sz w:val="18"/>
                      <w:szCs w:val="18"/>
                    </w:rPr>
                  </w:pPr>
                  <w:r>
                    <w:rPr>
                      <w:b/>
                      <w:bCs/>
                      <w:color w:val="auto"/>
                      <w:sz w:val="18"/>
                      <w:szCs w:val="18"/>
                    </w:rPr>
                    <w:t>污染因子</w:t>
                  </w:r>
                </w:p>
              </w:tc>
              <w:tc>
                <w:tcPr>
                  <w:tcW w:w="3000" w:type="dxa"/>
                  <w:tcMar>
                    <w:left w:w="0" w:type="dxa"/>
                    <w:right w:w="0" w:type="dxa"/>
                  </w:tcMar>
                  <w:vAlign w:val="center"/>
                </w:tcPr>
                <w:p>
                  <w:pPr>
                    <w:pStyle w:val="27"/>
                    <w:rPr>
                      <w:b/>
                      <w:bCs/>
                      <w:color w:val="auto"/>
                      <w:sz w:val="18"/>
                      <w:szCs w:val="18"/>
                    </w:rPr>
                  </w:pPr>
                  <w:r>
                    <w:rPr>
                      <w:b/>
                      <w:bCs/>
                      <w:color w:val="auto"/>
                      <w:sz w:val="18"/>
                      <w:szCs w:val="18"/>
                    </w:rPr>
                    <w:t>处理措施</w:t>
                  </w:r>
                  <w:r>
                    <w:rPr>
                      <w:rFonts w:hint="eastAsia"/>
                      <w:b/>
                      <w:bCs/>
                      <w:color w:val="auto"/>
                      <w:sz w:val="18"/>
                      <w:szCs w:val="18"/>
                      <w:lang w:val="en-US" w:eastAsia="zh-CN"/>
                    </w:rPr>
                    <w:t>及</w:t>
                  </w:r>
                  <w:r>
                    <w:rPr>
                      <w:b/>
                      <w:bCs/>
                      <w:color w:val="auto"/>
                      <w:sz w:val="18"/>
                      <w:szCs w:val="18"/>
                    </w:rPr>
                    <w:t>去向</w:t>
                  </w:r>
                </w:p>
              </w:tc>
              <w:tc>
                <w:tcPr>
                  <w:tcW w:w="997" w:type="dxa"/>
                  <w:tcMar>
                    <w:left w:w="0" w:type="dxa"/>
                    <w:right w:w="0" w:type="dxa"/>
                  </w:tcMar>
                  <w:vAlign w:val="center"/>
                </w:tcPr>
                <w:p>
                  <w:pPr>
                    <w:pStyle w:val="27"/>
                    <w:rPr>
                      <w:b/>
                      <w:bCs/>
                      <w:color w:val="auto"/>
                      <w:sz w:val="18"/>
                      <w:szCs w:val="18"/>
                    </w:rPr>
                  </w:pPr>
                  <w:r>
                    <w:rPr>
                      <w:b/>
                      <w:bCs/>
                      <w:color w:val="auto"/>
                      <w:sz w:val="18"/>
                      <w:szCs w:val="18"/>
                    </w:rPr>
                    <w:t>排放方式</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478" w:type="dxa"/>
                  <w:vMerge w:val="restart"/>
                  <w:tcMar>
                    <w:left w:w="0" w:type="dxa"/>
                    <w:right w:w="0" w:type="dxa"/>
                  </w:tcMar>
                  <w:vAlign w:val="center"/>
                </w:tcPr>
                <w:p>
                  <w:pPr>
                    <w:pStyle w:val="27"/>
                    <w:rPr>
                      <w:color w:val="auto"/>
                      <w:sz w:val="18"/>
                      <w:szCs w:val="18"/>
                    </w:rPr>
                  </w:pPr>
                  <w:r>
                    <w:rPr>
                      <w:color w:val="auto"/>
                      <w:sz w:val="18"/>
                      <w:szCs w:val="18"/>
                    </w:rPr>
                    <w:t>废气</w:t>
                  </w:r>
                </w:p>
              </w:tc>
              <w:tc>
                <w:tcPr>
                  <w:tcW w:w="1331" w:type="dxa"/>
                  <w:gridSpan w:val="3"/>
                  <w:tcMar>
                    <w:left w:w="0" w:type="dxa"/>
                    <w:right w:w="0" w:type="dxa"/>
                  </w:tcMar>
                  <w:vAlign w:val="center"/>
                </w:tcPr>
                <w:p>
                  <w:pPr>
                    <w:pStyle w:val="27"/>
                    <w:rPr>
                      <w:rFonts w:hint="eastAsia" w:eastAsia="宋体"/>
                      <w:color w:val="auto"/>
                      <w:sz w:val="18"/>
                      <w:szCs w:val="18"/>
                      <w:lang w:val="en-US" w:eastAsia="zh-CN"/>
                    </w:rPr>
                  </w:pPr>
                  <w:r>
                    <w:rPr>
                      <w:color w:val="auto"/>
                      <w:sz w:val="18"/>
                      <w:szCs w:val="18"/>
                    </w:rPr>
                    <w:t>废气</w:t>
                  </w:r>
                  <w:r>
                    <w:rPr>
                      <w:rFonts w:hint="eastAsia"/>
                      <w:color w:val="auto"/>
                      <w:sz w:val="18"/>
                      <w:szCs w:val="18"/>
                      <w:lang w:val="en-US" w:eastAsia="zh-CN"/>
                    </w:rPr>
                    <w:t>1</w:t>
                  </w:r>
                </w:p>
              </w:tc>
              <w:tc>
                <w:tcPr>
                  <w:tcW w:w="612" w:type="dxa"/>
                  <w:tcMar>
                    <w:left w:w="0" w:type="dxa"/>
                    <w:right w:w="0" w:type="dxa"/>
                  </w:tcMar>
                  <w:vAlign w:val="center"/>
                </w:tcPr>
                <w:p>
                  <w:pPr>
                    <w:pStyle w:val="27"/>
                    <w:rPr>
                      <w:color w:val="auto"/>
                      <w:sz w:val="18"/>
                      <w:szCs w:val="18"/>
                    </w:rPr>
                  </w:pPr>
                  <w:r>
                    <w:rPr>
                      <w:color w:val="auto"/>
                      <w:sz w:val="18"/>
                      <w:szCs w:val="18"/>
                    </w:rPr>
                    <w:t>G1-1</w:t>
                  </w:r>
                </w:p>
              </w:tc>
              <w:tc>
                <w:tcPr>
                  <w:tcW w:w="1457" w:type="dxa"/>
                  <w:tcMar>
                    <w:left w:w="0" w:type="dxa"/>
                    <w:right w:w="0" w:type="dxa"/>
                  </w:tcMar>
                  <w:vAlign w:val="center"/>
                </w:tcPr>
                <w:p>
                  <w:pPr>
                    <w:pStyle w:val="27"/>
                    <w:rPr>
                      <w:color w:val="auto"/>
                      <w:sz w:val="18"/>
                      <w:szCs w:val="18"/>
                    </w:rPr>
                  </w:pPr>
                  <w:r>
                    <w:rPr>
                      <w:rFonts w:hint="eastAsia"/>
                      <w:color w:val="auto"/>
                      <w:sz w:val="18"/>
                      <w:szCs w:val="18"/>
                      <w:lang w:eastAsia="zh-CN"/>
                    </w:rPr>
                    <w:t>溶剂</w:t>
                  </w:r>
                  <w:r>
                    <w:rPr>
                      <w:color w:val="auto"/>
                      <w:sz w:val="18"/>
                      <w:szCs w:val="18"/>
                    </w:rPr>
                    <w:t>（</w:t>
                  </w:r>
                  <w:r>
                    <w:rPr>
                      <w:rFonts w:hint="eastAsia"/>
                      <w:color w:val="auto"/>
                      <w:sz w:val="18"/>
                      <w:szCs w:val="18"/>
                    </w:rPr>
                    <w:t>以</w:t>
                  </w:r>
                  <w:r>
                    <w:rPr>
                      <w:color w:val="auto"/>
                      <w:sz w:val="18"/>
                      <w:szCs w:val="18"/>
                    </w:rPr>
                    <w:t>非甲烷总烃</w:t>
                  </w:r>
                  <w:r>
                    <w:rPr>
                      <w:rFonts w:hint="eastAsia"/>
                      <w:color w:val="auto"/>
                      <w:sz w:val="18"/>
                      <w:szCs w:val="18"/>
                    </w:rPr>
                    <w:t>计</w:t>
                  </w:r>
                  <w:r>
                    <w:rPr>
                      <w:color w:val="auto"/>
                      <w:sz w:val="18"/>
                      <w:szCs w:val="18"/>
                    </w:rPr>
                    <w:t>）</w:t>
                  </w:r>
                </w:p>
              </w:tc>
              <w:tc>
                <w:tcPr>
                  <w:tcW w:w="3000" w:type="dxa"/>
                  <w:vMerge w:val="restart"/>
                  <w:tcMar>
                    <w:left w:w="0" w:type="dxa"/>
                    <w:right w:w="0" w:type="dxa"/>
                  </w:tcMar>
                  <w:vAlign w:val="center"/>
                </w:tcPr>
                <w:p>
                  <w:pPr>
                    <w:pStyle w:val="27"/>
                    <w:rPr>
                      <w:rFonts w:hint="default" w:eastAsia="宋体"/>
                      <w:color w:val="auto"/>
                      <w:sz w:val="18"/>
                      <w:szCs w:val="18"/>
                      <w:lang w:val="en-US" w:eastAsia="zh-CN"/>
                    </w:rPr>
                  </w:pPr>
                  <w:r>
                    <w:rPr>
                      <w:rFonts w:hint="eastAsia"/>
                      <w:color w:val="auto"/>
                      <w:sz w:val="18"/>
                      <w:szCs w:val="18"/>
                      <w:lang w:val="en-US" w:eastAsia="zh-CN"/>
                    </w:rPr>
                    <w:t>经“</w:t>
                  </w:r>
                  <w:r>
                    <w:rPr>
                      <w:rFonts w:hint="eastAsia"/>
                      <w:color w:val="auto"/>
                      <w:sz w:val="18"/>
                      <w:szCs w:val="18"/>
                    </w:rPr>
                    <w:t>二级冷凝+一级水喷淋+活性炭吸附</w:t>
                  </w:r>
                  <w:r>
                    <w:rPr>
                      <w:rFonts w:hint="eastAsia"/>
                      <w:color w:val="auto"/>
                      <w:sz w:val="18"/>
                      <w:szCs w:val="18"/>
                      <w:lang w:val="en-US" w:eastAsia="zh-CN"/>
                    </w:rPr>
                    <w:t>”处理后通过新建15m高排气筒（DA013）排放</w:t>
                  </w:r>
                </w:p>
              </w:tc>
              <w:tc>
                <w:tcPr>
                  <w:tcW w:w="997" w:type="dxa"/>
                  <w:vMerge w:val="restart"/>
                  <w:tcMar>
                    <w:left w:w="0" w:type="dxa"/>
                    <w:right w:w="0" w:type="dxa"/>
                  </w:tcMar>
                  <w:vAlign w:val="center"/>
                </w:tcPr>
                <w:p>
                  <w:pPr>
                    <w:pStyle w:val="27"/>
                    <w:rPr>
                      <w:color w:val="auto"/>
                      <w:sz w:val="18"/>
                      <w:szCs w:val="18"/>
                    </w:rPr>
                  </w:pPr>
                  <w:r>
                    <w:rPr>
                      <w:color w:val="auto"/>
                      <w:sz w:val="18"/>
                      <w:szCs w:val="18"/>
                    </w:rPr>
                    <w:t>有组织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478" w:type="dxa"/>
                  <w:vMerge w:val="continue"/>
                  <w:tcMar>
                    <w:left w:w="0" w:type="dxa"/>
                    <w:right w:w="0" w:type="dxa"/>
                  </w:tcMar>
                  <w:vAlign w:val="center"/>
                </w:tcPr>
                <w:p>
                  <w:pPr>
                    <w:pStyle w:val="27"/>
                    <w:rPr>
                      <w:color w:val="auto"/>
                      <w:sz w:val="18"/>
                      <w:szCs w:val="18"/>
                    </w:rPr>
                  </w:pPr>
                </w:p>
              </w:tc>
              <w:tc>
                <w:tcPr>
                  <w:tcW w:w="1331" w:type="dxa"/>
                  <w:gridSpan w:val="3"/>
                  <w:tcMar>
                    <w:left w:w="0" w:type="dxa"/>
                    <w:right w:w="0" w:type="dxa"/>
                  </w:tcMar>
                  <w:vAlign w:val="center"/>
                </w:tcPr>
                <w:p>
                  <w:pPr>
                    <w:pStyle w:val="27"/>
                    <w:rPr>
                      <w:rFonts w:hint="eastAsia" w:eastAsia="宋体"/>
                      <w:color w:val="auto"/>
                      <w:sz w:val="18"/>
                      <w:szCs w:val="18"/>
                      <w:lang w:val="en-US" w:eastAsia="zh-CN"/>
                    </w:rPr>
                  </w:pPr>
                  <w:r>
                    <w:rPr>
                      <w:color w:val="auto"/>
                      <w:sz w:val="18"/>
                      <w:szCs w:val="18"/>
                    </w:rPr>
                    <w:t>废气</w:t>
                  </w:r>
                  <w:r>
                    <w:rPr>
                      <w:rFonts w:hint="eastAsia"/>
                      <w:color w:val="auto"/>
                      <w:sz w:val="18"/>
                      <w:szCs w:val="18"/>
                      <w:lang w:val="en-US" w:eastAsia="zh-CN"/>
                    </w:rPr>
                    <w:t>2</w:t>
                  </w:r>
                </w:p>
              </w:tc>
              <w:tc>
                <w:tcPr>
                  <w:tcW w:w="612" w:type="dxa"/>
                  <w:tcMar>
                    <w:left w:w="0" w:type="dxa"/>
                    <w:right w:w="0" w:type="dxa"/>
                  </w:tcMar>
                  <w:vAlign w:val="center"/>
                </w:tcPr>
                <w:p>
                  <w:pPr>
                    <w:pStyle w:val="27"/>
                    <w:rPr>
                      <w:color w:val="auto"/>
                      <w:sz w:val="18"/>
                      <w:szCs w:val="18"/>
                    </w:rPr>
                  </w:pPr>
                  <w:r>
                    <w:rPr>
                      <w:color w:val="auto"/>
                      <w:sz w:val="18"/>
                      <w:szCs w:val="18"/>
                    </w:rPr>
                    <w:t>G1-2</w:t>
                  </w:r>
                </w:p>
              </w:tc>
              <w:tc>
                <w:tcPr>
                  <w:tcW w:w="1457" w:type="dxa"/>
                  <w:tcMar>
                    <w:left w:w="0" w:type="dxa"/>
                    <w:right w:w="0" w:type="dxa"/>
                  </w:tcMar>
                  <w:vAlign w:val="center"/>
                </w:tcPr>
                <w:p>
                  <w:pPr>
                    <w:pStyle w:val="27"/>
                    <w:rPr>
                      <w:color w:val="auto"/>
                      <w:sz w:val="18"/>
                      <w:szCs w:val="18"/>
                    </w:rPr>
                  </w:pPr>
                  <w:r>
                    <w:rPr>
                      <w:rFonts w:hint="eastAsia"/>
                      <w:color w:val="auto"/>
                      <w:sz w:val="18"/>
                      <w:szCs w:val="18"/>
                      <w:lang w:eastAsia="zh-CN"/>
                    </w:rPr>
                    <w:t>溶剂</w:t>
                  </w:r>
                  <w:r>
                    <w:rPr>
                      <w:color w:val="auto"/>
                      <w:sz w:val="18"/>
                      <w:szCs w:val="18"/>
                    </w:rPr>
                    <w:t>（</w:t>
                  </w:r>
                  <w:r>
                    <w:rPr>
                      <w:rFonts w:hint="eastAsia"/>
                      <w:color w:val="auto"/>
                      <w:sz w:val="18"/>
                      <w:szCs w:val="18"/>
                    </w:rPr>
                    <w:t>以</w:t>
                  </w:r>
                  <w:r>
                    <w:rPr>
                      <w:color w:val="auto"/>
                      <w:sz w:val="18"/>
                      <w:szCs w:val="18"/>
                    </w:rPr>
                    <w:t>非甲烷总烃</w:t>
                  </w:r>
                  <w:r>
                    <w:rPr>
                      <w:rFonts w:hint="eastAsia"/>
                      <w:color w:val="auto"/>
                      <w:sz w:val="18"/>
                      <w:szCs w:val="18"/>
                    </w:rPr>
                    <w:t>计</w:t>
                  </w:r>
                  <w:r>
                    <w:rPr>
                      <w:color w:val="auto"/>
                      <w:sz w:val="18"/>
                      <w:szCs w:val="18"/>
                    </w:rPr>
                    <w:t>）</w:t>
                  </w:r>
                </w:p>
              </w:tc>
              <w:tc>
                <w:tcPr>
                  <w:tcW w:w="3000" w:type="dxa"/>
                  <w:vMerge w:val="continue"/>
                  <w:tcMar>
                    <w:left w:w="0" w:type="dxa"/>
                    <w:right w:w="0" w:type="dxa"/>
                  </w:tcMar>
                  <w:vAlign w:val="center"/>
                </w:tcPr>
                <w:p>
                  <w:pPr>
                    <w:pStyle w:val="27"/>
                    <w:rPr>
                      <w:color w:val="auto"/>
                      <w:sz w:val="18"/>
                      <w:szCs w:val="18"/>
                    </w:rPr>
                  </w:pPr>
                </w:p>
              </w:tc>
              <w:tc>
                <w:tcPr>
                  <w:tcW w:w="997" w:type="dxa"/>
                  <w:vMerge w:val="continue"/>
                  <w:tcMar>
                    <w:left w:w="0" w:type="dxa"/>
                    <w:right w:w="0" w:type="dxa"/>
                  </w:tcMar>
                  <w:vAlign w:val="center"/>
                </w:tcPr>
                <w:p>
                  <w:pPr>
                    <w:pStyle w:val="27"/>
                    <w:rPr>
                      <w:color w:val="auto"/>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478" w:type="dxa"/>
                  <w:vMerge w:val="continue"/>
                  <w:tcMar>
                    <w:left w:w="0" w:type="dxa"/>
                    <w:right w:w="0" w:type="dxa"/>
                  </w:tcMar>
                  <w:vAlign w:val="center"/>
                </w:tcPr>
                <w:p>
                  <w:pPr>
                    <w:pStyle w:val="27"/>
                    <w:rPr>
                      <w:color w:val="auto"/>
                      <w:sz w:val="18"/>
                      <w:szCs w:val="18"/>
                    </w:rPr>
                  </w:pPr>
                </w:p>
              </w:tc>
              <w:tc>
                <w:tcPr>
                  <w:tcW w:w="1331" w:type="dxa"/>
                  <w:gridSpan w:val="3"/>
                  <w:tcMar>
                    <w:left w:w="0" w:type="dxa"/>
                    <w:right w:w="0" w:type="dxa"/>
                  </w:tcMar>
                  <w:vAlign w:val="center"/>
                </w:tcPr>
                <w:p>
                  <w:pPr>
                    <w:pStyle w:val="27"/>
                    <w:rPr>
                      <w:rFonts w:hint="eastAsia" w:eastAsia="宋体"/>
                      <w:color w:val="auto"/>
                      <w:sz w:val="18"/>
                      <w:szCs w:val="18"/>
                      <w:lang w:val="en-US" w:eastAsia="zh-CN"/>
                    </w:rPr>
                  </w:pPr>
                  <w:r>
                    <w:rPr>
                      <w:color w:val="auto"/>
                      <w:sz w:val="18"/>
                      <w:szCs w:val="18"/>
                    </w:rPr>
                    <w:t>废气</w:t>
                  </w:r>
                  <w:r>
                    <w:rPr>
                      <w:rFonts w:hint="eastAsia"/>
                      <w:color w:val="auto"/>
                      <w:sz w:val="18"/>
                      <w:szCs w:val="18"/>
                      <w:lang w:val="en-US" w:eastAsia="zh-CN"/>
                    </w:rPr>
                    <w:t>3</w:t>
                  </w:r>
                </w:p>
              </w:tc>
              <w:tc>
                <w:tcPr>
                  <w:tcW w:w="612" w:type="dxa"/>
                  <w:tcMar>
                    <w:left w:w="0" w:type="dxa"/>
                    <w:right w:w="0" w:type="dxa"/>
                  </w:tcMar>
                  <w:vAlign w:val="center"/>
                </w:tcPr>
                <w:p>
                  <w:pPr>
                    <w:pStyle w:val="27"/>
                    <w:rPr>
                      <w:color w:val="auto"/>
                      <w:sz w:val="18"/>
                      <w:szCs w:val="18"/>
                    </w:rPr>
                  </w:pPr>
                  <w:r>
                    <w:rPr>
                      <w:color w:val="auto"/>
                      <w:sz w:val="18"/>
                      <w:szCs w:val="18"/>
                    </w:rPr>
                    <w:t>G1-3</w:t>
                  </w:r>
                </w:p>
              </w:tc>
              <w:tc>
                <w:tcPr>
                  <w:tcW w:w="1457" w:type="dxa"/>
                  <w:tcMar>
                    <w:left w:w="0" w:type="dxa"/>
                    <w:right w:w="0" w:type="dxa"/>
                  </w:tcMar>
                  <w:vAlign w:val="center"/>
                </w:tcPr>
                <w:p>
                  <w:pPr>
                    <w:pStyle w:val="27"/>
                    <w:rPr>
                      <w:color w:val="auto"/>
                      <w:sz w:val="18"/>
                      <w:szCs w:val="18"/>
                    </w:rPr>
                  </w:pPr>
                  <w:r>
                    <w:rPr>
                      <w:rFonts w:hint="eastAsia"/>
                      <w:color w:val="auto"/>
                      <w:sz w:val="18"/>
                      <w:szCs w:val="18"/>
                      <w:lang w:eastAsia="zh-CN"/>
                    </w:rPr>
                    <w:t>溶剂</w:t>
                  </w:r>
                  <w:r>
                    <w:rPr>
                      <w:color w:val="auto"/>
                      <w:sz w:val="18"/>
                      <w:szCs w:val="18"/>
                    </w:rPr>
                    <w:t>（</w:t>
                  </w:r>
                  <w:r>
                    <w:rPr>
                      <w:rFonts w:hint="eastAsia"/>
                      <w:color w:val="auto"/>
                      <w:sz w:val="18"/>
                      <w:szCs w:val="18"/>
                    </w:rPr>
                    <w:t>以</w:t>
                  </w:r>
                  <w:r>
                    <w:rPr>
                      <w:color w:val="auto"/>
                      <w:sz w:val="18"/>
                      <w:szCs w:val="18"/>
                    </w:rPr>
                    <w:t>非甲烷总烃</w:t>
                  </w:r>
                  <w:r>
                    <w:rPr>
                      <w:rFonts w:hint="eastAsia"/>
                      <w:color w:val="auto"/>
                      <w:sz w:val="18"/>
                      <w:szCs w:val="18"/>
                    </w:rPr>
                    <w:t>计</w:t>
                  </w:r>
                  <w:r>
                    <w:rPr>
                      <w:color w:val="auto"/>
                      <w:sz w:val="18"/>
                      <w:szCs w:val="18"/>
                    </w:rPr>
                    <w:t>）</w:t>
                  </w:r>
                </w:p>
              </w:tc>
              <w:tc>
                <w:tcPr>
                  <w:tcW w:w="3000" w:type="dxa"/>
                  <w:vMerge w:val="continue"/>
                  <w:tcMar>
                    <w:left w:w="0" w:type="dxa"/>
                    <w:right w:w="0" w:type="dxa"/>
                  </w:tcMar>
                  <w:vAlign w:val="center"/>
                </w:tcPr>
                <w:p>
                  <w:pPr>
                    <w:pStyle w:val="27"/>
                    <w:rPr>
                      <w:color w:val="auto"/>
                      <w:sz w:val="18"/>
                      <w:szCs w:val="18"/>
                    </w:rPr>
                  </w:pPr>
                </w:p>
              </w:tc>
              <w:tc>
                <w:tcPr>
                  <w:tcW w:w="997" w:type="dxa"/>
                  <w:vMerge w:val="continue"/>
                  <w:tcMar>
                    <w:left w:w="0" w:type="dxa"/>
                    <w:right w:w="0" w:type="dxa"/>
                  </w:tcMar>
                  <w:vAlign w:val="center"/>
                </w:tcPr>
                <w:p>
                  <w:pPr>
                    <w:pStyle w:val="27"/>
                    <w:rPr>
                      <w:color w:val="auto"/>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478" w:type="dxa"/>
                  <w:vMerge w:val="continue"/>
                  <w:tcMar>
                    <w:left w:w="0" w:type="dxa"/>
                    <w:right w:w="0" w:type="dxa"/>
                  </w:tcMar>
                  <w:vAlign w:val="center"/>
                </w:tcPr>
                <w:p>
                  <w:pPr>
                    <w:pStyle w:val="27"/>
                    <w:rPr>
                      <w:color w:val="auto"/>
                      <w:sz w:val="18"/>
                      <w:szCs w:val="18"/>
                    </w:rPr>
                  </w:pPr>
                </w:p>
              </w:tc>
              <w:tc>
                <w:tcPr>
                  <w:tcW w:w="1331" w:type="dxa"/>
                  <w:gridSpan w:val="3"/>
                  <w:tcMar>
                    <w:left w:w="0" w:type="dxa"/>
                    <w:right w:w="0" w:type="dxa"/>
                  </w:tcMar>
                  <w:vAlign w:val="center"/>
                </w:tcPr>
                <w:p>
                  <w:pPr>
                    <w:pStyle w:val="27"/>
                    <w:rPr>
                      <w:rFonts w:hint="eastAsia" w:eastAsia="宋体"/>
                      <w:color w:val="auto"/>
                      <w:sz w:val="18"/>
                      <w:szCs w:val="18"/>
                      <w:lang w:val="en-US" w:eastAsia="zh-CN"/>
                    </w:rPr>
                  </w:pPr>
                  <w:r>
                    <w:rPr>
                      <w:color w:val="auto"/>
                      <w:sz w:val="18"/>
                      <w:szCs w:val="18"/>
                    </w:rPr>
                    <w:t>废气</w:t>
                  </w:r>
                  <w:r>
                    <w:rPr>
                      <w:rFonts w:hint="eastAsia"/>
                      <w:color w:val="auto"/>
                      <w:sz w:val="18"/>
                      <w:szCs w:val="18"/>
                      <w:lang w:val="en-US" w:eastAsia="zh-CN"/>
                    </w:rPr>
                    <w:t>4</w:t>
                  </w:r>
                </w:p>
              </w:tc>
              <w:tc>
                <w:tcPr>
                  <w:tcW w:w="612" w:type="dxa"/>
                  <w:tcMar>
                    <w:left w:w="0" w:type="dxa"/>
                    <w:right w:w="0" w:type="dxa"/>
                  </w:tcMar>
                  <w:vAlign w:val="center"/>
                </w:tcPr>
                <w:p>
                  <w:pPr>
                    <w:pStyle w:val="27"/>
                    <w:rPr>
                      <w:color w:val="auto"/>
                      <w:sz w:val="18"/>
                      <w:szCs w:val="18"/>
                    </w:rPr>
                  </w:pPr>
                  <w:r>
                    <w:rPr>
                      <w:color w:val="auto"/>
                      <w:sz w:val="18"/>
                      <w:szCs w:val="18"/>
                    </w:rPr>
                    <w:t>G2</w:t>
                  </w:r>
                </w:p>
              </w:tc>
              <w:tc>
                <w:tcPr>
                  <w:tcW w:w="1457" w:type="dxa"/>
                  <w:tcMar>
                    <w:left w:w="0" w:type="dxa"/>
                    <w:right w:w="0" w:type="dxa"/>
                  </w:tcMar>
                  <w:vAlign w:val="center"/>
                </w:tcPr>
                <w:p>
                  <w:pPr>
                    <w:pStyle w:val="27"/>
                    <w:rPr>
                      <w:color w:val="auto"/>
                      <w:sz w:val="18"/>
                      <w:szCs w:val="18"/>
                    </w:rPr>
                  </w:pPr>
                  <w:r>
                    <w:rPr>
                      <w:rFonts w:hint="eastAsia"/>
                      <w:color w:val="auto"/>
                      <w:sz w:val="18"/>
                      <w:szCs w:val="18"/>
                      <w:lang w:eastAsia="zh-CN"/>
                    </w:rPr>
                    <w:t>溶剂</w:t>
                  </w:r>
                  <w:r>
                    <w:rPr>
                      <w:color w:val="auto"/>
                      <w:sz w:val="18"/>
                      <w:szCs w:val="18"/>
                    </w:rPr>
                    <w:t>（</w:t>
                  </w:r>
                  <w:r>
                    <w:rPr>
                      <w:rFonts w:hint="eastAsia"/>
                      <w:color w:val="auto"/>
                      <w:sz w:val="18"/>
                      <w:szCs w:val="18"/>
                    </w:rPr>
                    <w:t>以</w:t>
                  </w:r>
                  <w:r>
                    <w:rPr>
                      <w:color w:val="auto"/>
                      <w:sz w:val="18"/>
                      <w:szCs w:val="18"/>
                    </w:rPr>
                    <w:t>非甲烷总烃</w:t>
                  </w:r>
                  <w:r>
                    <w:rPr>
                      <w:rFonts w:hint="eastAsia"/>
                      <w:color w:val="auto"/>
                      <w:sz w:val="18"/>
                      <w:szCs w:val="18"/>
                    </w:rPr>
                    <w:t>计</w:t>
                  </w:r>
                  <w:r>
                    <w:rPr>
                      <w:color w:val="auto"/>
                      <w:sz w:val="18"/>
                      <w:szCs w:val="18"/>
                    </w:rPr>
                    <w:t>）</w:t>
                  </w:r>
                </w:p>
              </w:tc>
              <w:tc>
                <w:tcPr>
                  <w:tcW w:w="3000" w:type="dxa"/>
                  <w:tcMar>
                    <w:left w:w="0" w:type="dxa"/>
                    <w:right w:w="0" w:type="dxa"/>
                  </w:tcMar>
                  <w:vAlign w:val="center"/>
                </w:tcPr>
                <w:p>
                  <w:pPr>
                    <w:pStyle w:val="27"/>
                    <w:rPr>
                      <w:rFonts w:hint="default"/>
                      <w:color w:val="auto"/>
                      <w:sz w:val="18"/>
                      <w:szCs w:val="18"/>
                      <w:lang w:val="en-US"/>
                    </w:rPr>
                  </w:pPr>
                  <w:r>
                    <w:rPr>
                      <w:rFonts w:hint="eastAsia"/>
                      <w:color w:val="auto"/>
                      <w:sz w:val="18"/>
                      <w:szCs w:val="18"/>
                      <w:lang w:val="en-US" w:eastAsia="zh-CN"/>
                    </w:rPr>
                    <w:t>依托生产车间二</w:t>
                  </w:r>
                  <w:r>
                    <w:rPr>
                      <w:rFonts w:hint="eastAsia"/>
                      <w:color w:val="auto"/>
                      <w:sz w:val="18"/>
                      <w:szCs w:val="18"/>
                      <w:lang w:eastAsia="zh-CN"/>
                    </w:rPr>
                    <w:t>“</w:t>
                  </w:r>
                  <w:r>
                    <w:rPr>
                      <w:rFonts w:hint="eastAsia"/>
                      <w:color w:val="auto"/>
                      <w:sz w:val="18"/>
                      <w:szCs w:val="18"/>
                    </w:rPr>
                    <w:t>一级水喷淋+活性炭吸附</w:t>
                  </w:r>
                  <w:r>
                    <w:rPr>
                      <w:rFonts w:hint="eastAsia"/>
                      <w:color w:val="auto"/>
                      <w:sz w:val="18"/>
                      <w:szCs w:val="18"/>
                      <w:lang w:eastAsia="zh-CN"/>
                    </w:rPr>
                    <w:t>”</w:t>
                  </w:r>
                  <w:r>
                    <w:rPr>
                      <w:rFonts w:hint="eastAsia"/>
                      <w:color w:val="auto"/>
                      <w:sz w:val="18"/>
                      <w:szCs w:val="18"/>
                      <w:lang w:val="en-US" w:eastAsia="zh-CN"/>
                    </w:rPr>
                    <w:t>处理后通过已建15m高排气筒（DA002）排放</w:t>
                  </w:r>
                </w:p>
              </w:tc>
              <w:tc>
                <w:tcPr>
                  <w:tcW w:w="997" w:type="dxa"/>
                  <w:tcMar>
                    <w:left w:w="0" w:type="dxa"/>
                    <w:right w:w="0" w:type="dxa"/>
                  </w:tcMar>
                  <w:vAlign w:val="center"/>
                </w:tcPr>
                <w:p>
                  <w:pPr>
                    <w:pStyle w:val="27"/>
                    <w:rPr>
                      <w:color w:val="auto"/>
                      <w:sz w:val="18"/>
                      <w:szCs w:val="18"/>
                    </w:rPr>
                  </w:pPr>
                  <w:r>
                    <w:rPr>
                      <w:color w:val="auto"/>
                      <w:sz w:val="18"/>
                      <w:szCs w:val="18"/>
                    </w:rPr>
                    <w:t>有组织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478" w:type="dxa"/>
                  <w:vMerge w:val="continue"/>
                  <w:tcMar>
                    <w:left w:w="0" w:type="dxa"/>
                    <w:right w:w="0" w:type="dxa"/>
                  </w:tcMar>
                  <w:vAlign w:val="center"/>
                </w:tcPr>
                <w:p>
                  <w:pPr>
                    <w:pStyle w:val="27"/>
                    <w:rPr>
                      <w:color w:val="auto"/>
                      <w:sz w:val="18"/>
                      <w:szCs w:val="18"/>
                    </w:rPr>
                  </w:pPr>
                </w:p>
              </w:tc>
              <w:tc>
                <w:tcPr>
                  <w:tcW w:w="1331" w:type="dxa"/>
                  <w:gridSpan w:val="3"/>
                  <w:tcMar>
                    <w:left w:w="0" w:type="dxa"/>
                    <w:right w:w="0" w:type="dxa"/>
                  </w:tcMar>
                  <w:vAlign w:val="center"/>
                </w:tcPr>
                <w:p>
                  <w:pPr>
                    <w:pStyle w:val="27"/>
                    <w:rPr>
                      <w:rFonts w:hint="eastAsia" w:eastAsia="宋体"/>
                      <w:color w:val="auto"/>
                      <w:sz w:val="18"/>
                      <w:szCs w:val="18"/>
                      <w:lang w:val="en-US" w:eastAsia="zh-CN"/>
                    </w:rPr>
                  </w:pPr>
                  <w:r>
                    <w:rPr>
                      <w:color w:val="auto"/>
                      <w:sz w:val="18"/>
                      <w:szCs w:val="18"/>
                    </w:rPr>
                    <w:t>废气</w:t>
                  </w:r>
                  <w:r>
                    <w:rPr>
                      <w:rFonts w:hint="eastAsia"/>
                      <w:color w:val="auto"/>
                      <w:sz w:val="18"/>
                      <w:szCs w:val="18"/>
                      <w:lang w:val="en-US" w:eastAsia="zh-CN"/>
                    </w:rPr>
                    <w:t>5</w:t>
                  </w:r>
                </w:p>
              </w:tc>
              <w:tc>
                <w:tcPr>
                  <w:tcW w:w="612" w:type="dxa"/>
                  <w:vMerge w:val="restart"/>
                  <w:tcMar>
                    <w:left w:w="0" w:type="dxa"/>
                    <w:right w:w="0" w:type="dxa"/>
                  </w:tcMar>
                  <w:vAlign w:val="center"/>
                </w:tcPr>
                <w:p>
                  <w:pPr>
                    <w:pStyle w:val="27"/>
                    <w:rPr>
                      <w:rFonts w:hint="default" w:eastAsia="宋体"/>
                      <w:color w:val="auto"/>
                      <w:sz w:val="18"/>
                      <w:szCs w:val="18"/>
                      <w:lang w:val="en-US" w:eastAsia="zh-CN"/>
                    </w:rPr>
                  </w:pPr>
                  <w:r>
                    <w:rPr>
                      <w:rFonts w:hint="eastAsia"/>
                      <w:color w:val="auto"/>
                      <w:sz w:val="18"/>
                      <w:szCs w:val="18"/>
                      <w:lang w:val="en-US" w:eastAsia="zh-CN"/>
                    </w:rPr>
                    <w:t>收集系统未捕集部分（Gm1）</w:t>
                  </w:r>
                </w:p>
              </w:tc>
              <w:tc>
                <w:tcPr>
                  <w:tcW w:w="1457" w:type="dxa"/>
                  <w:tcMar>
                    <w:left w:w="0" w:type="dxa"/>
                    <w:right w:w="0" w:type="dxa"/>
                  </w:tcMar>
                  <w:vAlign w:val="center"/>
                </w:tcPr>
                <w:p>
                  <w:pPr>
                    <w:pStyle w:val="27"/>
                    <w:rPr>
                      <w:color w:val="auto"/>
                      <w:sz w:val="18"/>
                      <w:szCs w:val="18"/>
                    </w:rPr>
                  </w:pPr>
                  <w:r>
                    <w:rPr>
                      <w:rFonts w:hint="eastAsia"/>
                      <w:color w:val="auto"/>
                      <w:sz w:val="18"/>
                      <w:szCs w:val="18"/>
                      <w:lang w:eastAsia="zh-CN"/>
                    </w:rPr>
                    <w:t>溶剂</w:t>
                  </w:r>
                  <w:r>
                    <w:rPr>
                      <w:color w:val="auto"/>
                      <w:sz w:val="18"/>
                      <w:szCs w:val="18"/>
                    </w:rPr>
                    <w:t>（</w:t>
                  </w:r>
                  <w:r>
                    <w:rPr>
                      <w:rFonts w:hint="eastAsia"/>
                      <w:color w:val="auto"/>
                      <w:sz w:val="18"/>
                      <w:szCs w:val="18"/>
                    </w:rPr>
                    <w:t>以</w:t>
                  </w:r>
                  <w:r>
                    <w:rPr>
                      <w:color w:val="auto"/>
                      <w:sz w:val="18"/>
                      <w:szCs w:val="18"/>
                    </w:rPr>
                    <w:t>非甲烷总烃</w:t>
                  </w:r>
                  <w:r>
                    <w:rPr>
                      <w:rFonts w:hint="eastAsia"/>
                      <w:color w:val="auto"/>
                      <w:sz w:val="18"/>
                      <w:szCs w:val="18"/>
                    </w:rPr>
                    <w:t>计</w:t>
                  </w:r>
                  <w:r>
                    <w:rPr>
                      <w:color w:val="auto"/>
                      <w:sz w:val="18"/>
                      <w:szCs w:val="18"/>
                    </w:rPr>
                    <w:t>）</w:t>
                  </w:r>
                </w:p>
              </w:tc>
              <w:tc>
                <w:tcPr>
                  <w:tcW w:w="3000" w:type="dxa"/>
                  <w:vMerge w:val="restart"/>
                  <w:tcMar>
                    <w:left w:w="0" w:type="dxa"/>
                    <w:right w:w="0" w:type="dxa"/>
                  </w:tcMar>
                  <w:vAlign w:val="center"/>
                </w:tcPr>
                <w:p>
                  <w:pPr>
                    <w:pStyle w:val="27"/>
                    <w:rPr>
                      <w:rFonts w:hint="eastAsia" w:eastAsia="宋体"/>
                      <w:color w:val="auto"/>
                      <w:sz w:val="18"/>
                      <w:szCs w:val="18"/>
                      <w:lang w:val="en-US" w:eastAsia="zh-CN"/>
                    </w:rPr>
                  </w:pPr>
                  <w:r>
                    <w:rPr>
                      <w:rFonts w:hint="eastAsia"/>
                      <w:color w:val="auto"/>
                      <w:sz w:val="18"/>
                      <w:szCs w:val="18"/>
                      <w:lang w:val="en-US" w:eastAsia="zh-CN"/>
                    </w:rPr>
                    <w:t>加强车间通风换气，进入大气</w:t>
                  </w:r>
                </w:p>
              </w:tc>
              <w:tc>
                <w:tcPr>
                  <w:tcW w:w="997" w:type="dxa"/>
                  <w:vMerge w:val="restart"/>
                  <w:tcMar>
                    <w:left w:w="0" w:type="dxa"/>
                    <w:right w:w="0" w:type="dxa"/>
                  </w:tcMar>
                  <w:vAlign w:val="center"/>
                </w:tcPr>
                <w:p>
                  <w:pPr>
                    <w:pStyle w:val="27"/>
                    <w:rPr>
                      <w:color w:val="auto"/>
                      <w:sz w:val="18"/>
                      <w:szCs w:val="18"/>
                    </w:rPr>
                  </w:pPr>
                  <w:r>
                    <w:rPr>
                      <w:color w:val="auto"/>
                      <w:sz w:val="18"/>
                      <w:szCs w:val="18"/>
                    </w:rPr>
                    <w:t>无组织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478" w:type="dxa"/>
                  <w:vMerge w:val="continue"/>
                  <w:tcMar>
                    <w:left w:w="0" w:type="dxa"/>
                    <w:right w:w="0" w:type="dxa"/>
                  </w:tcMar>
                  <w:vAlign w:val="center"/>
                </w:tcPr>
                <w:p>
                  <w:pPr>
                    <w:pStyle w:val="27"/>
                    <w:rPr>
                      <w:color w:val="auto"/>
                      <w:sz w:val="18"/>
                      <w:szCs w:val="18"/>
                    </w:rPr>
                  </w:pPr>
                </w:p>
              </w:tc>
              <w:tc>
                <w:tcPr>
                  <w:tcW w:w="1331" w:type="dxa"/>
                  <w:gridSpan w:val="3"/>
                  <w:tcMar>
                    <w:left w:w="0" w:type="dxa"/>
                    <w:right w:w="0" w:type="dxa"/>
                  </w:tcMar>
                  <w:vAlign w:val="center"/>
                </w:tcPr>
                <w:p>
                  <w:pPr>
                    <w:pStyle w:val="27"/>
                    <w:rPr>
                      <w:rFonts w:hint="eastAsia" w:eastAsia="宋体"/>
                      <w:color w:val="auto"/>
                      <w:sz w:val="18"/>
                      <w:szCs w:val="18"/>
                      <w:lang w:val="en-US" w:eastAsia="zh-CN"/>
                    </w:rPr>
                  </w:pPr>
                  <w:r>
                    <w:rPr>
                      <w:color w:val="auto"/>
                      <w:sz w:val="18"/>
                      <w:szCs w:val="18"/>
                    </w:rPr>
                    <w:t>废气</w:t>
                  </w:r>
                  <w:r>
                    <w:rPr>
                      <w:rFonts w:hint="eastAsia"/>
                      <w:color w:val="auto"/>
                      <w:sz w:val="18"/>
                      <w:szCs w:val="18"/>
                      <w:lang w:val="en-US" w:eastAsia="zh-CN"/>
                    </w:rPr>
                    <w:t>6</w:t>
                  </w:r>
                </w:p>
              </w:tc>
              <w:tc>
                <w:tcPr>
                  <w:tcW w:w="612" w:type="dxa"/>
                  <w:vMerge w:val="continue"/>
                  <w:tcMar>
                    <w:left w:w="0" w:type="dxa"/>
                    <w:right w:w="0" w:type="dxa"/>
                  </w:tcMar>
                  <w:vAlign w:val="center"/>
                </w:tcPr>
                <w:p>
                  <w:pPr>
                    <w:pStyle w:val="27"/>
                    <w:rPr>
                      <w:color w:val="auto"/>
                      <w:sz w:val="18"/>
                      <w:szCs w:val="18"/>
                    </w:rPr>
                  </w:pPr>
                </w:p>
              </w:tc>
              <w:tc>
                <w:tcPr>
                  <w:tcW w:w="1457" w:type="dxa"/>
                  <w:tcMar>
                    <w:left w:w="0" w:type="dxa"/>
                    <w:right w:w="0" w:type="dxa"/>
                  </w:tcMar>
                  <w:vAlign w:val="center"/>
                </w:tcPr>
                <w:p>
                  <w:pPr>
                    <w:pStyle w:val="27"/>
                    <w:rPr>
                      <w:color w:val="auto"/>
                      <w:sz w:val="18"/>
                      <w:szCs w:val="18"/>
                    </w:rPr>
                  </w:pPr>
                  <w:r>
                    <w:rPr>
                      <w:rFonts w:hint="eastAsia"/>
                      <w:color w:val="auto"/>
                      <w:sz w:val="18"/>
                      <w:szCs w:val="18"/>
                      <w:lang w:eastAsia="zh-CN"/>
                    </w:rPr>
                    <w:t>溶剂</w:t>
                  </w:r>
                  <w:r>
                    <w:rPr>
                      <w:color w:val="auto"/>
                      <w:sz w:val="18"/>
                      <w:szCs w:val="18"/>
                    </w:rPr>
                    <w:t>（</w:t>
                  </w:r>
                  <w:r>
                    <w:rPr>
                      <w:rFonts w:hint="eastAsia"/>
                      <w:color w:val="auto"/>
                      <w:sz w:val="18"/>
                      <w:szCs w:val="18"/>
                    </w:rPr>
                    <w:t>以</w:t>
                  </w:r>
                  <w:r>
                    <w:rPr>
                      <w:color w:val="auto"/>
                      <w:sz w:val="18"/>
                      <w:szCs w:val="18"/>
                    </w:rPr>
                    <w:t>非甲烷总烃</w:t>
                  </w:r>
                  <w:r>
                    <w:rPr>
                      <w:rFonts w:hint="eastAsia"/>
                      <w:color w:val="auto"/>
                      <w:sz w:val="18"/>
                      <w:szCs w:val="18"/>
                    </w:rPr>
                    <w:t>计</w:t>
                  </w:r>
                  <w:r>
                    <w:rPr>
                      <w:color w:val="auto"/>
                      <w:sz w:val="18"/>
                      <w:szCs w:val="18"/>
                    </w:rPr>
                    <w:t>）</w:t>
                  </w:r>
                </w:p>
              </w:tc>
              <w:tc>
                <w:tcPr>
                  <w:tcW w:w="3000" w:type="dxa"/>
                  <w:vMerge w:val="continue"/>
                  <w:tcMar>
                    <w:left w:w="0" w:type="dxa"/>
                    <w:right w:w="0" w:type="dxa"/>
                  </w:tcMar>
                  <w:vAlign w:val="center"/>
                </w:tcPr>
                <w:p>
                  <w:pPr>
                    <w:pStyle w:val="27"/>
                    <w:rPr>
                      <w:color w:val="auto"/>
                      <w:sz w:val="18"/>
                      <w:szCs w:val="18"/>
                    </w:rPr>
                  </w:pPr>
                </w:p>
              </w:tc>
              <w:tc>
                <w:tcPr>
                  <w:tcW w:w="997" w:type="dxa"/>
                  <w:vMerge w:val="continue"/>
                  <w:tcMar>
                    <w:left w:w="0" w:type="dxa"/>
                    <w:right w:w="0" w:type="dxa"/>
                  </w:tcMar>
                  <w:vAlign w:val="center"/>
                </w:tcPr>
                <w:p>
                  <w:pPr>
                    <w:pStyle w:val="27"/>
                    <w:rPr>
                      <w:color w:val="auto"/>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478" w:type="dxa"/>
                  <w:vMerge w:val="continue"/>
                  <w:tcMar>
                    <w:left w:w="0" w:type="dxa"/>
                    <w:right w:w="0" w:type="dxa"/>
                  </w:tcMar>
                  <w:vAlign w:val="center"/>
                </w:tcPr>
                <w:p>
                  <w:pPr>
                    <w:pStyle w:val="27"/>
                    <w:rPr>
                      <w:color w:val="auto"/>
                      <w:sz w:val="18"/>
                      <w:szCs w:val="18"/>
                    </w:rPr>
                  </w:pPr>
                </w:p>
              </w:tc>
              <w:tc>
                <w:tcPr>
                  <w:tcW w:w="1331" w:type="dxa"/>
                  <w:gridSpan w:val="3"/>
                  <w:tcMar>
                    <w:left w:w="0" w:type="dxa"/>
                    <w:right w:w="0" w:type="dxa"/>
                  </w:tcMar>
                  <w:vAlign w:val="center"/>
                </w:tcPr>
                <w:p>
                  <w:pPr>
                    <w:pStyle w:val="27"/>
                    <w:rPr>
                      <w:rFonts w:hint="eastAsia" w:eastAsia="宋体"/>
                      <w:color w:val="auto"/>
                      <w:sz w:val="18"/>
                      <w:szCs w:val="18"/>
                      <w:lang w:val="en-US" w:eastAsia="zh-CN"/>
                    </w:rPr>
                  </w:pPr>
                  <w:r>
                    <w:rPr>
                      <w:color w:val="auto"/>
                      <w:sz w:val="18"/>
                      <w:szCs w:val="18"/>
                    </w:rPr>
                    <w:t>废气</w:t>
                  </w:r>
                  <w:r>
                    <w:rPr>
                      <w:rFonts w:hint="eastAsia"/>
                      <w:color w:val="auto"/>
                      <w:sz w:val="18"/>
                      <w:szCs w:val="18"/>
                      <w:lang w:val="en-US" w:eastAsia="zh-CN"/>
                    </w:rPr>
                    <w:t>7</w:t>
                  </w:r>
                </w:p>
              </w:tc>
              <w:tc>
                <w:tcPr>
                  <w:tcW w:w="612" w:type="dxa"/>
                  <w:vMerge w:val="continue"/>
                  <w:tcMar>
                    <w:left w:w="0" w:type="dxa"/>
                    <w:right w:w="0" w:type="dxa"/>
                  </w:tcMar>
                  <w:vAlign w:val="center"/>
                </w:tcPr>
                <w:p>
                  <w:pPr>
                    <w:pStyle w:val="27"/>
                    <w:rPr>
                      <w:color w:val="auto"/>
                      <w:sz w:val="18"/>
                      <w:szCs w:val="18"/>
                    </w:rPr>
                  </w:pPr>
                </w:p>
              </w:tc>
              <w:tc>
                <w:tcPr>
                  <w:tcW w:w="1457" w:type="dxa"/>
                  <w:tcMar>
                    <w:left w:w="0" w:type="dxa"/>
                    <w:right w:w="0" w:type="dxa"/>
                  </w:tcMar>
                  <w:vAlign w:val="center"/>
                </w:tcPr>
                <w:p>
                  <w:pPr>
                    <w:pStyle w:val="27"/>
                    <w:rPr>
                      <w:color w:val="auto"/>
                      <w:sz w:val="18"/>
                      <w:szCs w:val="18"/>
                    </w:rPr>
                  </w:pPr>
                  <w:r>
                    <w:rPr>
                      <w:rFonts w:hint="eastAsia"/>
                      <w:color w:val="auto"/>
                      <w:sz w:val="18"/>
                      <w:szCs w:val="18"/>
                      <w:lang w:eastAsia="zh-CN"/>
                    </w:rPr>
                    <w:t>溶剂</w:t>
                  </w:r>
                  <w:r>
                    <w:rPr>
                      <w:color w:val="auto"/>
                      <w:sz w:val="18"/>
                      <w:szCs w:val="18"/>
                    </w:rPr>
                    <w:t>（</w:t>
                  </w:r>
                  <w:r>
                    <w:rPr>
                      <w:rFonts w:hint="eastAsia"/>
                      <w:color w:val="auto"/>
                      <w:sz w:val="18"/>
                      <w:szCs w:val="18"/>
                    </w:rPr>
                    <w:t>以</w:t>
                  </w:r>
                  <w:r>
                    <w:rPr>
                      <w:color w:val="auto"/>
                      <w:sz w:val="18"/>
                      <w:szCs w:val="18"/>
                    </w:rPr>
                    <w:t>非甲烷总烃</w:t>
                  </w:r>
                  <w:r>
                    <w:rPr>
                      <w:rFonts w:hint="eastAsia"/>
                      <w:color w:val="auto"/>
                      <w:sz w:val="18"/>
                      <w:szCs w:val="18"/>
                    </w:rPr>
                    <w:t>计</w:t>
                  </w:r>
                  <w:r>
                    <w:rPr>
                      <w:color w:val="auto"/>
                      <w:sz w:val="18"/>
                      <w:szCs w:val="18"/>
                    </w:rPr>
                    <w:t>）</w:t>
                  </w:r>
                </w:p>
              </w:tc>
              <w:tc>
                <w:tcPr>
                  <w:tcW w:w="3000" w:type="dxa"/>
                  <w:vMerge w:val="continue"/>
                  <w:tcMar>
                    <w:left w:w="0" w:type="dxa"/>
                    <w:right w:w="0" w:type="dxa"/>
                  </w:tcMar>
                  <w:vAlign w:val="center"/>
                </w:tcPr>
                <w:p>
                  <w:pPr>
                    <w:pStyle w:val="27"/>
                    <w:rPr>
                      <w:color w:val="auto"/>
                      <w:sz w:val="18"/>
                      <w:szCs w:val="18"/>
                    </w:rPr>
                  </w:pPr>
                </w:p>
              </w:tc>
              <w:tc>
                <w:tcPr>
                  <w:tcW w:w="997" w:type="dxa"/>
                  <w:vMerge w:val="continue"/>
                  <w:tcMar>
                    <w:left w:w="0" w:type="dxa"/>
                    <w:right w:w="0" w:type="dxa"/>
                  </w:tcMar>
                  <w:vAlign w:val="center"/>
                </w:tcPr>
                <w:p>
                  <w:pPr>
                    <w:pStyle w:val="27"/>
                    <w:rPr>
                      <w:color w:val="auto"/>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478" w:type="dxa"/>
                  <w:tcMar>
                    <w:left w:w="0" w:type="dxa"/>
                    <w:right w:w="0" w:type="dxa"/>
                  </w:tcMar>
                  <w:vAlign w:val="center"/>
                </w:tcPr>
                <w:p>
                  <w:pPr>
                    <w:pStyle w:val="27"/>
                    <w:rPr>
                      <w:color w:val="auto"/>
                      <w:sz w:val="18"/>
                      <w:szCs w:val="18"/>
                    </w:rPr>
                  </w:pPr>
                  <w:r>
                    <w:rPr>
                      <w:color w:val="auto"/>
                      <w:sz w:val="18"/>
                      <w:szCs w:val="18"/>
                    </w:rPr>
                    <w:t>噪声</w:t>
                  </w:r>
                </w:p>
              </w:tc>
              <w:tc>
                <w:tcPr>
                  <w:tcW w:w="1331" w:type="dxa"/>
                  <w:gridSpan w:val="3"/>
                  <w:tcMar>
                    <w:left w:w="0" w:type="dxa"/>
                    <w:right w:w="0" w:type="dxa"/>
                  </w:tcMar>
                  <w:vAlign w:val="center"/>
                </w:tcPr>
                <w:p>
                  <w:pPr>
                    <w:pStyle w:val="27"/>
                    <w:rPr>
                      <w:color w:val="auto"/>
                      <w:sz w:val="18"/>
                      <w:szCs w:val="18"/>
                    </w:rPr>
                  </w:pPr>
                  <w:r>
                    <w:rPr>
                      <w:color w:val="auto"/>
                      <w:sz w:val="18"/>
                      <w:szCs w:val="18"/>
                    </w:rPr>
                    <w:t>设备运行噪声</w:t>
                  </w:r>
                </w:p>
              </w:tc>
              <w:tc>
                <w:tcPr>
                  <w:tcW w:w="612" w:type="dxa"/>
                  <w:tcMar>
                    <w:left w:w="0" w:type="dxa"/>
                    <w:right w:w="0" w:type="dxa"/>
                  </w:tcMar>
                  <w:vAlign w:val="center"/>
                </w:tcPr>
                <w:p>
                  <w:pPr>
                    <w:pStyle w:val="27"/>
                    <w:rPr>
                      <w:color w:val="auto"/>
                      <w:sz w:val="18"/>
                      <w:szCs w:val="18"/>
                    </w:rPr>
                  </w:pPr>
                  <w:r>
                    <w:rPr>
                      <w:color w:val="auto"/>
                      <w:sz w:val="18"/>
                      <w:szCs w:val="18"/>
                    </w:rPr>
                    <w:t>N</w:t>
                  </w:r>
                </w:p>
              </w:tc>
              <w:tc>
                <w:tcPr>
                  <w:tcW w:w="1457" w:type="dxa"/>
                  <w:tcMar>
                    <w:left w:w="0" w:type="dxa"/>
                    <w:right w:w="0" w:type="dxa"/>
                  </w:tcMar>
                  <w:vAlign w:val="center"/>
                </w:tcPr>
                <w:p>
                  <w:pPr>
                    <w:pStyle w:val="27"/>
                    <w:rPr>
                      <w:color w:val="auto"/>
                      <w:sz w:val="18"/>
                      <w:szCs w:val="18"/>
                    </w:rPr>
                  </w:pPr>
                  <w:r>
                    <w:rPr>
                      <w:color w:val="auto"/>
                      <w:sz w:val="18"/>
                      <w:szCs w:val="18"/>
                    </w:rPr>
                    <w:t>噪声</w:t>
                  </w:r>
                </w:p>
              </w:tc>
              <w:tc>
                <w:tcPr>
                  <w:tcW w:w="3000" w:type="dxa"/>
                  <w:tcMar>
                    <w:left w:w="0" w:type="dxa"/>
                    <w:right w:w="0" w:type="dxa"/>
                  </w:tcMar>
                  <w:vAlign w:val="center"/>
                </w:tcPr>
                <w:p>
                  <w:pPr>
                    <w:snapToGrid w:val="0"/>
                    <w:jc w:val="center"/>
                    <w:rPr>
                      <w:color w:val="auto"/>
                      <w:sz w:val="18"/>
                      <w:szCs w:val="18"/>
                    </w:rPr>
                  </w:pPr>
                  <w:r>
                    <w:rPr>
                      <w:color w:val="auto"/>
                      <w:sz w:val="18"/>
                      <w:szCs w:val="18"/>
                    </w:rPr>
                    <w:t>减振隔声等措施</w:t>
                  </w:r>
                </w:p>
              </w:tc>
              <w:tc>
                <w:tcPr>
                  <w:tcW w:w="997" w:type="dxa"/>
                  <w:tcMar>
                    <w:left w:w="0" w:type="dxa"/>
                    <w:right w:w="0" w:type="dxa"/>
                  </w:tcMar>
                  <w:vAlign w:val="center"/>
                </w:tcPr>
                <w:p>
                  <w:pPr>
                    <w:snapToGrid w:val="0"/>
                    <w:jc w:val="center"/>
                    <w:rPr>
                      <w:color w:val="auto"/>
                      <w:sz w:val="18"/>
                      <w:szCs w:val="18"/>
                    </w:rPr>
                  </w:pPr>
                  <w:r>
                    <w:rPr>
                      <w:color w:val="auto"/>
                      <w:sz w:val="18"/>
                      <w:szCs w:val="18"/>
                    </w:rPr>
                    <w:t>间歇排放</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59" w:hRule="atLeast"/>
                <w:jc w:val="center"/>
              </w:trPr>
              <w:tc>
                <w:tcPr>
                  <w:tcW w:w="478" w:type="dxa"/>
                  <w:vMerge w:val="restart"/>
                  <w:tcMar>
                    <w:left w:w="0" w:type="dxa"/>
                    <w:right w:w="0" w:type="dxa"/>
                  </w:tcMar>
                  <w:vAlign w:val="center"/>
                </w:tcPr>
                <w:p>
                  <w:pPr>
                    <w:pStyle w:val="27"/>
                    <w:rPr>
                      <w:color w:val="auto"/>
                      <w:sz w:val="18"/>
                      <w:szCs w:val="18"/>
                    </w:rPr>
                  </w:pPr>
                  <w:r>
                    <w:rPr>
                      <w:color w:val="auto"/>
                      <w:sz w:val="18"/>
                      <w:szCs w:val="18"/>
                    </w:rPr>
                    <w:t>固废</w:t>
                  </w:r>
                </w:p>
              </w:tc>
              <w:tc>
                <w:tcPr>
                  <w:tcW w:w="521" w:type="dxa"/>
                  <w:vMerge w:val="restart"/>
                  <w:tcMar>
                    <w:left w:w="0" w:type="dxa"/>
                    <w:right w:w="0" w:type="dxa"/>
                  </w:tcMar>
                  <w:vAlign w:val="center"/>
                </w:tcPr>
                <w:p>
                  <w:pPr>
                    <w:pStyle w:val="27"/>
                    <w:rPr>
                      <w:color w:val="auto"/>
                      <w:sz w:val="18"/>
                      <w:szCs w:val="18"/>
                    </w:rPr>
                  </w:pPr>
                  <w:r>
                    <w:rPr>
                      <w:color w:val="auto"/>
                      <w:sz w:val="18"/>
                      <w:szCs w:val="18"/>
                    </w:rPr>
                    <w:t>一般固废</w:t>
                  </w:r>
                </w:p>
              </w:tc>
              <w:tc>
                <w:tcPr>
                  <w:tcW w:w="261" w:type="dxa"/>
                  <w:vMerge w:val="restart"/>
                  <w:tcMar>
                    <w:left w:w="0" w:type="dxa"/>
                    <w:right w:w="0" w:type="dxa"/>
                  </w:tcMar>
                  <w:vAlign w:val="center"/>
                </w:tcPr>
                <w:p>
                  <w:pPr>
                    <w:pStyle w:val="27"/>
                    <w:rPr>
                      <w:color w:val="auto"/>
                      <w:sz w:val="18"/>
                      <w:szCs w:val="18"/>
                    </w:rPr>
                  </w:pPr>
                  <w:r>
                    <w:rPr>
                      <w:rFonts w:hint="eastAsia"/>
                      <w:color w:val="auto"/>
                      <w:sz w:val="18"/>
                      <w:szCs w:val="18"/>
                    </w:rPr>
                    <w:t>废边角料</w:t>
                  </w:r>
                </w:p>
              </w:tc>
              <w:tc>
                <w:tcPr>
                  <w:tcW w:w="549" w:type="dxa"/>
                  <w:tcMar>
                    <w:left w:w="0" w:type="dxa"/>
                    <w:right w:w="0" w:type="dxa"/>
                  </w:tcMar>
                  <w:vAlign w:val="center"/>
                </w:tcPr>
                <w:p>
                  <w:pPr>
                    <w:pStyle w:val="27"/>
                    <w:rPr>
                      <w:color w:val="auto"/>
                      <w:sz w:val="18"/>
                      <w:szCs w:val="18"/>
                    </w:rPr>
                  </w:pPr>
                  <w:r>
                    <w:rPr>
                      <w:color w:val="auto"/>
                      <w:sz w:val="18"/>
                      <w:szCs w:val="18"/>
                    </w:rPr>
                    <w:t>废膜边角料</w:t>
                  </w:r>
                </w:p>
              </w:tc>
              <w:tc>
                <w:tcPr>
                  <w:tcW w:w="612" w:type="dxa"/>
                  <w:vMerge w:val="restart"/>
                  <w:tcMar>
                    <w:left w:w="0" w:type="dxa"/>
                    <w:right w:w="0" w:type="dxa"/>
                  </w:tcMar>
                  <w:vAlign w:val="center"/>
                </w:tcPr>
                <w:p>
                  <w:pPr>
                    <w:pStyle w:val="27"/>
                    <w:rPr>
                      <w:color w:val="auto"/>
                      <w:sz w:val="18"/>
                      <w:szCs w:val="18"/>
                    </w:rPr>
                  </w:pPr>
                  <w:r>
                    <w:rPr>
                      <w:color w:val="auto"/>
                      <w:sz w:val="18"/>
                      <w:szCs w:val="18"/>
                    </w:rPr>
                    <w:t>S1</w:t>
                  </w:r>
                </w:p>
              </w:tc>
              <w:tc>
                <w:tcPr>
                  <w:tcW w:w="1457" w:type="dxa"/>
                  <w:tcMar>
                    <w:left w:w="0" w:type="dxa"/>
                    <w:right w:w="0" w:type="dxa"/>
                  </w:tcMar>
                  <w:vAlign w:val="center"/>
                </w:tcPr>
                <w:p>
                  <w:pPr>
                    <w:pStyle w:val="27"/>
                    <w:rPr>
                      <w:color w:val="auto"/>
                      <w:sz w:val="18"/>
                      <w:szCs w:val="18"/>
                    </w:rPr>
                  </w:pPr>
                  <w:r>
                    <w:rPr>
                      <w:color w:val="auto"/>
                      <w:sz w:val="18"/>
                      <w:szCs w:val="18"/>
                    </w:rPr>
                    <w:t>废膜边角料</w:t>
                  </w:r>
                </w:p>
              </w:tc>
              <w:tc>
                <w:tcPr>
                  <w:tcW w:w="3997" w:type="dxa"/>
                  <w:gridSpan w:val="2"/>
                  <w:tcMar>
                    <w:left w:w="0" w:type="dxa"/>
                    <w:right w:w="0" w:type="dxa"/>
                  </w:tcMar>
                  <w:vAlign w:val="center"/>
                </w:tcPr>
                <w:p>
                  <w:pPr>
                    <w:pStyle w:val="27"/>
                    <w:rPr>
                      <w:color w:val="auto"/>
                      <w:sz w:val="18"/>
                      <w:szCs w:val="18"/>
                    </w:rPr>
                  </w:pPr>
                  <w:r>
                    <w:rPr>
                      <w:color w:val="auto"/>
                      <w:sz w:val="18"/>
                      <w:szCs w:val="18"/>
                    </w:rPr>
                    <w:t>外售综合利用</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559" w:hRule="atLeast"/>
                <w:jc w:val="center"/>
              </w:trPr>
              <w:tc>
                <w:tcPr>
                  <w:tcW w:w="478" w:type="dxa"/>
                  <w:vMerge w:val="continue"/>
                  <w:tcMar>
                    <w:left w:w="0" w:type="dxa"/>
                    <w:right w:w="0" w:type="dxa"/>
                  </w:tcMar>
                  <w:vAlign w:val="center"/>
                </w:tcPr>
                <w:p>
                  <w:pPr>
                    <w:pStyle w:val="27"/>
                    <w:rPr>
                      <w:color w:val="auto"/>
                    </w:rPr>
                  </w:pPr>
                </w:p>
              </w:tc>
              <w:tc>
                <w:tcPr>
                  <w:tcW w:w="521" w:type="dxa"/>
                  <w:vMerge w:val="continue"/>
                  <w:tcMar>
                    <w:left w:w="0" w:type="dxa"/>
                    <w:right w:w="0" w:type="dxa"/>
                  </w:tcMar>
                  <w:vAlign w:val="center"/>
                </w:tcPr>
                <w:p>
                  <w:pPr>
                    <w:pStyle w:val="27"/>
                    <w:rPr>
                      <w:color w:val="auto"/>
                    </w:rPr>
                  </w:pPr>
                </w:p>
              </w:tc>
              <w:tc>
                <w:tcPr>
                  <w:tcW w:w="261" w:type="dxa"/>
                  <w:vMerge w:val="continue"/>
                  <w:shd w:val="clear" w:color="auto" w:fill="auto"/>
                  <w:tcMar>
                    <w:left w:w="0" w:type="dxa"/>
                    <w:right w:w="0" w:type="dxa"/>
                  </w:tcMar>
                  <w:vAlign w:val="center"/>
                </w:tcPr>
                <w:p>
                  <w:pPr>
                    <w:pStyle w:val="27"/>
                    <w:rPr>
                      <w:color w:val="auto"/>
                      <w:sz w:val="18"/>
                      <w:szCs w:val="18"/>
                    </w:rPr>
                  </w:pPr>
                </w:p>
              </w:tc>
              <w:tc>
                <w:tcPr>
                  <w:tcW w:w="549" w:type="dxa"/>
                  <w:shd w:val="clear" w:color="auto" w:fill="auto"/>
                  <w:tcMar>
                    <w:left w:w="0" w:type="dxa"/>
                    <w:right w:w="0" w:type="dxa"/>
                  </w:tcMar>
                  <w:vAlign w:val="center"/>
                </w:tcPr>
                <w:p>
                  <w:pPr>
                    <w:pStyle w:val="27"/>
                    <w:rPr>
                      <w:color w:val="auto"/>
                      <w:sz w:val="18"/>
                      <w:szCs w:val="18"/>
                    </w:rPr>
                  </w:pPr>
                  <w:r>
                    <w:rPr>
                      <w:color w:val="auto"/>
                      <w:sz w:val="18"/>
                      <w:szCs w:val="18"/>
                    </w:rPr>
                    <w:t>去边废料</w:t>
                  </w:r>
                </w:p>
              </w:tc>
              <w:tc>
                <w:tcPr>
                  <w:tcW w:w="612" w:type="dxa"/>
                  <w:vMerge w:val="continue"/>
                  <w:shd w:val="clear" w:color="auto" w:fill="auto"/>
                  <w:tcMar>
                    <w:left w:w="0" w:type="dxa"/>
                    <w:right w:w="0" w:type="dxa"/>
                  </w:tcMar>
                  <w:vAlign w:val="center"/>
                </w:tcPr>
                <w:p>
                  <w:pPr>
                    <w:pStyle w:val="27"/>
                    <w:rPr>
                      <w:color w:val="auto"/>
                      <w:sz w:val="18"/>
                      <w:szCs w:val="18"/>
                    </w:rPr>
                  </w:pPr>
                </w:p>
              </w:tc>
              <w:tc>
                <w:tcPr>
                  <w:tcW w:w="1457" w:type="dxa"/>
                  <w:shd w:val="clear" w:color="auto" w:fill="auto"/>
                  <w:tcMar>
                    <w:left w:w="0" w:type="dxa"/>
                    <w:right w:w="0" w:type="dxa"/>
                  </w:tcMar>
                  <w:vAlign w:val="center"/>
                </w:tcPr>
                <w:p>
                  <w:pPr>
                    <w:pStyle w:val="27"/>
                    <w:rPr>
                      <w:color w:val="auto"/>
                      <w:sz w:val="18"/>
                      <w:szCs w:val="18"/>
                    </w:rPr>
                  </w:pPr>
                  <w:r>
                    <w:rPr>
                      <w:color w:val="auto"/>
                      <w:sz w:val="18"/>
                      <w:szCs w:val="18"/>
                    </w:rPr>
                    <w:t>去边废料</w:t>
                  </w:r>
                </w:p>
              </w:tc>
              <w:tc>
                <w:tcPr>
                  <w:tcW w:w="3997" w:type="dxa"/>
                  <w:gridSpan w:val="2"/>
                  <w:shd w:val="clear" w:color="auto" w:fill="auto"/>
                  <w:tcMar>
                    <w:left w:w="0" w:type="dxa"/>
                    <w:right w:w="0" w:type="dxa"/>
                  </w:tcMar>
                  <w:vAlign w:val="center"/>
                </w:tcPr>
                <w:p>
                  <w:pPr>
                    <w:pStyle w:val="27"/>
                    <w:rPr>
                      <w:color w:val="auto"/>
                      <w:sz w:val="18"/>
                      <w:szCs w:val="18"/>
                    </w:rPr>
                  </w:pPr>
                  <w:r>
                    <w:rPr>
                      <w:color w:val="auto"/>
                      <w:sz w:val="18"/>
                      <w:szCs w:val="18"/>
                    </w:rPr>
                    <w:t>外售综合利用</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478" w:type="dxa"/>
                  <w:vMerge w:val="continue"/>
                  <w:tcMar>
                    <w:left w:w="0" w:type="dxa"/>
                    <w:right w:w="0" w:type="dxa"/>
                  </w:tcMar>
                  <w:vAlign w:val="center"/>
                </w:tcPr>
                <w:p>
                  <w:pPr>
                    <w:pStyle w:val="27"/>
                    <w:rPr>
                      <w:color w:val="auto"/>
                      <w:sz w:val="18"/>
                      <w:szCs w:val="18"/>
                    </w:rPr>
                  </w:pPr>
                </w:p>
              </w:tc>
              <w:tc>
                <w:tcPr>
                  <w:tcW w:w="521" w:type="dxa"/>
                  <w:vMerge w:val="continue"/>
                  <w:tcMar>
                    <w:left w:w="0" w:type="dxa"/>
                    <w:right w:w="0" w:type="dxa"/>
                  </w:tcMar>
                  <w:vAlign w:val="center"/>
                </w:tcPr>
                <w:p>
                  <w:pPr>
                    <w:pStyle w:val="27"/>
                    <w:rPr>
                      <w:color w:val="auto"/>
                      <w:sz w:val="18"/>
                      <w:szCs w:val="18"/>
                    </w:rPr>
                  </w:pPr>
                </w:p>
              </w:tc>
              <w:tc>
                <w:tcPr>
                  <w:tcW w:w="810" w:type="dxa"/>
                  <w:gridSpan w:val="2"/>
                  <w:tcMar>
                    <w:left w:w="0" w:type="dxa"/>
                    <w:right w:w="0" w:type="dxa"/>
                  </w:tcMar>
                  <w:vAlign w:val="center"/>
                </w:tcPr>
                <w:p>
                  <w:pPr>
                    <w:pStyle w:val="27"/>
                    <w:rPr>
                      <w:color w:val="auto"/>
                      <w:sz w:val="18"/>
                      <w:szCs w:val="18"/>
                    </w:rPr>
                  </w:pPr>
                  <w:r>
                    <w:rPr>
                      <w:color w:val="auto"/>
                      <w:sz w:val="18"/>
                      <w:szCs w:val="18"/>
                    </w:rPr>
                    <w:t>检验废料</w:t>
                  </w:r>
                </w:p>
              </w:tc>
              <w:tc>
                <w:tcPr>
                  <w:tcW w:w="612" w:type="dxa"/>
                  <w:tcMar>
                    <w:left w:w="0" w:type="dxa"/>
                    <w:right w:w="0" w:type="dxa"/>
                  </w:tcMar>
                  <w:vAlign w:val="center"/>
                </w:tcPr>
                <w:p>
                  <w:pPr>
                    <w:pStyle w:val="27"/>
                    <w:rPr>
                      <w:color w:val="auto"/>
                      <w:sz w:val="18"/>
                      <w:szCs w:val="18"/>
                    </w:rPr>
                  </w:pPr>
                  <w:r>
                    <w:rPr>
                      <w:color w:val="auto"/>
                      <w:sz w:val="18"/>
                      <w:szCs w:val="18"/>
                    </w:rPr>
                    <w:t>S2</w:t>
                  </w:r>
                </w:p>
              </w:tc>
              <w:tc>
                <w:tcPr>
                  <w:tcW w:w="1457" w:type="dxa"/>
                  <w:tcMar>
                    <w:left w:w="0" w:type="dxa"/>
                    <w:right w:w="0" w:type="dxa"/>
                  </w:tcMar>
                  <w:vAlign w:val="center"/>
                </w:tcPr>
                <w:p>
                  <w:pPr>
                    <w:pStyle w:val="27"/>
                    <w:rPr>
                      <w:color w:val="auto"/>
                      <w:sz w:val="18"/>
                      <w:szCs w:val="18"/>
                    </w:rPr>
                  </w:pPr>
                  <w:r>
                    <w:rPr>
                      <w:color w:val="auto"/>
                      <w:sz w:val="18"/>
                      <w:szCs w:val="18"/>
                    </w:rPr>
                    <w:t>检验废料</w:t>
                  </w:r>
                </w:p>
              </w:tc>
              <w:tc>
                <w:tcPr>
                  <w:tcW w:w="3997" w:type="dxa"/>
                  <w:gridSpan w:val="2"/>
                  <w:tcMar>
                    <w:left w:w="0" w:type="dxa"/>
                    <w:right w:w="0" w:type="dxa"/>
                  </w:tcMar>
                  <w:vAlign w:val="center"/>
                </w:tcPr>
                <w:p>
                  <w:pPr>
                    <w:pStyle w:val="27"/>
                    <w:rPr>
                      <w:color w:val="auto"/>
                      <w:sz w:val="18"/>
                      <w:szCs w:val="18"/>
                    </w:rPr>
                  </w:pPr>
                  <w:r>
                    <w:rPr>
                      <w:color w:val="auto"/>
                      <w:sz w:val="18"/>
                      <w:szCs w:val="18"/>
                    </w:rPr>
                    <w:t>外售综合利用</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478" w:type="dxa"/>
                  <w:vMerge w:val="continue"/>
                  <w:tcMar>
                    <w:left w:w="0" w:type="dxa"/>
                    <w:right w:w="0" w:type="dxa"/>
                  </w:tcMar>
                  <w:vAlign w:val="center"/>
                </w:tcPr>
                <w:p>
                  <w:pPr>
                    <w:pStyle w:val="27"/>
                    <w:rPr>
                      <w:color w:val="auto"/>
                      <w:sz w:val="18"/>
                      <w:szCs w:val="18"/>
                    </w:rPr>
                  </w:pPr>
                </w:p>
              </w:tc>
              <w:tc>
                <w:tcPr>
                  <w:tcW w:w="521" w:type="dxa"/>
                  <w:vMerge w:val="restart"/>
                  <w:tcMar>
                    <w:left w:w="0" w:type="dxa"/>
                    <w:right w:w="0" w:type="dxa"/>
                  </w:tcMar>
                  <w:vAlign w:val="center"/>
                </w:tcPr>
                <w:p>
                  <w:pPr>
                    <w:pStyle w:val="27"/>
                    <w:rPr>
                      <w:color w:val="auto"/>
                      <w:sz w:val="18"/>
                      <w:szCs w:val="18"/>
                    </w:rPr>
                  </w:pPr>
                  <w:r>
                    <w:rPr>
                      <w:color w:val="auto"/>
                      <w:sz w:val="18"/>
                      <w:szCs w:val="18"/>
                    </w:rPr>
                    <w:t>危险废物</w:t>
                  </w:r>
                </w:p>
              </w:tc>
              <w:tc>
                <w:tcPr>
                  <w:tcW w:w="810" w:type="dxa"/>
                  <w:gridSpan w:val="2"/>
                  <w:tcMar>
                    <w:left w:w="0" w:type="dxa"/>
                    <w:right w:w="0" w:type="dxa"/>
                  </w:tcMar>
                  <w:vAlign w:val="center"/>
                </w:tcPr>
                <w:p>
                  <w:pPr>
                    <w:pStyle w:val="27"/>
                    <w:rPr>
                      <w:color w:val="auto"/>
                      <w:sz w:val="18"/>
                      <w:szCs w:val="18"/>
                    </w:rPr>
                  </w:pPr>
                  <w:r>
                    <w:rPr>
                      <w:rFonts w:hint="eastAsia"/>
                      <w:color w:val="auto"/>
                      <w:sz w:val="18"/>
                      <w:szCs w:val="18"/>
                    </w:rPr>
                    <w:t>废滤芯</w:t>
                  </w:r>
                </w:p>
              </w:tc>
              <w:tc>
                <w:tcPr>
                  <w:tcW w:w="612" w:type="dxa"/>
                  <w:tcMar>
                    <w:left w:w="0" w:type="dxa"/>
                    <w:right w:w="0" w:type="dxa"/>
                  </w:tcMar>
                  <w:vAlign w:val="center"/>
                </w:tcPr>
                <w:p>
                  <w:pPr>
                    <w:pStyle w:val="27"/>
                    <w:rPr>
                      <w:color w:val="auto"/>
                      <w:sz w:val="18"/>
                      <w:szCs w:val="18"/>
                    </w:rPr>
                  </w:pPr>
                  <w:r>
                    <w:rPr>
                      <w:color w:val="auto"/>
                      <w:sz w:val="18"/>
                      <w:szCs w:val="18"/>
                    </w:rPr>
                    <w:t>隔膜泵过滤产生</w:t>
                  </w:r>
                </w:p>
              </w:tc>
              <w:tc>
                <w:tcPr>
                  <w:tcW w:w="1457" w:type="dxa"/>
                  <w:tcMar>
                    <w:left w:w="0" w:type="dxa"/>
                    <w:right w:w="0" w:type="dxa"/>
                  </w:tcMar>
                  <w:vAlign w:val="center"/>
                </w:tcPr>
                <w:p>
                  <w:pPr>
                    <w:pStyle w:val="27"/>
                    <w:rPr>
                      <w:color w:val="auto"/>
                      <w:sz w:val="18"/>
                      <w:szCs w:val="18"/>
                    </w:rPr>
                  </w:pPr>
                  <w:r>
                    <w:rPr>
                      <w:rFonts w:hint="eastAsia"/>
                      <w:color w:val="auto"/>
                      <w:sz w:val="18"/>
                      <w:szCs w:val="18"/>
                    </w:rPr>
                    <w:t>废滤芯</w:t>
                  </w:r>
                </w:p>
              </w:tc>
              <w:tc>
                <w:tcPr>
                  <w:tcW w:w="3997" w:type="dxa"/>
                  <w:gridSpan w:val="2"/>
                  <w:tcMar>
                    <w:left w:w="0" w:type="dxa"/>
                    <w:right w:w="0" w:type="dxa"/>
                  </w:tcMar>
                  <w:vAlign w:val="center"/>
                </w:tcPr>
                <w:p>
                  <w:pPr>
                    <w:snapToGrid w:val="0"/>
                    <w:jc w:val="center"/>
                    <w:rPr>
                      <w:color w:val="auto"/>
                      <w:sz w:val="18"/>
                      <w:szCs w:val="18"/>
                    </w:rPr>
                  </w:pPr>
                  <w:r>
                    <w:rPr>
                      <w:color w:val="auto"/>
                      <w:sz w:val="18"/>
                      <w:szCs w:val="18"/>
                    </w:rPr>
                    <w:t>分类收集，定期委托有资质的单位处置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478" w:type="dxa"/>
                  <w:vMerge w:val="continue"/>
                  <w:tcMar>
                    <w:left w:w="0" w:type="dxa"/>
                    <w:right w:w="0" w:type="dxa"/>
                  </w:tcMar>
                  <w:vAlign w:val="center"/>
                </w:tcPr>
                <w:p>
                  <w:pPr>
                    <w:pStyle w:val="27"/>
                    <w:rPr>
                      <w:color w:val="auto"/>
                      <w:sz w:val="18"/>
                      <w:szCs w:val="18"/>
                    </w:rPr>
                  </w:pPr>
                </w:p>
              </w:tc>
              <w:tc>
                <w:tcPr>
                  <w:tcW w:w="521" w:type="dxa"/>
                  <w:vMerge w:val="continue"/>
                  <w:tcMar>
                    <w:left w:w="0" w:type="dxa"/>
                    <w:right w:w="0" w:type="dxa"/>
                  </w:tcMar>
                  <w:vAlign w:val="center"/>
                </w:tcPr>
                <w:p>
                  <w:pPr>
                    <w:pStyle w:val="27"/>
                    <w:rPr>
                      <w:color w:val="auto"/>
                      <w:sz w:val="18"/>
                      <w:szCs w:val="18"/>
                    </w:rPr>
                  </w:pPr>
                </w:p>
              </w:tc>
              <w:tc>
                <w:tcPr>
                  <w:tcW w:w="810" w:type="dxa"/>
                  <w:gridSpan w:val="2"/>
                  <w:tcMar>
                    <w:left w:w="0" w:type="dxa"/>
                    <w:right w:w="0" w:type="dxa"/>
                  </w:tcMar>
                  <w:vAlign w:val="center"/>
                </w:tcPr>
                <w:p>
                  <w:pPr>
                    <w:pStyle w:val="27"/>
                    <w:rPr>
                      <w:color w:val="auto"/>
                      <w:sz w:val="18"/>
                      <w:szCs w:val="18"/>
                    </w:rPr>
                  </w:pPr>
                  <w:r>
                    <w:rPr>
                      <w:color w:val="auto"/>
                      <w:sz w:val="18"/>
                      <w:szCs w:val="18"/>
                    </w:rPr>
                    <w:t>精馏</w:t>
                  </w:r>
                  <w:r>
                    <w:rPr>
                      <w:rFonts w:hint="eastAsia"/>
                      <w:color w:val="auto"/>
                      <w:sz w:val="18"/>
                      <w:szCs w:val="18"/>
                    </w:rPr>
                    <w:t>釜</w:t>
                  </w:r>
                  <w:r>
                    <w:rPr>
                      <w:color w:val="auto"/>
                      <w:sz w:val="18"/>
                      <w:szCs w:val="18"/>
                    </w:rPr>
                    <w:t>残</w:t>
                  </w:r>
                </w:p>
              </w:tc>
              <w:tc>
                <w:tcPr>
                  <w:tcW w:w="612" w:type="dxa"/>
                  <w:tcMar>
                    <w:left w:w="0" w:type="dxa"/>
                    <w:right w:w="0" w:type="dxa"/>
                  </w:tcMar>
                  <w:vAlign w:val="center"/>
                </w:tcPr>
                <w:p>
                  <w:pPr>
                    <w:pStyle w:val="27"/>
                    <w:rPr>
                      <w:color w:val="auto"/>
                      <w:sz w:val="18"/>
                      <w:szCs w:val="18"/>
                    </w:rPr>
                  </w:pPr>
                  <w:r>
                    <w:rPr>
                      <w:color w:val="auto"/>
                      <w:sz w:val="18"/>
                      <w:szCs w:val="18"/>
                    </w:rPr>
                    <w:t>喷淋水精馏</w:t>
                  </w:r>
                </w:p>
              </w:tc>
              <w:tc>
                <w:tcPr>
                  <w:tcW w:w="1457" w:type="dxa"/>
                  <w:tcMar>
                    <w:left w:w="0" w:type="dxa"/>
                    <w:right w:w="0" w:type="dxa"/>
                  </w:tcMar>
                  <w:vAlign w:val="center"/>
                </w:tcPr>
                <w:p>
                  <w:pPr>
                    <w:pStyle w:val="27"/>
                    <w:rPr>
                      <w:color w:val="auto"/>
                      <w:sz w:val="18"/>
                      <w:szCs w:val="18"/>
                    </w:rPr>
                  </w:pPr>
                  <w:r>
                    <w:rPr>
                      <w:color w:val="auto"/>
                      <w:sz w:val="18"/>
                      <w:szCs w:val="18"/>
                    </w:rPr>
                    <w:t>精馏</w:t>
                  </w:r>
                  <w:r>
                    <w:rPr>
                      <w:rFonts w:hint="eastAsia"/>
                      <w:color w:val="auto"/>
                      <w:sz w:val="18"/>
                      <w:szCs w:val="18"/>
                    </w:rPr>
                    <w:t>釜</w:t>
                  </w:r>
                  <w:r>
                    <w:rPr>
                      <w:color w:val="auto"/>
                      <w:sz w:val="18"/>
                      <w:szCs w:val="18"/>
                    </w:rPr>
                    <w:t>残</w:t>
                  </w:r>
                </w:p>
              </w:tc>
              <w:tc>
                <w:tcPr>
                  <w:tcW w:w="3997" w:type="dxa"/>
                  <w:gridSpan w:val="2"/>
                  <w:tcMar>
                    <w:left w:w="0" w:type="dxa"/>
                    <w:right w:w="0" w:type="dxa"/>
                  </w:tcMar>
                  <w:vAlign w:val="center"/>
                </w:tcPr>
                <w:p>
                  <w:pPr>
                    <w:snapToGrid w:val="0"/>
                    <w:jc w:val="center"/>
                    <w:rPr>
                      <w:color w:val="auto"/>
                      <w:sz w:val="18"/>
                      <w:szCs w:val="18"/>
                    </w:rPr>
                  </w:pPr>
                  <w:r>
                    <w:rPr>
                      <w:color w:val="auto"/>
                      <w:sz w:val="18"/>
                      <w:szCs w:val="18"/>
                    </w:rPr>
                    <w:t>分类收集，定期委托有资质的单位处置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05" w:hRule="atLeast"/>
                <w:jc w:val="center"/>
              </w:trPr>
              <w:tc>
                <w:tcPr>
                  <w:tcW w:w="478" w:type="dxa"/>
                  <w:vMerge w:val="continue"/>
                  <w:tcMar>
                    <w:left w:w="0" w:type="dxa"/>
                    <w:right w:w="0" w:type="dxa"/>
                  </w:tcMar>
                  <w:vAlign w:val="center"/>
                </w:tcPr>
                <w:p>
                  <w:pPr>
                    <w:pStyle w:val="27"/>
                    <w:rPr>
                      <w:color w:val="auto"/>
                      <w:sz w:val="18"/>
                      <w:szCs w:val="18"/>
                    </w:rPr>
                  </w:pPr>
                </w:p>
              </w:tc>
              <w:tc>
                <w:tcPr>
                  <w:tcW w:w="521" w:type="dxa"/>
                  <w:vMerge w:val="continue"/>
                  <w:tcMar>
                    <w:left w:w="0" w:type="dxa"/>
                    <w:right w:w="0" w:type="dxa"/>
                  </w:tcMar>
                  <w:vAlign w:val="center"/>
                </w:tcPr>
                <w:p>
                  <w:pPr>
                    <w:pStyle w:val="27"/>
                    <w:rPr>
                      <w:color w:val="auto"/>
                      <w:sz w:val="18"/>
                      <w:szCs w:val="18"/>
                    </w:rPr>
                  </w:pPr>
                </w:p>
              </w:tc>
              <w:tc>
                <w:tcPr>
                  <w:tcW w:w="810" w:type="dxa"/>
                  <w:gridSpan w:val="2"/>
                  <w:tcMar>
                    <w:left w:w="0" w:type="dxa"/>
                    <w:right w:w="0" w:type="dxa"/>
                  </w:tcMar>
                  <w:vAlign w:val="center"/>
                </w:tcPr>
                <w:p>
                  <w:pPr>
                    <w:pStyle w:val="27"/>
                    <w:rPr>
                      <w:color w:val="auto"/>
                      <w:sz w:val="18"/>
                      <w:szCs w:val="18"/>
                    </w:rPr>
                  </w:pPr>
                  <w:r>
                    <w:rPr>
                      <w:color w:val="auto"/>
                      <w:sz w:val="18"/>
                      <w:szCs w:val="18"/>
                    </w:rPr>
                    <w:t>废活性炭</w:t>
                  </w:r>
                </w:p>
              </w:tc>
              <w:tc>
                <w:tcPr>
                  <w:tcW w:w="612" w:type="dxa"/>
                  <w:tcMar>
                    <w:left w:w="0" w:type="dxa"/>
                    <w:right w:w="0" w:type="dxa"/>
                  </w:tcMar>
                  <w:vAlign w:val="center"/>
                </w:tcPr>
                <w:p>
                  <w:pPr>
                    <w:pStyle w:val="27"/>
                    <w:rPr>
                      <w:color w:val="auto"/>
                      <w:sz w:val="18"/>
                      <w:szCs w:val="18"/>
                    </w:rPr>
                  </w:pPr>
                  <w:r>
                    <w:rPr>
                      <w:color w:val="auto"/>
                      <w:sz w:val="18"/>
                      <w:szCs w:val="18"/>
                    </w:rPr>
                    <w:t>废气处置</w:t>
                  </w:r>
                </w:p>
              </w:tc>
              <w:tc>
                <w:tcPr>
                  <w:tcW w:w="1457" w:type="dxa"/>
                  <w:tcMar>
                    <w:left w:w="0" w:type="dxa"/>
                    <w:right w:w="0" w:type="dxa"/>
                  </w:tcMar>
                  <w:vAlign w:val="center"/>
                </w:tcPr>
                <w:p>
                  <w:pPr>
                    <w:pStyle w:val="27"/>
                    <w:rPr>
                      <w:color w:val="auto"/>
                      <w:sz w:val="18"/>
                      <w:szCs w:val="18"/>
                    </w:rPr>
                  </w:pPr>
                  <w:r>
                    <w:rPr>
                      <w:color w:val="auto"/>
                      <w:sz w:val="18"/>
                      <w:szCs w:val="18"/>
                    </w:rPr>
                    <w:t>废活性炭</w:t>
                  </w:r>
                </w:p>
              </w:tc>
              <w:tc>
                <w:tcPr>
                  <w:tcW w:w="3997" w:type="dxa"/>
                  <w:gridSpan w:val="2"/>
                  <w:tcMar>
                    <w:left w:w="0" w:type="dxa"/>
                    <w:right w:w="0" w:type="dxa"/>
                  </w:tcMar>
                  <w:vAlign w:val="center"/>
                </w:tcPr>
                <w:p>
                  <w:pPr>
                    <w:snapToGrid w:val="0"/>
                    <w:jc w:val="center"/>
                    <w:rPr>
                      <w:color w:val="auto"/>
                      <w:sz w:val="18"/>
                      <w:szCs w:val="18"/>
                    </w:rPr>
                  </w:pPr>
                  <w:r>
                    <w:rPr>
                      <w:color w:val="auto"/>
                      <w:sz w:val="18"/>
                      <w:szCs w:val="18"/>
                    </w:rPr>
                    <w:t>分类收集，定期委托有资质的单位处置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478" w:type="dxa"/>
                  <w:vMerge w:val="restart"/>
                  <w:tcMar>
                    <w:left w:w="0" w:type="dxa"/>
                    <w:right w:w="0" w:type="dxa"/>
                  </w:tcMar>
                  <w:vAlign w:val="center"/>
                </w:tcPr>
                <w:p>
                  <w:pPr>
                    <w:pStyle w:val="27"/>
                    <w:rPr>
                      <w:color w:val="auto"/>
                      <w:sz w:val="18"/>
                      <w:szCs w:val="18"/>
                    </w:rPr>
                  </w:pPr>
                  <w:r>
                    <w:rPr>
                      <w:color w:val="auto"/>
                      <w:sz w:val="18"/>
                      <w:szCs w:val="18"/>
                    </w:rPr>
                    <w:t>废水</w:t>
                  </w:r>
                </w:p>
              </w:tc>
              <w:tc>
                <w:tcPr>
                  <w:tcW w:w="1331" w:type="dxa"/>
                  <w:gridSpan w:val="3"/>
                  <w:tcMar>
                    <w:left w:w="0" w:type="dxa"/>
                    <w:right w:w="0" w:type="dxa"/>
                  </w:tcMar>
                  <w:vAlign w:val="center"/>
                </w:tcPr>
                <w:p>
                  <w:pPr>
                    <w:pStyle w:val="27"/>
                    <w:rPr>
                      <w:color w:val="auto"/>
                      <w:sz w:val="18"/>
                      <w:szCs w:val="18"/>
                    </w:rPr>
                  </w:pPr>
                  <w:r>
                    <w:rPr>
                      <w:color w:val="auto"/>
                      <w:sz w:val="18"/>
                      <w:szCs w:val="18"/>
                    </w:rPr>
                    <w:t>生产废水</w:t>
                  </w:r>
                </w:p>
              </w:tc>
              <w:tc>
                <w:tcPr>
                  <w:tcW w:w="612" w:type="dxa"/>
                  <w:tcMar>
                    <w:left w:w="0" w:type="dxa"/>
                    <w:right w:w="0" w:type="dxa"/>
                  </w:tcMar>
                  <w:vAlign w:val="center"/>
                </w:tcPr>
                <w:p>
                  <w:pPr>
                    <w:pStyle w:val="27"/>
                    <w:rPr>
                      <w:color w:val="auto"/>
                      <w:sz w:val="18"/>
                      <w:szCs w:val="18"/>
                    </w:rPr>
                  </w:pPr>
                  <w:r>
                    <w:rPr>
                      <w:rFonts w:hint="eastAsia"/>
                      <w:color w:val="auto"/>
                      <w:sz w:val="18"/>
                      <w:szCs w:val="18"/>
                    </w:rPr>
                    <w:t>W1</w:t>
                  </w:r>
                </w:p>
              </w:tc>
              <w:tc>
                <w:tcPr>
                  <w:tcW w:w="1457" w:type="dxa"/>
                  <w:tcMar>
                    <w:left w:w="0" w:type="dxa"/>
                    <w:right w:w="0" w:type="dxa"/>
                  </w:tcMar>
                  <w:vAlign w:val="center"/>
                </w:tcPr>
                <w:p>
                  <w:pPr>
                    <w:pStyle w:val="27"/>
                    <w:rPr>
                      <w:rFonts w:hint="eastAsia" w:eastAsia="宋体"/>
                      <w:color w:val="auto"/>
                      <w:sz w:val="18"/>
                      <w:szCs w:val="18"/>
                      <w:lang w:eastAsia="zh-CN"/>
                    </w:rPr>
                  </w:pPr>
                  <w:r>
                    <w:rPr>
                      <w:rFonts w:hint="eastAsia"/>
                      <w:color w:val="auto"/>
                      <w:sz w:val="18"/>
                      <w:szCs w:val="18"/>
                      <w:lang w:eastAsia="zh-CN"/>
                    </w:rPr>
                    <w:t>溶剂</w:t>
                  </w:r>
                </w:p>
                <w:p>
                  <w:pPr>
                    <w:pStyle w:val="27"/>
                    <w:rPr>
                      <w:color w:val="auto"/>
                      <w:sz w:val="18"/>
                      <w:szCs w:val="18"/>
                    </w:rPr>
                  </w:pPr>
                  <w:r>
                    <w:rPr>
                      <w:rFonts w:hint="eastAsia"/>
                      <w:color w:val="auto"/>
                      <w:sz w:val="18"/>
                      <w:szCs w:val="18"/>
                    </w:rPr>
                    <w:t>（折算为COD和</w:t>
                  </w:r>
                  <w:r>
                    <w:rPr>
                      <w:rFonts w:hint="eastAsia"/>
                      <w:color w:val="auto"/>
                      <w:sz w:val="18"/>
                      <w:szCs w:val="18"/>
                      <w:lang w:val="en-US" w:eastAsia="zh-CN"/>
                    </w:rPr>
                    <w:t>NH</w:t>
                  </w:r>
                  <w:r>
                    <w:rPr>
                      <w:rFonts w:hint="eastAsia"/>
                      <w:color w:val="auto"/>
                      <w:sz w:val="18"/>
                      <w:szCs w:val="18"/>
                      <w:vertAlign w:val="subscript"/>
                      <w:lang w:val="en-US" w:eastAsia="zh-CN"/>
                    </w:rPr>
                    <w:t>3</w:t>
                  </w:r>
                  <w:r>
                    <w:rPr>
                      <w:rFonts w:hint="eastAsia"/>
                      <w:color w:val="auto"/>
                      <w:sz w:val="18"/>
                      <w:szCs w:val="18"/>
                      <w:lang w:val="en-US" w:eastAsia="zh-CN"/>
                    </w:rPr>
                    <w:t>-N</w:t>
                  </w:r>
                  <w:r>
                    <w:rPr>
                      <w:rFonts w:hint="eastAsia"/>
                      <w:color w:val="auto"/>
                      <w:sz w:val="18"/>
                      <w:szCs w:val="18"/>
                    </w:rPr>
                    <w:t>）</w:t>
                  </w:r>
                </w:p>
              </w:tc>
              <w:tc>
                <w:tcPr>
                  <w:tcW w:w="3000" w:type="dxa"/>
                  <w:tcMar>
                    <w:left w:w="0" w:type="dxa"/>
                    <w:right w:w="0" w:type="dxa"/>
                  </w:tcMar>
                  <w:vAlign w:val="center"/>
                </w:tcPr>
                <w:p>
                  <w:pPr>
                    <w:snapToGrid w:val="0"/>
                    <w:jc w:val="center"/>
                    <w:rPr>
                      <w:color w:val="auto"/>
                      <w:sz w:val="18"/>
                      <w:szCs w:val="18"/>
                    </w:rPr>
                  </w:pPr>
                  <w:r>
                    <w:rPr>
                      <w:rFonts w:hint="eastAsia"/>
                      <w:color w:val="auto"/>
                      <w:sz w:val="18"/>
                      <w:szCs w:val="18"/>
                      <w:lang w:val="en-US" w:eastAsia="zh-CN"/>
                    </w:rPr>
                    <w:t>依托</w:t>
                  </w:r>
                  <w:r>
                    <w:rPr>
                      <w:color w:val="auto"/>
                      <w:sz w:val="18"/>
                      <w:szCs w:val="18"/>
                    </w:rPr>
                    <w:t>一厂污水站</w:t>
                  </w:r>
                  <w:r>
                    <w:rPr>
                      <w:rFonts w:hint="eastAsia"/>
                      <w:color w:val="auto"/>
                      <w:sz w:val="18"/>
                      <w:szCs w:val="18"/>
                      <w:lang w:eastAsia="zh-CN"/>
                    </w:rPr>
                    <w:t>，</w:t>
                  </w:r>
                  <w:r>
                    <w:rPr>
                      <w:rFonts w:hint="eastAsia"/>
                      <w:color w:val="auto"/>
                      <w:sz w:val="18"/>
                      <w:szCs w:val="18"/>
                      <w:lang w:val="en-US" w:eastAsia="zh-CN"/>
                    </w:rPr>
                    <w:t>经“</w:t>
                  </w:r>
                  <w:r>
                    <w:rPr>
                      <w:rFonts w:hint="eastAsia"/>
                      <w:color w:val="auto"/>
                      <w:sz w:val="18"/>
                      <w:szCs w:val="18"/>
                    </w:rPr>
                    <w:t>调节+铁碳+中和+厌氧好氧</w:t>
                  </w:r>
                  <w:r>
                    <w:rPr>
                      <w:rFonts w:hint="eastAsia"/>
                      <w:color w:val="auto"/>
                      <w:sz w:val="18"/>
                      <w:szCs w:val="18"/>
                      <w:lang w:val="en-US" w:eastAsia="zh-CN"/>
                    </w:rPr>
                    <w:t>”</w:t>
                  </w:r>
                  <w:r>
                    <w:rPr>
                      <w:color w:val="auto"/>
                      <w:sz w:val="18"/>
                      <w:szCs w:val="18"/>
                    </w:rPr>
                    <w:t>处理后排入园区污水厂</w:t>
                  </w:r>
                </w:p>
              </w:tc>
              <w:tc>
                <w:tcPr>
                  <w:tcW w:w="997" w:type="dxa"/>
                  <w:tcMar>
                    <w:left w:w="0" w:type="dxa"/>
                    <w:right w:w="0" w:type="dxa"/>
                  </w:tcMar>
                  <w:vAlign w:val="center"/>
                </w:tcPr>
                <w:p>
                  <w:pPr>
                    <w:snapToGrid w:val="0"/>
                    <w:jc w:val="center"/>
                    <w:rPr>
                      <w:color w:val="auto"/>
                      <w:sz w:val="18"/>
                      <w:szCs w:val="18"/>
                    </w:rPr>
                  </w:pPr>
                  <w:r>
                    <w:rPr>
                      <w:color w:val="auto"/>
                      <w:sz w:val="18"/>
                      <w:szCs w:val="18"/>
                    </w:rPr>
                    <w:t>间接排放</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478" w:type="dxa"/>
                  <w:vMerge w:val="continue"/>
                  <w:tcMar>
                    <w:left w:w="0" w:type="dxa"/>
                    <w:right w:w="0" w:type="dxa"/>
                  </w:tcMar>
                  <w:vAlign w:val="center"/>
                </w:tcPr>
                <w:p>
                  <w:pPr>
                    <w:pStyle w:val="27"/>
                    <w:rPr>
                      <w:color w:val="auto"/>
                      <w:sz w:val="18"/>
                      <w:szCs w:val="18"/>
                    </w:rPr>
                  </w:pPr>
                </w:p>
              </w:tc>
              <w:tc>
                <w:tcPr>
                  <w:tcW w:w="1331" w:type="dxa"/>
                  <w:gridSpan w:val="3"/>
                  <w:tcMar>
                    <w:left w:w="0" w:type="dxa"/>
                    <w:right w:w="0" w:type="dxa"/>
                  </w:tcMar>
                  <w:vAlign w:val="center"/>
                </w:tcPr>
                <w:p>
                  <w:pPr>
                    <w:pStyle w:val="27"/>
                    <w:rPr>
                      <w:color w:val="auto"/>
                      <w:sz w:val="18"/>
                      <w:szCs w:val="18"/>
                    </w:rPr>
                  </w:pPr>
                  <w:r>
                    <w:rPr>
                      <w:color w:val="auto"/>
                      <w:sz w:val="18"/>
                      <w:szCs w:val="18"/>
                    </w:rPr>
                    <w:t>生活废水</w:t>
                  </w:r>
                </w:p>
              </w:tc>
              <w:tc>
                <w:tcPr>
                  <w:tcW w:w="612" w:type="dxa"/>
                  <w:tcMar>
                    <w:left w:w="0" w:type="dxa"/>
                    <w:right w:w="0" w:type="dxa"/>
                  </w:tcMar>
                  <w:vAlign w:val="center"/>
                </w:tcPr>
                <w:p>
                  <w:pPr>
                    <w:pStyle w:val="27"/>
                    <w:rPr>
                      <w:color w:val="auto"/>
                      <w:sz w:val="18"/>
                      <w:szCs w:val="18"/>
                    </w:rPr>
                  </w:pPr>
                  <w:r>
                    <w:rPr>
                      <w:color w:val="auto"/>
                      <w:sz w:val="18"/>
                      <w:szCs w:val="18"/>
                    </w:rPr>
                    <w:t>员工生活污水</w:t>
                  </w:r>
                </w:p>
              </w:tc>
              <w:tc>
                <w:tcPr>
                  <w:tcW w:w="1457" w:type="dxa"/>
                  <w:tcMar>
                    <w:left w:w="0" w:type="dxa"/>
                    <w:right w:w="0" w:type="dxa"/>
                  </w:tcMar>
                  <w:vAlign w:val="center"/>
                </w:tcPr>
                <w:p>
                  <w:pPr>
                    <w:pStyle w:val="27"/>
                    <w:rPr>
                      <w:color w:val="auto"/>
                      <w:sz w:val="18"/>
                      <w:szCs w:val="18"/>
                    </w:rPr>
                  </w:pPr>
                  <w:r>
                    <w:rPr>
                      <w:color w:val="auto"/>
                      <w:sz w:val="18"/>
                      <w:szCs w:val="18"/>
                    </w:rPr>
                    <w:t>COD、BOD</w:t>
                  </w:r>
                  <w:r>
                    <w:rPr>
                      <w:color w:val="auto"/>
                      <w:sz w:val="18"/>
                      <w:szCs w:val="18"/>
                      <w:vertAlign w:val="subscript"/>
                    </w:rPr>
                    <w:t>5</w:t>
                  </w:r>
                  <w:r>
                    <w:rPr>
                      <w:color w:val="auto"/>
                      <w:sz w:val="18"/>
                      <w:szCs w:val="18"/>
                    </w:rPr>
                    <w:t>、</w:t>
                  </w:r>
                  <w:r>
                    <w:rPr>
                      <w:rFonts w:hint="eastAsia"/>
                      <w:color w:val="auto"/>
                      <w:sz w:val="18"/>
                      <w:szCs w:val="18"/>
                    </w:rPr>
                    <w:t>SS</w:t>
                  </w:r>
                  <w:r>
                    <w:rPr>
                      <w:color w:val="auto"/>
                      <w:sz w:val="18"/>
                      <w:szCs w:val="18"/>
                    </w:rPr>
                    <w:t>、氨氮</w:t>
                  </w:r>
                </w:p>
              </w:tc>
              <w:tc>
                <w:tcPr>
                  <w:tcW w:w="3000" w:type="dxa"/>
                  <w:tcMar>
                    <w:left w:w="0" w:type="dxa"/>
                    <w:right w:w="0" w:type="dxa"/>
                  </w:tcMar>
                  <w:vAlign w:val="center"/>
                </w:tcPr>
                <w:p>
                  <w:pPr>
                    <w:snapToGrid w:val="0"/>
                    <w:jc w:val="center"/>
                    <w:rPr>
                      <w:color w:val="auto"/>
                      <w:sz w:val="18"/>
                      <w:szCs w:val="18"/>
                    </w:rPr>
                  </w:pPr>
                  <w:r>
                    <w:rPr>
                      <w:rFonts w:hint="eastAsia"/>
                      <w:color w:val="auto"/>
                      <w:sz w:val="18"/>
                      <w:szCs w:val="18"/>
                      <w:lang w:val="en-US" w:eastAsia="zh-CN"/>
                    </w:rPr>
                    <w:t>依托</w:t>
                  </w:r>
                  <w:r>
                    <w:rPr>
                      <w:color w:val="auto"/>
                      <w:sz w:val="18"/>
                      <w:szCs w:val="18"/>
                    </w:rPr>
                    <w:t>化粪池处理</w:t>
                  </w:r>
                  <w:r>
                    <w:rPr>
                      <w:rFonts w:hint="eastAsia"/>
                      <w:color w:val="auto"/>
                      <w:sz w:val="18"/>
                      <w:szCs w:val="18"/>
                    </w:rPr>
                    <w:t>后和生产废水一同</w:t>
                  </w:r>
                  <w:r>
                    <w:rPr>
                      <w:rFonts w:hint="eastAsia"/>
                      <w:color w:val="auto"/>
                      <w:sz w:val="18"/>
                      <w:szCs w:val="18"/>
                      <w:lang w:val="en-US" w:eastAsia="zh-CN"/>
                    </w:rPr>
                    <w:t>依托</w:t>
                  </w:r>
                  <w:r>
                    <w:rPr>
                      <w:color w:val="auto"/>
                      <w:sz w:val="18"/>
                      <w:szCs w:val="18"/>
                    </w:rPr>
                    <w:t>一厂污水站</w:t>
                  </w:r>
                  <w:r>
                    <w:rPr>
                      <w:rFonts w:hint="eastAsia"/>
                      <w:color w:val="auto"/>
                      <w:sz w:val="18"/>
                      <w:szCs w:val="18"/>
                      <w:lang w:eastAsia="zh-CN"/>
                    </w:rPr>
                    <w:t>，</w:t>
                  </w:r>
                  <w:r>
                    <w:rPr>
                      <w:rFonts w:hint="eastAsia"/>
                      <w:color w:val="auto"/>
                      <w:sz w:val="18"/>
                      <w:szCs w:val="18"/>
                      <w:lang w:val="en-US" w:eastAsia="zh-CN"/>
                    </w:rPr>
                    <w:t>经“</w:t>
                  </w:r>
                  <w:r>
                    <w:rPr>
                      <w:rFonts w:hint="eastAsia"/>
                      <w:color w:val="auto"/>
                      <w:sz w:val="18"/>
                      <w:szCs w:val="18"/>
                    </w:rPr>
                    <w:t>调节+铁碳+中和+厌氧好氧</w:t>
                  </w:r>
                  <w:r>
                    <w:rPr>
                      <w:rFonts w:hint="eastAsia"/>
                      <w:color w:val="auto"/>
                      <w:sz w:val="18"/>
                      <w:szCs w:val="18"/>
                      <w:lang w:val="en-US" w:eastAsia="zh-CN"/>
                    </w:rPr>
                    <w:t>”</w:t>
                  </w:r>
                  <w:r>
                    <w:rPr>
                      <w:color w:val="auto"/>
                      <w:sz w:val="18"/>
                      <w:szCs w:val="18"/>
                    </w:rPr>
                    <w:t>处理后排入园区污水厂</w:t>
                  </w:r>
                </w:p>
              </w:tc>
              <w:tc>
                <w:tcPr>
                  <w:tcW w:w="997" w:type="dxa"/>
                  <w:tcMar>
                    <w:left w:w="0" w:type="dxa"/>
                    <w:right w:w="0" w:type="dxa"/>
                  </w:tcMar>
                  <w:vAlign w:val="center"/>
                </w:tcPr>
                <w:p>
                  <w:pPr>
                    <w:snapToGrid w:val="0"/>
                    <w:jc w:val="center"/>
                    <w:rPr>
                      <w:color w:val="auto"/>
                      <w:sz w:val="18"/>
                      <w:szCs w:val="18"/>
                    </w:rPr>
                  </w:pPr>
                  <w:r>
                    <w:rPr>
                      <w:color w:val="auto"/>
                      <w:sz w:val="18"/>
                      <w:szCs w:val="18"/>
                    </w:rPr>
                    <w:t>间接排放</w:t>
                  </w:r>
                </w:p>
              </w:tc>
            </w:tr>
          </w:tbl>
          <w:p>
            <w:pPr>
              <w:rPr>
                <w:rFonts w:hint="eastAsia" w:ascii="Times New Roman" w:hAnsi="Times New Roman" w:eastAsia="宋体" w:cs="Times New Roman"/>
                <w:b/>
                <w:bCs/>
                <w:color w:val="auto"/>
                <w:sz w:val="21"/>
                <w:szCs w:val="20"/>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90" w:type="dxa"/>
            <w:vAlign w:val="center"/>
          </w:tcPr>
          <w:p>
            <w:pPr>
              <w:jc w:val="center"/>
              <w:rPr>
                <w:color w:val="auto"/>
                <w:szCs w:val="21"/>
              </w:rPr>
            </w:pPr>
            <w:r>
              <w:rPr>
                <w:color w:val="auto"/>
                <w:szCs w:val="21"/>
              </w:rPr>
              <w:t>与项目有关的原有环境污染问题</w:t>
            </w:r>
          </w:p>
        </w:tc>
        <w:tc>
          <w:tcPr>
            <w:tcW w:w="8323" w:type="dxa"/>
            <w:vAlign w:val="top"/>
          </w:tcPr>
          <w:p>
            <w:pPr>
              <w:pStyle w:val="35"/>
              <w:spacing w:line="360" w:lineRule="auto"/>
              <w:ind w:firstLine="420"/>
              <w:jc w:val="both"/>
              <w:rPr>
                <w:rFonts w:ascii="Times New Roman" w:hAnsi="Times New Roman" w:cs="Times New Roman"/>
                <w:color w:val="auto"/>
                <w:sz w:val="21"/>
                <w:szCs w:val="20"/>
              </w:rPr>
            </w:pPr>
            <w:r>
              <w:rPr>
                <w:rFonts w:hint="eastAsia" w:ascii="Times New Roman" w:hAnsi="Times New Roman" w:cs="Times New Roman"/>
                <w:color w:val="auto"/>
                <w:sz w:val="21"/>
                <w:szCs w:val="20"/>
              </w:rPr>
              <w:t>（1）现有工程基本情况</w:t>
            </w:r>
          </w:p>
          <w:p>
            <w:pPr>
              <w:pStyle w:val="35"/>
              <w:spacing w:line="360" w:lineRule="auto"/>
              <w:ind w:firstLine="420"/>
              <w:jc w:val="both"/>
              <w:rPr>
                <w:rFonts w:ascii="Times New Roman" w:hAnsi="Times New Roman" w:cs="Times New Roman"/>
                <w:color w:val="auto"/>
                <w:sz w:val="21"/>
                <w:szCs w:val="20"/>
              </w:rPr>
            </w:pPr>
            <w:r>
              <w:rPr>
                <w:rFonts w:hint="eastAsia" w:ascii="Times New Roman" w:hAnsi="Times New Roman" w:cs="Times New Roman"/>
                <w:color w:val="auto"/>
                <w:sz w:val="21"/>
                <w:szCs w:val="20"/>
              </w:rPr>
              <w:t>三明市海斯福化工有限责任公司在明溪县现有三个厂区，一厂、二厂位于明溪县经济开发区D区1号（其中二厂属明溪县工业集中区D区规划范围），三厂位于明溪县经济开发区D区29号（属明溪县工业集中区一区）。本次扩建在一厂区，且一二厂和三厂的排污许可证分开申领，本次现有工程基本情况仅对一厂和二厂回顾。</w:t>
            </w:r>
          </w:p>
          <w:p>
            <w:pPr>
              <w:pStyle w:val="24"/>
              <w:spacing w:line="360" w:lineRule="auto"/>
              <w:ind w:firstLine="420"/>
              <w:rPr>
                <w:color w:val="auto"/>
              </w:rPr>
            </w:pPr>
            <w:r>
              <w:rPr>
                <w:rFonts w:hint="eastAsia" w:eastAsiaTheme="minorEastAsia"/>
                <w:color w:val="auto"/>
                <w:sz w:val="21"/>
                <w:szCs w:val="20"/>
              </w:rPr>
              <w:t>一厂区现有工程和二厂已批建成现有工程均已取得环评批复及环保竣工验收。企业于202</w:t>
            </w:r>
            <w:r>
              <w:rPr>
                <w:rFonts w:hint="eastAsia" w:eastAsiaTheme="minorEastAsia"/>
                <w:color w:val="auto"/>
                <w:sz w:val="21"/>
                <w:szCs w:val="20"/>
                <w:lang w:val="en-US" w:eastAsia="zh-CN"/>
              </w:rPr>
              <w:t>6</w:t>
            </w:r>
            <w:r>
              <w:rPr>
                <w:rFonts w:hint="eastAsia" w:eastAsiaTheme="minorEastAsia"/>
                <w:color w:val="auto"/>
                <w:sz w:val="21"/>
                <w:szCs w:val="20"/>
              </w:rPr>
              <w:t>年</w:t>
            </w:r>
            <w:r>
              <w:rPr>
                <w:rFonts w:hint="eastAsia" w:eastAsiaTheme="minorEastAsia"/>
                <w:color w:val="auto"/>
                <w:sz w:val="21"/>
                <w:szCs w:val="20"/>
                <w:lang w:val="en-US" w:eastAsia="zh-CN"/>
              </w:rPr>
              <w:t>4</w:t>
            </w:r>
            <w:r>
              <w:rPr>
                <w:rFonts w:hint="eastAsia" w:eastAsiaTheme="minorEastAsia"/>
                <w:color w:val="auto"/>
                <w:sz w:val="21"/>
                <w:szCs w:val="20"/>
              </w:rPr>
              <w:t>月</w:t>
            </w:r>
            <w:r>
              <w:rPr>
                <w:rFonts w:hint="eastAsia" w:eastAsiaTheme="minorEastAsia"/>
                <w:color w:val="auto"/>
                <w:sz w:val="21"/>
                <w:szCs w:val="20"/>
                <w:lang w:val="en-US" w:eastAsia="zh-CN"/>
              </w:rPr>
              <w:t>3</w:t>
            </w:r>
            <w:r>
              <w:rPr>
                <w:rFonts w:hint="eastAsia" w:eastAsiaTheme="minorEastAsia"/>
                <w:color w:val="auto"/>
                <w:sz w:val="21"/>
                <w:szCs w:val="20"/>
              </w:rPr>
              <w:t>日更新了三明市生态环境局颁发的排污许可证，证书编号：913504216650885883002P。</w:t>
            </w:r>
          </w:p>
          <w:p>
            <w:pPr>
              <w:pStyle w:val="24"/>
              <w:spacing w:line="360" w:lineRule="auto"/>
              <w:ind w:firstLine="420"/>
              <w:rPr>
                <w:rFonts w:eastAsiaTheme="minorEastAsia"/>
                <w:color w:val="auto"/>
                <w:sz w:val="21"/>
                <w:szCs w:val="20"/>
              </w:rPr>
            </w:pPr>
            <w:r>
              <w:rPr>
                <w:rFonts w:hint="eastAsia" w:eastAsiaTheme="minorEastAsia"/>
                <w:color w:val="auto"/>
                <w:sz w:val="21"/>
                <w:szCs w:val="20"/>
              </w:rPr>
              <w:t>企业已编制《三明市海斯福化工有限责任公司突发环境事件应急预案》，在三明市明溪生态环境局备案（一厂、二厂应急预案备案编号:350421-202</w:t>
            </w:r>
            <w:r>
              <w:rPr>
                <w:rFonts w:hint="eastAsia" w:eastAsiaTheme="minorEastAsia"/>
                <w:color w:val="auto"/>
                <w:sz w:val="21"/>
                <w:szCs w:val="20"/>
                <w:lang w:val="en-US" w:eastAsia="zh-CN"/>
              </w:rPr>
              <w:t>6</w:t>
            </w:r>
            <w:r>
              <w:rPr>
                <w:rFonts w:hint="eastAsia" w:eastAsiaTheme="minorEastAsia"/>
                <w:color w:val="auto"/>
                <w:sz w:val="21"/>
                <w:szCs w:val="20"/>
              </w:rPr>
              <w:t>-00</w:t>
            </w:r>
            <w:r>
              <w:rPr>
                <w:rFonts w:hint="eastAsia" w:eastAsiaTheme="minorEastAsia"/>
                <w:color w:val="auto"/>
                <w:sz w:val="21"/>
                <w:szCs w:val="20"/>
                <w:lang w:val="en-US" w:eastAsia="zh-CN"/>
              </w:rPr>
              <w:t>4</w:t>
            </w:r>
            <w:r>
              <w:rPr>
                <w:rFonts w:hint="eastAsia" w:eastAsiaTheme="minorEastAsia"/>
                <w:color w:val="auto"/>
                <w:sz w:val="21"/>
                <w:szCs w:val="20"/>
              </w:rPr>
              <w:t>-M）。</w:t>
            </w:r>
          </w:p>
          <w:p>
            <w:pPr>
              <w:pStyle w:val="24"/>
              <w:spacing w:line="360" w:lineRule="auto"/>
              <w:ind w:firstLine="420"/>
              <w:rPr>
                <w:rFonts w:eastAsiaTheme="minorEastAsia"/>
                <w:color w:val="auto"/>
                <w:sz w:val="21"/>
                <w:szCs w:val="20"/>
              </w:rPr>
            </w:pPr>
            <w:r>
              <w:rPr>
                <w:rFonts w:hint="eastAsia" w:eastAsiaTheme="minorEastAsia"/>
                <w:color w:val="auto"/>
                <w:sz w:val="21"/>
                <w:szCs w:val="20"/>
              </w:rPr>
              <w:t>现有工程环保手续履行情况一览表见表。</w:t>
            </w:r>
          </w:p>
          <w:p>
            <w:pPr>
              <w:spacing w:before="194" w:beforeLines="50"/>
              <w:jc w:val="center"/>
              <w:outlineLvl w:val="5"/>
              <w:rPr>
                <w:rFonts w:hint="eastAsia"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表2-12  现有工程环保手续履行情况一览表</w:t>
            </w:r>
            <w:r>
              <w:rPr>
                <w:rFonts w:hint="eastAsia" w:cs="Times New Roman"/>
                <w:b/>
                <w:color w:val="auto"/>
                <w:spacing w:val="0"/>
                <w:sz w:val="21"/>
                <w:szCs w:val="21"/>
                <w:lang w:val="en-US" w:eastAsia="zh-CN"/>
              </w:rPr>
              <w:t>（涉密）</w:t>
            </w:r>
          </w:p>
          <w:p>
            <w:pPr>
              <w:pStyle w:val="24"/>
              <w:ind w:firstLine="420"/>
              <w:rPr>
                <w:color w:val="auto"/>
                <w:sz w:val="21"/>
                <w:szCs w:val="21"/>
              </w:rPr>
            </w:pPr>
            <w:r>
              <w:rPr>
                <w:rFonts w:hint="eastAsia"/>
                <w:color w:val="auto"/>
                <w:sz w:val="21"/>
                <w:szCs w:val="21"/>
              </w:rPr>
              <w:t>（</w:t>
            </w:r>
            <w:r>
              <w:rPr>
                <w:rFonts w:hint="eastAsia"/>
                <w:color w:val="auto"/>
                <w:sz w:val="21"/>
                <w:szCs w:val="21"/>
                <w:lang w:val="en-US" w:eastAsia="zh-CN"/>
              </w:rPr>
              <w:t>2</w:t>
            </w:r>
            <w:r>
              <w:rPr>
                <w:rFonts w:hint="eastAsia"/>
                <w:color w:val="auto"/>
                <w:sz w:val="21"/>
                <w:szCs w:val="21"/>
              </w:rPr>
              <w:t>）污染治理措施</w:t>
            </w:r>
          </w:p>
          <w:p>
            <w:pPr>
              <w:pStyle w:val="24"/>
              <w:spacing w:line="360" w:lineRule="auto"/>
              <w:ind w:firstLine="420"/>
              <w:rPr>
                <w:color w:val="auto"/>
                <w:sz w:val="21"/>
                <w:szCs w:val="21"/>
              </w:rPr>
            </w:pPr>
            <w:r>
              <w:rPr>
                <w:rFonts w:hint="eastAsia"/>
                <w:color w:val="auto"/>
                <w:sz w:val="21"/>
                <w:szCs w:val="21"/>
              </w:rPr>
              <w:t>一厂、二厂两个厂区现有工程污染治理措施详见表。</w:t>
            </w:r>
          </w:p>
          <w:p>
            <w:pPr>
              <w:spacing w:before="194" w:beforeLines="50"/>
              <w:jc w:val="center"/>
              <w:outlineLvl w:val="5"/>
              <w:rPr>
                <w:rFonts w:hint="eastAsia"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表2-13现有工程污染治理措施一览表</w:t>
            </w:r>
          </w:p>
          <w:tbl>
            <w:tblPr>
              <w:tblStyle w:val="19"/>
              <w:tblW w:w="4972"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464"/>
              <w:gridCol w:w="330"/>
              <w:gridCol w:w="1393"/>
              <w:gridCol w:w="5869"/>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1357" w:type="pct"/>
                  <w:gridSpan w:val="3"/>
                  <w:tcBorders>
                    <w:right w:val="single" w:color="auto" w:sz="4" w:space="0"/>
                  </w:tcBorders>
                  <w:vAlign w:val="center"/>
                </w:tcPr>
                <w:p>
                  <w:pPr>
                    <w:pStyle w:val="27"/>
                    <w:rPr>
                      <w:color w:val="auto"/>
                      <w:sz w:val="18"/>
                      <w:szCs w:val="18"/>
                    </w:rPr>
                  </w:pPr>
                  <w:r>
                    <w:rPr>
                      <w:color w:val="auto"/>
                      <w:sz w:val="18"/>
                      <w:szCs w:val="18"/>
                    </w:rPr>
                    <w:t>项目</w:t>
                  </w:r>
                </w:p>
              </w:tc>
              <w:tc>
                <w:tcPr>
                  <w:tcW w:w="3642" w:type="pct"/>
                  <w:tcBorders>
                    <w:left w:val="single" w:color="auto" w:sz="4" w:space="0"/>
                  </w:tcBorders>
                  <w:vAlign w:val="center"/>
                </w:tcPr>
                <w:p>
                  <w:pPr>
                    <w:pStyle w:val="27"/>
                    <w:rPr>
                      <w:color w:val="auto"/>
                      <w:sz w:val="18"/>
                      <w:szCs w:val="18"/>
                    </w:rPr>
                  </w:pPr>
                  <w:r>
                    <w:rPr>
                      <w:color w:val="auto"/>
                      <w:sz w:val="18"/>
                      <w:szCs w:val="18"/>
                    </w:rPr>
                    <w:t>污染治理措施</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288" w:type="pct"/>
                  <w:vMerge w:val="restart"/>
                  <w:tcBorders>
                    <w:right w:val="single" w:color="auto" w:sz="4" w:space="0"/>
                  </w:tcBorders>
                  <w:vAlign w:val="center"/>
                </w:tcPr>
                <w:p>
                  <w:pPr>
                    <w:pStyle w:val="27"/>
                    <w:rPr>
                      <w:color w:val="auto"/>
                      <w:sz w:val="18"/>
                      <w:szCs w:val="18"/>
                    </w:rPr>
                  </w:pPr>
                  <w:r>
                    <w:rPr>
                      <w:color w:val="auto"/>
                      <w:sz w:val="18"/>
                      <w:szCs w:val="18"/>
                    </w:rPr>
                    <w:t>废水</w:t>
                  </w:r>
                </w:p>
              </w:tc>
              <w:tc>
                <w:tcPr>
                  <w:tcW w:w="1069" w:type="pct"/>
                  <w:gridSpan w:val="2"/>
                  <w:tcBorders>
                    <w:left w:val="single" w:color="auto" w:sz="4" w:space="0"/>
                    <w:right w:val="single" w:color="auto" w:sz="4" w:space="0"/>
                  </w:tcBorders>
                  <w:vAlign w:val="center"/>
                </w:tcPr>
                <w:p>
                  <w:pPr>
                    <w:pStyle w:val="27"/>
                    <w:rPr>
                      <w:color w:val="auto"/>
                      <w:sz w:val="18"/>
                      <w:szCs w:val="18"/>
                    </w:rPr>
                  </w:pPr>
                  <w:r>
                    <w:rPr>
                      <w:color w:val="auto"/>
                      <w:sz w:val="18"/>
                      <w:szCs w:val="18"/>
                    </w:rPr>
                    <w:t>一厂</w:t>
                  </w:r>
                </w:p>
              </w:tc>
              <w:tc>
                <w:tcPr>
                  <w:tcW w:w="3642" w:type="pct"/>
                  <w:tcBorders>
                    <w:left w:val="single" w:color="auto" w:sz="4" w:space="0"/>
                  </w:tcBorders>
                  <w:vAlign w:val="center"/>
                </w:tcPr>
                <w:p>
                  <w:pPr>
                    <w:pStyle w:val="27"/>
                    <w:jc w:val="both"/>
                    <w:rPr>
                      <w:color w:val="auto"/>
                      <w:sz w:val="18"/>
                      <w:szCs w:val="18"/>
                    </w:rPr>
                  </w:pPr>
                  <w:r>
                    <w:rPr>
                      <w:color w:val="auto"/>
                      <w:sz w:val="18"/>
                      <w:szCs w:val="18"/>
                    </w:rPr>
                    <w:t>①中水系统：采用“自清洗+超滤+反渗透”工艺，处理能力为15m</w:t>
                  </w:r>
                  <w:r>
                    <w:rPr>
                      <w:color w:val="auto"/>
                      <w:sz w:val="18"/>
                      <w:szCs w:val="18"/>
                      <w:vertAlign w:val="superscript"/>
                    </w:rPr>
                    <w:t>3</w:t>
                  </w:r>
                  <w:r>
                    <w:rPr>
                      <w:color w:val="auto"/>
                      <w:sz w:val="18"/>
                      <w:szCs w:val="18"/>
                    </w:rPr>
                    <w:t>/h；</w:t>
                  </w:r>
                </w:p>
                <w:p>
                  <w:pPr>
                    <w:pStyle w:val="27"/>
                    <w:jc w:val="both"/>
                    <w:rPr>
                      <w:color w:val="auto"/>
                      <w:sz w:val="18"/>
                      <w:szCs w:val="18"/>
                    </w:rPr>
                  </w:pPr>
                  <w:r>
                    <w:rPr>
                      <w:color w:val="auto"/>
                      <w:sz w:val="18"/>
                      <w:szCs w:val="18"/>
                    </w:rPr>
                    <w:t>②污水站：采用“调节+铁碳+中和+厌氧好氧”工艺，设计处理规模100t/d；</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288" w:type="pct"/>
                  <w:vMerge w:val="continue"/>
                  <w:tcBorders>
                    <w:right w:val="single" w:color="auto" w:sz="4" w:space="0"/>
                  </w:tcBorders>
                  <w:vAlign w:val="center"/>
                </w:tcPr>
                <w:p>
                  <w:pPr>
                    <w:pStyle w:val="27"/>
                    <w:rPr>
                      <w:color w:val="auto"/>
                      <w:sz w:val="18"/>
                      <w:szCs w:val="18"/>
                    </w:rPr>
                  </w:pPr>
                </w:p>
              </w:tc>
              <w:tc>
                <w:tcPr>
                  <w:tcW w:w="1069" w:type="pct"/>
                  <w:gridSpan w:val="2"/>
                  <w:tcBorders>
                    <w:left w:val="single" w:color="auto" w:sz="4" w:space="0"/>
                    <w:right w:val="single" w:color="auto" w:sz="4" w:space="0"/>
                  </w:tcBorders>
                  <w:vAlign w:val="center"/>
                </w:tcPr>
                <w:p>
                  <w:pPr>
                    <w:pStyle w:val="27"/>
                    <w:rPr>
                      <w:color w:val="auto"/>
                      <w:sz w:val="18"/>
                      <w:szCs w:val="18"/>
                    </w:rPr>
                  </w:pPr>
                  <w:r>
                    <w:rPr>
                      <w:color w:val="auto"/>
                      <w:sz w:val="18"/>
                      <w:szCs w:val="18"/>
                    </w:rPr>
                    <w:t>二厂</w:t>
                  </w:r>
                </w:p>
              </w:tc>
              <w:tc>
                <w:tcPr>
                  <w:tcW w:w="3642" w:type="pct"/>
                  <w:tcBorders>
                    <w:left w:val="single" w:color="auto" w:sz="4" w:space="0"/>
                  </w:tcBorders>
                  <w:vAlign w:val="center"/>
                </w:tcPr>
                <w:p>
                  <w:pPr>
                    <w:pStyle w:val="27"/>
                    <w:jc w:val="both"/>
                    <w:rPr>
                      <w:color w:val="auto"/>
                      <w:sz w:val="18"/>
                      <w:szCs w:val="18"/>
                    </w:rPr>
                  </w:pPr>
                  <w:r>
                    <w:rPr>
                      <w:color w:val="auto"/>
                      <w:sz w:val="18"/>
                      <w:szCs w:val="18"/>
                    </w:rPr>
                    <w:t>①中水系统：采用“自清洗+超滤+反渗透”工艺，处理能力为15m</w:t>
                  </w:r>
                  <w:r>
                    <w:rPr>
                      <w:color w:val="auto"/>
                      <w:sz w:val="18"/>
                      <w:szCs w:val="18"/>
                      <w:vertAlign w:val="superscript"/>
                    </w:rPr>
                    <w:t>3</w:t>
                  </w:r>
                  <w:r>
                    <w:rPr>
                      <w:color w:val="auto"/>
                      <w:sz w:val="18"/>
                      <w:szCs w:val="18"/>
                    </w:rPr>
                    <w:t>/h；</w:t>
                  </w:r>
                </w:p>
                <w:p>
                  <w:pPr>
                    <w:pStyle w:val="27"/>
                    <w:jc w:val="both"/>
                    <w:rPr>
                      <w:color w:val="auto"/>
                      <w:sz w:val="18"/>
                      <w:szCs w:val="18"/>
                    </w:rPr>
                  </w:pPr>
                  <w:r>
                    <w:rPr>
                      <w:color w:val="auto"/>
                      <w:sz w:val="18"/>
                      <w:szCs w:val="18"/>
                    </w:rPr>
                    <w:t>②废水收集后经架空管廊输送至一厂污水处理站处理。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288" w:type="pct"/>
                  <w:vMerge w:val="restart"/>
                  <w:vAlign w:val="center"/>
                </w:tcPr>
                <w:p>
                  <w:pPr>
                    <w:pStyle w:val="27"/>
                    <w:rPr>
                      <w:color w:val="auto"/>
                      <w:sz w:val="18"/>
                      <w:szCs w:val="18"/>
                    </w:rPr>
                  </w:pPr>
                  <w:r>
                    <w:rPr>
                      <w:color w:val="auto"/>
                      <w:sz w:val="18"/>
                      <w:szCs w:val="18"/>
                    </w:rPr>
                    <w:t>废气</w:t>
                  </w:r>
                </w:p>
              </w:tc>
              <w:tc>
                <w:tcPr>
                  <w:tcW w:w="205" w:type="pct"/>
                  <w:vMerge w:val="restart"/>
                  <w:tcBorders>
                    <w:right w:val="single" w:color="auto" w:sz="4" w:space="0"/>
                  </w:tcBorders>
                  <w:vAlign w:val="center"/>
                </w:tcPr>
                <w:p>
                  <w:pPr>
                    <w:pStyle w:val="27"/>
                    <w:rPr>
                      <w:color w:val="auto"/>
                      <w:sz w:val="18"/>
                      <w:szCs w:val="18"/>
                    </w:rPr>
                  </w:pPr>
                  <w:r>
                    <w:rPr>
                      <w:color w:val="auto"/>
                      <w:sz w:val="18"/>
                      <w:szCs w:val="18"/>
                    </w:rPr>
                    <w:t>一厂</w:t>
                  </w:r>
                </w:p>
              </w:tc>
              <w:tc>
                <w:tcPr>
                  <w:tcW w:w="864" w:type="pct"/>
                  <w:tcBorders>
                    <w:left w:val="single" w:color="auto" w:sz="4" w:space="0"/>
                    <w:bottom w:val="single" w:color="auto" w:sz="4" w:space="0"/>
                    <w:right w:val="single" w:color="auto" w:sz="4" w:space="0"/>
                  </w:tcBorders>
                  <w:vAlign w:val="center"/>
                </w:tcPr>
                <w:p>
                  <w:pPr>
                    <w:pStyle w:val="27"/>
                    <w:rPr>
                      <w:color w:val="auto"/>
                      <w:sz w:val="18"/>
                      <w:szCs w:val="18"/>
                    </w:rPr>
                  </w:pPr>
                  <w:r>
                    <w:rPr>
                      <w:color w:val="auto"/>
                      <w:sz w:val="18"/>
                      <w:szCs w:val="18"/>
                    </w:rPr>
                    <w:t>车间一、二废气</w:t>
                  </w:r>
                </w:p>
              </w:tc>
              <w:tc>
                <w:tcPr>
                  <w:tcW w:w="3642" w:type="pct"/>
                  <w:tcBorders>
                    <w:left w:val="single" w:color="auto" w:sz="4" w:space="0"/>
                    <w:bottom w:val="single" w:color="auto" w:sz="4" w:space="0"/>
                  </w:tcBorders>
                  <w:vAlign w:val="center"/>
                </w:tcPr>
                <w:p>
                  <w:pPr>
                    <w:adjustRightInd w:val="0"/>
                    <w:snapToGrid w:val="0"/>
                    <w:spacing w:line="240" w:lineRule="auto"/>
                    <w:jc w:val="left"/>
                    <w:textAlignment w:val="center"/>
                    <w:rPr>
                      <w:rFonts w:hint="default" w:ascii="Times New Roman" w:hAnsi="Times New Roman"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①</w:t>
                  </w:r>
                  <w:r>
                    <w:rPr>
                      <w:rFonts w:hint="default" w:ascii="Times New Roman" w:hAnsi="Times New Roman" w:cs="Times New Roman"/>
                      <w:color w:val="auto"/>
                      <w:sz w:val="18"/>
                      <w:szCs w:val="18"/>
                    </w:rPr>
                    <w:t>生产车间（一）</w:t>
                  </w:r>
                  <w:r>
                    <w:rPr>
                      <w:rFonts w:hint="default" w:ascii="Times New Roman" w:hAnsi="Times New Roman" w:cs="Times New Roman"/>
                      <w:color w:val="auto"/>
                      <w:sz w:val="18"/>
                      <w:szCs w:val="18"/>
                      <w:lang w:eastAsia="zh-CN"/>
                    </w:rPr>
                    <w:t>、</w:t>
                  </w:r>
                  <w:r>
                    <w:rPr>
                      <w:rFonts w:hint="default" w:ascii="Times New Roman" w:hAnsi="Times New Roman" w:cs="Times New Roman"/>
                      <w:color w:val="auto"/>
                      <w:sz w:val="18"/>
                      <w:szCs w:val="18"/>
                    </w:rPr>
                    <w:t>生产车间（</w:t>
                  </w:r>
                  <w:r>
                    <w:rPr>
                      <w:rFonts w:hint="default" w:ascii="Times New Roman" w:hAnsi="Times New Roman" w:cs="Times New Roman"/>
                      <w:color w:val="auto"/>
                      <w:sz w:val="18"/>
                      <w:szCs w:val="18"/>
                      <w:lang w:val="en-US" w:eastAsia="zh-CN"/>
                    </w:rPr>
                    <w:t>二</w:t>
                  </w:r>
                  <w:r>
                    <w:rPr>
                      <w:rFonts w:hint="default" w:ascii="Times New Roman" w:hAnsi="Times New Roman" w:cs="Times New Roman"/>
                      <w:color w:val="auto"/>
                      <w:sz w:val="18"/>
                      <w:szCs w:val="18"/>
                    </w:rPr>
                    <w:t>）</w:t>
                  </w:r>
                  <w:r>
                    <w:rPr>
                      <w:rFonts w:hint="default" w:ascii="Times New Roman" w:hAnsi="Times New Roman" w:cs="Times New Roman"/>
                      <w:color w:val="auto"/>
                      <w:sz w:val="18"/>
                      <w:szCs w:val="18"/>
                      <w:lang w:val="en-US" w:eastAsia="zh-CN"/>
                    </w:rPr>
                    <w:t>产生废气收集后经</w:t>
                  </w:r>
                  <w:r>
                    <w:rPr>
                      <w:rFonts w:hint="default" w:ascii="Times New Roman" w:hAnsi="Times New Roman" w:cs="Times New Roman"/>
                      <w:color w:val="auto"/>
                      <w:sz w:val="18"/>
                      <w:szCs w:val="18"/>
                    </w:rPr>
                    <w:t>三级水洗+碱洗+活性炭</w:t>
                  </w:r>
                  <w:r>
                    <w:rPr>
                      <w:rFonts w:hint="default" w:ascii="Times New Roman" w:hAnsi="Times New Roman" w:cs="Times New Roman"/>
                      <w:color w:val="auto"/>
                      <w:sz w:val="18"/>
                      <w:szCs w:val="18"/>
                      <w:lang w:val="en-US" w:eastAsia="zh-CN"/>
                    </w:rPr>
                    <w:t>处理后通过</w:t>
                  </w:r>
                  <w:r>
                    <w:rPr>
                      <w:rFonts w:hint="default" w:ascii="Times New Roman" w:hAnsi="Times New Roman" w:cs="Times New Roman"/>
                      <w:color w:val="auto"/>
                      <w:sz w:val="18"/>
                      <w:szCs w:val="18"/>
                    </w:rPr>
                    <w:t>15m排气筒</w:t>
                  </w:r>
                  <w:r>
                    <w:rPr>
                      <w:rFonts w:hint="eastAsia" w:cs="Times New Roman"/>
                      <w:color w:val="auto"/>
                      <w:sz w:val="18"/>
                      <w:szCs w:val="18"/>
                      <w:lang w:val="en-US" w:eastAsia="zh-CN"/>
                    </w:rPr>
                    <w:t>DA002</w:t>
                  </w:r>
                  <w:r>
                    <w:rPr>
                      <w:rFonts w:hint="default" w:ascii="Times New Roman" w:hAnsi="Times New Roman" w:cs="Times New Roman"/>
                      <w:color w:val="auto"/>
                      <w:sz w:val="18"/>
                      <w:szCs w:val="18"/>
                      <w:lang w:val="en-US" w:eastAsia="zh-CN"/>
                    </w:rPr>
                    <w:t>排放</w:t>
                  </w:r>
                </w:p>
                <w:p>
                  <w:pPr>
                    <w:adjustRightInd w:val="0"/>
                    <w:snapToGrid w:val="0"/>
                    <w:spacing w:line="240" w:lineRule="auto"/>
                    <w:jc w:val="left"/>
                    <w:textAlignment w:val="center"/>
                    <w:rPr>
                      <w:color w:val="auto"/>
                      <w:sz w:val="18"/>
                      <w:szCs w:val="18"/>
                    </w:rPr>
                  </w:pPr>
                  <w:r>
                    <w:rPr>
                      <w:rFonts w:hint="default" w:ascii="Times New Roman" w:hAnsi="Times New Roman" w:eastAsia="宋体" w:cs="Times New Roman"/>
                      <w:color w:val="auto"/>
                      <w:sz w:val="18"/>
                      <w:szCs w:val="18"/>
                      <w:lang w:val="en-US" w:eastAsia="zh-CN"/>
                    </w:rPr>
                    <w:t>②生产车间（</w:t>
                  </w:r>
                  <w:r>
                    <w:rPr>
                      <w:rFonts w:hint="eastAsia" w:cs="Times New Roman"/>
                      <w:color w:val="auto"/>
                      <w:sz w:val="18"/>
                      <w:szCs w:val="18"/>
                      <w:lang w:val="en-US" w:eastAsia="zh-CN"/>
                    </w:rPr>
                    <w:t>一</w:t>
                  </w:r>
                  <w:r>
                    <w:rPr>
                      <w:rFonts w:hint="default" w:ascii="Times New Roman" w:hAnsi="Times New Roman" w:eastAsia="宋体" w:cs="Times New Roman"/>
                      <w:color w:val="auto"/>
                      <w:sz w:val="18"/>
                      <w:szCs w:val="18"/>
                      <w:lang w:val="en-US" w:eastAsia="zh-CN"/>
                    </w:rPr>
                    <w:t>）</w:t>
                  </w:r>
                  <w:r>
                    <w:rPr>
                      <w:rFonts w:hint="eastAsia" w:cs="Times New Roman"/>
                      <w:color w:val="auto"/>
                      <w:sz w:val="18"/>
                      <w:szCs w:val="18"/>
                      <w:lang w:val="en-US" w:eastAsia="zh-CN"/>
                    </w:rPr>
                    <w:t>、</w:t>
                  </w:r>
                  <w:r>
                    <w:rPr>
                      <w:rFonts w:hint="default" w:ascii="Times New Roman" w:hAnsi="Times New Roman" w:eastAsia="宋体" w:cs="Times New Roman"/>
                      <w:color w:val="auto"/>
                      <w:sz w:val="18"/>
                      <w:szCs w:val="18"/>
                      <w:lang w:val="en-US" w:eastAsia="zh-CN"/>
                    </w:rPr>
                    <w:t>生产车间（二）产生</w:t>
                  </w:r>
                  <w:r>
                    <w:rPr>
                      <w:rFonts w:hint="eastAsia" w:ascii="Times New Roman" w:hAnsi="Times New Roman" w:eastAsia="宋体" w:cs="Times New Roman"/>
                      <w:color w:val="auto"/>
                      <w:sz w:val="18"/>
                      <w:szCs w:val="18"/>
                      <w:lang w:val="en-US" w:eastAsia="zh-CN"/>
                    </w:rPr>
                    <w:t>甲醇</w:t>
                  </w:r>
                  <w:r>
                    <w:rPr>
                      <w:rFonts w:hint="default" w:ascii="Times New Roman" w:hAnsi="Times New Roman" w:eastAsia="宋体" w:cs="Times New Roman"/>
                      <w:color w:val="auto"/>
                      <w:sz w:val="18"/>
                      <w:szCs w:val="18"/>
                      <w:lang w:val="en-US" w:eastAsia="zh-CN"/>
                    </w:rPr>
                    <w:t>废气收集后经一级高效水洗后接入活性炭处理后通过15m排气筒</w:t>
                  </w:r>
                  <w:r>
                    <w:rPr>
                      <w:rFonts w:hint="eastAsia" w:ascii="Times New Roman" w:hAnsi="Times New Roman" w:eastAsia="宋体" w:cs="Times New Roman"/>
                      <w:color w:val="auto"/>
                      <w:sz w:val="18"/>
                      <w:szCs w:val="18"/>
                      <w:lang w:val="en-US" w:eastAsia="zh-CN"/>
                    </w:rPr>
                    <w:t>DA002</w:t>
                  </w:r>
                  <w:r>
                    <w:rPr>
                      <w:rFonts w:hint="default" w:ascii="Times New Roman" w:hAnsi="Times New Roman" w:eastAsia="宋体" w:cs="Times New Roman"/>
                      <w:color w:val="auto"/>
                      <w:sz w:val="18"/>
                      <w:szCs w:val="18"/>
                      <w:lang w:val="en-US" w:eastAsia="zh-CN"/>
                    </w:rPr>
                    <w:t>排放</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288" w:type="pct"/>
                  <w:vMerge w:val="continue"/>
                  <w:vAlign w:val="center"/>
                </w:tcPr>
                <w:p>
                  <w:pPr>
                    <w:pStyle w:val="27"/>
                    <w:rPr>
                      <w:color w:val="auto"/>
                      <w:sz w:val="18"/>
                      <w:szCs w:val="18"/>
                    </w:rPr>
                  </w:pPr>
                </w:p>
              </w:tc>
              <w:tc>
                <w:tcPr>
                  <w:tcW w:w="205" w:type="pct"/>
                  <w:vMerge w:val="continue"/>
                  <w:tcBorders>
                    <w:right w:val="single" w:color="auto" w:sz="4" w:space="0"/>
                  </w:tcBorders>
                  <w:vAlign w:val="center"/>
                </w:tcPr>
                <w:p>
                  <w:pPr>
                    <w:pStyle w:val="27"/>
                    <w:rPr>
                      <w:color w:val="auto"/>
                      <w:sz w:val="18"/>
                      <w:szCs w:val="18"/>
                    </w:rPr>
                  </w:pPr>
                </w:p>
              </w:tc>
              <w:tc>
                <w:tcPr>
                  <w:tcW w:w="864" w:type="pct"/>
                  <w:tcBorders>
                    <w:top w:val="single" w:color="auto" w:sz="4" w:space="0"/>
                    <w:left w:val="single" w:color="auto" w:sz="4" w:space="0"/>
                    <w:bottom w:val="single" w:color="auto" w:sz="4" w:space="0"/>
                    <w:right w:val="single" w:color="auto" w:sz="4" w:space="0"/>
                  </w:tcBorders>
                  <w:vAlign w:val="center"/>
                </w:tcPr>
                <w:p>
                  <w:pPr>
                    <w:pStyle w:val="27"/>
                    <w:rPr>
                      <w:color w:val="auto"/>
                      <w:sz w:val="18"/>
                      <w:szCs w:val="18"/>
                    </w:rPr>
                  </w:pPr>
                  <w:r>
                    <w:rPr>
                      <w:color w:val="auto"/>
                      <w:sz w:val="18"/>
                      <w:szCs w:val="18"/>
                    </w:rPr>
                    <w:t>车间三废气</w:t>
                  </w:r>
                </w:p>
              </w:tc>
              <w:tc>
                <w:tcPr>
                  <w:tcW w:w="3642" w:type="pct"/>
                  <w:tcBorders>
                    <w:top w:val="single" w:color="auto" w:sz="4" w:space="0"/>
                    <w:left w:val="single" w:color="auto" w:sz="4" w:space="0"/>
                    <w:bottom w:val="single" w:color="auto" w:sz="4" w:space="0"/>
                  </w:tcBorders>
                  <w:vAlign w:val="center"/>
                </w:tcPr>
                <w:p>
                  <w:pPr>
                    <w:adjustRightInd w:val="0"/>
                    <w:snapToGrid w:val="0"/>
                    <w:spacing w:line="240" w:lineRule="auto"/>
                    <w:jc w:val="left"/>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①生产车间（三）废气接入二级冷凝+一级碱洗+高效水洗塔处理后通过15m排气筒</w:t>
                  </w:r>
                  <w:r>
                    <w:rPr>
                      <w:rFonts w:hint="eastAsia" w:ascii="Times New Roman" w:hAnsi="Times New Roman" w:eastAsia="宋体" w:cs="Times New Roman"/>
                      <w:color w:val="auto"/>
                      <w:sz w:val="18"/>
                      <w:szCs w:val="18"/>
                      <w:lang w:val="en-US" w:eastAsia="zh-CN"/>
                    </w:rPr>
                    <w:t>DA00</w:t>
                  </w:r>
                  <w:r>
                    <w:rPr>
                      <w:rFonts w:hint="eastAsia" w:cs="Times New Roman"/>
                      <w:color w:val="auto"/>
                      <w:sz w:val="18"/>
                      <w:szCs w:val="18"/>
                      <w:lang w:val="en-US" w:eastAsia="zh-CN"/>
                    </w:rPr>
                    <w:t>5</w:t>
                  </w:r>
                  <w:r>
                    <w:rPr>
                      <w:rFonts w:hint="default" w:ascii="Times New Roman" w:hAnsi="Times New Roman" w:eastAsia="宋体" w:cs="Times New Roman"/>
                      <w:color w:val="auto"/>
                      <w:sz w:val="18"/>
                      <w:szCs w:val="18"/>
                      <w:lang w:val="en-US" w:eastAsia="zh-CN"/>
                    </w:rPr>
                    <w:t>排放</w:t>
                  </w:r>
                </w:p>
                <w:p>
                  <w:pPr>
                    <w:adjustRightInd w:val="0"/>
                    <w:snapToGrid w:val="0"/>
                    <w:spacing w:line="240" w:lineRule="auto"/>
                    <w:jc w:val="left"/>
                    <w:textAlignment w:val="center"/>
                    <w:rPr>
                      <w:color w:val="auto"/>
                      <w:sz w:val="18"/>
                      <w:szCs w:val="18"/>
                    </w:rPr>
                  </w:pPr>
                  <w:r>
                    <w:rPr>
                      <w:rFonts w:hint="default" w:ascii="Times New Roman" w:hAnsi="Times New Roman" w:eastAsia="宋体" w:cs="Times New Roman"/>
                      <w:color w:val="auto"/>
                      <w:sz w:val="18"/>
                      <w:szCs w:val="18"/>
                      <w:lang w:val="en-US" w:eastAsia="zh-CN"/>
                    </w:rPr>
                    <w:t>②生产车间（三）其他工段产生废气接入高效水洗塔处理后通过15m排气筒</w:t>
                  </w:r>
                  <w:r>
                    <w:rPr>
                      <w:rFonts w:hint="eastAsia" w:ascii="Times New Roman" w:hAnsi="Times New Roman" w:eastAsia="宋体" w:cs="Times New Roman"/>
                      <w:color w:val="auto"/>
                      <w:sz w:val="18"/>
                      <w:szCs w:val="18"/>
                      <w:lang w:val="en-US" w:eastAsia="zh-CN"/>
                    </w:rPr>
                    <w:t>DA00</w:t>
                  </w:r>
                  <w:r>
                    <w:rPr>
                      <w:rFonts w:hint="eastAsia" w:cs="Times New Roman"/>
                      <w:color w:val="auto"/>
                      <w:sz w:val="18"/>
                      <w:szCs w:val="18"/>
                      <w:lang w:val="en-US" w:eastAsia="zh-CN"/>
                    </w:rPr>
                    <w:t>5</w:t>
                  </w:r>
                  <w:r>
                    <w:rPr>
                      <w:rFonts w:hint="default" w:ascii="Times New Roman" w:hAnsi="Times New Roman" w:eastAsia="宋体" w:cs="Times New Roman"/>
                      <w:color w:val="auto"/>
                      <w:sz w:val="18"/>
                      <w:szCs w:val="18"/>
                      <w:lang w:val="en-US" w:eastAsia="zh-CN"/>
                    </w:rPr>
                    <w:t>排放</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288" w:type="pct"/>
                  <w:vMerge w:val="continue"/>
                  <w:vAlign w:val="center"/>
                </w:tcPr>
                <w:p>
                  <w:pPr>
                    <w:pStyle w:val="27"/>
                    <w:rPr>
                      <w:color w:val="auto"/>
                      <w:sz w:val="18"/>
                      <w:szCs w:val="18"/>
                    </w:rPr>
                  </w:pPr>
                </w:p>
              </w:tc>
              <w:tc>
                <w:tcPr>
                  <w:tcW w:w="205" w:type="pct"/>
                  <w:vMerge w:val="continue"/>
                  <w:tcBorders>
                    <w:right w:val="single" w:color="auto" w:sz="4" w:space="0"/>
                  </w:tcBorders>
                  <w:vAlign w:val="center"/>
                </w:tcPr>
                <w:p>
                  <w:pPr>
                    <w:pStyle w:val="27"/>
                    <w:rPr>
                      <w:color w:val="auto"/>
                      <w:sz w:val="18"/>
                      <w:szCs w:val="18"/>
                    </w:rPr>
                  </w:pPr>
                </w:p>
              </w:tc>
              <w:tc>
                <w:tcPr>
                  <w:tcW w:w="864" w:type="pct"/>
                  <w:tcBorders>
                    <w:top w:val="single" w:color="auto" w:sz="4" w:space="0"/>
                    <w:left w:val="single" w:color="auto" w:sz="4" w:space="0"/>
                    <w:bottom w:val="single" w:color="auto" w:sz="4" w:space="0"/>
                    <w:right w:val="single" w:color="auto" w:sz="4" w:space="0"/>
                  </w:tcBorders>
                  <w:vAlign w:val="center"/>
                </w:tcPr>
                <w:p>
                  <w:pPr>
                    <w:pStyle w:val="27"/>
                    <w:rPr>
                      <w:color w:val="auto"/>
                      <w:sz w:val="18"/>
                      <w:szCs w:val="18"/>
                    </w:rPr>
                  </w:pPr>
                  <w:r>
                    <w:rPr>
                      <w:color w:val="auto"/>
                      <w:sz w:val="18"/>
                      <w:szCs w:val="18"/>
                    </w:rPr>
                    <w:t>车间五废气</w:t>
                  </w:r>
                </w:p>
              </w:tc>
              <w:tc>
                <w:tcPr>
                  <w:tcW w:w="3642" w:type="pct"/>
                  <w:tcBorders>
                    <w:top w:val="single" w:color="auto" w:sz="4" w:space="0"/>
                    <w:left w:val="single" w:color="auto" w:sz="4" w:space="0"/>
                    <w:bottom w:val="single" w:color="auto" w:sz="4" w:space="0"/>
                  </w:tcBorders>
                  <w:vAlign w:val="center"/>
                </w:tcPr>
                <w:p>
                  <w:pPr>
                    <w:adjustRightInd w:val="0"/>
                    <w:snapToGrid w:val="0"/>
                    <w:spacing w:line="240" w:lineRule="auto"/>
                    <w:jc w:val="left"/>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①生产车间（五）产生废气接入高效水洗塔处理后通过15m排气筒</w:t>
                  </w:r>
                  <w:r>
                    <w:rPr>
                      <w:rFonts w:hint="eastAsia" w:ascii="Times New Roman" w:hAnsi="Times New Roman" w:eastAsia="宋体" w:cs="Times New Roman"/>
                      <w:color w:val="auto"/>
                      <w:sz w:val="18"/>
                      <w:szCs w:val="18"/>
                      <w:lang w:val="en-US" w:eastAsia="zh-CN"/>
                    </w:rPr>
                    <w:t>DA001</w:t>
                  </w:r>
                  <w:r>
                    <w:rPr>
                      <w:rFonts w:hint="default" w:ascii="Times New Roman" w:hAnsi="Times New Roman" w:eastAsia="宋体" w:cs="Times New Roman"/>
                      <w:color w:val="auto"/>
                      <w:sz w:val="18"/>
                      <w:szCs w:val="18"/>
                      <w:lang w:val="en-US" w:eastAsia="zh-CN"/>
                    </w:rPr>
                    <w:t>排放</w:t>
                  </w:r>
                </w:p>
                <w:p>
                  <w:pPr>
                    <w:adjustRightInd w:val="0"/>
                    <w:snapToGrid w:val="0"/>
                    <w:spacing w:line="240" w:lineRule="auto"/>
                    <w:jc w:val="left"/>
                    <w:textAlignment w:val="center"/>
                    <w:rPr>
                      <w:rFonts w:hint="default" w:ascii="Times New Roman" w:hAnsi="Times New Roman"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②生产车间（五）产生废气接入高效水洗塔+碱洗处理后通过15m排气筒</w:t>
                  </w:r>
                  <w:r>
                    <w:rPr>
                      <w:rFonts w:hint="eastAsia" w:cs="Times New Roman"/>
                      <w:color w:val="auto"/>
                      <w:sz w:val="18"/>
                      <w:szCs w:val="18"/>
                      <w:lang w:val="en-US" w:eastAsia="zh-CN"/>
                    </w:rPr>
                    <w:t>DA012</w:t>
                  </w:r>
                  <w:r>
                    <w:rPr>
                      <w:rFonts w:hint="default" w:ascii="Times New Roman" w:hAnsi="Times New Roman" w:eastAsia="宋体" w:cs="Times New Roman"/>
                      <w:color w:val="auto"/>
                      <w:sz w:val="18"/>
                      <w:szCs w:val="18"/>
                      <w:lang w:val="en-US" w:eastAsia="zh-CN"/>
                    </w:rPr>
                    <w:t>排放</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288" w:type="pct"/>
                  <w:vMerge w:val="continue"/>
                  <w:vAlign w:val="center"/>
                </w:tcPr>
                <w:p>
                  <w:pPr>
                    <w:pStyle w:val="27"/>
                    <w:rPr>
                      <w:color w:val="auto"/>
                      <w:sz w:val="18"/>
                      <w:szCs w:val="18"/>
                    </w:rPr>
                  </w:pPr>
                </w:p>
              </w:tc>
              <w:tc>
                <w:tcPr>
                  <w:tcW w:w="205" w:type="pct"/>
                  <w:vMerge w:val="continue"/>
                  <w:tcBorders>
                    <w:right w:val="single" w:color="auto" w:sz="4" w:space="0"/>
                  </w:tcBorders>
                  <w:vAlign w:val="center"/>
                </w:tcPr>
                <w:p>
                  <w:pPr>
                    <w:pStyle w:val="27"/>
                    <w:rPr>
                      <w:color w:val="auto"/>
                      <w:sz w:val="18"/>
                      <w:szCs w:val="18"/>
                    </w:rPr>
                  </w:pPr>
                </w:p>
              </w:tc>
              <w:tc>
                <w:tcPr>
                  <w:tcW w:w="864" w:type="pct"/>
                  <w:tcBorders>
                    <w:top w:val="single" w:color="auto" w:sz="4" w:space="0"/>
                    <w:left w:val="single" w:color="auto" w:sz="4" w:space="0"/>
                    <w:bottom w:val="single" w:color="auto" w:sz="4" w:space="0"/>
                    <w:right w:val="single" w:color="auto" w:sz="4" w:space="0"/>
                  </w:tcBorders>
                  <w:vAlign w:val="center"/>
                </w:tcPr>
                <w:p>
                  <w:pPr>
                    <w:pStyle w:val="27"/>
                    <w:rPr>
                      <w:color w:val="auto"/>
                      <w:sz w:val="18"/>
                      <w:szCs w:val="18"/>
                    </w:rPr>
                  </w:pPr>
                  <w:r>
                    <w:rPr>
                      <w:color w:val="auto"/>
                      <w:sz w:val="18"/>
                      <w:szCs w:val="18"/>
                    </w:rPr>
                    <w:t>实验室废气</w:t>
                  </w:r>
                </w:p>
              </w:tc>
              <w:tc>
                <w:tcPr>
                  <w:tcW w:w="3642" w:type="pct"/>
                  <w:tcBorders>
                    <w:top w:val="single" w:color="auto" w:sz="4" w:space="0"/>
                    <w:left w:val="single" w:color="auto" w:sz="4" w:space="0"/>
                    <w:bottom w:val="single" w:color="auto" w:sz="4" w:space="0"/>
                  </w:tcBorders>
                  <w:vAlign w:val="center"/>
                </w:tcPr>
                <w:p>
                  <w:pPr>
                    <w:pStyle w:val="27"/>
                    <w:jc w:val="both"/>
                    <w:rPr>
                      <w:color w:val="auto"/>
                      <w:sz w:val="18"/>
                      <w:szCs w:val="18"/>
                    </w:rPr>
                  </w:pPr>
                  <w:r>
                    <w:rPr>
                      <w:rFonts w:hint="default" w:ascii="Times New Roman" w:hAnsi="Times New Roman" w:cs="Times New Roman"/>
                      <w:color w:val="auto"/>
                      <w:sz w:val="18"/>
                      <w:szCs w:val="18"/>
                      <w:lang w:val="en-US" w:eastAsia="zh-CN"/>
                    </w:rPr>
                    <w:t>实验室废气收集后接入高效水洗塔处理后通过15m排气筒</w:t>
                  </w:r>
                  <w:r>
                    <w:rPr>
                      <w:rFonts w:hint="eastAsia" w:cs="Times New Roman"/>
                      <w:color w:val="auto"/>
                      <w:sz w:val="18"/>
                      <w:szCs w:val="18"/>
                      <w:lang w:val="en-US" w:eastAsia="zh-CN"/>
                    </w:rPr>
                    <w:t>DA008</w:t>
                  </w:r>
                  <w:r>
                    <w:rPr>
                      <w:rFonts w:hint="default" w:ascii="Times New Roman" w:hAnsi="Times New Roman" w:cs="Times New Roman"/>
                      <w:color w:val="auto"/>
                      <w:sz w:val="18"/>
                      <w:szCs w:val="18"/>
                      <w:lang w:val="en-US" w:eastAsia="zh-CN"/>
                    </w:rPr>
                    <w:t>排放</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288" w:type="pct"/>
                  <w:vMerge w:val="continue"/>
                  <w:vAlign w:val="center"/>
                </w:tcPr>
                <w:p>
                  <w:pPr>
                    <w:pStyle w:val="27"/>
                    <w:rPr>
                      <w:color w:val="auto"/>
                      <w:sz w:val="18"/>
                      <w:szCs w:val="18"/>
                    </w:rPr>
                  </w:pPr>
                </w:p>
              </w:tc>
              <w:tc>
                <w:tcPr>
                  <w:tcW w:w="205" w:type="pct"/>
                  <w:vMerge w:val="continue"/>
                  <w:tcBorders>
                    <w:bottom w:val="single" w:color="auto" w:sz="4" w:space="0"/>
                    <w:right w:val="single" w:color="auto" w:sz="4" w:space="0"/>
                  </w:tcBorders>
                  <w:vAlign w:val="center"/>
                </w:tcPr>
                <w:p>
                  <w:pPr>
                    <w:pStyle w:val="27"/>
                    <w:rPr>
                      <w:color w:val="auto"/>
                      <w:sz w:val="18"/>
                      <w:szCs w:val="18"/>
                    </w:rPr>
                  </w:pPr>
                </w:p>
              </w:tc>
              <w:tc>
                <w:tcPr>
                  <w:tcW w:w="864" w:type="pct"/>
                  <w:tcBorders>
                    <w:top w:val="single" w:color="auto" w:sz="4" w:space="0"/>
                    <w:left w:val="single" w:color="auto" w:sz="4" w:space="0"/>
                    <w:bottom w:val="single" w:color="auto" w:sz="4" w:space="0"/>
                    <w:right w:val="single" w:color="auto" w:sz="4" w:space="0"/>
                  </w:tcBorders>
                  <w:vAlign w:val="center"/>
                </w:tcPr>
                <w:p>
                  <w:pPr>
                    <w:pStyle w:val="27"/>
                    <w:rPr>
                      <w:color w:val="auto"/>
                      <w:sz w:val="18"/>
                      <w:szCs w:val="18"/>
                    </w:rPr>
                  </w:pPr>
                  <w:r>
                    <w:rPr>
                      <w:color w:val="auto"/>
                      <w:sz w:val="18"/>
                      <w:szCs w:val="18"/>
                    </w:rPr>
                    <w:t>污水处理站废气</w:t>
                  </w:r>
                </w:p>
              </w:tc>
              <w:tc>
                <w:tcPr>
                  <w:tcW w:w="3642" w:type="pct"/>
                  <w:tcBorders>
                    <w:top w:val="single" w:color="auto" w:sz="4" w:space="0"/>
                    <w:left w:val="single" w:color="auto" w:sz="4" w:space="0"/>
                    <w:bottom w:val="single" w:color="auto" w:sz="4" w:space="0"/>
                  </w:tcBorders>
                  <w:vAlign w:val="center"/>
                </w:tcPr>
                <w:p>
                  <w:pPr>
                    <w:adjustRightInd w:val="0"/>
                    <w:snapToGrid w:val="0"/>
                    <w:spacing w:line="240" w:lineRule="auto"/>
                    <w:jc w:val="left"/>
                    <w:textAlignment w:val="center"/>
                    <w:rPr>
                      <w:color w:val="auto"/>
                      <w:sz w:val="18"/>
                      <w:szCs w:val="18"/>
                    </w:rPr>
                  </w:pPr>
                  <w:r>
                    <w:rPr>
                      <w:rFonts w:hint="default" w:ascii="Times New Roman" w:hAnsi="Times New Roman" w:eastAsia="宋体" w:cs="Times New Roman"/>
                      <w:color w:val="auto"/>
                      <w:sz w:val="18"/>
                      <w:szCs w:val="18"/>
                      <w:lang w:val="en-US" w:eastAsia="zh-CN"/>
                    </w:rPr>
                    <w:t>污水站对生化系统、铁碳池加盖收集产生废气并接入活性炭处理后通过15m排气筒</w:t>
                  </w:r>
                  <w:r>
                    <w:rPr>
                      <w:rFonts w:hint="eastAsia" w:ascii="Times New Roman" w:hAnsi="Times New Roman" w:eastAsia="宋体" w:cs="Times New Roman"/>
                      <w:color w:val="auto"/>
                      <w:sz w:val="18"/>
                      <w:szCs w:val="18"/>
                      <w:lang w:val="en-US" w:eastAsia="zh-CN"/>
                    </w:rPr>
                    <w:t>DA004</w:t>
                  </w:r>
                  <w:r>
                    <w:rPr>
                      <w:rFonts w:hint="default" w:ascii="Times New Roman" w:hAnsi="Times New Roman" w:eastAsia="宋体" w:cs="Times New Roman"/>
                      <w:color w:val="auto"/>
                      <w:sz w:val="18"/>
                      <w:szCs w:val="18"/>
                      <w:lang w:val="en-US" w:eastAsia="zh-CN"/>
                    </w:rPr>
                    <w:t>排放</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288" w:type="pct"/>
                  <w:vMerge w:val="continue"/>
                  <w:vAlign w:val="center"/>
                </w:tcPr>
                <w:p>
                  <w:pPr>
                    <w:pStyle w:val="27"/>
                    <w:rPr>
                      <w:color w:val="auto"/>
                      <w:sz w:val="18"/>
                      <w:szCs w:val="18"/>
                    </w:rPr>
                  </w:pPr>
                </w:p>
              </w:tc>
              <w:tc>
                <w:tcPr>
                  <w:tcW w:w="205" w:type="pct"/>
                  <w:vMerge w:val="restart"/>
                  <w:tcBorders>
                    <w:right w:val="single" w:color="auto" w:sz="4" w:space="0"/>
                  </w:tcBorders>
                  <w:vAlign w:val="center"/>
                </w:tcPr>
                <w:p>
                  <w:pPr>
                    <w:pStyle w:val="27"/>
                    <w:rPr>
                      <w:color w:val="auto"/>
                      <w:sz w:val="18"/>
                      <w:szCs w:val="18"/>
                    </w:rPr>
                  </w:pPr>
                  <w:r>
                    <w:rPr>
                      <w:color w:val="auto"/>
                      <w:sz w:val="18"/>
                      <w:szCs w:val="18"/>
                    </w:rPr>
                    <w:t>二厂</w:t>
                  </w:r>
                </w:p>
              </w:tc>
              <w:tc>
                <w:tcPr>
                  <w:tcW w:w="864" w:type="pct"/>
                  <w:tcBorders>
                    <w:top w:val="single" w:color="auto" w:sz="4" w:space="0"/>
                    <w:left w:val="single" w:color="auto" w:sz="4" w:space="0"/>
                    <w:bottom w:val="single" w:color="auto" w:sz="4" w:space="0"/>
                    <w:right w:val="single" w:color="auto" w:sz="4" w:space="0"/>
                  </w:tcBorders>
                  <w:vAlign w:val="center"/>
                </w:tcPr>
                <w:p>
                  <w:pPr>
                    <w:pStyle w:val="27"/>
                    <w:rPr>
                      <w:color w:val="auto"/>
                      <w:sz w:val="18"/>
                      <w:szCs w:val="18"/>
                    </w:rPr>
                  </w:pPr>
                  <w:r>
                    <w:rPr>
                      <w:color w:val="auto"/>
                      <w:sz w:val="18"/>
                      <w:szCs w:val="18"/>
                    </w:rPr>
                    <w:t>车间六</w:t>
                  </w:r>
                  <w:r>
                    <w:rPr>
                      <w:rFonts w:hint="eastAsia"/>
                      <w:color w:val="auto"/>
                      <w:sz w:val="18"/>
                      <w:szCs w:val="18"/>
                      <w:lang w:eastAsia="zh-CN"/>
                    </w:rPr>
                    <w:t>、</w:t>
                  </w:r>
                  <w:r>
                    <w:rPr>
                      <w:rFonts w:hint="eastAsia"/>
                      <w:color w:val="auto"/>
                      <w:sz w:val="18"/>
                      <w:szCs w:val="18"/>
                      <w:lang w:val="en-US" w:eastAsia="zh-CN"/>
                    </w:rPr>
                    <w:t>七、储罐区</w:t>
                  </w:r>
                  <w:r>
                    <w:rPr>
                      <w:color w:val="auto"/>
                      <w:sz w:val="18"/>
                      <w:szCs w:val="18"/>
                    </w:rPr>
                    <w:t>废气</w:t>
                  </w:r>
                </w:p>
              </w:tc>
              <w:tc>
                <w:tcPr>
                  <w:tcW w:w="3642" w:type="pct"/>
                  <w:tcBorders>
                    <w:top w:val="single" w:color="auto" w:sz="4" w:space="0"/>
                    <w:left w:val="single" w:color="auto" w:sz="4" w:space="0"/>
                    <w:bottom w:val="single" w:color="auto" w:sz="4" w:space="0"/>
                  </w:tcBorders>
                  <w:vAlign w:val="center"/>
                </w:tcPr>
                <w:p>
                  <w:pPr>
                    <w:adjustRightInd w:val="0"/>
                    <w:snapToGrid w:val="0"/>
                    <w:spacing w:line="240" w:lineRule="auto"/>
                    <w:jc w:val="left"/>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①生产车间（六）废气经溶剂吸收+一级水洗+活性炭处理后通过18m排气筒</w:t>
                  </w:r>
                  <w:r>
                    <w:rPr>
                      <w:rFonts w:hint="eastAsia" w:ascii="Times New Roman" w:hAnsi="Times New Roman" w:eastAsia="宋体" w:cs="Times New Roman"/>
                      <w:color w:val="auto"/>
                      <w:sz w:val="18"/>
                      <w:szCs w:val="18"/>
                      <w:lang w:val="en-US" w:eastAsia="zh-CN"/>
                    </w:rPr>
                    <w:t>DA003</w:t>
                  </w:r>
                  <w:r>
                    <w:rPr>
                      <w:rFonts w:hint="default" w:ascii="Times New Roman" w:hAnsi="Times New Roman" w:eastAsia="宋体" w:cs="Times New Roman"/>
                      <w:color w:val="auto"/>
                      <w:sz w:val="18"/>
                      <w:szCs w:val="18"/>
                      <w:lang w:val="en-US" w:eastAsia="zh-CN"/>
                    </w:rPr>
                    <w:t>排放</w:t>
                  </w:r>
                </w:p>
                <w:p>
                  <w:pPr>
                    <w:adjustRightInd w:val="0"/>
                    <w:snapToGrid w:val="0"/>
                    <w:spacing w:line="240" w:lineRule="auto"/>
                    <w:jc w:val="left"/>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②生产车间（六）废气经二级水洗后，接入处理生产车间（七）废气的活性炭吸附装置，处理后和生产车间（七）废气通过18m排气筒</w:t>
                  </w:r>
                  <w:r>
                    <w:rPr>
                      <w:rFonts w:hint="eastAsia" w:ascii="Times New Roman" w:hAnsi="Times New Roman" w:eastAsia="宋体" w:cs="Times New Roman"/>
                      <w:color w:val="auto"/>
                      <w:sz w:val="18"/>
                      <w:szCs w:val="18"/>
                      <w:lang w:val="en-US" w:eastAsia="zh-CN"/>
                    </w:rPr>
                    <w:t>DA003</w:t>
                  </w:r>
                  <w:r>
                    <w:rPr>
                      <w:rFonts w:hint="default" w:ascii="Times New Roman" w:hAnsi="Times New Roman" w:eastAsia="宋体" w:cs="Times New Roman"/>
                      <w:color w:val="auto"/>
                      <w:sz w:val="18"/>
                      <w:szCs w:val="18"/>
                      <w:lang w:val="en-US" w:eastAsia="zh-CN"/>
                    </w:rPr>
                    <w:t>排放</w:t>
                  </w:r>
                </w:p>
                <w:p>
                  <w:pPr>
                    <w:adjustRightInd w:val="0"/>
                    <w:snapToGrid w:val="0"/>
                    <w:spacing w:line="240" w:lineRule="auto"/>
                    <w:jc w:val="left"/>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③生产车间（七）废气：气库分离后废气经生产车间（六）三级水洗+一级碱洗+活性炭处理后通过18m排气筒</w:t>
                  </w:r>
                  <w:r>
                    <w:rPr>
                      <w:rFonts w:hint="eastAsia" w:ascii="Times New Roman" w:hAnsi="Times New Roman" w:eastAsia="宋体" w:cs="Times New Roman"/>
                      <w:color w:val="auto"/>
                      <w:sz w:val="18"/>
                      <w:szCs w:val="18"/>
                      <w:lang w:val="en-US" w:eastAsia="zh-CN"/>
                    </w:rPr>
                    <w:t>DA003</w:t>
                  </w:r>
                  <w:r>
                    <w:rPr>
                      <w:rFonts w:hint="default" w:ascii="Times New Roman" w:hAnsi="Times New Roman" w:eastAsia="宋体" w:cs="Times New Roman"/>
                      <w:color w:val="auto"/>
                      <w:sz w:val="18"/>
                      <w:szCs w:val="18"/>
                      <w:lang w:val="en-US" w:eastAsia="zh-CN"/>
                    </w:rPr>
                    <w:t>排放</w:t>
                  </w:r>
                </w:p>
                <w:p>
                  <w:pPr>
                    <w:adjustRightInd w:val="0"/>
                    <w:snapToGrid w:val="0"/>
                    <w:spacing w:line="240" w:lineRule="auto"/>
                    <w:jc w:val="left"/>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④储罐区废气：氢氟酸储罐采用氮封，并将呼气口阀门接入二级水洗处理后通过18m排气</w:t>
                  </w:r>
                  <w:r>
                    <w:rPr>
                      <w:rFonts w:hint="eastAsia" w:ascii="Times New Roman" w:hAnsi="Times New Roman" w:eastAsia="宋体" w:cs="Times New Roman"/>
                      <w:color w:val="auto"/>
                      <w:sz w:val="18"/>
                      <w:szCs w:val="18"/>
                      <w:lang w:val="en-US" w:eastAsia="zh-CN"/>
                    </w:rPr>
                    <w:t>筒DA003</w:t>
                  </w:r>
                  <w:r>
                    <w:rPr>
                      <w:rFonts w:hint="default" w:ascii="Times New Roman" w:hAnsi="Times New Roman" w:eastAsia="宋体" w:cs="Times New Roman"/>
                      <w:color w:val="auto"/>
                      <w:sz w:val="18"/>
                      <w:szCs w:val="18"/>
                      <w:lang w:val="en-US" w:eastAsia="zh-CN"/>
                    </w:rPr>
                    <w:t>排放</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288" w:type="pct"/>
                  <w:vMerge w:val="continue"/>
                  <w:vAlign w:val="center"/>
                </w:tcPr>
                <w:p>
                  <w:pPr>
                    <w:pStyle w:val="27"/>
                    <w:rPr>
                      <w:color w:val="auto"/>
                      <w:sz w:val="18"/>
                      <w:szCs w:val="18"/>
                    </w:rPr>
                  </w:pPr>
                </w:p>
              </w:tc>
              <w:tc>
                <w:tcPr>
                  <w:tcW w:w="205" w:type="pct"/>
                  <w:vMerge w:val="continue"/>
                  <w:tcBorders>
                    <w:right w:val="single" w:color="auto" w:sz="4" w:space="0"/>
                  </w:tcBorders>
                  <w:vAlign w:val="center"/>
                </w:tcPr>
                <w:p>
                  <w:pPr>
                    <w:pStyle w:val="27"/>
                    <w:rPr>
                      <w:color w:val="auto"/>
                      <w:sz w:val="18"/>
                      <w:szCs w:val="18"/>
                    </w:rPr>
                  </w:pPr>
                </w:p>
              </w:tc>
              <w:tc>
                <w:tcPr>
                  <w:tcW w:w="864" w:type="pct"/>
                  <w:tcBorders>
                    <w:top w:val="single" w:color="auto" w:sz="4" w:space="0"/>
                    <w:left w:val="single" w:color="auto" w:sz="4" w:space="0"/>
                    <w:bottom w:val="single" w:color="auto" w:sz="4" w:space="0"/>
                    <w:right w:val="single" w:color="auto" w:sz="4" w:space="0"/>
                  </w:tcBorders>
                  <w:vAlign w:val="center"/>
                </w:tcPr>
                <w:p>
                  <w:pPr>
                    <w:pStyle w:val="27"/>
                    <w:rPr>
                      <w:color w:val="auto"/>
                      <w:sz w:val="18"/>
                      <w:szCs w:val="18"/>
                    </w:rPr>
                  </w:pPr>
                  <w:r>
                    <w:rPr>
                      <w:color w:val="auto"/>
                      <w:sz w:val="18"/>
                      <w:szCs w:val="18"/>
                    </w:rPr>
                    <w:t>车间八废气</w:t>
                  </w:r>
                </w:p>
              </w:tc>
              <w:tc>
                <w:tcPr>
                  <w:tcW w:w="3642" w:type="pct"/>
                  <w:tcBorders>
                    <w:top w:val="single" w:color="auto" w:sz="4" w:space="0"/>
                    <w:left w:val="single" w:color="auto" w:sz="4" w:space="0"/>
                    <w:bottom w:val="single" w:color="auto" w:sz="4" w:space="0"/>
                  </w:tcBorders>
                  <w:vAlign w:val="center"/>
                </w:tcPr>
                <w:p>
                  <w:pPr>
                    <w:adjustRightInd w:val="0"/>
                    <w:snapToGrid w:val="0"/>
                    <w:spacing w:line="240" w:lineRule="auto"/>
                    <w:jc w:val="left"/>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生产车间（八）废气：生产线废气经二级水洗后通过20m排气筒</w:t>
                  </w:r>
                  <w:r>
                    <w:rPr>
                      <w:rFonts w:hint="eastAsia" w:ascii="Times New Roman" w:hAnsi="Times New Roman" w:eastAsia="宋体" w:cs="Times New Roman"/>
                      <w:color w:val="auto"/>
                      <w:sz w:val="18"/>
                      <w:szCs w:val="18"/>
                      <w:lang w:val="en-US" w:eastAsia="zh-CN"/>
                    </w:rPr>
                    <w:t>DA006</w:t>
                  </w:r>
                  <w:r>
                    <w:rPr>
                      <w:rFonts w:hint="default" w:ascii="Times New Roman" w:hAnsi="Times New Roman" w:eastAsia="宋体" w:cs="Times New Roman"/>
                      <w:color w:val="auto"/>
                      <w:sz w:val="18"/>
                      <w:szCs w:val="18"/>
                      <w:lang w:val="en-US" w:eastAsia="zh-CN"/>
                    </w:rPr>
                    <w:t>排放</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288" w:type="pct"/>
                  <w:vMerge w:val="continue"/>
                  <w:vAlign w:val="center"/>
                </w:tcPr>
                <w:p>
                  <w:pPr>
                    <w:pStyle w:val="27"/>
                    <w:rPr>
                      <w:color w:val="auto"/>
                      <w:sz w:val="18"/>
                      <w:szCs w:val="18"/>
                    </w:rPr>
                  </w:pPr>
                </w:p>
              </w:tc>
              <w:tc>
                <w:tcPr>
                  <w:tcW w:w="205" w:type="pct"/>
                  <w:vMerge w:val="continue"/>
                  <w:tcBorders>
                    <w:right w:val="single" w:color="auto" w:sz="4" w:space="0"/>
                  </w:tcBorders>
                  <w:vAlign w:val="center"/>
                </w:tcPr>
                <w:p>
                  <w:pPr>
                    <w:pStyle w:val="27"/>
                    <w:rPr>
                      <w:color w:val="auto"/>
                      <w:sz w:val="18"/>
                      <w:szCs w:val="18"/>
                    </w:rPr>
                  </w:pPr>
                </w:p>
              </w:tc>
              <w:tc>
                <w:tcPr>
                  <w:tcW w:w="864" w:type="pct"/>
                  <w:tcBorders>
                    <w:top w:val="single" w:color="auto" w:sz="4" w:space="0"/>
                    <w:left w:val="single" w:color="auto" w:sz="4" w:space="0"/>
                    <w:bottom w:val="single" w:color="auto" w:sz="4" w:space="0"/>
                    <w:right w:val="single" w:color="auto" w:sz="4" w:space="0"/>
                  </w:tcBorders>
                  <w:vAlign w:val="center"/>
                </w:tcPr>
                <w:p>
                  <w:pPr>
                    <w:pStyle w:val="27"/>
                    <w:rPr>
                      <w:rFonts w:hint="default" w:eastAsia="宋体"/>
                      <w:color w:val="auto"/>
                      <w:sz w:val="18"/>
                      <w:szCs w:val="18"/>
                      <w:lang w:val="en-US" w:eastAsia="zh-CN"/>
                    </w:rPr>
                  </w:pPr>
                  <w:r>
                    <w:rPr>
                      <w:rFonts w:hint="eastAsia"/>
                      <w:color w:val="auto"/>
                      <w:sz w:val="18"/>
                      <w:szCs w:val="18"/>
                      <w:lang w:val="en-US" w:eastAsia="zh-CN"/>
                    </w:rPr>
                    <w:t>危废暂存间废气</w:t>
                  </w:r>
                </w:p>
              </w:tc>
              <w:tc>
                <w:tcPr>
                  <w:tcW w:w="3642" w:type="pct"/>
                  <w:tcBorders>
                    <w:top w:val="single" w:color="auto" w:sz="4" w:space="0"/>
                    <w:left w:val="single" w:color="auto" w:sz="4" w:space="0"/>
                    <w:bottom w:val="single" w:color="auto" w:sz="4" w:space="0"/>
                  </w:tcBorders>
                  <w:vAlign w:val="center"/>
                </w:tcPr>
                <w:p>
                  <w:pPr>
                    <w:adjustRightInd w:val="0"/>
                    <w:snapToGrid w:val="0"/>
                    <w:spacing w:line="240" w:lineRule="auto"/>
                    <w:jc w:val="left"/>
                    <w:textAlignment w:val="center"/>
                    <w:rPr>
                      <w:rFonts w:hint="default"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危废贮存库废气：排气风机和危废库开门连锁，室内空气经活性炭处理后通过15m排气筒</w:t>
                  </w:r>
                  <w:r>
                    <w:rPr>
                      <w:rFonts w:hint="eastAsia" w:cs="Times New Roman"/>
                      <w:color w:val="auto"/>
                      <w:sz w:val="18"/>
                      <w:szCs w:val="18"/>
                      <w:lang w:val="en-US" w:eastAsia="zh-CN"/>
                    </w:rPr>
                    <w:t>DA007</w:t>
                  </w:r>
                  <w:r>
                    <w:rPr>
                      <w:rFonts w:hint="eastAsia" w:ascii="Times New Roman" w:hAnsi="Times New Roman" w:cs="Times New Roman"/>
                      <w:color w:val="auto"/>
                      <w:sz w:val="18"/>
                      <w:szCs w:val="18"/>
                      <w:lang w:val="en-US" w:eastAsia="zh-CN"/>
                    </w:rPr>
                    <w:t>排放</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288" w:type="pct"/>
                  <w:vMerge w:val="continue"/>
                  <w:vAlign w:val="center"/>
                </w:tcPr>
                <w:p>
                  <w:pPr>
                    <w:pStyle w:val="27"/>
                    <w:rPr>
                      <w:color w:val="auto"/>
                      <w:sz w:val="18"/>
                      <w:szCs w:val="18"/>
                    </w:rPr>
                  </w:pPr>
                </w:p>
              </w:tc>
              <w:tc>
                <w:tcPr>
                  <w:tcW w:w="205" w:type="pct"/>
                  <w:vMerge w:val="continue"/>
                  <w:tcBorders>
                    <w:bottom w:val="single" w:color="auto" w:sz="4" w:space="0"/>
                    <w:right w:val="single" w:color="auto" w:sz="4" w:space="0"/>
                  </w:tcBorders>
                  <w:vAlign w:val="center"/>
                </w:tcPr>
                <w:p>
                  <w:pPr>
                    <w:pStyle w:val="27"/>
                    <w:rPr>
                      <w:color w:val="auto"/>
                      <w:sz w:val="18"/>
                      <w:szCs w:val="18"/>
                    </w:rPr>
                  </w:pPr>
                </w:p>
              </w:tc>
              <w:tc>
                <w:tcPr>
                  <w:tcW w:w="864" w:type="pct"/>
                  <w:tcBorders>
                    <w:top w:val="single" w:color="auto" w:sz="4" w:space="0"/>
                    <w:left w:val="single" w:color="auto" w:sz="4" w:space="0"/>
                    <w:bottom w:val="single" w:color="auto" w:sz="4" w:space="0"/>
                    <w:right w:val="single" w:color="auto" w:sz="4" w:space="0"/>
                  </w:tcBorders>
                  <w:vAlign w:val="center"/>
                </w:tcPr>
                <w:p>
                  <w:pPr>
                    <w:pStyle w:val="27"/>
                    <w:rPr>
                      <w:color w:val="auto"/>
                      <w:sz w:val="18"/>
                      <w:szCs w:val="18"/>
                    </w:rPr>
                  </w:pPr>
                  <w:r>
                    <w:rPr>
                      <w:color w:val="auto"/>
                      <w:sz w:val="18"/>
                      <w:szCs w:val="18"/>
                    </w:rPr>
                    <w:t>锅炉废气</w:t>
                  </w:r>
                </w:p>
              </w:tc>
              <w:tc>
                <w:tcPr>
                  <w:tcW w:w="3642" w:type="pct"/>
                  <w:tcBorders>
                    <w:top w:val="single" w:color="auto" w:sz="4" w:space="0"/>
                    <w:left w:val="single" w:color="auto" w:sz="4" w:space="0"/>
                    <w:bottom w:val="single" w:color="auto" w:sz="4" w:space="0"/>
                  </w:tcBorders>
                  <w:vAlign w:val="center"/>
                </w:tcPr>
                <w:p>
                  <w:pPr>
                    <w:pStyle w:val="27"/>
                    <w:jc w:val="both"/>
                    <w:rPr>
                      <w:color w:val="auto"/>
                      <w:sz w:val="18"/>
                      <w:szCs w:val="18"/>
                    </w:rPr>
                  </w:pPr>
                  <w:r>
                    <w:rPr>
                      <w:rFonts w:hint="default" w:ascii="Times New Roman" w:hAnsi="Times New Roman" w:eastAsia="宋体" w:cs="Times New Roman"/>
                      <w:color w:val="auto"/>
                      <w:sz w:val="18"/>
                      <w:szCs w:val="18"/>
                      <w:lang w:val="en-US" w:eastAsia="zh-CN"/>
                    </w:rPr>
                    <w:t>锅炉烟气</w:t>
                  </w:r>
                  <w:r>
                    <w:rPr>
                      <w:rFonts w:hint="eastAsia" w:cs="Times New Roman"/>
                      <w:color w:val="auto"/>
                      <w:sz w:val="18"/>
                      <w:szCs w:val="18"/>
                      <w:lang w:val="en-US" w:eastAsia="zh-CN"/>
                    </w:rPr>
                    <w:t>：每台锅炉各配备1根15m高排气筒</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0" w:hRule="atLeast"/>
                <w:jc w:val="center"/>
              </w:trPr>
              <w:tc>
                <w:tcPr>
                  <w:tcW w:w="1357" w:type="pct"/>
                  <w:gridSpan w:val="3"/>
                  <w:tcBorders>
                    <w:right w:val="single" w:color="auto" w:sz="4" w:space="0"/>
                  </w:tcBorders>
                  <w:vAlign w:val="center"/>
                </w:tcPr>
                <w:p>
                  <w:pPr>
                    <w:pStyle w:val="27"/>
                    <w:rPr>
                      <w:color w:val="auto"/>
                      <w:sz w:val="18"/>
                      <w:szCs w:val="18"/>
                    </w:rPr>
                  </w:pPr>
                  <w:r>
                    <w:rPr>
                      <w:color w:val="auto"/>
                      <w:sz w:val="18"/>
                      <w:szCs w:val="18"/>
                    </w:rPr>
                    <w:t>噪声</w:t>
                  </w:r>
                </w:p>
              </w:tc>
              <w:tc>
                <w:tcPr>
                  <w:tcW w:w="3642" w:type="pct"/>
                  <w:tcBorders>
                    <w:left w:val="single" w:color="auto" w:sz="4" w:space="0"/>
                  </w:tcBorders>
                  <w:vAlign w:val="center"/>
                </w:tcPr>
                <w:p>
                  <w:pPr>
                    <w:pStyle w:val="27"/>
                    <w:jc w:val="both"/>
                    <w:rPr>
                      <w:color w:val="auto"/>
                      <w:sz w:val="18"/>
                      <w:szCs w:val="18"/>
                    </w:rPr>
                  </w:pPr>
                  <w:r>
                    <w:rPr>
                      <w:color w:val="auto"/>
                      <w:sz w:val="18"/>
                      <w:szCs w:val="18"/>
                    </w:rPr>
                    <w:t>选用低噪声设备及减振、隔声降噪措施</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1357" w:type="pct"/>
                  <w:gridSpan w:val="3"/>
                  <w:tcBorders>
                    <w:right w:val="single" w:color="auto" w:sz="4" w:space="0"/>
                  </w:tcBorders>
                  <w:vAlign w:val="center"/>
                </w:tcPr>
                <w:p>
                  <w:pPr>
                    <w:pStyle w:val="27"/>
                    <w:rPr>
                      <w:color w:val="auto"/>
                      <w:sz w:val="18"/>
                      <w:szCs w:val="18"/>
                    </w:rPr>
                  </w:pPr>
                  <w:r>
                    <w:rPr>
                      <w:color w:val="auto"/>
                      <w:sz w:val="18"/>
                      <w:szCs w:val="18"/>
                    </w:rPr>
                    <w:t>固废</w:t>
                  </w:r>
                </w:p>
              </w:tc>
              <w:tc>
                <w:tcPr>
                  <w:tcW w:w="3642" w:type="pct"/>
                  <w:tcBorders>
                    <w:left w:val="single" w:color="auto" w:sz="4" w:space="0"/>
                  </w:tcBorders>
                  <w:vAlign w:val="center"/>
                </w:tcPr>
                <w:p>
                  <w:pPr>
                    <w:pStyle w:val="27"/>
                    <w:jc w:val="both"/>
                    <w:rPr>
                      <w:color w:val="auto"/>
                      <w:sz w:val="18"/>
                      <w:szCs w:val="18"/>
                    </w:rPr>
                  </w:pPr>
                  <w:r>
                    <w:rPr>
                      <w:color w:val="auto"/>
                      <w:kern w:val="0"/>
                      <w:sz w:val="18"/>
                      <w:szCs w:val="18"/>
                    </w:rPr>
                    <w:t>二厂</w:t>
                  </w:r>
                  <w:r>
                    <w:rPr>
                      <w:rFonts w:hint="eastAsia"/>
                      <w:color w:val="auto"/>
                      <w:kern w:val="0"/>
                      <w:sz w:val="18"/>
                      <w:szCs w:val="18"/>
                    </w:rPr>
                    <w:t>14</w:t>
                  </w:r>
                  <w:r>
                    <w:rPr>
                      <w:color w:val="auto"/>
                      <w:kern w:val="0"/>
                      <w:sz w:val="18"/>
                      <w:szCs w:val="18"/>
                    </w:rPr>
                    <w:t>0m</w:t>
                  </w:r>
                  <w:r>
                    <w:rPr>
                      <w:color w:val="auto"/>
                      <w:kern w:val="0"/>
                      <w:sz w:val="18"/>
                      <w:szCs w:val="18"/>
                      <w:vertAlign w:val="superscript"/>
                    </w:rPr>
                    <w:t>2</w:t>
                  </w:r>
                  <w:r>
                    <w:rPr>
                      <w:color w:val="auto"/>
                      <w:kern w:val="0"/>
                      <w:sz w:val="18"/>
                      <w:szCs w:val="18"/>
                    </w:rPr>
                    <w:t>危废贮存库</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1357" w:type="pct"/>
                  <w:gridSpan w:val="3"/>
                  <w:tcBorders>
                    <w:right w:val="single" w:color="auto" w:sz="4" w:space="0"/>
                  </w:tcBorders>
                  <w:vAlign w:val="center"/>
                </w:tcPr>
                <w:p>
                  <w:pPr>
                    <w:pStyle w:val="27"/>
                    <w:rPr>
                      <w:color w:val="auto"/>
                      <w:sz w:val="18"/>
                      <w:szCs w:val="18"/>
                    </w:rPr>
                  </w:pPr>
                  <w:r>
                    <w:rPr>
                      <w:color w:val="auto"/>
                      <w:sz w:val="18"/>
                      <w:szCs w:val="18"/>
                    </w:rPr>
                    <w:t>环境风险</w:t>
                  </w:r>
                </w:p>
              </w:tc>
              <w:tc>
                <w:tcPr>
                  <w:tcW w:w="3642" w:type="pct"/>
                  <w:tcBorders>
                    <w:left w:val="single" w:color="auto" w:sz="4" w:space="0"/>
                  </w:tcBorders>
                  <w:vAlign w:val="center"/>
                </w:tcPr>
                <w:p>
                  <w:pPr>
                    <w:pStyle w:val="27"/>
                    <w:jc w:val="both"/>
                    <w:rPr>
                      <w:color w:val="auto"/>
                      <w:sz w:val="18"/>
                      <w:szCs w:val="18"/>
                    </w:rPr>
                  </w:pPr>
                  <w:r>
                    <w:rPr>
                      <w:color w:val="auto"/>
                      <w:sz w:val="18"/>
                      <w:szCs w:val="18"/>
                    </w:rPr>
                    <w:t>一厂600m</w:t>
                  </w:r>
                  <w:r>
                    <w:rPr>
                      <w:color w:val="auto"/>
                      <w:sz w:val="18"/>
                      <w:szCs w:val="18"/>
                      <w:vertAlign w:val="superscript"/>
                    </w:rPr>
                    <w:t>3</w:t>
                  </w:r>
                  <w:r>
                    <w:rPr>
                      <w:color w:val="auto"/>
                      <w:sz w:val="18"/>
                      <w:szCs w:val="18"/>
                    </w:rPr>
                    <w:t>事故应急池，230m</w:t>
                  </w:r>
                  <w:r>
                    <w:rPr>
                      <w:color w:val="auto"/>
                      <w:sz w:val="18"/>
                      <w:szCs w:val="18"/>
                      <w:vertAlign w:val="superscript"/>
                    </w:rPr>
                    <w:t>3</w:t>
                  </w:r>
                  <w:r>
                    <w:rPr>
                      <w:color w:val="auto"/>
                      <w:sz w:val="18"/>
                      <w:szCs w:val="18"/>
                    </w:rPr>
                    <w:t>初期雨水池；</w:t>
                  </w:r>
                </w:p>
                <w:p>
                  <w:pPr>
                    <w:pStyle w:val="27"/>
                    <w:jc w:val="both"/>
                    <w:rPr>
                      <w:color w:val="auto"/>
                      <w:sz w:val="18"/>
                      <w:szCs w:val="18"/>
                    </w:rPr>
                  </w:pPr>
                  <w:r>
                    <w:rPr>
                      <w:color w:val="auto"/>
                      <w:sz w:val="18"/>
                      <w:szCs w:val="18"/>
                    </w:rPr>
                    <w:t>二厂900m</w:t>
                  </w:r>
                  <w:r>
                    <w:rPr>
                      <w:color w:val="auto"/>
                      <w:sz w:val="18"/>
                      <w:szCs w:val="18"/>
                      <w:vertAlign w:val="superscript"/>
                    </w:rPr>
                    <w:t>3</w:t>
                  </w:r>
                  <w:r>
                    <w:rPr>
                      <w:color w:val="auto"/>
                      <w:sz w:val="18"/>
                      <w:szCs w:val="18"/>
                    </w:rPr>
                    <w:t>事故应急池，400m</w:t>
                  </w:r>
                  <w:r>
                    <w:rPr>
                      <w:color w:val="auto"/>
                      <w:sz w:val="18"/>
                      <w:szCs w:val="18"/>
                      <w:vertAlign w:val="superscript"/>
                    </w:rPr>
                    <w:t>3</w:t>
                  </w:r>
                  <w:r>
                    <w:rPr>
                      <w:color w:val="auto"/>
                      <w:sz w:val="18"/>
                      <w:szCs w:val="18"/>
                    </w:rPr>
                    <w:t>初期雨水池。</w:t>
                  </w:r>
                </w:p>
              </w:tc>
            </w:tr>
          </w:tbl>
          <w:p>
            <w:pPr>
              <w:pStyle w:val="35"/>
              <w:ind w:firstLine="420"/>
              <w:jc w:val="both"/>
              <w:rPr>
                <w:rFonts w:ascii="Times New Roman" w:hAnsi="Times New Roman" w:cs="Times New Roman"/>
                <w:color w:val="auto"/>
                <w:sz w:val="21"/>
                <w:szCs w:val="20"/>
              </w:rPr>
            </w:pPr>
            <w:r>
              <w:rPr>
                <w:rFonts w:hint="eastAsia" w:ascii="Times New Roman" w:hAnsi="Times New Roman" w:cs="Times New Roman"/>
                <w:color w:val="auto"/>
                <w:sz w:val="21"/>
                <w:szCs w:val="20"/>
              </w:rPr>
              <w:t>（</w:t>
            </w:r>
            <w:r>
              <w:rPr>
                <w:rFonts w:hint="eastAsia" w:ascii="Times New Roman" w:hAnsi="Times New Roman" w:cs="Times New Roman"/>
                <w:color w:val="auto"/>
                <w:sz w:val="21"/>
                <w:szCs w:val="20"/>
                <w:lang w:val="en-US" w:eastAsia="zh-CN"/>
              </w:rPr>
              <w:t>3</w:t>
            </w:r>
            <w:r>
              <w:rPr>
                <w:rFonts w:hint="eastAsia" w:ascii="Times New Roman" w:hAnsi="Times New Roman" w:cs="Times New Roman"/>
                <w:color w:val="auto"/>
                <w:sz w:val="21"/>
                <w:szCs w:val="20"/>
              </w:rPr>
              <w:t>）现有建成工程污染物达标排放情况</w:t>
            </w:r>
          </w:p>
          <w:p>
            <w:pPr>
              <w:pStyle w:val="35"/>
              <w:ind w:firstLine="420"/>
              <w:jc w:val="both"/>
              <w:rPr>
                <w:rFonts w:ascii="Times New Roman" w:hAnsi="Times New Roman" w:cs="Times New Roman"/>
                <w:color w:val="auto"/>
                <w:sz w:val="21"/>
                <w:szCs w:val="20"/>
              </w:rPr>
            </w:pPr>
            <w:r>
              <w:rPr>
                <w:rFonts w:hint="eastAsia" w:ascii="Times New Roman" w:hAnsi="Times New Roman" w:cs="Times New Roman"/>
                <w:color w:val="auto"/>
                <w:sz w:val="21"/>
                <w:szCs w:val="20"/>
              </w:rPr>
              <w:t>现有工程污染物达标排放情况根据《三明市海斯福化工有限责任公司</w:t>
            </w:r>
            <w:r>
              <w:rPr>
                <w:rFonts w:hint="eastAsia" w:ascii="Times New Roman" w:hAnsi="Times New Roman" w:cs="Times New Roman"/>
                <w:color w:val="auto"/>
                <w:sz w:val="21"/>
                <w:szCs w:val="20"/>
                <w:lang w:val="en-US" w:eastAsia="zh-CN"/>
              </w:rPr>
              <w:t>1月自行监测报告</w:t>
            </w:r>
            <w:r>
              <w:rPr>
                <w:rFonts w:hint="eastAsia" w:ascii="Times New Roman" w:hAnsi="Times New Roman" w:cs="Times New Roman"/>
                <w:color w:val="auto"/>
                <w:sz w:val="21"/>
                <w:szCs w:val="20"/>
              </w:rPr>
              <w:t>》、</w:t>
            </w:r>
            <w:r>
              <w:rPr>
                <w:rFonts w:hint="eastAsia" w:ascii="Times New Roman" w:hAnsi="Times New Roman" w:cs="Times New Roman"/>
                <w:color w:val="auto"/>
                <w:sz w:val="21"/>
                <w:szCs w:val="20"/>
                <w:lang w:val="en-US" w:eastAsia="zh-CN"/>
              </w:rPr>
              <w:t>《三明市海斯福化工有限责任公司全氟聚醚生产线技术改造项目竣工环境保护验收监测报告》（2026年4月）</w:t>
            </w:r>
            <w:r>
              <w:rPr>
                <w:rFonts w:hint="eastAsia" w:ascii="Times New Roman" w:hAnsi="Times New Roman" w:cs="Times New Roman"/>
                <w:color w:val="auto"/>
                <w:sz w:val="21"/>
                <w:szCs w:val="20"/>
              </w:rPr>
              <w:t>数据进行分析。</w:t>
            </w:r>
          </w:p>
          <w:p>
            <w:pPr>
              <w:pStyle w:val="35"/>
              <w:ind w:firstLine="420"/>
              <w:jc w:val="both"/>
              <w:rPr>
                <w:rFonts w:ascii="Times New Roman" w:hAnsi="Times New Roman" w:cs="Times New Roman"/>
                <w:color w:val="auto"/>
                <w:sz w:val="21"/>
                <w:szCs w:val="20"/>
              </w:rPr>
            </w:pPr>
            <w:r>
              <w:rPr>
                <w:rFonts w:hint="eastAsia" w:ascii="Times New Roman" w:hAnsi="Times New Roman" w:cs="Times New Roman"/>
                <w:color w:val="auto"/>
                <w:sz w:val="21"/>
                <w:szCs w:val="20"/>
              </w:rPr>
              <w:t>监测结果表明现有工程各废气排放口、厂内废水排放口各污染物均达标排放。详见下表。</w:t>
            </w:r>
          </w:p>
          <w:p>
            <w:pPr>
              <w:spacing w:before="194" w:beforeLines="50"/>
              <w:jc w:val="center"/>
              <w:outlineLvl w:val="5"/>
              <w:rPr>
                <w:rFonts w:cs="Times New Roman" w:eastAsiaTheme="minorEastAsia"/>
                <w:color w:val="auto"/>
                <w:kern w:val="0"/>
                <w:sz w:val="21"/>
                <w:lang w:val="zh-CN"/>
              </w:rPr>
            </w:pPr>
            <w:r>
              <w:rPr>
                <w:rFonts w:hint="eastAsia" w:eastAsia="宋体" w:cs="Times New Roman"/>
                <w:b/>
                <w:color w:val="auto"/>
                <w:spacing w:val="0"/>
                <w:sz w:val="21"/>
                <w:szCs w:val="21"/>
                <w:lang w:val="en-US" w:eastAsia="zh-CN"/>
              </w:rPr>
              <w:t>表2-14  现有建成工程废气</w:t>
            </w:r>
            <w:r>
              <w:rPr>
                <w:rFonts w:hint="eastAsia" w:eastAsia="宋体" w:cs="Times New Roman"/>
                <w:b/>
                <w:color w:val="auto"/>
                <w:spacing w:val="0"/>
                <w:sz w:val="21"/>
                <w:szCs w:val="21"/>
                <w:lang w:val="zh-CN" w:eastAsia="zh-CN"/>
              </w:rPr>
              <w:t>污染物排放情况</w:t>
            </w:r>
          </w:p>
          <w:tbl>
            <w:tblPr>
              <w:tblStyle w:val="19"/>
              <w:tblW w:w="4783"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372"/>
              <w:gridCol w:w="689"/>
              <w:gridCol w:w="689"/>
              <w:gridCol w:w="1153"/>
              <w:gridCol w:w="1166"/>
              <w:gridCol w:w="1067"/>
              <w:gridCol w:w="983"/>
              <w:gridCol w:w="830"/>
              <w:gridCol w:w="801"/>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7" w:hRule="atLeast"/>
                <w:jc w:val="center"/>
              </w:trPr>
              <w:tc>
                <w:tcPr>
                  <w:tcW w:w="1128" w:type="pct"/>
                  <w:gridSpan w:val="3"/>
                  <w:vMerge w:val="restart"/>
                  <w:tcBorders>
                    <w:right w:val="single" w:color="auto" w:sz="4" w:space="0"/>
                  </w:tcBorders>
                  <w:vAlign w:val="center"/>
                </w:tcPr>
                <w:p>
                  <w:pPr>
                    <w:pStyle w:val="27"/>
                    <w:snapToGrid w:val="0"/>
                    <w:spacing w:line="240" w:lineRule="auto"/>
                    <w:rPr>
                      <w:color w:val="auto"/>
                      <w:sz w:val="18"/>
                      <w:szCs w:val="18"/>
                    </w:rPr>
                  </w:pPr>
                  <w:r>
                    <w:rPr>
                      <w:rFonts w:hint="eastAsia"/>
                      <w:color w:val="auto"/>
                      <w:sz w:val="18"/>
                      <w:szCs w:val="18"/>
                    </w:rPr>
                    <w:t>废气排放口</w:t>
                  </w:r>
                </w:p>
              </w:tc>
              <w:tc>
                <w:tcPr>
                  <w:tcW w:w="744" w:type="pct"/>
                  <w:vMerge w:val="restart"/>
                  <w:tcBorders>
                    <w:left w:val="single" w:color="auto" w:sz="4" w:space="0"/>
                  </w:tcBorders>
                  <w:vAlign w:val="center"/>
                </w:tcPr>
                <w:p>
                  <w:pPr>
                    <w:pStyle w:val="27"/>
                    <w:snapToGrid w:val="0"/>
                    <w:spacing w:line="240" w:lineRule="auto"/>
                    <w:rPr>
                      <w:color w:val="auto"/>
                      <w:sz w:val="18"/>
                      <w:szCs w:val="18"/>
                    </w:rPr>
                  </w:pPr>
                  <w:r>
                    <w:rPr>
                      <w:rFonts w:hint="eastAsia"/>
                      <w:color w:val="auto"/>
                      <w:sz w:val="18"/>
                      <w:szCs w:val="18"/>
                    </w:rPr>
                    <w:t>污染物</w:t>
                  </w:r>
                </w:p>
              </w:tc>
              <w:tc>
                <w:tcPr>
                  <w:tcW w:w="1440" w:type="pct"/>
                  <w:gridSpan w:val="2"/>
                  <w:tcBorders>
                    <w:right w:val="single" w:color="auto" w:sz="4" w:space="0"/>
                  </w:tcBorders>
                  <w:vAlign w:val="center"/>
                </w:tcPr>
                <w:p>
                  <w:pPr>
                    <w:pStyle w:val="27"/>
                    <w:snapToGrid w:val="0"/>
                    <w:spacing w:line="240" w:lineRule="auto"/>
                    <w:rPr>
                      <w:color w:val="auto"/>
                      <w:sz w:val="18"/>
                      <w:szCs w:val="18"/>
                    </w:rPr>
                  </w:pPr>
                  <w:r>
                    <w:rPr>
                      <w:rFonts w:hint="eastAsia"/>
                      <w:color w:val="auto"/>
                      <w:sz w:val="18"/>
                      <w:szCs w:val="18"/>
                    </w:rPr>
                    <w:t>监测结果</w:t>
                  </w:r>
                </w:p>
              </w:tc>
              <w:tc>
                <w:tcPr>
                  <w:tcW w:w="1169" w:type="pct"/>
                  <w:gridSpan w:val="2"/>
                  <w:tcBorders>
                    <w:right w:val="single" w:color="auto" w:sz="4" w:space="0"/>
                  </w:tcBorders>
                  <w:vAlign w:val="center"/>
                </w:tcPr>
                <w:p>
                  <w:pPr>
                    <w:pStyle w:val="27"/>
                    <w:snapToGrid w:val="0"/>
                    <w:spacing w:line="240" w:lineRule="auto"/>
                    <w:rPr>
                      <w:color w:val="auto"/>
                      <w:sz w:val="18"/>
                      <w:szCs w:val="18"/>
                    </w:rPr>
                  </w:pPr>
                  <w:r>
                    <w:rPr>
                      <w:rFonts w:hint="eastAsia"/>
                      <w:color w:val="auto"/>
                      <w:sz w:val="18"/>
                      <w:szCs w:val="18"/>
                    </w:rPr>
                    <w:t>标准限值</w:t>
                  </w:r>
                </w:p>
              </w:tc>
              <w:tc>
                <w:tcPr>
                  <w:tcW w:w="516" w:type="pct"/>
                  <w:vMerge w:val="restart"/>
                  <w:tcBorders>
                    <w:right w:val="single" w:color="auto" w:sz="4" w:space="0"/>
                  </w:tcBorders>
                  <w:vAlign w:val="center"/>
                </w:tcPr>
                <w:p>
                  <w:pPr>
                    <w:pStyle w:val="27"/>
                    <w:snapToGrid w:val="0"/>
                    <w:spacing w:line="240" w:lineRule="auto"/>
                    <w:rPr>
                      <w:color w:val="auto"/>
                      <w:sz w:val="18"/>
                      <w:szCs w:val="18"/>
                    </w:rPr>
                  </w:pPr>
                  <w:r>
                    <w:rPr>
                      <w:rFonts w:hint="eastAsia"/>
                      <w:color w:val="auto"/>
                      <w:sz w:val="18"/>
                      <w:szCs w:val="18"/>
                    </w:rPr>
                    <w:t>达标情况</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0" w:hRule="atLeast"/>
                <w:jc w:val="center"/>
              </w:trPr>
              <w:tc>
                <w:tcPr>
                  <w:tcW w:w="1128" w:type="pct"/>
                  <w:gridSpan w:val="3"/>
                  <w:vMerge w:val="continue"/>
                  <w:tcBorders>
                    <w:right w:val="single" w:color="auto" w:sz="4" w:space="0"/>
                  </w:tcBorders>
                  <w:vAlign w:val="center"/>
                </w:tcPr>
                <w:p>
                  <w:pPr>
                    <w:pStyle w:val="27"/>
                    <w:snapToGrid w:val="0"/>
                    <w:spacing w:line="240" w:lineRule="auto"/>
                    <w:rPr>
                      <w:color w:val="auto"/>
                      <w:sz w:val="18"/>
                      <w:szCs w:val="18"/>
                    </w:rPr>
                  </w:pPr>
                </w:p>
              </w:tc>
              <w:tc>
                <w:tcPr>
                  <w:tcW w:w="744" w:type="pct"/>
                  <w:vMerge w:val="continue"/>
                  <w:tcBorders>
                    <w:left w:val="single" w:color="auto" w:sz="4" w:space="0"/>
                  </w:tcBorders>
                  <w:vAlign w:val="center"/>
                </w:tcPr>
                <w:p>
                  <w:pPr>
                    <w:pStyle w:val="27"/>
                    <w:snapToGrid w:val="0"/>
                    <w:spacing w:line="240" w:lineRule="auto"/>
                    <w:rPr>
                      <w:color w:val="auto"/>
                      <w:sz w:val="18"/>
                      <w:szCs w:val="18"/>
                    </w:rPr>
                  </w:pPr>
                </w:p>
              </w:tc>
              <w:tc>
                <w:tcPr>
                  <w:tcW w:w="752" w:type="pct"/>
                  <w:tcBorders>
                    <w:right w:val="single" w:color="auto" w:sz="4" w:space="0"/>
                  </w:tcBorders>
                  <w:vAlign w:val="center"/>
                </w:tcPr>
                <w:p>
                  <w:pPr>
                    <w:pStyle w:val="27"/>
                    <w:snapToGrid w:val="0"/>
                    <w:spacing w:line="240" w:lineRule="auto"/>
                    <w:rPr>
                      <w:color w:val="auto"/>
                      <w:sz w:val="18"/>
                      <w:szCs w:val="18"/>
                    </w:rPr>
                  </w:pPr>
                  <w:r>
                    <w:rPr>
                      <w:rFonts w:hint="eastAsia"/>
                      <w:color w:val="auto"/>
                      <w:sz w:val="18"/>
                      <w:szCs w:val="18"/>
                    </w:rPr>
                    <w:t>实测浓度均值(mg/m</w:t>
                  </w:r>
                  <w:r>
                    <w:rPr>
                      <w:rFonts w:hint="eastAsia"/>
                      <w:color w:val="auto"/>
                      <w:sz w:val="18"/>
                      <w:szCs w:val="18"/>
                      <w:vertAlign w:val="superscript"/>
                    </w:rPr>
                    <w:t>3</w:t>
                  </w:r>
                  <w:r>
                    <w:rPr>
                      <w:rFonts w:hint="eastAsia"/>
                      <w:color w:val="auto"/>
                      <w:sz w:val="18"/>
                      <w:szCs w:val="18"/>
                    </w:rPr>
                    <w:t>)</w:t>
                  </w:r>
                </w:p>
              </w:tc>
              <w:tc>
                <w:tcPr>
                  <w:tcW w:w="688" w:type="pct"/>
                  <w:tcBorders>
                    <w:right w:val="single" w:color="auto" w:sz="4" w:space="0"/>
                  </w:tcBorders>
                  <w:vAlign w:val="center"/>
                </w:tcPr>
                <w:p>
                  <w:pPr>
                    <w:pStyle w:val="27"/>
                    <w:snapToGrid w:val="0"/>
                    <w:spacing w:line="240" w:lineRule="auto"/>
                    <w:rPr>
                      <w:color w:val="auto"/>
                      <w:sz w:val="18"/>
                      <w:szCs w:val="18"/>
                    </w:rPr>
                  </w:pPr>
                  <w:r>
                    <w:rPr>
                      <w:rFonts w:hint="eastAsia"/>
                      <w:color w:val="auto"/>
                      <w:sz w:val="18"/>
                      <w:szCs w:val="18"/>
                    </w:rPr>
                    <w:t>排放速率均值(kg/h)</w:t>
                  </w:r>
                </w:p>
              </w:tc>
              <w:tc>
                <w:tcPr>
                  <w:tcW w:w="634" w:type="pct"/>
                  <w:tcBorders>
                    <w:right w:val="single" w:color="auto" w:sz="4" w:space="0"/>
                  </w:tcBorders>
                  <w:vAlign w:val="center"/>
                </w:tcPr>
                <w:p>
                  <w:pPr>
                    <w:pStyle w:val="27"/>
                    <w:snapToGrid w:val="0"/>
                    <w:spacing w:line="240" w:lineRule="auto"/>
                    <w:rPr>
                      <w:color w:val="auto"/>
                      <w:sz w:val="18"/>
                      <w:szCs w:val="18"/>
                    </w:rPr>
                  </w:pPr>
                  <w:r>
                    <w:rPr>
                      <w:rFonts w:hint="eastAsia"/>
                      <w:color w:val="auto"/>
                      <w:sz w:val="18"/>
                      <w:szCs w:val="18"/>
                    </w:rPr>
                    <w:t>浓度限值(mg/m</w:t>
                  </w:r>
                  <w:r>
                    <w:rPr>
                      <w:rFonts w:hint="eastAsia"/>
                      <w:color w:val="auto"/>
                      <w:sz w:val="18"/>
                      <w:szCs w:val="18"/>
                      <w:vertAlign w:val="superscript"/>
                    </w:rPr>
                    <w:t>3</w:t>
                  </w:r>
                  <w:r>
                    <w:rPr>
                      <w:rFonts w:hint="eastAsia"/>
                      <w:color w:val="auto"/>
                      <w:sz w:val="18"/>
                      <w:szCs w:val="18"/>
                    </w:rPr>
                    <w:t>)</w:t>
                  </w:r>
                </w:p>
              </w:tc>
              <w:tc>
                <w:tcPr>
                  <w:tcW w:w="535" w:type="pct"/>
                  <w:tcBorders>
                    <w:right w:val="single" w:color="auto" w:sz="4" w:space="0"/>
                  </w:tcBorders>
                  <w:vAlign w:val="center"/>
                </w:tcPr>
                <w:p>
                  <w:pPr>
                    <w:pStyle w:val="27"/>
                    <w:snapToGrid w:val="0"/>
                    <w:spacing w:line="240" w:lineRule="auto"/>
                    <w:rPr>
                      <w:color w:val="auto"/>
                      <w:sz w:val="18"/>
                      <w:szCs w:val="18"/>
                    </w:rPr>
                  </w:pPr>
                  <w:r>
                    <w:rPr>
                      <w:rFonts w:hint="eastAsia"/>
                      <w:color w:val="auto"/>
                      <w:sz w:val="18"/>
                      <w:szCs w:val="18"/>
                    </w:rPr>
                    <w:t>速率限值(kg/h)</w:t>
                  </w:r>
                </w:p>
              </w:tc>
              <w:tc>
                <w:tcPr>
                  <w:tcW w:w="516" w:type="pct"/>
                  <w:vMerge w:val="continue"/>
                  <w:tcBorders>
                    <w:right w:val="single" w:color="auto" w:sz="4" w:space="0"/>
                  </w:tcBorders>
                  <w:vAlign w:val="center"/>
                </w:tcPr>
                <w:p>
                  <w:pPr>
                    <w:pStyle w:val="27"/>
                    <w:snapToGrid w:val="0"/>
                    <w:spacing w:line="240" w:lineRule="auto"/>
                    <w:rPr>
                      <w:color w:val="auto"/>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240" w:type="pct"/>
                  <w:vMerge w:val="restart"/>
                  <w:vAlign w:val="center"/>
                </w:tcPr>
                <w:p>
                  <w:pPr>
                    <w:pStyle w:val="27"/>
                    <w:snapToGrid w:val="0"/>
                    <w:spacing w:line="240" w:lineRule="auto"/>
                    <w:rPr>
                      <w:color w:val="auto"/>
                      <w:sz w:val="18"/>
                      <w:szCs w:val="18"/>
                    </w:rPr>
                  </w:pPr>
                  <w:r>
                    <w:rPr>
                      <w:rFonts w:hint="eastAsia"/>
                      <w:color w:val="auto"/>
                      <w:sz w:val="18"/>
                      <w:szCs w:val="18"/>
                    </w:rPr>
                    <w:t>一厂</w:t>
                  </w:r>
                </w:p>
              </w:tc>
              <w:tc>
                <w:tcPr>
                  <w:tcW w:w="444" w:type="pct"/>
                  <w:vMerge w:val="restart"/>
                  <w:vAlign w:val="center"/>
                </w:tcPr>
                <w:p>
                  <w:pPr>
                    <w:pStyle w:val="27"/>
                    <w:snapToGrid w:val="0"/>
                    <w:spacing w:line="240" w:lineRule="auto"/>
                    <w:rPr>
                      <w:rFonts w:hint="default" w:eastAsia="宋体"/>
                      <w:color w:val="auto"/>
                      <w:sz w:val="18"/>
                      <w:szCs w:val="18"/>
                      <w:lang w:val="en-US" w:eastAsia="zh-CN"/>
                    </w:rPr>
                  </w:pPr>
                  <w:r>
                    <w:rPr>
                      <w:rFonts w:hint="eastAsia"/>
                      <w:color w:val="auto"/>
                      <w:sz w:val="18"/>
                      <w:szCs w:val="18"/>
                    </w:rPr>
                    <w:t>车间五</w:t>
                  </w:r>
                </w:p>
              </w:tc>
              <w:tc>
                <w:tcPr>
                  <w:tcW w:w="444" w:type="pct"/>
                  <w:vAlign w:val="center"/>
                </w:tcPr>
                <w:p>
                  <w:pPr>
                    <w:pStyle w:val="27"/>
                    <w:snapToGrid w:val="0"/>
                    <w:spacing w:line="240" w:lineRule="auto"/>
                    <w:rPr>
                      <w:rFonts w:hint="eastAsia"/>
                      <w:color w:val="auto"/>
                      <w:sz w:val="18"/>
                      <w:szCs w:val="18"/>
                      <w:lang w:val="en-US" w:eastAsia="zh-CN"/>
                    </w:rPr>
                  </w:pPr>
                  <w:r>
                    <w:rPr>
                      <w:rFonts w:hint="eastAsia"/>
                      <w:color w:val="auto"/>
                      <w:sz w:val="18"/>
                      <w:szCs w:val="18"/>
                      <w:lang w:val="en-US" w:eastAsia="zh-CN"/>
                    </w:rPr>
                    <w:t>DA001</w:t>
                  </w:r>
                </w:p>
              </w:tc>
              <w:tc>
                <w:tcPr>
                  <w:tcW w:w="744" w:type="pct"/>
                  <w:shd w:val="clear" w:color="auto" w:fill="auto"/>
                  <w:vAlign w:val="center"/>
                </w:tcPr>
                <w:p>
                  <w:pPr>
                    <w:pStyle w:val="27"/>
                    <w:snapToGrid w:val="0"/>
                    <w:spacing w:line="240" w:lineRule="auto"/>
                    <w:rPr>
                      <w:rFonts w:ascii="Times New Roman" w:hAnsi="Times New Roman" w:eastAsia="宋体" w:cs="Times New Roman"/>
                      <w:color w:val="auto"/>
                      <w:kern w:val="2"/>
                      <w:sz w:val="18"/>
                      <w:szCs w:val="18"/>
                      <w:lang w:val="en-US" w:eastAsia="zh-CN" w:bidi="ar-SA"/>
                    </w:rPr>
                  </w:pPr>
                  <w:r>
                    <w:rPr>
                      <w:rFonts w:hint="eastAsia"/>
                      <w:color w:val="auto"/>
                      <w:sz w:val="18"/>
                      <w:szCs w:val="18"/>
                    </w:rPr>
                    <w:t>非甲烷总烃</w:t>
                  </w:r>
                </w:p>
              </w:tc>
              <w:tc>
                <w:tcPr>
                  <w:tcW w:w="752" w:type="pct"/>
                  <w:tcBorders>
                    <w:right w:val="single" w:color="auto" w:sz="4" w:space="0"/>
                  </w:tcBorders>
                  <w:shd w:val="clear" w:color="auto" w:fill="auto"/>
                  <w:vAlign w:val="center"/>
                </w:tcPr>
                <w:p>
                  <w:pPr>
                    <w:pStyle w:val="27"/>
                    <w:snapToGrid w:val="0"/>
                    <w:spacing w:line="240" w:lineRule="auto"/>
                    <w:rPr>
                      <w:rFonts w:hint="default"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1.4</w:t>
                  </w:r>
                </w:p>
              </w:tc>
              <w:tc>
                <w:tcPr>
                  <w:tcW w:w="688" w:type="pct"/>
                  <w:tcBorders>
                    <w:left w:val="single" w:color="auto" w:sz="4" w:space="0"/>
                  </w:tcBorders>
                  <w:shd w:val="clear" w:color="auto" w:fill="auto"/>
                  <w:vAlign w:val="center"/>
                </w:tcPr>
                <w:p>
                  <w:pPr>
                    <w:pStyle w:val="27"/>
                    <w:snapToGrid w:val="0"/>
                    <w:spacing w:line="240" w:lineRule="auto"/>
                    <w:rPr>
                      <w:rFonts w:hint="eastAsia" w:ascii="Times New Roman" w:hAnsi="Times New Roman" w:eastAsia="宋体" w:cs="Times New Roman"/>
                      <w:color w:val="auto"/>
                      <w:kern w:val="2"/>
                      <w:sz w:val="18"/>
                      <w:szCs w:val="18"/>
                      <w:lang w:val="en-US" w:eastAsia="zh-CN" w:bidi="ar-SA"/>
                    </w:rPr>
                  </w:pPr>
                  <w:r>
                    <w:rPr>
                      <w:rFonts w:hint="eastAsia"/>
                      <w:color w:val="auto"/>
                      <w:sz w:val="18"/>
                      <w:szCs w:val="18"/>
                    </w:rPr>
                    <w:t>0.00</w:t>
                  </w:r>
                  <w:r>
                    <w:rPr>
                      <w:rFonts w:hint="eastAsia"/>
                      <w:color w:val="auto"/>
                      <w:sz w:val="18"/>
                      <w:szCs w:val="18"/>
                      <w:lang w:val="en-US" w:eastAsia="zh-CN"/>
                    </w:rPr>
                    <w:t>4</w:t>
                  </w:r>
                </w:p>
              </w:tc>
              <w:tc>
                <w:tcPr>
                  <w:tcW w:w="634" w:type="pct"/>
                  <w:tcBorders>
                    <w:right w:val="single" w:color="auto" w:sz="4" w:space="0"/>
                  </w:tcBorders>
                  <w:shd w:val="clear" w:color="auto" w:fill="auto"/>
                  <w:vAlign w:val="center"/>
                </w:tcPr>
                <w:p>
                  <w:pPr>
                    <w:pStyle w:val="27"/>
                    <w:snapToGrid w:val="0"/>
                    <w:spacing w:line="240" w:lineRule="auto"/>
                    <w:rPr>
                      <w:rFonts w:ascii="Times New Roman" w:hAnsi="Times New Roman" w:eastAsia="宋体" w:cs="Times New Roman"/>
                      <w:color w:val="auto"/>
                      <w:kern w:val="2"/>
                      <w:sz w:val="18"/>
                      <w:szCs w:val="18"/>
                      <w:lang w:val="en-US" w:eastAsia="zh-CN" w:bidi="ar-SA"/>
                    </w:rPr>
                  </w:pPr>
                  <w:r>
                    <w:rPr>
                      <w:rFonts w:hint="eastAsia"/>
                      <w:color w:val="auto"/>
                      <w:sz w:val="18"/>
                      <w:szCs w:val="18"/>
                    </w:rPr>
                    <w:t>100</w:t>
                  </w:r>
                </w:p>
              </w:tc>
              <w:tc>
                <w:tcPr>
                  <w:tcW w:w="535" w:type="pct"/>
                  <w:tcBorders>
                    <w:right w:val="single" w:color="auto" w:sz="4" w:space="0"/>
                  </w:tcBorders>
                  <w:shd w:val="clear" w:color="auto" w:fill="auto"/>
                  <w:vAlign w:val="center"/>
                </w:tcPr>
                <w:p>
                  <w:pPr>
                    <w:pStyle w:val="27"/>
                    <w:snapToGrid w:val="0"/>
                    <w:spacing w:line="240" w:lineRule="auto"/>
                    <w:rPr>
                      <w:rFonts w:ascii="Times New Roman" w:hAnsi="Times New Roman" w:eastAsia="宋体" w:cs="Times New Roman"/>
                      <w:color w:val="auto"/>
                      <w:kern w:val="2"/>
                      <w:sz w:val="18"/>
                      <w:szCs w:val="18"/>
                      <w:lang w:val="en-US" w:eastAsia="zh-CN" w:bidi="ar-SA"/>
                    </w:rPr>
                  </w:pPr>
                  <w:r>
                    <w:rPr>
                      <w:rFonts w:hint="eastAsia"/>
                      <w:color w:val="auto"/>
                      <w:sz w:val="18"/>
                      <w:szCs w:val="18"/>
                    </w:rPr>
                    <w:t>1.8</w:t>
                  </w:r>
                </w:p>
              </w:tc>
              <w:tc>
                <w:tcPr>
                  <w:tcW w:w="516" w:type="pct"/>
                  <w:tcBorders>
                    <w:right w:val="single" w:color="auto" w:sz="4" w:space="0"/>
                  </w:tcBorders>
                  <w:shd w:val="clear" w:color="auto" w:fill="auto"/>
                  <w:vAlign w:val="center"/>
                </w:tcPr>
                <w:p>
                  <w:pPr>
                    <w:pStyle w:val="27"/>
                    <w:snapToGrid w:val="0"/>
                    <w:spacing w:line="240" w:lineRule="auto"/>
                    <w:rPr>
                      <w:rFonts w:ascii="Times New Roman" w:hAnsi="Times New Roman" w:eastAsia="宋体" w:cs="Times New Roman"/>
                      <w:color w:val="auto"/>
                      <w:kern w:val="2"/>
                      <w:sz w:val="18"/>
                      <w:szCs w:val="18"/>
                      <w:lang w:val="en-US" w:eastAsia="zh-CN" w:bidi="ar-SA"/>
                    </w:rPr>
                  </w:pPr>
                  <w:r>
                    <w:rPr>
                      <w:rFonts w:hint="eastAsia"/>
                      <w:color w:val="auto"/>
                      <w:sz w:val="18"/>
                      <w:szCs w:val="18"/>
                    </w:rPr>
                    <w:t>达标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240" w:type="pct"/>
                  <w:vMerge w:val="continue"/>
                  <w:vAlign w:val="center"/>
                </w:tcPr>
                <w:p>
                  <w:pPr>
                    <w:pStyle w:val="27"/>
                    <w:snapToGrid w:val="0"/>
                    <w:spacing w:line="240" w:lineRule="auto"/>
                    <w:rPr>
                      <w:rFonts w:hint="eastAsia"/>
                      <w:color w:val="auto"/>
                      <w:sz w:val="18"/>
                      <w:szCs w:val="18"/>
                    </w:rPr>
                  </w:pPr>
                </w:p>
              </w:tc>
              <w:tc>
                <w:tcPr>
                  <w:tcW w:w="444" w:type="pct"/>
                  <w:vMerge w:val="continue"/>
                  <w:vAlign w:val="center"/>
                </w:tcPr>
                <w:p>
                  <w:pPr>
                    <w:pStyle w:val="27"/>
                    <w:snapToGrid w:val="0"/>
                    <w:spacing w:line="240" w:lineRule="auto"/>
                    <w:rPr>
                      <w:rFonts w:hint="default"/>
                      <w:color w:val="auto"/>
                      <w:sz w:val="18"/>
                      <w:szCs w:val="18"/>
                      <w:lang w:val="en-US" w:eastAsia="zh-CN"/>
                    </w:rPr>
                  </w:pPr>
                </w:p>
              </w:tc>
              <w:tc>
                <w:tcPr>
                  <w:tcW w:w="444" w:type="pct"/>
                  <w:vMerge w:val="restart"/>
                  <w:vAlign w:val="center"/>
                </w:tcPr>
                <w:p>
                  <w:pPr>
                    <w:pStyle w:val="27"/>
                    <w:snapToGrid w:val="0"/>
                    <w:spacing w:line="240" w:lineRule="auto"/>
                    <w:rPr>
                      <w:rFonts w:hint="eastAsia"/>
                      <w:color w:val="auto"/>
                      <w:sz w:val="18"/>
                      <w:szCs w:val="18"/>
                      <w:lang w:val="en-US" w:eastAsia="zh-CN"/>
                    </w:rPr>
                  </w:pPr>
                  <w:r>
                    <w:rPr>
                      <w:rFonts w:hint="eastAsia"/>
                      <w:color w:val="auto"/>
                      <w:sz w:val="18"/>
                      <w:szCs w:val="18"/>
                      <w:lang w:val="en-US" w:eastAsia="zh-CN"/>
                    </w:rPr>
                    <w:t>DA012</w:t>
                  </w:r>
                </w:p>
              </w:tc>
              <w:tc>
                <w:tcPr>
                  <w:tcW w:w="744" w:type="pct"/>
                  <w:shd w:val="clear" w:color="auto" w:fill="auto"/>
                  <w:vAlign w:val="center"/>
                </w:tcPr>
                <w:p>
                  <w:pPr>
                    <w:pStyle w:val="27"/>
                    <w:snapToGrid w:val="0"/>
                    <w:spacing w:line="240" w:lineRule="auto"/>
                    <w:rPr>
                      <w:rFonts w:hint="eastAsia"/>
                      <w:color w:val="auto"/>
                      <w:sz w:val="18"/>
                      <w:szCs w:val="18"/>
                    </w:rPr>
                  </w:pPr>
                  <w:r>
                    <w:rPr>
                      <w:rFonts w:hint="eastAsia"/>
                      <w:color w:val="auto"/>
                      <w:sz w:val="18"/>
                      <w:szCs w:val="18"/>
                    </w:rPr>
                    <w:t>非甲烷总烃</w:t>
                  </w:r>
                </w:p>
              </w:tc>
              <w:tc>
                <w:tcPr>
                  <w:tcW w:w="752" w:type="pct"/>
                  <w:tcBorders>
                    <w:right w:val="single" w:color="auto" w:sz="4" w:space="0"/>
                  </w:tcBorders>
                  <w:shd w:val="clear" w:color="auto" w:fill="auto"/>
                  <w:vAlign w:val="center"/>
                </w:tcPr>
                <w:p>
                  <w:pPr>
                    <w:pStyle w:val="27"/>
                    <w:snapToGrid w:val="0"/>
                    <w:spacing w:line="240" w:lineRule="auto"/>
                    <w:rPr>
                      <w:rFonts w:hint="default"/>
                      <w:color w:val="auto"/>
                      <w:sz w:val="18"/>
                      <w:szCs w:val="18"/>
                      <w:lang w:val="en-US" w:eastAsia="zh-CN"/>
                    </w:rPr>
                  </w:pPr>
                  <w:r>
                    <w:rPr>
                      <w:rFonts w:hint="eastAsia"/>
                      <w:color w:val="auto"/>
                      <w:sz w:val="18"/>
                      <w:szCs w:val="18"/>
                      <w:lang w:val="en-US" w:eastAsia="zh-CN"/>
                    </w:rPr>
                    <w:t>1.25</w:t>
                  </w:r>
                </w:p>
              </w:tc>
              <w:tc>
                <w:tcPr>
                  <w:tcW w:w="688" w:type="pct"/>
                  <w:tcBorders>
                    <w:left w:val="single" w:color="auto" w:sz="4" w:space="0"/>
                  </w:tcBorders>
                  <w:shd w:val="clear" w:color="auto" w:fill="auto"/>
                  <w:vAlign w:val="center"/>
                </w:tcPr>
                <w:p>
                  <w:pPr>
                    <w:pStyle w:val="27"/>
                    <w:snapToGrid w:val="0"/>
                    <w:spacing w:line="240" w:lineRule="auto"/>
                    <w:rPr>
                      <w:rFonts w:hint="eastAsia" w:eastAsia="宋体"/>
                      <w:color w:val="auto"/>
                      <w:sz w:val="18"/>
                      <w:szCs w:val="18"/>
                      <w:lang w:val="en-US" w:eastAsia="zh-CN"/>
                    </w:rPr>
                  </w:pPr>
                  <w:r>
                    <w:rPr>
                      <w:rFonts w:hint="eastAsia"/>
                      <w:color w:val="auto"/>
                      <w:sz w:val="18"/>
                      <w:szCs w:val="18"/>
                      <w:lang w:val="en-US" w:eastAsia="zh-CN"/>
                    </w:rPr>
                    <w:t>/</w:t>
                  </w:r>
                </w:p>
              </w:tc>
              <w:tc>
                <w:tcPr>
                  <w:tcW w:w="634" w:type="pct"/>
                  <w:tcBorders>
                    <w:right w:val="single" w:color="auto" w:sz="4" w:space="0"/>
                  </w:tcBorders>
                  <w:shd w:val="clear" w:color="auto" w:fill="auto"/>
                  <w:vAlign w:val="center"/>
                </w:tcPr>
                <w:p>
                  <w:pPr>
                    <w:pStyle w:val="27"/>
                    <w:snapToGrid w:val="0"/>
                    <w:spacing w:line="240" w:lineRule="auto"/>
                    <w:rPr>
                      <w:rFonts w:hint="default" w:eastAsia="宋体"/>
                      <w:color w:val="auto"/>
                      <w:sz w:val="18"/>
                      <w:szCs w:val="18"/>
                      <w:lang w:val="en-US" w:eastAsia="zh-CN"/>
                    </w:rPr>
                  </w:pPr>
                  <w:r>
                    <w:rPr>
                      <w:rFonts w:hint="eastAsia"/>
                      <w:color w:val="auto"/>
                      <w:sz w:val="18"/>
                      <w:szCs w:val="18"/>
                      <w:lang w:val="en-US" w:eastAsia="zh-CN"/>
                    </w:rPr>
                    <w:t>10</w:t>
                  </w:r>
                </w:p>
              </w:tc>
              <w:tc>
                <w:tcPr>
                  <w:tcW w:w="535" w:type="pct"/>
                  <w:tcBorders>
                    <w:right w:val="single" w:color="auto" w:sz="4" w:space="0"/>
                  </w:tcBorders>
                  <w:shd w:val="clear" w:color="auto" w:fill="auto"/>
                  <w:vAlign w:val="center"/>
                </w:tcPr>
                <w:p>
                  <w:pPr>
                    <w:pStyle w:val="27"/>
                    <w:snapToGrid w:val="0"/>
                    <w:spacing w:line="240" w:lineRule="auto"/>
                    <w:rPr>
                      <w:rFonts w:hint="eastAsia" w:eastAsia="宋体"/>
                      <w:color w:val="auto"/>
                      <w:sz w:val="18"/>
                      <w:szCs w:val="18"/>
                      <w:lang w:val="en-US" w:eastAsia="zh-CN"/>
                    </w:rPr>
                  </w:pPr>
                  <w:r>
                    <w:rPr>
                      <w:rFonts w:hint="eastAsia"/>
                      <w:color w:val="auto"/>
                      <w:sz w:val="18"/>
                      <w:szCs w:val="18"/>
                      <w:lang w:val="en-US" w:eastAsia="zh-CN"/>
                    </w:rPr>
                    <w:t>/</w:t>
                  </w:r>
                </w:p>
              </w:tc>
              <w:tc>
                <w:tcPr>
                  <w:tcW w:w="516" w:type="pct"/>
                  <w:tcBorders>
                    <w:right w:val="single" w:color="auto" w:sz="4" w:space="0"/>
                  </w:tcBorders>
                  <w:shd w:val="clear" w:color="auto" w:fill="auto"/>
                  <w:vAlign w:val="center"/>
                </w:tcPr>
                <w:p>
                  <w:pPr>
                    <w:snapToGrid w:val="0"/>
                    <w:spacing w:line="240" w:lineRule="auto"/>
                    <w:jc w:val="center"/>
                    <w:rPr>
                      <w:rFonts w:hint="eastAsia"/>
                      <w:color w:val="auto"/>
                      <w:sz w:val="18"/>
                      <w:szCs w:val="18"/>
                    </w:rPr>
                  </w:pPr>
                  <w:r>
                    <w:rPr>
                      <w:rFonts w:hint="eastAsia"/>
                      <w:color w:val="auto"/>
                      <w:sz w:val="18"/>
                      <w:szCs w:val="18"/>
                    </w:rPr>
                    <w:t>达标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240" w:type="pct"/>
                  <w:vMerge w:val="continue"/>
                  <w:vAlign w:val="center"/>
                </w:tcPr>
                <w:p>
                  <w:pPr>
                    <w:pStyle w:val="27"/>
                    <w:snapToGrid w:val="0"/>
                    <w:spacing w:line="240" w:lineRule="auto"/>
                    <w:rPr>
                      <w:rFonts w:hint="eastAsia"/>
                      <w:color w:val="auto"/>
                      <w:sz w:val="18"/>
                      <w:szCs w:val="18"/>
                    </w:rPr>
                  </w:pPr>
                </w:p>
              </w:tc>
              <w:tc>
                <w:tcPr>
                  <w:tcW w:w="444" w:type="pct"/>
                  <w:vMerge w:val="continue"/>
                  <w:vAlign w:val="center"/>
                </w:tcPr>
                <w:p>
                  <w:pPr>
                    <w:pStyle w:val="27"/>
                    <w:snapToGrid w:val="0"/>
                    <w:spacing w:line="240" w:lineRule="auto"/>
                    <w:rPr>
                      <w:rFonts w:hint="default"/>
                      <w:color w:val="auto"/>
                      <w:sz w:val="18"/>
                      <w:szCs w:val="18"/>
                      <w:lang w:val="en-US" w:eastAsia="zh-CN"/>
                    </w:rPr>
                  </w:pPr>
                </w:p>
              </w:tc>
              <w:tc>
                <w:tcPr>
                  <w:tcW w:w="444" w:type="pct"/>
                  <w:vMerge w:val="continue"/>
                  <w:vAlign w:val="center"/>
                </w:tcPr>
                <w:p>
                  <w:pPr>
                    <w:pStyle w:val="27"/>
                    <w:snapToGrid w:val="0"/>
                    <w:spacing w:line="240" w:lineRule="auto"/>
                    <w:rPr>
                      <w:rFonts w:hint="eastAsia"/>
                      <w:color w:val="auto"/>
                      <w:sz w:val="18"/>
                      <w:szCs w:val="18"/>
                      <w:lang w:val="en-US" w:eastAsia="zh-CN"/>
                    </w:rPr>
                  </w:pPr>
                </w:p>
              </w:tc>
              <w:tc>
                <w:tcPr>
                  <w:tcW w:w="744" w:type="pct"/>
                  <w:shd w:val="clear" w:color="auto" w:fill="auto"/>
                  <w:vAlign w:val="center"/>
                </w:tcPr>
                <w:p>
                  <w:pPr>
                    <w:pStyle w:val="27"/>
                    <w:snapToGrid w:val="0"/>
                    <w:spacing w:line="240" w:lineRule="auto"/>
                    <w:rPr>
                      <w:rFonts w:hint="eastAsia" w:eastAsia="宋体"/>
                      <w:color w:val="auto"/>
                      <w:sz w:val="18"/>
                      <w:szCs w:val="18"/>
                      <w:lang w:val="en-US" w:eastAsia="zh-CN"/>
                    </w:rPr>
                  </w:pPr>
                  <w:r>
                    <w:rPr>
                      <w:rFonts w:hint="eastAsia"/>
                      <w:color w:val="auto"/>
                      <w:sz w:val="18"/>
                      <w:szCs w:val="18"/>
                      <w:lang w:val="en-US" w:eastAsia="zh-CN"/>
                    </w:rPr>
                    <w:t>臭气</w:t>
                  </w:r>
                </w:p>
              </w:tc>
              <w:tc>
                <w:tcPr>
                  <w:tcW w:w="752" w:type="pct"/>
                  <w:tcBorders>
                    <w:right w:val="single" w:color="auto" w:sz="4" w:space="0"/>
                  </w:tcBorders>
                  <w:shd w:val="clear" w:color="auto" w:fill="auto"/>
                  <w:vAlign w:val="center"/>
                </w:tcPr>
                <w:p>
                  <w:pPr>
                    <w:pStyle w:val="27"/>
                    <w:snapToGrid w:val="0"/>
                    <w:spacing w:line="240" w:lineRule="auto"/>
                    <w:rPr>
                      <w:rFonts w:hint="default"/>
                      <w:color w:val="auto"/>
                      <w:sz w:val="18"/>
                      <w:szCs w:val="18"/>
                      <w:lang w:val="en-US" w:eastAsia="zh-CN"/>
                    </w:rPr>
                  </w:pPr>
                  <w:r>
                    <w:rPr>
                      <w:rFonts w:hint="eastAsia"/>
                      <w:color w:val="auto"/>
                      <w:sz w:val="18"/>
                      <w:szCs w:val="18"/>
                      <w:lang w:val="en-US" w:eastAsia="zh-CN"/>
                    </w:rPr>
                    <w:t>1122</w:t>
                  </w:r>
                </w:p>
              </w:tc>
              <w:tc>
                <w:tcPr>
                  <w:tcW w:w="688" w:type="pct"/>
                  <w:tcBorders>
                    <w:left w:val="single" w:color="auto" w:sz="4" w:space="0"/>
                  </w:tcBorders>
                  <w:shd w:val="clear" w:color="auto" w:fill="auto"/>
                  <w:vAlign w:val="center"/>
                </w:tcPr>
                <w:p>
                  <w:pPr>
                    <w:pStyle w:val="27"/>
                    <w:snapToGrid w:val="0"/>
                    <w:spacing w:line="240" w:lineRule="auto"/>
                    <w:rPr>
                      <w:rFonts w:hint="eastAsia" w:eastAsia="宋体"/>
                      <w:color w:val="auto"/>
                      <w:sz w:val="18"/>
                      <w:szCs w:val="18"/>
                      <w:lang w:val="en-US" w:eastAsia="zh-CN"/>
                    </w:rPr>
                  </w:pPr>
                  <w:r>
                    <w:rPr>
                      <w:rFonts w:hint="eastAsia"/>
                      <w:color w:val="auto"/>
                      <w:sz w:val="18"/>
                      <w:szCs w:val="18"/>
                      <w:lang w:val="en-US" w:eastAsia="zh-CN"/>
                    </w:rPr>
                    <w:t>/</w:t>
                  </w:r>
                </w:p>
              </w:tc>
              <w:tc>
                <w:tcPr>
                  <w:tcW w:w="634" w:type="pct"/>
                  <w:tcBorders>
                    <w:right w:val="single" w:color="auto" w:sz="4" w:space="0"/>
                  </w:tcBorders>
                  <w:shd w:val="clear" w:color="auto" w:fill="auto"/>
                  <w:vAlign w:val="center"/>
                </w:tcPr>
                <w:p>
                  <w:pPr>
                    <w:pStyle w:val="27"/>
                    <w:snapToGrid w:val="0"/>
                    <w:spacing w:line="240" w:lineRule="auto"/>
                    <w:rPr>
                      <w:rFonts w:hint="default" w:eastAsia="宋体"/>
                      <w:color w:val="auto"/>
                      <w:sz w:val="18"/>
                      <w:szCs w:val="18"/>
                      <w:lang w:val="en-US" w:eastAsia="zh-CN"/>
                    </w:rPr>
                  </w:pPr>
                  <w:r>
                    <w:rPr>
                      <w:rFonts w:hint="eastAsia"/>
                      <w:color w:val="auto"/>
                      <w:sz w:val="18"/>
                      <w:szCs w:val="18"/>
                      <w:lang w:val="en-US" w:eastAsia="zh-CN"/>
                    </w:rPr>
                    <w:t>2000</w:t>
                  </w:r>
                </w:p>
              </w:tc>
              <w:tc>
                <w:tcPr>
                  <w:tcW w:w="535" w:type="pct"/>
                  <w:tcBorders>
                    <w:right w:val="single" w:color="auto" w:sz="4" w:space="0"/>
                  </w:tcBorders>
                  <w:shd w:val="clear" w:color="auto" w:fill="auto"/>
                  <w:vAlign w:val="center"/>
                </w:tcPr>
                <w:p>
                  <w:pPr>
                    <w:pStyle w:val="27"/>
                    <w:snapToGrid w:val="0"/>
                    <w:spacing w:line="240" w:lineRule="auto"/>
                    <w:rPr>
                      <w:rFonts w:hint="eastAsia" w:eastAsia="宋体"/>
                      <w:color w:val="auto"/>
                      <w:sz w:val="18"/>
                      <w:szCs w:val="18"/>
                      <w:lang w:val="en-US" w:eastAsia="zh-CN"/>
                    </w:rPr>
                  </w:pPr>
                  <w:r>
                    <w:rPr>
                      <w:rFonts w:hint="eastAsia"/>
                      <w:color w:val="auto"/>
                      <w:sz w:val="18"/>
                      <w:szCs w:val="18"/>
                      <w:lang w:val="en-US" w:eastAsia="zh-CN"/>
                    </w:rPr>
                    <w:t>/</w:t>
                  </w:r>
                </w:p>
              </w:tc>
              <w:tc>
                <w:tcPr>
                  <w:tcW w:w="516" w:type="pct"/>
                  <w:tcBorders>
                    <w:right w:val="single" w:color="auto" w:sz="4" w:space="0"/>
                  </w:tcBorders>
                  <w:shd w:val="clear" w:color="auto" w:fill="auto"/>
                  <w:vAlign w:val="center"/>
                </w:tcPr>
                <w:p>
                  <w:pPr>
                    <w:snapToGrid w:val="0"/>
                    <w:spacing w:line="240" w:lineRule="auto"/>
                    <w:jc w:val="center"/>
                    <w:rPr>
                      <w:rFonts w:hint="eastAsia"/>
                      <w:color w:val="auto"/>
                      <w:sz w:val="18"/>
                      <w:szCs w:val="18"/>
                    </w:rPr>
                  </w:pPr>
                  <w:r>
                    <w:rPr>
                      <w:rFonts w:hint="eastAsia"/>
                      <w:color w:val="auto"/>
                      <w:sz w:val="18"/>
                      <w:szCs w:val="18"/>
                    </w:rPr>
                    <w:t>达标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240" w:type="pct"/>
                  <w:vMerge w:val="continue"/>
                  <w:vAlign w:val="center"/>
                </w:tcPr>
                <w:p>
                  <w:pPr>
                    <w:pStyle w:val="27"/>
                    <w:snapToGrid w:val="0"/>
                    <w:spacing w:line="240" w:lineRule="auto"/>
                    <w:rPr>
                      <w:rFonts w:hint="eastAsia"/>
                      <w:color w:val="auto"/>
                      <w:sz w:val="18"/>
                      <w:szCs w:val="18"/>
                    </w:rPr>
                  </w:pPr>
                </w:p>
              </w:tc>
              <w:tc>
                <w:tcPr>
                  <w:tcW w:w="444" w:type="pct"/>
                  <w:vMerge w:val="restart"/>
                  <w:vAlign w:val="center"/>
                </w:tcPr>
                <w:p>
                  <w:pPr>
                    <w:pStyle w:val="27"/>
                    <w:snapToGrid w:val="0"/>
                    <w:spacing w:line="240" w:lineRule="auto"/>
                    <w:rPr>
                      <w:rFonts w:hint="default"/>
                      <w:color w:val="auto"/>
                      <w:sz w:val="18"/>
                      <w:szCs w:val="18"/>
                      <w:lang w:val="en-US" w:eastAsia="zh-CN"/>
                    </w:rPr>
                  </w:pPr>
                  <w:r>
                    <w:rPr>
                      <w:rFonts w:hint="eastAsia"/>
                      <w:color w:val="auto"/>
                      <w:sz w:val="18"/>
                      <w:szCs w:val="18"/>
                      <w:lang w:val="en-US" w:eastAsia="zh-CN"/>
                    </w:rPr>
                    <w:t>车间一、二</w:t>
                  </w:r>
                </w:p>
              </w:tc>
              <w:tc>
                <w:tcPr>
                  <w:tcW w:w="444" w:type="pct"/>
                  <w:vMerge w:val="restart"/>
                  <w:vAlign w:val="center"/>
                </w:tcPr>
                <w:p>
                  <w:pPr>
                    <w:pStyle w:val="27"/>
                    <w:snapToGrid w:val="0"/>
                    <w:spacing w:line="240" w:lineRule="auto"/>
                    <w:rPr>
                      <w:rFonts w:hint="default"/>
                      <w:color w:val="auto"/>
                      <w:sz w:val="18"/>
                      <w:szCs w:val="18"/>
                      <w:lang w:val="en-US" w:eastAsia="zh-CN"/>
                    </w:rPr>
                  </w:pPr>
                  <w:r>
                    <w:rPr>
                      <w:rFonts w:hint="eastAsia"/>
                      <w:color w:val="auto"/>
                      <w:sz w:val="18"/>
                      <w:szCs w:val="18"/>
                      <w:lang w:val="en-US" w:eastAsia="zh-CN"/>
                    </w:rPr>
                    <w:t>DA002</w:t>
                  </w:r>
                </w:p>
              </w:tc>
              <w:tc>
                <w:tcPr>
                  <w:tcW w:w="744" w:type="pct"/>
                  <w:shd w:val="clear" w:color="auto" w:fill="auto"/>
                  <w:vAlign w:val="center"/>
                </w:tcPr>
                <w:p>
                  <w:pPr>
                    <w:pStyle w:val="27"/>
                    <w:snapToGrid w:val="0"/>
                    <w:spacing w:line="240" w:lineRule="auto"/>
                    <w:rPr>
                      <w:rFonts w:hint="eastAsia"/>
                      <w:color w:val="auto"/>
                      <w:sz w:val="18"/>
                      <w:szCs w:val="18"/>
                    </w:rPr>
                  </w:pPr>
                  <w:r>
                    <w:rPr>
                      <w:rFonts w:hint="eastAsia"/>
                      <w:color w:val="auto"/>
                      <w:sz w:val="18"/>
                      <w:szCs w:val="18"/>
                    </w:rPr>
                    <w:t>非甲烷总烃</w:t>
                  </w:r>
                </w:p>
              </w:tc>
              <w:tc>
                <w:tcPr>
                  <w:tcW w:w="752" w:type="pct"/>
                  <w:tcBorders>
                    <w:right w:val="single" w:color="auto" w:sz="4" w:space="0"/>
                  </w:tcBorders>
                  <w:shd w:val="clear" w:color="auto" w:fill="auto"/>
                  <w:vAlign w:val="center"/>
                </w:tcPr>
                <w:p>
                  <w:pPr>
                    <w:pStyle w:val="27"/>
                    <w:snapToGrid w:val="0"/>
                    <w:spacing w:line="240" w:lineRule="auto"/>
                    <w:rPr>
                      <w:rFonts w:hint="default"/>
                      <w:color w:val="auto"/>
                      <w:sz w:val="18"/>
                      <w:szCs w:val="18"/>
                      <w:lang w:val="en-US" w:eastAsia="zh-CN"/>
                    </w:rPr>
                  </w:pPr>
                  <w:r>
                    <w:rPr>
                      <w:rFonts w:hint="eastAsia"/>
                      <w:color w:val="auto"/>
                      <w:sz w:val="18"/>
                      <w:szCs w:val="18"/>
                      <w:lang w:val="en-US" w:eastAsia="zh-CN"/>
                    </w:rPr>
                    <w:t>1.3</w:t>
                  </w:r>
                </w:p>
              </w:tc>
              <w:tc>
                <w:tcPr>
                  <w:tcW w:w="688" w:type="pct"/>
                  <w:tcBorders>
                    <w:left w:val="single" w:color="auto" w:sz="4" w:space="0"/>
                  </w:tcBorders>
                  <w:shd w:val="clear" w:color="auto" w:fill="auto"/>
                  <w:vAlign w:val="center"/>
                </w:tcPr>
                <w:p>
                  <w:pPr>
                    <w:pStyle w:val="27"/>
                    <w:snapToGrid w:val="0"/>
                    <w:spacing w:line="240" w:lineRule="auto"/>
                    <w:rPr>
                      <w:rFonts w:hint="default" w:eastAsia="宋体"/>
                      <w:color w:val="auto"/>
                      <w:sz w:val="18"/>
                      <w:szCs w:val="18"/>
                      <w:lang w:val="en-US" w:eastAsia="zh-CN"/>
                    </w:rPr>
                  </w:pPr>
                  <w:r>
                    <w:rPr>
                      <w:rFonts w:hint="eastAsia"/>
                      <w:color w:val="auto"/>
                      <w:sz w:val="18"/>
                      <w:szCs w:val="18"/>
                      <w:lang w:val="en-US" w:eastAsia="zh-CN"/>
                    </w:rPr>
                    <w:t>0.0006</w:t>
                  </w:r>
                </w:p>
              </w:tc>
              <w:tc>
                <w:tcPr>
                  <w:tcW w:w="634" w:type="pct"/>
                  <w:tcBorders>
                    <w:right w:val="single" w:color="auto" w:sz="4" w:space="0"/>
                  </w:tcBorders>
                  <w:shd w:val="clear" w:color="auto" w:fill="auto"/>
                  <w:vAlign w:val="center"/>
                </w:tcPr>
                <w:p>
                  <w:pPr>
                    <w:pStyle w:val="27"/>
                    <w:snapToGrid w:val="0"/>
                    <w:spacing w:line="240" w:lineRule="auto"/>
                    <w:rPr>
                      <w:rFonts w:hint="default" w:eastAsia="宋体"/>
                      <w:color w:val="auto"/>
                      <w:sz w:val="18"/>
                      <w:szCs w:val="18"/>
                      <w:lang w:val="en-US" w:eastAsia="zh-CN"/>
                    </w:rPr>
                  </w:pPr>
                  <w:r>
                    <w:rPr>
                      <w:rFonts w:hint="eastAsia"/>
                      <w:color w:val="auto"/>
                      <w:sz w:val="18"/>
                      <w:szCs w:val="18"/>
                      <w:lang w:val="en-US" w:eastAsia="zh-CN"/>
                    </w:rPr>
                    <w:t>100</w:t>
                  </w:r>
                </w:p>
              </w:tc>
              <w:tc>
                <w:tcPr>
                  <w:tcW w:w="535" w:type="pct"/>
                  <w:tcBorders>
                    <w:right w:val="single" w:color="auto" w:sz="4" w:space="0"/>
                  </w:tcBorders>
                  <w:shd w:val="clear" w:color="auto" w:fill="auto"/>
                  <w:vAlign w:val="center"/>
                </w:tcPr>
                <w:p>
                  <w:pPr>
                    <w:pStyle w:val="27"/>
                    <w:snapToGrid w:val="0"/>
                    <w:spacing w:line="240" w:lineRule="auto"/>
                    <w:rPr>
                      <w:rFonts w:hint="default" w:eastAsia="宋体"/>
                      <w:color w:val="auto"/>
                      <w:sz w:val="18"/>
                      <w:szCs w:val="18"/>
                      <w:lang w:val="en-US" w:eastAsia="zh-CN"/>
                    </w:rPr>
                  </w:pPr>
                  <w:r>
                    <w:rPr>
                      <w:rFonts w:hint="eastAsia"/>
                      <w:color w:val="auto"/>
                      <w:sz w:val="18"/>
                      <w:szCs w:val="18"/>
                      <w:lang w:val="en-US" w:eastAsia="zh-CN"/>
                    </w:rPr>
                    <w:t>1.8</w:t>
                  </w:r>
                </w:p>
              </w:tc>
              <w:tc>
                <w:tcPr>
                  <w:tcW w:w="516" w:type="pct"/>
                  <w:tcBorders>
                    <w:right w:val="single" w:color="auto" w:sz="4" w:space="0"/>
                  </w:tcBorders>
                  <w:shd w:val="clear" w:color="auto" w:fill="auto"/>
                  <w:vAlign w:val="center"/>
                </w:tcPr>
                <w:p>
                  <w:pPr>
                    <w:pStyle w:val="27"/>
                    <w:snapToGrid w:val="0"/>
                    <w:spacing w:line="240" w:lineRule="auto"/>
                    <w:rPr>
                      <w:rFonts w:hint="eastAsia"/>
                      <w:color w:val="auto"/>
                      <w:sz w:val="18"/>
                      <w:szCs w:val="18"/>
                    </w:rPr>
                  </w:pPr>
                  <w:r>
                    <w:rPr>
                      <w:rFonts w:hint="eastAsia"/>
                      <w:color w:val="auto"/>
                      <w:sz w:val="18"/>
                      <w:szCs w:val="18"/>
                    </w:rPr>
                    <w:t>达标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240" w:type="pct"/>
                  <w:vMerge w:val="continue"/>
                  <w:vAlign w:val="center"/>
                </w:tcPr>
                <w:p>
                  <w:pPr>
                    <w:pStyle w:val="27"/>
                    <w:snapToGrid w:val="0"/>
                    <w:spacing w:line="240" w:lineRule="auto"/>
                    <w:rPr>
                      <w:rFonts w:hint="eastAsia"/>
                      <w:color w:val="auto"/>
                      <w:sz w:val="18"/>
                      <w:szCs w:val="18"/>
                    </w:rPr>
                  </w:pPr>
                </w:p>
              </w:tc>
              <w:tc>
                <w:tcPr>
                  <w:tcW w:w="444" w:type="pct"/>
                  <w:vMerge w:val="continue"/>
                  <w:vAlign w:val="center"/>
                </w:tcPr>
                <w:p>
                  <w:pPr>
                    <w:pStyle w:val="27"/>
                    <w:snapToGrid w:val="0"/>
                    <w:spacing w:line="240" w:lineRule="auto"/>
                    <w:rPr>
                      <w:rFonts w:hint="default"/>
                      <w:color w:val="auto"/>
                      <w:sz w:val="18"/>
                      <w:szCs w:val="18"/>
                      <w:lang w:val="en-US" w:eastAsia="zh-CN"/>
                    </w:rPr>
                  </w:pPr>
                </w:p>
              </w:tc>
              <w:tc>
                <w:tcPr>
                  <w:tcW w:w="444" w:type="pct"/>
                  <w:vMerge w:val="continue"/>
                  <w:vAlign w:val="center"/>
                </w:tcPr>
                <w:p>
                  <w:pPr>
                    <w:pStyle w:val="27"/>
                    <w:snapToGrid w:val="0"/>
                    <w:spacing w:line="240" w:lineRule="auto"/>
                    <w:rPr>
                      <w:rFonts w:hint="eastAsia"/>
                      <w:color w:val="auto"/>
                      <w:sz w:val="18"/>
                      <w:szCs w:val="18"/>
                      <w:lang w:val="en-US" w:eastAsia="zh-CN"/>
                    </w:rPr>
                  </w:pPr>
                </w:p>
              </w:tc>
              <w:tc>
                <w:tcPr>
                  <w:tcW w:w="744" w:type="pct"/>
                  <w:shd w:val="clear" w:color="auto" w:fill="auto"/>
                  <w:vAlign w:val="center"/>
                </w:tcPr>
                <w:p>
                  <w:pPr>
                    <w:pStyle w:val="27"/>
                    <w:snapToGrid w:val="0"/>
                    <w:spacing w:line="240" w:lineRule="auto"/>
                    <w:rPr>
                      <w:rFonts w:hint="eastAsia"/>
                      <w:color w:val="auto"/>
                      <w:sz w:val="18"/>
                      <w:szCs w:val="18"/>
                    </w:rPr>
                  </w:pPr>
                  <w:r>
                    <w:rPr>
                      <w:rFonts w:hint="eastAsia"/>
                      <w:color w:val="auto"/>
                      <w:sz w:val="18"/>
                      <w:szCs w:val="18"/>
                    </w:rPr>
                    <w:t>氟化物</w:t>
                  </w:r>
                </w:p>
              </w:tc>
              <w:tc>
                <w:tcPr>
                  <w:tcW w:w="752" w:type="pct"/>
                  <w:tcBorders>
                    <w:right w:val="single" w:color="auto" w:sz="4" w:space="0"/>
                  </w:tcBorders>
                  <w:shd w:val="clear" w:color="auto" w:fill="auto"/>
                  <w:vAlign w:val="center"/>
                </w:tcPr>
                <w:p>
                  <w:pPr>
                    <w:pStyle w:val="27"/>
                    <w:snapToGrid w:val="0"/>
                    <w:spacing w:line="240" w:lineRule="auto"/>
                    <w:rPr>
                      <w:rFonts w:hint="default"/>
                      <w:color w:val="auto"/>
                      <w:sz w:val="18"/>
                      <w:szCs w:val="18"/>
                      <w:lang w:val="en-US" w:eastAsia="zh-CN"/>
                    </w:rPr>
                  </w:pPr>
                  <w:r>
                    <w:rPr>
                      <w:rFonts w:hint="eastAsia"/>
                      <w:color w:val="auto"/>
                      <w:sz w:val="18"/>
                      <w:szCs w:val="18"/>
                      <w:lang w:val="en-US" w:eastAsia="zh-CN"/>
                    </w:rPr>
                    <w:t>0.84</w:t>
                  </w:r>
                </w:p>
              </w:tc>
              <w:tc>
                <w:tcPr>
                  <w:tcW w:w="688" w:type="pct"/>
                  <w:tcBorders>
                    <w:left w:val="single" w:color="auto" w:sz="4" w:space="0"/>
                  </w:tcBorders>
                  <w:shd w:val="clear" w:color="auto" w:fill="auto"/>
                  <w:vAlign w:val="center"/>
                </w:tcPr>
                <w:p>
                  <w:pPr>
                    <w:pStyle w:val="27"/>
                    <w:snapToGrid w:val="0"/>
                    <w:spacing w:line="240" w:lineRule="auto"/>
                    <w:rPr>
                      <w:rFonts w:hint="eastAsia" w:eastAsia="宋体"/>
                      <w:color w:val="auto"/>
                      <w:sz w:val="18"/>
                      <w:szCs w:val="18"/>
                      <w:lang w:val="en-US" w:eastAsia="zh-CN"/>
                    </w:rPr>
                  </w:pPr>
                  <w:r>
                    <w:rPr>
                      <w:rFonts w:hint="eastAsia"/>
                      <w:color w:val="auto"/>
                      <w:sz w:val="18"/>
                      <w:szCs w:val="18"/>
                      <w:lang w:val="en-US" w:eastAsia="zh-CN"/>
                    </w:rPr>
                    <w:t>/</w:t>
                  </w:r>
                </w:p>
              </w:tc>
              <w:tc>
                <w:tcPr>
                  <w:tcW w:w="634" w:type="pct"/>
                  <w:tcBorders>
                    <w:right w:val="single" w:color="auto" w:sz="4" w:space="0"/>
                  </w:tcBorders>
                  <w:shd w:val="clear" w:color="auto" w:fill="auto"/>
                  <w:vAlign w:val="center"/>
                </w:tcPr>
                <w:p>
                  <w:pPr>
                    <w:pStyle w:val="27"/>
                    <w:snapToGrid w:val="0"/>
                    <w:spacing w:line="240" w:lineRule="auto"/>
                    <w:rPr>
                      <w:rFonts w:hint="eastAsia" w:eastAsia="宋体"/>
                      <w:color w:val="auto"/>
                      <w:sz w:val="18"/>
                      <w:szCs w:val="18"/>
                      <w:lang w:val="en-US" w:eastAsia="zh-CN"/>
                    </w:rPr>
                  </w:pPr>
                  <w:r>
                    <w:rPr>
                      <w:rFonts w:hint="eastAsia"/>
                      <w:color w:val="auto"/>
                      <w:sz w:val="18"/>
                      <w:szCs w:val="18"/>
                      <w:lang w:val="en-US" w:eastAsia="zh-CN"/>
                    </w:rPr>
                    <w:t>/</w:t>
                  </w:r>
                </w:p>
              </w:tc>
              <w:tc>
                <w:tcPr>
                  <w:tcW w:w="535" w:type="pct"/>
                  <w:tcBorders>
                    <w:right w:val="single" w:color="auto" w:sz="4" w:space="0"/>
                  </w:tcBorders>
                  <w:shd w:val="clear" w:color="auto" w:fill="auto"/>
                  <w:vAlign w:val="center"/>
                </w:tcPr>
                <w:p>
                  <w:pPr>
                    <w:pStyle w:val="27"/>
                    <w:snapToGrid w:val="0"/>
                    <w:spacing w:line="240" w:lineRule="auto"/>
                    <w:rPr>
                      <w:rFonts w:hint="eastAsia" w:eastAsia="宋体"/>
                      <w:color w:val="auto"/>
                      <w:sz w:val="18"/>
                      <w:szCs w:val="18"/>
                      <w:lang w:val="en-US" w:eastAsia="zh-CN"/>
                    </w:rPr>
                  </w:pPr>
                  <w:r>
                    <w:rPr>
                      <w:rFonts w:hint="eastAsia"/>
                      <w:color w:val="auto"/>
                      <w:sz w:val="18"/>
                      <w:szCs w:val="18"/>
                      <w:lang w:val="en-US" w:eastAsia="zh-CN"/>
                    </w:rPr>
                    <w:t>/</w:t>
                  </w:r>
                </w:p>
              </w:tc>
              <w:tc>
                <w:tcPr>
                  <w:tcW w:w="516" w:type="pct"/>
                  <w:tcBorders>
                    <w:right w:val="single" w:color="auto" w:sz="4" w:space="0"/>
                  </w:tcBorders>
                  <w:shd w:val="clear" w:color="auto" w:fill="auto"/>
                  <w:vAlign w:val="center"/>
                </w:tcPr>
                <w:p>
                  <w:pPr>
                    <w:pStyle w:val="27"/>
                    <w:snapToGrid w:val="0"/>
                    <w:spacing w:line="240" w:lineRule="auto"/>
                    <w:rPr>
                      <w:rFonts w:hint="eastAsia"/>
                      <w:color w:val="auto"/>
                      <w:sz w:val="18"/>
                      <w:szCs w:val="18"/>
                    </w:rPr>
                  </w:pPr>
                  <w:r>
                    <w:rPr>
                      <w:rFonts w:hint="eastAsia"/>
                      <w:color w:val="auto"/>
                      <w:sz w:val="18"/>
                      <w:szCs w:val="18"/>
                    </w:rPr>
                    <w:t>达标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15" w:hRule="atLeast"/>
                <w:jc w:val="center"/>
              </w:trPr>
              <w:tc>
                <w:tcPr>
                  <w:tcW w:w="240" w:type="pct"/>
                  <w:vMerge w:val="continue"/>
                  <w:vAlign w:val="center"/>
                </w:tcPr>
                <w:p>
                  <w:pPr>
                    <w:pStyle w:val="27"/>
                    <w:snapToGrid w:val="0"/>
                    <w:spacing w:line="240" w:lineRule="auto"/>
                    <w:rPr>
                      <w:rFonts w:hint="eastAsia"/>
                      <w:color w:val="auto"/>
                      <w:sz w:val="18"/>
                      <w:szCs w:val="18"/>
                    </w:rPr>
                  </w:pPr>
                </w:p>
              </w:tc>
              <w:tc>
                <w:tcPr>
                  <w:tcW w:w="444" w:type="pct"/>
                  <w:vMerge w:val="restart"/>
                  <w:vAlign w:val="center"/>
                </w:tcPr>
                <w:p>
                  <w:pPr>
                    <w:pStyle w:val="27"/>
                    <w:snapToGrid w:val="0"/>
                    <w:spacing w:line="240" w:lineRule="auto"/>
                    <w:rPr>
                      <w:rFonts w:hint="default"/>
                      <w:color w:val="auto"/>
                      <w:sz w:val="18"/>
                      <w:szCs w:val="18"/>
                      <w:lang w:val="en-US" w:eastAsia="zh-CN"/>
                    </w:rPr>
                  </w:pPr>
                  <w:r>
                    <w:rPr>
                      <w:rFonts w:hint="eastAsia"/>
                      <w:color w:val="auto"/>
                      <w:sz w:val="18"/>
                      <w:szCs w:val="18"/>
                      <w:lang w:val="en-US" w:eastAsia="zh-CN"/>
                    </w:rPr>
                    <w:t>车间三</w:t>
                  </w:r>
                </w:p>
              </w:tc>
              <w:tc>
                <w:tcPr>
                  <w:tcW w:w="444" w:type="pct"/>
                  <w:vMerge w:val="restart"/>
                  <w:vAlign w:val="center"/>
                </w:tcPr>
                <w:p>
                  <w:pPr>
                    <w:pStyle w:val="27"/>
                    <w:snapToGrid w:val="0"/>
                    <w:spacing w:line="240" w:lineRule="auto"/>
                    <w:rPr>
                      <w:rFonts w:hint="default"/>
                      <w:color w:val="auto"/>
                      <w:sz w:val="18"/>
                      <w:szCs w:val="18"/>
                      <w:lang w:val="en-US" w:eastAsia="zh-CN"/>
                    </w:rPr>
                  </w:pPr>
                  <w:r>
                    <w:rPr>
                      <w:rFonts w:hint="eastAsia"/>
                      <w:color w:val="auto"/>
                      <w:sz w:val="18"/>
                      <w:szCs w:val="18"/>
                      <w:lang w:val="en-US" w:eastAsia="zh-CN"/>
                    </w:rPr>
                    <w:t>DA005</w:t>
                  </w:r>
                </w:p>
              </w:tc>
              <w:tc>
                <w:tcPr>
                  <w:tcW w:w="744" w:type="pct"/>
                  <w:shd w:val="clear" w:color="auto" w:fill="auto"/>
                  <w:vAlign w:val="center"/>
                </w:tcPr>
                <w:p>
                  <w:pPr>
                    <w:pStyle w:val="27"/>
                    <w:snapToGrid w:val="0"/>
                    <w:spacing w:line="240" w:lineRule="auto"/>
                    <w:rPr>
                      <w:rFonts w:hint="default" w:eastAsia="宋体"/>
                      <w:color w:val="auto"/>
                      <w:sz w:val="18"/>
                      <w:szCs w:val="18"/>
                      <w:lang w:val="en-US" w:eastAsia="zh-CN"/>
                    </w:rPr>
                  </w:pPr>
                  <w:r>
                    <w:rPr>
                      <w:rFonts w:hint="eastAsia"/>
                      <w:color w:val="auto"/>
                      <w:sz w:val="18"/>
                      <w:szCs w:val="18"/>
                      <w:lang w:val="en-US" w:eastAsia="zh-CN"/>
                    </w:rPr>
                    <w:t>非甲烷总烃</w:t>
                  </w:r>
                </w:p>
              </w:tc>
              <w:tc>
                <w:tcPr>
                  <w:tcW w:w="752" w:type="pct"/>
                  <w:tcBorders>
                    <w:right w:val="single" w:color="auto" w:sz="4" w:space="0"/>
                  </w:tcBorders>
                  <w:shd w:val="clear" w:color="auto" w:fill="auto"/>
                  <w:vAlign w:val="center"/>
                </w:tcPr>
                <w:p>
                  <w:pPr>
                    <w:pStyle w:val="27"/>
                    <w:snapToGrid w:val="0"/>
                    <w:spacing w:line="240" w:lineRule="auto"/>
                    <w:rPr>
                      <w:rFonts w:hint="default"/>
                      <w:color w:val="auto"/>
                      <w:sz w:val="18"/>
                      <w:szCs w:val="18"/>
                      <w:lang w:val="en-US" w:eastAsia="zh-CN"/>
                    </w:rPr>
                  </w:pPr>
                  <w:r>
                    <w:rPr>
                      <w:rFonts w:hint="eastAsia"/>
                      <w:color w:val="auto"/>
                      <w:sz w:val="18"/>
                      <w:szCs w:val="18"/>
                      <w:lang w:val="en-US" w:eastAsia="zh-CN"/>
                    </w:rPr>
                    <w:t>6.62</w:t>
                  </w:r>
                </w:p>
              </w:tc>
              <w:tc>
                <w:tcPr>
                  <w:tcW w:w="688" w:type="pct"/>
                  <w:tcBorders>
                    <w:left w:val="single" w:color="auto" w:sz="4" w:space="0"/>
                  </w:tcBorders>
                  <w:shd w:val="clear" w:color="auto" w:fill="auto"/>
                  <w:vAlign w:val="center"/>
                </w:tcPr>
                <w:p>
                  <w:pPr>
                    <w:pStyle w:val="27"/>
                    <w:snapToGrid w:val="0"/>
                    <w:spacing w:line="240" w:lineRule="auto"/>
                    <w:rPr>
                      <w:rFonts w:hint="default" w:eastAsia="宋体"/>
                      <w:color w:val="auto"/>
                      <w:sz w:val="18"/>
                      <w:szCs w:val="18"/>
                      <w:lang w:val="en-US" w:eastAsia="zh-CN"/>
                    </w:rPr>
                  </w:pPr>
                  <w:r>
                    <w:rPr>
                      <w:rFonts w:hint="eastAsia"/>
                      <w:color w:val="auto"/>
                      <w:sz w:val="18"/>
                      <w:szCs w:val="18"/>
                      <w:lang w:val="en-US" w:eastAsia="zh-CN"/>
                    </w:rPr>
                    <w:t>0.019</w:t>
                  </w:r>
                </w:p>
              </w:tc>
              <w:tc>
                <w:tcPr>
                  <w:tcW w:w="634" w:type="pct"/>
                  <w:tcBorders>
                    <w:right w:val="single" w:color="auto" w:sz="4" w:space="0"/>
                  </w:tcBorders>
                  <w:shd w:val="clear" w:color="auto" w:fill="auto"/>
                  <w:vAlign w:val="center"/>
                </w:tcPr>
                <w:p>
                  <w:pPr>
                    <w:pStyle w:val="27"/>
                    <w:snapToGrid w:val="0"/>
                    <w:spacing w:line="240" w:lineRule="auto"/>
                    <w:rPr>
                      <w:rFonts w:hint="default" w:eastAsia="宋体"/>
                      <w:color w:val="auto"/>
                      <w:sz w:val="18"/>
                      <w:szCs w:val="18"/>
                      <w:lang w:val="en-US" w:eastAsia="zh-CN"/>
                    </w:rPr>
                  </w:pPr>
                  <w:r>
                    <w:rPr>
                      <w:rFonts w:hint="eastAsia"/>
                      <w:color w:val="auto"/>
                      <w:sz w:val="18"/>
                      <w:szCs w:val="18"/>
                      <w:lang w:val="en-US" w:eastAsia="zh-CN"/>
                    </w:rPr>
                    <w:t>100</w:t>
                  </w:r>
                </w:p>
              </w:tc>
              <w:tc>
                <w:tcPr>
                  <w:tcW w:w="535" w:type="pct"/>
                  <w:tcBorders>
                    <w:right w:val="single" w:color="auto" w:sz="4" w:space="0"/>
                  </w:tcBorders>
                  <w:shd w:val="clear" w:color="auto" w:fill="auto"/>
                  <w:vAlign w:val="center"/>
                </w:tcPr>
                <w:p>
                  <w:pPr>
                    <w:pStyle w:val="27"/>
                    <w:snapToGrid w:val="0"/>
                    <w:spacing w:line="240" w:lineRule="auto"/>
                    <w:rPr>
                      <w:rFonts w:hint="default" w:eastAsia="宋体"/>
                      <w:color w:val="auto"/>
                      <w:sz w:val="18"/>
                      <w:szCs w:val="18"/>
                      <w:lang w:val="en-US" w:eastAsia="zh-CN"/>
                    </w:rPr>
                  </w:pPr>
                  <w:r>
                    <w:rPr>
                      <w:rFonts w:hint="eastAsia"/>
                      <w:color w:val="auto"/>
                      <w:sz w:val="18"/>
                      <w:szCs w:val="18"/>
                      <w:lang w:val="en-US" w:eastAsia="zh-CN"/>
                    </w:rPr>
                    <w:t>1.8</w:t>
                  </w:r>
                </w:p>
              </w:tc>
              <w:tc>
                <w:tcPr>
                  <w:tcW w:w="516" w:type="pct"/>
                  <w:tcBorders>
                    <w:right w:val="single" w:color="auto" w:sz="4" w:space="0"/>
                  </w:tcBorders>
                  <w:shd w:val="clear" w:color="auto" w:fill="auto"/>
                  <w:vAlign w:val="center"/>
                </w:tcPr>
                <w:p>
                  <w:pPr>
                    <w:snapToGrid w:val="0"/>
                    <w:spacing w:line="240" w:lineRule="auto"/>
                    <w:jc w:val="center"/>
                    <w:rPr>
                      <w:rFonts w:hint="eastAsia"/>
                      <w:color w:val="auto"/>
                      <w:sz w:val="18"/>
                      <w:szCs w:val="18"/>
                    </w:rPr>
                  </w:pPr>
                  <w:r>
                    <w:rPr>
                      <w:rFonts w:hint="eastAsia"/>
                      <w:color w:val="auto"/>
                      <w:sz w:val="18"/>
                      <w:szCs w:val="18"/>
                    </w:rPr>
                    <w:t>达标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240" w:type="pct"/>
                  <w:vMerge w:val="continue"/>
                  <w:vAlign w:val="center"/>
                </w:tcPr>
                <w:p>
                  <w:pPr>
                    <w:pStyle w:val="27"/>
                    <w:snapToGrid w:val="0"/>
                    <w:spacing w:line="240" w:lineRule="auto"/>
                    <w:rPr>
                      <w:rFonts w:hint="eastAsia"/>
                      <w:color w:val="auto"/>
                      <w:sz w:val="18"/>
                      <w:szCs w:val="18"/>
                    </w:rPr>
                  </w:pPr>
                </w:p>
              </w:tc>
              <w:tc>
                <w:tcPr>
                  <w:tcW w:w="444" w:type="pct"/>
                  <w:vMerge w:val="continue"/>
                  <w:vAlign w:val="center"/>
                </w:tcPr>
                <w:p>
                  <w:pPr>
                    <w:pStyle w:val="27"/>
                    <w:snapToGrid w:val="0"/>
                    <w:spacing w:line="240" w:lineRule="auto"/>
                    <w:rPr>
                      <w:rFonts w:hint="eastAsia"/>
                      <w:color w:val="auto"/>
                      <w:sz w:val="18"/>
                      <w:szCs w:val="18"/>
                      <w:lang w:val="en-US" w:eastAsia="zh-CN"/>
                    </w:rPr>
                  </w:pPr>
                </w:p>
              </w:tc>
              <w:tc>
                <w:tcPr>
                  <w:tcW w:w="444" w:type="pct"/>
                  <w:vMerge w:val="continue"/>
                  <w:vAlign w:val="center"/>
                </w:tcPr>
                <w:p>
                  <w:pPr>
                    <w:pStyle w:val="27"/>
                    <w:snapToGrid w:val="0"/>
                    <w:spacing w:line="240" w:lineRule="auto"/>
                    <w:rPr>
                      <w:rFonts w:hint="eastAsia"/>
                      <w:color w:val="auto"/>
                      <w:sz w:val="18"/>
                      <w:szCs w:val="18"/>
                      <w:lang w:val="en-US" w:eastAsia="zh-CN"/>
                    </w:rPr>
                  </w:pPr>
                </w:p>
              </w:tc>
              <w:tc>
                <w:tcPr>
                  <w:tcW w:w="744" w:type="pct"/>
                  <w:shd w:val="clear" w:color="auto" w:fill="auto"/>
                  <w:vAlign w:val="center"/>
                </w:tcPr>
                <w:p>
                  <w:pPr>
                    <w:pStyle w:val="27"/>
                    <w:snapToGrid w:val="0"/>
                    <w:spacing w:line="240" w:lineRule="auto"/>
                    <w:rPr>
                      <w:rFonts w:hint="eastAsia" w:eastAsia="宋体"/>
                      <w:color w:val="auto"/>
                      <w:sz w:val="18"/>
                      <w:szCs w:val="18"/>
                      <w:lang w:val="en-US" w:eastAsia="zh-CN"/>
                    </w:rPr>
                  </w:pPr>
                  <w:r>
                    <w:rPr>
                      <w:rFonts w:hint="eastAsia"/>
                      <w:color w:val="auto"/>
                      <w:sz w:val="18"/>
                      <w:szCs w:val="18"/>
                      <w:lang w:val="en-US" w:eastAsia="zh-CN"/>
                    </w:rPr>
                    <w:t>氟化氢</w:t>
                  </w:r>
                </w:p>
              </w:tc>
              <w:tc>
                <w:tcPr>
                  <w:tcW w:w="752" w:type="pct"/>
                  <w:tcBorders>
                    <w:right w:val="single" w:color="auto" w:sz="4" w:space="0"/>
                  </w:tcBorders>
                  <w:shd w:val="clear" w:color="auto" w:fill="auto"/>
                  <w:vAlign w:val="center"/>
                </w:tcPr>
                <w:p>
                  <w:pPr>
                    <w:pStyle w:val="27"/>
                    <w:snapToGrid w:val="0"/>
                    <w:spacing w:line="240" w:lineRule="auto"/>
                    <w:rPr>
                      <w:rFonts w:hint="default"/>
                      <w:color w:val="auto"/>
                      <w:sz w:val="18"/>
                      <w:szCs w:val="18"/>
                      <w:lang w:val="en-US" w:eastAsia="zh-CN"/>
                    </w:rPr>
                  </w:pPr>
                  <w:r>
                    <w:rPr>
                      <w:rFonts w:hint="eastAsia"/>
                      <w:color w:val="auto"/>
                      <w:sz w:val="18"/>
                      <w:szCs w:val="18"/>
                      <w:lang w:val="en-US" w:eastAsia="zh-CN"/>
                    </w:rPr>
                    <w:t>1.35</w:t>
                  </w:r>
                </w:p>
              </w:tc>
              <w:tc>
                <w:tcPr>
                  <w:tcW w:w="688" w:type="pct"/>
                  <w:tcBorders>
                    <w:left w:val="single" w:color="auto" w:sz="4" w:space="0"/>
                  </w:tcBorders>
                  <w:shd w:val="clear" w:color="auto" w:fill="auto"/>
                  <w:vAlign w:val="center"/>
                </w:tcPr>
                <w:p>
                  <w:pPr>
                    <w:pStyle w:val="27"/>
                    <w:snapToGrid w:val="0"/>
                    <w:spacing w:line="240" w:lineRule="auto"/>
                    <w:rPr>
                      <w:rFonts w:hint="eastAsia" w:eastAsia="宋体"/>
                      <w:color w:val="auto"/>
                      <w:sz w:val="18"/>
                      <w:szCs w:val="18"/>
                      <w:lang w:val="en-US" w:eastAsia="zh-CN"/>
                    </w:rPr>
                  </w:pPr>
                  <w:r>
                    <w:rPr>
                      <w:rFonts w:hint="eastAsia"/>
                      <w:color w:val="auto"/>
                      <w:sz w:val="18"/>
                      <w:szCs w:val="18"/>
                      <w:lang w:val="en-US" w:eastAsia="zh-CN"/>
                    </w:rPr>
                    <w:t>/</w:t>
                  </w:r>
                </w:p>
              </w:tc>
              <w:tc>
                <w:tcPr>
                  <w:tcW w:w="634" w:type="pct"/>
                  <w:tcBorders>
                    <w:right w:val="single" w:color="auto" w:sz="4" w:space="0"/>
                  </w:tcBorders>
                  <w:shd w:val="clear" w:color="auto" w:fill="auto"/>
                  <w:vAlign w:val="center"/>
                </w:tcPr>
                <w:p>
                  <w:pPr>
                    <w:pStyle w:val="27"/>
                    <w:snapToGrid w:val="0"/>
                    <w:spacing w:line="240" w:lineRule="auto"/>
                    <w:rPr>
                      <w:rFonts w:hint="eastAsia" w:eastAsia="宋体"/>
                      <w:color w:val="auto"/>
                      <w:sz w:val="18"/>
                      <w:szCs w:val="18"/>
                      <w:lang w:val="en-US" w:eastAsia="zh-CN"/>
                    </w:rPr>
                  </w:pPr>
                  <w:r>
                    <w:rPr>
                      <w:rFonts w:hint="eastAsia"/>
                      <w:color w:val="auto"/>
                      <w:sz w:val="18"/>
                      <w:szCs w:val="18"/>
                      <w:lang w:val="en-US" w:eastAsia="zh-CN"/>
                    </w:rPr>
                    <w:t>5</w:t>
                  </w:r>
                </w:p>
              </w:tc>
              <w:tc>
                <w:tcPr>
                  <w:tcW w:w="535" w:type="pct"/>
                  <w:tcBorders>
                    <w:right w:val="single" w:color="auto" w:sz="4" w:space="0"/>
                  </w:tcBorders>
                  <w:shd w:val="clear" w:color="auto" w:fill="auto"/>
                  <w:vAlign w:val="center"/>
                </w:tcPr>
                <w:p>
                  <w:pPr>
                    <w:pStyle w:val="27"/>
                    <w:snapToGrid w:val="0"/>
                    <w:spacing w:line="240" w:lineRule="auto"/>
                    <w:rPr>
                      <w:rFonts w:hint="eastAsia" w:eastAsia="宋体"/>
                      <w:color w:val="auto"/>
                      <w:sz w:val="18"/>
                      <w:szCs w:val="18"/>
                      <w:lang w:val="en-US" w:eastAsia="zh-CN"/>
                    </w:rPr>
                  </w:pPr>
                  <w:r>
                    <w:rPr>
                      <w:rFonts w:hint="eastAsia"/>
                      <w:color w:val="auto"/>
                      <w:sz w:val="18"/>
                      <w:szCs w:val="18"/>
                      <w:lang w:val="en-US" w:eastAsia="zh-CN"/>
                    </w:rPr>
                    <w:t>/</w:t>
                  </w:r>
                </w:p>
              </w:tc>
              <w:tc>
                <w:tcPr>
                  <w:tcW w:w="516" w:type="pct"/>
                  <w:tcBorders>
                    <w:right w:val="single" w:color="auto" w:sz="4" w:space="0"/>
                  </w:tcBorders>
                  <w:shd w:val="clear" w:color="auto" w:fill="auto"/>
                  <w:vAlign w:val="center"/>
                </w:tcPr>
                <w:p>
                  <w:pPr>
                    <w:snapToGrid w:val="0"/>
                    <w:spacing w:line="240" w:lineRule="auto"/>
                    <w:jc w:val="center"/>
                    <w:rPr>
                      <w:rFonts w:hint="eastAsia"/>
                      <w:color w:val="auto"/>
                      <w:sz w:val="18"/>
                      <w:szCs w:val="18"/>
                    </w:rPr>
                  </w:pPr>
                  <w:r>
                    <w:rPr>
                      <w:rFonts w:hint="eastAsia"/>
                      <w:color w:val="auto"/>
                      <w:sz w:val="18"/>
                      <w:szCs w:val="18"/>
                    </w:rPr>
                    <w:t>达标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240" w:type="pct"/>
                  <w:vMerge w:val="continue"/>
                  <w:vAlign w:val="center"/>
                </w:tcPr>
                <w:p>
                  <w:pPr>
                    <w:pStyle w:val="27"/>
                    <w:snapToGrid w:val="0"/>
                    <w:spacing w:line="240" w:lineRule="auto"/>
                    <w:rPr>
                      <w:rFonts w:hint="eastAsia"/>
                      <w:color w:val="auto"/>
                      <w:sz w:val="18"/>
                      <w:szCs w:val="18"/>
                    </w:rPr>
                  </w:pPr>
                </w:p>
              </w:tc>
              <w:tc>
                <w:tcPr>
                  <w:tcW w:w="444" w:type="pct"/>
                  <w:vMerge w:val="continue"/>
                  <w:vAlign w:val="center"/>
                </w:tcPr>
                <w:p>
                  <w:pPr>
                    <w:pStyle w:val="27"/>
                    <w:snapToGrid w:val="0"/>
                    <w:spacing w:line="240" w:lineRule="auto"/>
                    <w:rPr>
                      <w:rFonts w:hint="eastAsia"/>
                      <w:color w:val="auto"/>
                      <w:sz w:val="18"/>
                      <w:szCs w:val="18"/>
                      <w:lang w:val="en-US" w:eastAsia="zh-CN"/>
                    </w:rPr>
                  </w:pPr>
                </w:p>
              </w:tc>
              <w:tc>
                <w:tcPr>
                  <w:tcW w:w="444" w:type="pct"/>
                  <w:vMerge w:val="continue"/>
                  <w:vAlign w:val="center"/>
                </w:tcPr>
                <w:p>
                  <w:pPr>
                    <w:pStyle w:val="27"/>
                    <w:snapToGrid w:val="0"/>
                    <w:spacing w:line="240" w:lineRule="auto"/>
                    <w:rPr>
                      <w:rFonts w:hint="eastAsia"/>
                      <w:color w:val="auto"/>
                      <w:sz w:val="18"/>
                      <w:szCs w:val="18"/>
                      <w:lang w:val="en-US" w:eastAsia="zh-CN"/>
                    </w:rPr>
                  </w:pPr>
                </w:p>
              </w:tc>
              <w:tc>
                <w:tcPr>
                  <w:tcW w:w="744" w:type="pct"/>
                  <w:shd w:val="clear" w:color="auto" w:fill="auto"/>
                  <w:vAlign w:val="center"/>
                </w:tcPr>
                <w:p>
                  <w:pPr>
                    <w:pStyle w:val="27"/>
                    <w:snapToGrid w:val="0"/>
                    <w:spacing w:line="240" w:lineRule="auto"/>
                    <w:rPr>
                      <w:rFonts w:hint="eastAsia" w:eastAsia="宋体"/>
                      <w:color w:val="auto"/>
                      <w:sz w:val="18"/>
                      <w:szCs w:val="18"/>
                      <w:lang w:val="en-US" w:eastAsia="zh-CN"/>
                    </w:rPr>
                  </w:pPr>
                  <w:r>
                    <w:rPr>
                      <w:rFonts w:hint="eastAsia"/>
                      <w:color w:val="auto"/>
                      <w:sz w:val="18"/>
                      <w:szCs w:val="18"/>
                      <w:lang w:val="en-US" w:eastAsia="zh-CN"/>
                    </w:rPr>
                    <w:t>苯酚</w:t>
                  </w:r>
                </w:p>
              </w:tc>
              <w:tc>
                <w:tcPr>
                  <w:tcW w:w="752" w:type="pct"/>
                  <w:tcBorders>
                    <w:right w:val="single" w:color="auto" w:sz="4" w:space="0"/>
                  </w:tcBorders>
                  <w:shd w:val="clear" w:color="auto" w:fill="auto"/>
                  <w:vAlign w:val="center"/>
                </w:tcPr>
                <w:p>
                  <w:pPr>
                    <w:pStyle w:val="27"/>
                    <w:snapToGrid w:val="0"/>
                    <w:spacing w:line="240" w:lineRule="auto"/>
                    <w:rPr>
                      <w:rFonts w:hint="default" w:eastAsia="宋体"/>
                      <w:color w:val="auto"/>
                      <w:sz w:val="18"/>
                      <w:szCs w:val="18"/>
                      <w:lang w:val="en-US" w:eastAsia="zh-CN"/>
                    </w:rPr>
                  </w:pPr>
                  <w:r>
                    <w:rPr>
                      <w:rFonts w:hint="eastAsia"/>
                      <w:color w:val="auto"/>
                      <w:sz w:val="18"/>
                      <w:szCs w:val="18"/>
                    </w:rPr>
                    <w:t>＜</w:t>
                  </w:r>
                  <w:r>
                    <w:rPr>
                      <w:rFonts w:hint="eastAsia"/>
                      <w:color w:val="auto"/>
                      <w:sz w:val="18"/>
                      <w:szCs w:val="18"/>
                      <w:lang w:val="en-US" w:eastAsia="zh-CN"/>
                    </w:rPr>
                    <w:t>0.3</w:t>
                  </w:r>
                </w:p>
              </w:tc>
              <w:tc>
                <w:tcPr>
                  <w:tcW w:w="688" w:type="pct"/>
                  <w:tcBorders>
                    <w:left w:val="single" w:color="auto" w:sz="4" w:space="0"/>
                  </w:tcBorders>
                  <w:shd w:val="clear" w:color="auto" w:fill="auto"/>
                  <w:vAlign w:val="center"/>
                </w:tcPr>
                <w:p>
                  <w:pPr>
                    <w:pStyle w:val="27"/>
                    <w:snapToGrid w:val="0"/>
                    <w:spacing w:line="240" w:lineRule="auto"/>
                    <w:rPr>
                      <w:rFonts w:hint="eastAsia" w:eastAsia="宋体"/>
                      <w:color w:val="auto"/>
                      <w:sz w:val="18"/>
                      <w:szCs w:val="18"/>
                      <w:lang w:val="en-US" w:eastAsia="zh-CN"/>
                    </w:rPr>
                  </w:pPr>
                  <w:r>
                    <w:rPr>
                      <w:rFonts w:hint="eastAsia"/>
                      <w:color w:val="auto"/>
                      <w:sz w:val="18"/>
                      <w:szCs w:val="18"/>
                      <w:lang w:val="en-US" w:eastAsia="zh-CN"/>
                    </w:rPr>
                    <w:t>/</w:t>
                  </w:r>
                </w:p>
              </w:tc>
              <w:tc>
                <w:tcPr>
                  <w:tcW w:w="634" w:type="pct"/>
                  <w:tcBorders>
                    <w:right w:val="single" w:color="auto" w:sz="4" w:space="0"/>
                  </w:tcBorders>
                  <w:shd w:val="clear" w:color="auto" w:fill="auto"/>
                  <w:vAlign w:val="center"/>
                </w:tcPr>
                <w:p>
                  <w:pPr>
                    <w:pStyle w:val="27"/>
                    <w:snapToGrid w:val="0"/>
                    <w:spacing w:line="240" w:lineRule="auto"/>
                    <w:rPr>
                      <w:rFonts w:hint="default" w:eastAsia="宋体"/>
                      <w:color w:val="auto"/>
                      <w:sz w:val="18"/>
                      <w:szCs w:val="18"/>
                      <w:lang w:val="en-US" w:eastAsia="zh-CN"/>
                    </w:rPr>
                  </w:pPr>
                  <w:r>
                    <w:rPr>
                      <w:rFonts w:hint="eastAsia"/>
                      <w:color w:val="auto"/>
                      <w:sz w:val="18"/>
                      <w:szCs w:val="18"/>
                      <w:lang w:val="en-US" w:eastAsia="zh-CN"/>
                    </w:rPr>
                    <w:t>20</w:t>
                  </w:r>
                </w:p>
              </w:tc>
              <w:tc>
                <w:tcPr>
                  <w:tcW w:w="535" w:type="pct"/>
                  <w:tcBorders>
                    <w:right w:val="single" w:color="auto" w:sz="4" w:space="0"/>
                  </w:tcBorders>
                  <w:shd w:val="clear" w:color="auto" w:fill="auto"/>
                  <w:vAlign w:val="center"/>
                </w:tcPr>
                <w:p>
                  <w:pPr>
                    <w:pStyle w:val="27"/>
                    <w:snapToGrid w:val="0"/>
                    <w:spacing w:line="240" w:lineRule="auto"/>
                    <w:rPr>
                      <w:rFonts w:hint="eastAsia" w:eastAsia="宋体"/>
                      <w:color w:val="auto"/>
                      <w:sz w:val="18"/>
                      <w:szCs w:val="18"/>
                      <w:lang w:val="en-US" w:eastAsia="zh-CN"/>
                    </w:rPr>
                  </w:pPr>
                  <w:r>
                    <w:rPr>
                      <w:rFonts w:hint="eastAsia"/>
                      <w:color w:val="auto"/>
                      <w:sz w:val="18"/>
                      <w:szCs w:val="18"/>
                      <w:lang w:val="en-US" w:eastAsia="zh-CN"/>
                    </w:rPr>
                    <w:t>/</w:t>
                  </w:r>
                </w:p>
              </w:tc>
              <w:tc>
                <w:tcPr>
                  <w:tcW w:w="516" w:type="pct"/>
                  <w:tcBorders>
                    <w:right w:val="single" w:color="auto" w:sz="4" w:space="0"/>
                  </w:tcBorders>
                  <w:shd w:val="clear" w:color="auto" w:fill="auto"/>
                  <w:vAlign w:val="center"/>
                </w:tcPr>
                <w:p>
                  <w:pPr>
                    <w:pStyle w:val="27"/>
                    <w:snapToGrid w:val="0"/>
                    <w:spacing w:line="240" w:lineRule="auto"/>
                    <w:rPr>
                      <w:rFonts w:hint="eastAsia"/>
                      <w:color w:val="auto"/>
                      <w:sz w:val="18"/>
                      <w:szCs w:val="18"/>
                    </w:rPr>
                  </w:pPr>
                  <w:r>
                    <w:rPr>
                      <w:rFonts w:hint="eastAsia"/>
                      <w:color w:val="auto"/>
                      <w:sz w:val="18"/>
                      <w:szCs w:val="18"/>
                    </w:rPr>
                    <w:t>达标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240" w:type="pct"/>
                  <w:vMerge w:val="continue"/>
                  <w:vAlign w:val="center"/>
                </w:tcPr>
                <w:p>
                  <w:pPr>
                    <w:pStyle w:val="27"/>
                    <w:snapToGrid w:val="0"/>
                    <w:spacing w:line="240" w:lineRule="auto"/>
                    <w:rPr>
                      <w:rFonts w:hint="eastAsia"/>
                      <w:color w:val="auto"/>
                      <w:sz w:val="18"/>
                      <w:szCs w:val="18"/>
                    </w:rPr>
                  </w:pPr>
                </w:p>
              </w:tc>
              <w:tc>
                <w:tcPr>
                  <w:tcW w:w="444" w:type="pct"/>
                  <w:vAlign w:val="center"/>
                </w:tcPr>
                <w:p>
                  <w:pPr>
                    <w:pStyle w:val="27"/>
                    <w:snapToGrid w:val="0"/>
                    <w:spacing w:line="240" w:lineRule="auto"/>
                    <w:rPr>
                      <w:rFonts w:hint="default"/>
                      <w:color w:val="auto"/>
                      <w:sz w:val="18"/>
                      <w:szCs w:val="18"/>
                      <w:lang w:val="en-US" w:eastAsia="zh-CN"/>
                    </w:rPr>
                  </w:pPr>
                  <w:r>
                    <w:rPr>
                      <w:rFonts w:hint="eastAsia"/>
                      <w:color w:val="auto"/>
                      <w:sz w:val="18"/>
                      <w:szCs w:val="18"/>
                      <w:lang w:val="en-US" w:eastAsia="zh-CN"/>
                    </w:rPr>
                    <w:t>实验室废气</w:t>
                  </w:r>
                </w:p>
              </w:tc>
              <w:tc>
                <w:tcPr>
                  <w:tcW w:w="444" w:type="pct"/>
                  <w:vAlign w:val="center"/>
                </w:tcPr>
                <w:p>
                  <w:pPr>
                    <w:pStyle w:val="27"/>
                    <w:snapToGrid w:val="0"/>
                    <w:spacing w:line="240" w:lineRule="auto"/>
                    <w:rPr>
                      <w:rFonts w:hint="default"/>
                      <w:color w:val="auto"/>
                      <w:sz w:val="18"/>
                      <w:szCs w:val="18"/>
                      <w:lang w:val="en-US" w:eastAsia="zh-CN"/>
                    </w:rPr>
                  </w:pPr>
                  <w:r>
                    <w:rPr>
                      <w:rFonts w:hint="eastAsia"/>
                      <w:color w:val="auto"/>
                      <w:sz w:val="18"/>
                      <w:szCs w:val="18"/>
                      <w:lang w:val="en-US" w:eastAsia="zh-CN"/>
                    </w:rPr>
                    <w:t>DA008</w:t>
                  </w:r>
                </w:p>
              </w:tc>
              <w:tc>
                <w:tcPr>
                  <w:tcW w:w="744" w:type="pct"/>
                  <w:shd w:val="clear" w:color="auto" w:fill="auto"/>
                  <w:vAlign w:val="center"/>
                </w:tcPr>
                <w:p>
                  <w:pPr>
                    <w:pStyle w:val="27"/>
                    <w:snapToGrid w:val="0"/>
                    <w:spacing w:line="240" w:lineRule="auto"/>
                    <w:rPr>
                      <w:rFonts w:hint="eastAsia"/>
                      <w:color w:val="auto"/>
                      <w:sz w:val="18"/>
                      <w:szCs w:val="18"/>
                    </w:rPr>
                  </w:pPr>
                  <w:r>
                    <w:rPr>
                      <w:rFonts w:hint="eastAsia"/>
                      <w:color w:val="auto"/>
                      <w:sz w:val="18"/>
                      <w:szCs w:val="18"/>
                      <w:lang w:val="en-US" w:eastAsia="zh-CN"/>
                    </w:rPr>
                    <w:t>非甲烷总烃</w:t>
                  </w:r>
                </w:p>
              </w:tc>
              <w:tc>
                <w:tcPr>
                  <w:tcW w:w="752" w:type="pct"/>
                  <w:tcBorders>
                    <w:right w:val="single" w:color="auto" w:sz="4" w:space="0"/>
                  </w:tcBorders>
                  <w:shd w:val="clear" w:color="auto" w:fill="auto"/>
                  <w:vAlign w:val="center"/>
                </w:tcPr>
                <w:p>
                  <w:pPr>
                    <w:pStyle w:val="27"/>
                    <w:snapToGrid w:val="0"/>
                    <w:spacing w:line="240" w:lineRule="auto"/>
                    <w:rPr>
                      <w:rFonts w:hint="default"/>
                      <w:color w:val="auto"/>
                      <w:sz w:val="18"/>
                      <w:szCs w:val="18"/>
                      <w:lang w:val="en-US" w:eastAsia="zh-CN"/>
                    </w:rPr>
                  </w:pPr>
                  <w:r>
                    <w:rPr>
                      <w:rFonts w:hint="eastAsia"/>
                      <w:color w:val="auto"/>
                      <w:sz w:val="18"/>
                      <w:szCs w:val="18"/>
                      <w:lang w:val="en-US" w:eastAsia="zh-CN"/>
                    </w:rPr>
                    <w:t>1.27</w:t>
                  </w:r>
                </w:p>
              </w:tc>
              <w:tc>
                <w:tcPr>
                  <w:tcW w:w="688" w:type="pct"/>
                  <w:tcBorders>
                    <w:left w:val="single" w:color="auto" w:sz="4" w:space="0"/>
                  </w:tcBorders>
                  <w:shd w:val="clear" w:color="auto" w:fill="auto"/>
                  <w:vAlign w:val="center"/>
                </w:tcPr>
                <w:p>
                  <w:pPr>
                    <w:pStyle w:val="27"/>
                    <w:snapToGrid w:val="0"/>
                    <w:spacing w:line="240" w:lineRule="auto"/>
                    <w:rPr>
                      <w:rFonts w:hint="default" w:eastAsia="宋体"/>
                      <w:color w:val="auto"/>
                      <w:sz w:val="18"/>
                      <w:szCs w:val="18"/>
                      <w:lang w:val="en-US" w:eastAsia="zh-CN"/>
                    </w:rPr>
                  </w:pPr>
                  <w:r>
                    <w:rPr>
                      <w:rFonts w:hint="eastAsia"/>
                      <w:color w:val="auto"/>
                      <w:sz w:val="18"/>
                      <w:szCs w:val="18"/>
                      <w:lang w:val="en-US" w:eastAsia="zh-CN"/>
                    </w:rPr>
                    <w:t>0.004</w:t>
                  </w:r>
                </w:p>
              </w:tc>
              <w:tc>
                <w:tcPr>
                  <w:tcW w:w="634" w:type="pct"/>
                  <w:tcBorders>
                    <w:right w:val="single" w:color="auto" w:sz="4" w:space="0"/>
                  </w:tcBorders>
                  <w:shd w:val="clear" w:color="auto" w:fill="auto"/>
                  <w:vAlign w:val="center"/>
                </w:tcPr>
                <w:p>
                  <w:pPr>
                    <w:pStyle w:val="27"/>
                    <w:snapToGrid w:val="0"/>
                    <w:spacing w:line="240" w:lineRule="auto"/>
                    <w:rPr>
                      <w:rFonts w:hint="default" w:eastAsia="宋体"/>
                      <w:color w:val="auto"/>
                      <w:sz w:val="18"/>
                      <w:szCs w:val="18"/>
                      <w:lang w:val="en-US" w:eastAsia="zh-CN"/>
                    </w:rPr>
                  </w:pPr>
                  <w:r>
                    <w:rPr>
                      <w:rFonts w:hint="eastAsia"/>
                      <w:color w:val="auto"/>
                      <w:sz w:val="18"/>
                      <w:szCs w:val="18"/>
                      <w:lang w:val="en-US" w:eastAsia="zh-CN"/>
                    </w:rPr>
                    <w:t>100</w:t>
                  </w:r>
                </w:p>
              </w:tc>
              <w:tc>
                <w:tcPr>
                  <w:tcW w:w="535" w:type="pct"/>
                  <w:tcBorders>
                    <w:right w:val="single" w:color="auto" w:sz="4" w:space="0"/>
                  </w:tcBorders>
                  <w:shd w:val="clear" w:color="auto" w:fill="auto"/>
                  <w:vAlign w:val="center"/>
                </w:tcPr>
                <w:p>
                  <w:pPr>
                    <w:pStyle w:val="27"/>
                    <w:snapToGrid w:val="0"/>
                    <w:spacing w:line="240" w:lineRule="auto"/>
                    <w:rPr>
                      <w:rFonts w:hint="default" w:eastAsia="宋体"/>
                      <w:color w:val="auto"/>
                      <w:sz w:val="18"/>
                      <w:szCs w:val="18"/>
                      <w:lang w:val="en-US" w:eastAsia="zh-CN"/>
                    </w:rPr>
                  </w:pPr>
                  <w:r>
                    <w:rPr>
                      <w:rFonts w:hint="eastAsia"/>
                      <w:color w:val="auto"/>
                      <w:sz w:val="18"/>
                      <w:szCs w:val="18"/>
                      <w:lang w:val="en-US" w:eastAsia="zh-CN"/>
                    </w:rPr>
                    <w:t>1.8</w:t>
                  </w:r>
                </w:p>
              </w:tc>
              <w:tc>
                <w:tcPr>
                  <w:tcW w:w="516" w:type="pct"/>
                  <w:tcBorders>
                    <w:right w:val="single" w:color="auto" w:sz="4" w:space="0"/>
                  </w:tcBorders>
                  <w:shd w:val="clear" w:color="auto" w:fill="auto"/>
                  <w:vAlign w:val="center"/>
                </w:tcPr>
                <w:p>
                  <w:pPr>
                    <w:pStyle w:val="27"/>
                    <w:snapToGrid w:val="0"/>
                    <w:spacing w:line="240" w:lineRule="auto"/>
                    <w:rPr>
                      <w:rFonts w:hint="eastAsia"/>
                      <w:color w:val="auto"/>
                      <w:sz w:val="18"/>
                      <w:szCs w:val="18"/>
                    </w:rPr>
                  </w:pPr>
                  <w:r>
                    <w:rPr>
                      <w:rFonts w:hint="eastAsia"/>
                      <w:color w:val="auto"/>
                      <w:sz w:val="18"/>
                      <w:szCs w:val="18"/>
                    </w:rPr>
                    <w:t>达标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240" w:type="pct"/>
                  <w:vMerge w:val="continue"/>
                  <w:vAlign w:val="center"/>
                </w:tcPr>
                <w:p>
                  <w:pPr>
                    <w:pStyle w:val="27"/>
                    <w:snapToGrid w:val="0"/>
                    <w:spacing w:line="240" w:lineRule="auto"/>
                    <w:rPr>
                      <w:rFonts w:hint="eastAsia"/>
                      <w:color w:val="auto"/>
                      <w:sz w:val="18"/>
                      <w:szCs w:val="18"/>
                    </w:rPr>
                  </w:pPr>
                </w:p>
              </w:tc>
              <w:tc>
                <w:tcPr>
                  <w:tcW w:w="444" w:type="pct"/>
                  <w:vMerge w:val="restart"/>
                  <w:vAlign w:val="center"/>
                </w:tcPr>
                <w:p>
                  <w:pPr>
                    <w:pStyle w:val="27"/>
                    <w:snapToGrid w:val="0"/>
                    <w:spacing w:line="240" w:lineRule="auto"/>
                    <w:rPr>
                      <w:rFonts w:hint="default"/>
                      <w:color w:val="auto"/>
                      <w:sz w:val="18"/>
                      <w:szCs w:val="18"/>
                      <w:lang w:val="en-US" w:eastAsia="zh-CN"/>
                    </w:rPr>
                  </w:pPr>
                  <w:r>
                    <w:rPr>
                      <w:rFonts w:hint="eastAsia"/>
                      <w:color w:val="auto"/>
                      <w:sz w:val="18"/>
                      <w:szCs w:val="18"/>
                      <w:lang w:val="en-US" w:eastAsia="zh-CN"/>
                    </w:rPr>
                    <w:t>污水站</w:t>
                  </w:r>
                </w:p>
              </w:tc>
              <w:tc>
                <w:tcPr>
                  <w:tcW w:w="444" w:type="pct"/>
                  <w:vMerge w:val="restart"/>
                  <w:vAlign w:val="center"/>
                </w:tcPr>
                <w:p>
                  <w:pPr>
                    <w:pStyle w:val="27"/>
                    <w:snapToGrid w:val="0"/>
                    <w:spacing w:line="240" w:lineRule="auto"/>
                    <w:rPr>
                      <w:rFonts w:hint="default"/>
                      <w:color w:val="auto"/>
                      <w:sz w:val="18"/>
                      <w:szCs w:val="18"/>
                      <w:lang w:val="en-US" w:eastAsia="zh-CN"/>
                    </w:rPr>
                  </w:pPr>
                  <w:r>
                    <w:rPr>
                      <w:rFonts w:hint="eastAsia"/>
                      <w:color w:val="auto"/>
                      <w:sz w:val="18"/>
                      <w:szCs w:val="18"/>
                      <w:lang w:val="en-US" w:eastAsia="zh-CN"/>
                    </w:rPr>
                    <w:t>DA004</w:t>
                  </w:r>
                </w:p>
              </w:tc>
              <w:tc>
                <w:tcPr>
                  <w:tcW w:w="744" w:type="pct"/>
                  <w:shd w:val="clear" w:color="auto" w:fill="auto"/>
                  <w:vAlign w:val="center"/>
                </w:tcPr>
                <w:p>
                  <w:pPr>
                    <w:pStyle w:val="27"/>
                    <w:snapToGrid w:val="0"/>
                    <w:spacing w:line="240" w:lineRule="auto"/>
                    <w:rPr>
                      <w:rFonts w:hint="eastAsia" w:eastAsia="宋体"/>
                      <w:color w:val="auto"/>
                      <w:sz w:val="18"/>
                      <w:szCs w:val="18"/>
                      <w:lang w:val="en-US" w:eastAsia="zh-CN"/>
                    </w:rPr>
                  </w:pPr>
                  <w:r>
                    <w:rPr>
                      <w:rFonts w:hint="eastAsia"/>
                      <w:color w:val="auto"/>
                      <w:sz w:val="18"/>
                      <w:szCs w:val="18"/>
                      <w:lang w:val="en-US" w:eastAsia="zh-CN"/>
                    </w:rPr>
                    <w:t>硫化氢</w:t>
                  </w:r>
                </w:p>
              </w:tc>
              <w:tc>
                <w:tcPr>
                  <w:tcW w:w="752" w:type="pct"/>
                  <w:tcBorders>
                    <w:right w:val="single" w:color="auto" w:sz="4" w:space="0"/>
                  </w:tcBorders>
                  <w:shd w:val="clear" w:color="auto" w:fill="auto"/>
                  <w:vAlign w:val="center"/>
                </w:tcPr>
                <w:p>
                  <w:pPr>
                    <w:pStyle w:val="27"/>
                    <w:snapToGrid w:val="0"/>
                    <w:spacing w:line="240" w:lineRule="auto"/>
                    <w:rPr>
                      <w:rFonts w:hint="default"/>
                      <w:color w:val="auto"/>
                      <w:sz w:val="18"/>
                      <w:szCs w:val="18"/>
                      <w:lang w:val="en-US" w:eastAsia="zh-CN"/>
                    </w:rPr>
                  </w:pPr>
                  <w:r>
                    <w:rPr>
                      <w:rFonts w:hint="eastAsia"/>
                      <w:color w:val="auto"/>
                      <w:sz w:val="18"/>
                      <w:szCs w:val="18"/>
                      <w:lang w:val="en-US" w:eastAsia="zh-CN"/>
                    </w:rPr>
                    <w:t>0.076</w:t>
                  </w:r>
                </w:p>
              </w:tc>
              <w:tc>
                <w:tcPr>
                  <w:tcW w:w="688" w:type="pct"/>
                  <w:tcBorders>
                    <w:left w:val="single" w:color="auto" w:sz="4" w:space="0"/>
                  </w:tcBorders>
                  <w:shd w:val="clear" w:color="auto" w:fill="auto"/>
                  <w:vAlign w:val="center"/>
                </w:tcPr>
                <w:p>
                  <w:pPr>
                    <w:pStyle w:val="27"/>
                    <w:snapToGrid w:val="0"/>
                    <w:spacing w:line="240" w:lineRule="auto"/>
                    <w:rPr>
                      <w:rFonts w:hint="default" w:eastAsia="宋体"/>
                      <w:color w:val="auto"/>
                      <w:sz w:val="18"/>
                      <w:szCs w:val="18"/>
                      <w:lang w:val="en-US" w:eastAsia="zh-CN"/>
                    </w:rPr>
                  </w:pPr>
                  <w:r>
                    <w:rPr>
                      <w:rFonts w:hint="eastAsia"/>
                      <w:color w:val="auto"/>
                      <w:sz w:val="18"/>
                      <w:szCs w:val="18"/>
                      <w:lang w:val="en-US" w:eastAsia="zh-CN"/>
                    </w:rPr>
                    <w:t>0.0001</w:t>
                  </w:r>
                </w:p>
              </w:tc>
              <w:tc>
                <w:tcPr>
                  <w:tcW w:w="634" w:type="pct"/>
                  <w:tcBorders>
                    <w:right w:val="single" w:color="auto" w:sz="4" w:space="0"/>
                  </w:tcBorders>
                  <w:shd w:val="clear" w:color="auto" w:fill="auto"/>
                  <w:vAlign w:val="center"/>
                </w:tcPr>
                <w:p>
                  <w:pPr>
                    <w:pStyle w:val="27"/>
                    <w:snapToGrid w:val="0"/>
                    <w:spacing w:line="240" w:lineRule="auto"/>
                    <w:rPr>
                      <w:rFonts w:hint="eastAsia" w:eastAsia="宋体"/>
                      <w:color w:val="auto"/>
                      <w:sz w:val="18"/>
                      <w:szCs w:val="18"/>
                      <w:lang w:val="en-US" w:eastAsia="zh-CN"/>
                    </w:rPr>
                  </w:pPr>
                  <w:r>
                    <w:rPr>
                      <w:rFonts w:hint="eastAsia"/>
                      <w:color w:val="auto"/>
                      <w:sz w:val="18"/>
                      <w:szCs w:val="18"/>
                      <w:lang w:val="en-US" w:eastAsia="zh-CN"/>
                    </w:rPr>
                    <w:t>/</w:t>
                  </w:r>
                </w:p>
              </w:tc>
              <w:tc>
                <w:tcPr>
                  <w:tcW w:w="535" w:type="pct"/>
                  <w:tcBorders>
                    <w:right w:val="single" w:color="auto" w:sz="4" w:space="0"/>
                  </w:tcBorders>
                  <w:shd w:val="clear" w:color="auto" w:fill="auto"/>
                  <w:vAlign w:val="center"/>
                </w:tcPr>
                <w:p>
                  <w:pPr>
                    <w:pStyle w:val="27"/>
                    <w:snapToGrid w:val="0"/>
                    <w:spacing w:line="240" w:lineRule="auto"/>
                    <w:rPr>
                      <w:rFonts w:hint="default" w:eastAsia="宋体"/>
                      <w:color w:val="auto"/>
                      <w:sz w:val="18"/>
                      <w:szCs w:val="18"/>
                      <w:lang w:val="en-US" w:eastAsia="zh-CN"/>
                    </w:rPr>
                  </w:pPr>
                  <w:r>
                    <w:rPr>
                      <w:rFonts w:hint="eastAsia"/>
                      <w:color w:val="auto"/>
                      <w:sz w:val="18"/>
                      <w:szCs w:val="18"/>
                      <w:lang w:val="en-US" w:eastAsia="zh-CN"/>
                    </w:rPr>
                    <w:t>0.33</w:t>
                  </w:r>
                </w:p>
              </w:tc>
              <w:tc>
                <w:tcPr>
                  <w:tcW w:w="516" w:type="pct"/>
                  <w:tcBorders>
                    <w:right w:val="single" w:color="auto" w:sz="4" w:space="0"/>
                  </w:tcBorders>
                  <w:shd w:val="clear" w:color="auto" w:fill="auto"/>
                  <w:vAlign w:val="center"/>
                </w:tcPr>
                <w:p>
                  <w:pPr>
                    <w:snapToGrid w:val="0"/>
                    <w:spacing w:line="240" w:lineRule="auto"/>
                    <w:jc w:val="center"/>
                    <w:rPr>
                      <w:rFonts w:hint="eastAsia"/>
                      <w:color w:val="auto"/>
                      <w:sz w:val="18"/>
                      <w:szCs w:val="18"/>
                    </w:rPr>
                  </w:pPr>
                  <w:r>
                    <w:rPr>
                      <w:rFonts w:hint="eastAsia"/>
                      <w:color w:val="auto"/>
                      <w:sz w:val="18"/>
                      <w:szCs w:val="18"/>
                    </w:rPr>
                    <w:t>达标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240" w:type="pct"/>
                  <w:vMerge w:val="continue"/>
                  <w:vAlign w:val="center"/>
                </w:tcPr>
                <w:p>
                  <w:pPr>
                    <w:pStyle w:val="27"/>
                    <w:snapToGrid w:val="0"/>
                    <w:spacing w:line="240" w:lineRule="auto"/>
                    <w:rPr>
                      <w:rFonts w:hint="eastAsia"/>
                      <w:color w:val="auto"/>
                      <w:sz w:val="18"/>
                      <w:szCs w:val="18"/>
                    </w:rPr>
                  </w:pPr>
                </w:p>
              </w:tc>
              <w:tc>
                <w:tcPr>
                  <w:tcW w:w="444" w:type="pct"/>
                  <w:vMerge w:val="continue"/>
                  <w:vAlign w:val="center"/>
                </w:tcPr>
                <w:p>
                  <w:pPr>
                    <w:pStyle w:val="27"/>
                    <w:snapToGrid w:val="0"/>
                    <w:spacing w:line="240" w:lineRule="auto"/>
                    <w:rPr>
                      <w:rFonts w:hint="default"/>
                      <w:color w:val="auto"/>
                      <w:sz w:val="18"/>
                      <w:szCs w:val="18"/>
                      <w:lang w:val="en-US" w:eastAsia="zh-CN"/>
                    </w:rPr>
                  </w:pPr>
                </w:p>
              </w:tc>
              <w:tc>
                <w:tcPr>
                  <w:tcW w:w="444" w:type="pct"/>
                  <w:vMerge w:val="continue"/>
                  <w:vAlign w:val="center"/>
                </w:tcPr>
                <w:p>
                  <w:pPr>
                    <w:pStyle w:val="27"/>
                    <w:snapToGrid w:val="0"/>
                    <w:spacing w:line="240" w:lineRule="auto"/>
                    <w:rPr>
                      <w:rFonts w:hint="eastAsia"/>
                      <w:color w:val="auto"/>
                      <w:sz w:val="18"/>
                      <w:szCs w:val="18"/>
                      <w:lang w:val="en-US" w:eastAsia="zh-CN"/>
                    </w:rPr>
                  </w:pPr>
                </w:p>
              </w:tc>
              <w:tc>
                <w:tcPr>
                  <w:tcW w:w="744" w:type="pct"/>
                  <w:shd w:val="clear" w:color="auto" w:fill="auto"/>
                  <w:vAlign w:val="center"/>
                </w:tcPr>
                <w:p>
                  <w:pPr>
                    <w:pStyle w:val="27"/>
                    <w:snapToGrid w:val="0"/>
                    <w:spacing w:line="240" w:lineRule="auto"/>
                    <w:rPr>
                      <w:rFonts w:hint="eastAsia" w:eastAsia="宋体"/>
                      <w:color w:val="auto"/>
                      <w:sz w:val="18"/>
                      <w:szCs w:val="18"/>
                      <w:lang w:val="en-US" w:eastAsia="zh-CN"/>
                    </w:rPr>
                  </w:pPr>
                  <w:r>
                    <w:rPr>
                      <w:rFonts w:hint="eastAsia"/>
                      <w:color w:val="auto"/>
                      <w:sz w:val="18"/>
                      <w:szCs w:val="18"/>
                      <w:lang w:val="en-US" w:eastAsia="zh-CN"/>
                    </w:rPr>
                    <w:t>非甲烷总烃</w:t>
                  </w:r>
                </w:p>
              </w:tc>
              <w:tc>
                <w:tcPr>
                  <w:tcW w:w="752" w:type="pct"/>
                  <w:tcBorders>
                    <w:right w:val="single" w:color="auto" w:sz="4" w:space="0"/>
                  </w:tcBorders>
                  <w:shd w:val="clear" w:color="auto" w:fill="auto"/>
                  <w:vAlign w:val="center"/>
                </w:tcPr>
                <w:p>
                  <w:pPr>
                    <w:pStyle w:val="27"/>
                    <w:snapToGrid w:val="0"/>
                    <w:spacing w:line="240" w:lineRule="auto"/>
                    <w:rPr>
                      <w:rFonts w:hint="default"/>
                      <w:color w:val="auto"/>
                      <w:sz w:val="18"/>
                      <w:szCs w:val="18"/>
                      <w:lang w:val="en-US" w:eastAsia="zh-CN"/>
                    </w:rPr>
                  </w:pPr>
                  <w:r>
                    <w:rPr>
                      <w:rFonts w:hint="eastAsia"/>
                      <w:color w:val="auto"/>
                      <w:sz w:val="18"/>
                      <w:szCs w:val="18"/>
                      <w:lang w:val="en-US" w:eastAsia="zh-CN"/>
                    </w:rPr>
                    <w:t>1.06</w:t>
                  </w:r>
                </w:p>
              </w:tc>
              <w:tc>
                <w:tcPr>
                  <w:tcW w:w="688" w:type="pct"/>
                  <w:tcBorders>
                    <w:left w:val="single" w:color="auto" w:sz="4" w:space="0"/>
                  </w:tcBorders>
                  <w:shd w:val="clear" w:color="auto" w:fill="auto"/>
                  <w:vAlign w:val="center"/>
                </w:tcPr>
                <w:p>
                  <w:pPr>
                    <w:pStyle w:val="27"/>
                    <w:snapToGrid w:val="0"/>
                    <w:spacing w:line="240" w:lineRule="auto"/>
                    <w:rPr>
                      <w:rFonts w:hint="default" w:eastAsia="宋体"/>
                      <w:color w:val="auto"/>
                      <w:sz w:val="18"/>
                      <w:szCs w:val="18"/>
                      <w:lang w:val="en-US" w:eastAsia="zh-CN"/>
                    </w:rPr>
                  </w:pPr>
                  <w:r>
                    <w:rPr>
                      <w:rFonts w:hint="eastAsia"/>
                      <w:color w:val="auto"/>
                      <w:sz w:val="18"/>
                      <w:szCs w:val="18"/>
                      <w:lang w:val="en-US" w:eastAsia="zh-CN"/>
                    </w:rPr>
                    <w:t>0.001</w:t>
                  </w:r>
                </w:p>
              </w:tc>
              <w:tc>
                <w:tcPr>
                  <w:tcW w:w="634" w:type="pct"/>
                  <w:tcBorders>
                    <w:right w:val="single" w:color="auto" w:sz="4" w:space="0"/>
                  </w:tcBorders>
                  <w:shd w:val="clear" w:color="auto" w:fill="auto"/>
                  <w:vAlign w:val="center"/>
                </w:tcPr>
                <w:p>
                  <w:pPr>
                    <w:pStyle w:val="27"/>
                    <w:snapToGrid w:val="0"/>
                    <w:spacing w:line="240" w:lineRule="auto"/>
                    <w:rPr>
                      <w:rFonts w:hint="default" w:eastAsia="宋体"/>
                      <w:color w:val="auto"/>
                      <w:sz w:val="18"/>
                      <w:szCs w:val="18"/>
                      <w:lang w:val="en-US" w:eastAsia="zh-CN"/>
                    </w:rPr>
                  </w:pPr>
                  <w:r>
                    <w:rPr>
                      <w:rFonts w:hint="eastAsia"/>
                      <w:color w:val="auto"/>
                      <w:sz w:val="18"/>
                      <w:szCs w:val="18"/>
                      <w:lang w:val="en-US" w:eastAsia="zh-CN"/>
                    </w:rPr>
                    <w:t>100</w:t>
                  </w:r>
                </w:p>
              </w:tc>
              <w:tc>
                <w:tcPr>
                  <w:tcW w:w="535" w:type="pct"/>
                  <w:tcBorders>
                    <w:right w:val="single" w:color="auto" w:sz="4" w:space="0"/>
                  </w:tcBorders>
                  <w:shd w:val="clear" w:color="auto" w:fill="auto"/>
                  <w:vAlign w:val="center"/>
                </w:tcPr>
                <w:p>
                  <w:pPr>
                    <w:pStyle w:val="27"/>
                    <w:snapToGrid w:val="0"/>
                    <w:spacing w:line="240" w:lineRule="auto"/>
                    <w:rPr>
                      <w:rFonts w:hint="default" w:eastAsia="宋体"/>
                      <w:color w:val="auto"/>
                      <w:sz w:val="18"/>
                      <w:szCs w:val="18"/>
                      <w:lang w:val="en-US" w:eastAsia="zh-CN"/>
                    </w:rPr>
                  </w:pPr>
                  <w:r>
                    <w:rPr>
                      <w:rFonts w:hint="eastAsia"/>
                      <w:color w:val="auto"/>
                      <w:sz w:val="18"/>
                      <w:szCs w:val="18"/>
                      <w:lang w:val="en-US" w:eastAsia="zh-CN"/>
                    </w:rPr>
                    <w:t>1.8</w:t>
                  </w:r>
                </w:p>
              </w:tc>
              <w:tc>
                <w:tcPr>
                  <w:tcW w:w="516" w:type="pct"/>
                  <w:tcBorders>
                    <w:right w:val="single" w:color="auto" w:sz="4" w:space="0"/>
                  </w:tcBorders>
                  <w:shd w:val="clear" w:color="auto" w:fill="auto"/>
                  <w:vAlign w:val="center"/>
                </w:tcPr>
                <w:p>
                  <w:pPr>
                    <w:snapToGrid w:val="0"/>
                    <w:spacing w:line="240" w:lineRule="auto"/>
                    <w:jc w:val="center"/>
                    <w:rPr>
                      <w:rFonts w:hint="eastAsia"/>
                      <w:color w:val="auto"/>
                      <w:sz w:val="18"/>
                      <w:szCs w:val="18"/>
                    </w:rPr>
                  </w:pPr>
                  <w:r>
                    <w:rPr>
                      <w:rFonts w:hint="eastAsia"/>
                      <w:color w:val="auto"/>
                      <w:sz w:val="18"/>
                      <w:szCs w:val="18"/>
                    </w:rPr>
                    <w:t>达标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240" w:type="pct"/>
                  <w:vMerge w:val="continue"/>
                  <w:vAlign w:val="center"/>
                </w:tcPr>
                <w:p>
                  <w:pPr>
                    <w:pStyle w:val="27"/>
                    <w:snapToGrid w:val="0"/>
                    <w:spacing w:line="240" w:lineRule="auto"/>
                    <w:rPr>
                      <w:rFonts w:hint="eastAsia"/>
                      <w:color w:val="auto"/>
                      <w:sz w:val="18"/>
                      <w:szCs w:val="18"/>
                    </w:rPr>
                  </w:pPr>
                </w:p>
              </w:tc>
              <w:tc>
                <w:tcPr>
                  <w:tcW w:w="444" w:type="pct"/>
                  <w:vMerge w:val="continue"/>
                  <w:vAlign w:val="center"/>
                </w:tcPr>
                <w:p>
                  <w:pPr>
                    <w:pStyle w:val="27"/>
                    <w:snapToGrid w:val="0"/>
                    <w:spacing w:line="240" w:lineRule="auto"/>
                    <w:rPr>
                      <w:rFonts w:hint="default"/>
                      <w:color w:val="auto"/>
                      <w:sz w:val="18"/>
                      <w:szCs w:val="18"/>
                      <w:lang w:val="en-US" w:eastAsia="zh-CN"/>
                    </w:rPr>
                  </w:pPr>
                </w:p>
              </w:tc>
              <w:tc>
                <w:tcPr>
                  <w:tcW w:w="444" w:type="pct"/>
                  <w:vMerge w:val="continue"/>
                  <w:vAlign w:val="center"/>
                </w:tcPr>
                <w:p>
                  <w:pPr>
                    <w:pStyle w:val="27"/>
                    <w:snapToGrid w:val="0"/>
                    <w:spacing w:line="240" w:lineRule="auto"/>
                    <w:rPr>
                      <w:rFonts w:hint="eastAsia"/>
                      <w:color w:val="auto"/>
                      <w:sz w:val="18"/>
                      <w:szCs w:val="18"/>
                      <w:lang w:val="en-US" w:eastAsia="zh-CN"/>
                    </w:rPr>
                  </w:pPr>
                </w:p>
              </w:tc>
              <w:tc>
                <w:tcPr>
                  <w:tcW w:w="744" w:type="pct"/>
                  <w:shd w:val="clear" w:color="auto" w:fill="auto"/>
                  <w:vAlign w:val="center"/>
                </w:tcPr>
                <w:p>
                  <w:pPr>
                    <w:pStyle w:val="27"/>
                    <w:snapToGrid w:val="0"/>
                    <w:spacing w:line="240" w:lineRule="auto"/>
                    <w:rPr>
                      <w:rFonts w:hint="eastAsia" w:eastAsia="宋体"/>
                      <w:color w:val="auto"/>
                      <w:sz w:val="18"/>
                      <w:szCs w:val="18"/>
                      <w:lang w:val="en-US" w:eastAsia="zh-CN"/>
                    </w:rPr>
                  </w:pPr>
                  <w:r>
                    <w:rPr>
                      <w:rFonts w:hint="eastAsia"/>
                      <w:color w:val="auto"/>
                      <w:sz w:val="18"/>
                      <w:szCs w:val="18"/>
                      <w:lang w:val="en-US" w:eastAsia="zh-CN"/>
                    </w:rPr>
                    <w:t>氨</w:t>
                  </w:r>
                </w:p>
              </w:tc>
              <w:tc>
                <w:tcPr>
                  <w:tcW w:w="752" w:type="pct"/>
                  <w:tcBorders>
                    <w:right w:val="single" w:color="auto" w:sz="4" w:space="0"/>
                  </w:tcBorders>
                  <w:shd w:val="clear" w:color="auto" w:fill="auto"/>
                  <w:vAlign w:val="center"/>
                </w:tcPr>
                <w:p>
                  <w:pPr>
                    <w:pStyle w:val="27"/>
                    <w:snapToGrid w:val="0"/>
                    <w:spacing w:line="240" w:lineRule="auto"/>
                    <w:rPr>
                      <w:rFonts w:hint="default"/>
                      <w:color w:val="auto"/>
                      <w:sz w:val="18"/>
                      <w:szCs w:val="18"/>
                      <w:lang w:val="en-US" w:eastAsia="zh-CN"/>
                    </w:rPr>
                  </w:pPr>
                  <w:r>
                    <w:rPr>
                      <w:rFonts w:hint="eastAsia"/>
                      <w:color w:val="auto"/>
                      <w:sz w:val="18"/>
                      <w:szCs w:val="18"/>
                      <w:lang w:val="en-US" w:eastAsia="zh-CN"/>
                    </w:rPr>
                    <w:t>4.97</w:t>
                  </w:r>
                </w:p>
              </w:tc>
              <w:tc>
                <w:tcPr>
                  <w:tcW w:w="688" w:type="pct"/>
                  <w:tcBorders>
                    <w:left w:val="single" w:color="auto" w:sz="4" w:space="0"/>
                  </w:tcBorders>
                  <w:shd w:val="clear" w:color="auto" w:fill="auto"/>
                  <w:vAlign w:val="center"/>
                </w:tcPr>
                <w:p>
                  <w:pPr>
                    <w:pStyle w:val="27"/>
                    <w:snapToGrid w:val="0"/>
                    <w:spacing w:line="240" w:lineRule="auto"/>
                    <w:rPr>
                      <w:rFonts w:hint="default" w:eastAsia="宋体"/>
                      <w:color w:val="auto"/>
                      <w:sz w:val="18"/>
                      <w:szCs w:val="18"/>
                      <w:lang w:val="en-US" w:eastAsia="zh-CN"/>
                    </w:rPr>
                  </w:pPr>
                  <w:r>
                    <w:rPr>
                      <w:rFonts w:hint="eastAsia"/>
                      <w:color w:val="auto"/>
                      <w:sz w:val="18"/>
                      <w:szCs w:val="18"/>
                      <w:lang w:val="en-US" w:eastAsia="zh-CN"/>
                    </w:rPr>
                    <w:t>0.005</w:t>
                  </w:r>
                </w:p>
              </w:tc>
              <w:tc>
                <w:tcPr>
                  <w:tcW w:w="634" w:type="pct"/>
                  <w:tcBorders>
                    <w:right w:val="single" w:color="auto" w:sz="4" w:space="0"/>
                  </w:tcBorders>
                  <w:shd w:val="clear" w:color="auto" w:fill="auto"/>
                  <w:vAlign w:val="center"/>
                </w:tcPr>
                <w:p>
                  <w:pPr>
                    <w:pStyle w:val="27"/>
                    <w:snapToGrid w:val="0"/>
                    <w:spacing w:line="240" w:lineRule="auto"/>
                    <w:rPr>
                      <w:rFonts w:hint="eastAsia" w:eastAsia="宋体"/>
                      <w:color w:val="auto"/>
                      <w:sz w:val="18"/>
                      <w:szCs w:val="18"/>
                      <w:lang w:val="en-US" w:eastAsia="zh-CN"/>
                    </w:rPr>
                  </w:pPr>
                  <w:r>
                    <w:rPr>
                      <w:rFonts w:hint="eastAsia"/>
                      <w:color w:val="auto"/>
                      <w:sz w:val="18"/>
                      <w:szCs w:val="18"/>
                      <w:lang w:val="en-US" w:eastAsia="zh-CN"/>
                    </w:rPr>
                    <w:t>/</w:t>
                  </w:r>
                </w:p>
              </w:tc>
              <w:tc>
                <w:tcPr>
                  <w:tcW w:w="535" w:type="pct"/>
                  <w:tcBorders>
                    <w:right w:val="single" w:color="auto" w:sz="4" w:space="0"/>
                  </w:tcBorders>
                  <w:shd w:val="clear" w:color="auto" w:fill="auto"/>
                  <w:vAlign w:val="center"/>
                </w:tcPr>
                <w:p>
                  <w:pPr>
                    <w:pStyle w:val="27"/>
                    <w:snapToGrid w:val="0"/>
                    <w:spacing w:line="240" w:lineRule="auto"/>
                    <w:rPr>
                      <w:rFonts w:hint="default" w:eastAsia="宋体"/>
                      <w:color w:val="auto"/>
                      <w:sz w:val="18"/>
                      <w:szCs w:val="18"/>
                      <w:lang w:val="en-US" w:eastAsia="zh-CN"/>
                    </w:rPr>
                  </w:pPr>
                  <w:r>
                    <w:rPr>
                      <w:rFonts w:hint="eastAsia"/>
                      <w:color w:val="auto"/>
                      <w:sz w:val="18"/>
                      <w:szCs w:val="18"/>
                      <w:lang w:val="en-US" w:eastAsia="zh-CN"/>
                    </w:rPr>
                    <w:t>4.9</w:t>
                  </w:r>
                </w:p>
              </w:tc>
              <w:tc>
                <w:tcPr>
                  <w:tcW w:w="516" w:type="pct"/>
                  <w:tcBorders>
                    <w:right w:val="single" w:color="auto" w:sz="4" w:space="0"/>
                  </w:tcBorders>
                  <w:shd w:val="clear" w:color="auto" w:fill="auto"/>
                  <w:vAlign w:val="center"/>
                </w:tcPr>
                <w:p>
                  <w:pPr>
                    <w:snapToGrid w:val="0"/>
                    <w:spacing w:line="240" w:lineRule="auto"/>
                    <w:jc w:val="center"/>
                    <w:rPr>
                      <w:rFonts w:hint="eastAsia"/>
                      <w:color w:val="auto"/>
                      <w:sz w:val="18"/>
                      <w:szCs w:val="18"/>
                    </w:rPr>
                  </w:pPr>
                  <w:r>
                    <w:rPr>
                      <w:rFonts w:hint="eastAsia"/>
                      <w:color w:val="auto"/>
                      <w:sz w:val="18"/>
                      <w:szCs w:val="18"/>
                    </w:rPr>
                    <w:t>达标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240" w:type="pct"/>
                  <w:vMerge w:val="continue"/>
                  <w:vAlign w:val="center"/>
                </w:tcPr>
                <w:p>
                  <w:pPr>
                    <w:pStyle w:val="27"/>
                    <w:snapToGrid w:val="0"/>
                    <w:spacing w:line="240" w:lineRule="auto"/>
                    <w:rPr>
                      <w:rFonts w:hint="eastAsia"/>
                      <w:color w:val="auto"/>
                      <w:sz w:val="18"/>
                      <w:szCs w:val="18"/>
                    </w:rPr>
                  </w:pPr>
                </w:p>
              </w:tc>
              <w:tc>
                <w:tcPr>
                  <w:tcW w:w="444" w:type="pct"/>
                  <w:vMerge w:val="continue"/>
                  <w:vAlign w:val="center"/>
                </w:tcPr>
                <w:p>
                  <w:pPr>
                    <w:pStyle w:val="27"/>
                    <w:snapToGrid w:val="0"/>
                    <w:spacing w:line="240" w:lineRule="auto"/>
                    <w:rPr>
                      <w:rFonts w:hint="default"/>
                      <w:color w:val="auto"/>
                      <w:sz w:val="18"/>
                      <w:szCs w:val="18"/>
                      <w:lang w:val="en-US" w:eastAsia="zh-CN"/>
                    </w:rPr>
                  </w:pPr>
                </w:p>
              </w:tc>
              <w:tc>
                <w:tcPr>
                  <w:tcW w:w="444" w:type="pct"/>
                  <w:vMerge w:val="continue"/>
                  <w:vAlign w:val="center"/>
                </w:tcPr>
                <w:p>
                  <w:pPr>
                    <w:pStyle w:val="27"/>
                    <w:snapToGrid w:val="0"/>
                    <w:spacing w:line="240" w:lineRule="auto"/>
                    <w:rPr>
                      <w:rFonts w:hint="eastAsia"/>
                      <w:color w:val="auto"/>
                      <w:sz w:val="18"/>
                      <w:szCs w:val="18"/>
                      <w:lang w:val="en-US" w:eastAsia="zh-CN"/>
                    </w:rPr>
                  </w:pPr>
                </w:p>
              </w:tc>
              <w:tc>
                <w:tcPr>
                  <w:tcW w:w="744" w:type="pct"/>
                  <w:shd w:val="clear" w:color="auto" w:fill="auto"/>
                  <w:vAlign w:val="center"/>
                </w:tcPr>
                <w:p>
                  <w:pPr>
                    <w:pStyle w:val="27"/>
                    <w:snapToGrid w:val="0"/>
                    <w:spacing w:line="240" w:lineRule="auto"/>
                    <w:rPr>
                      <w:rFonts w:hint="eastAsia" w:eastAsia="宋体"/>
                      <w:color w:val="auto"/>
                      <w:sz w:val="18"/>
                      <w:szCs w:val="18"/>
                      <w:lang w:val="en-US" w:eastAsia="zh-CN"/>
                    </w:rPr>
                  </w:pPr>
                  <w:r>
                    <w:rPr>
                      <w:rFonts w:hint="eastAsia"/>
                      <w:color w:val="auto"/>
                      <w:sz w:val="18"/>
                      <w:szCs w:val="18"/>
                      <w:lang w:val="en-US" w:eastAsia="zh-CN"/>
                    </w:rPr>
                    <w:t>臭气</w:t>
                  </w:r>
                </w:p>
              </w:tc>
              <w:tc>
                <w:tcPr>
                  <w:tcW w:w="752" w:type="pct"/>
                  <w:tcBorders>
                    <w:right w:val="single" w:color="auto" w:sz="4" w:space="0"/>
                  </w:tcBorders>
                  <w:shd w:val="clear" w:color="auto" w:fill="auto"/>
                  <w:vAlign w:val="center"/>
                </w:tcPr>
                <w:p>
                  <w:pPr>
                    <w:pStyle w:val="27"/>
                    <w:snapToGrid w:val="0"/>
                    <w:spacing w:line="240" w:lineRule="auto"/>
                    <w:rPr>
                      <w:rFonts w:hint="default"/>
                      <w:color w:val="auto"/>
                      <w:sz w:val="18"/>
                      <w:szCs w:val="18"/>
                      <w:lang w:val="en-US" w:eastAsia="zh-CN"/>
                    </w:rPr>
                  </w:pPr>
                  <w:r>
                    <w:rPr>
                      <w:rFonts w:hint="eastAsia"/>
                      <w:color w:val="auto"/>
                      <w:sz w:val="18"/>
                      <w:szCs w:val="18"/>
                      <w:lang w:val="en-US" w:eastAsia="zh-CN"/>
                    </w:rPr>
                    <w:t>1737</w:t>
                  </w:r>
                </w:p>
              </w:tc>
              <w:tc>
                <w:tcPr>
                  <w:tcW w:w="688" w:type="pct"/>
                  <w:tcBorders>
                    <w:left w:val="single" w:color="auto" w:sz="4" w:space="0"/>
                  </w:tcBorders>
                  <w:shd w:val="clear" w:color="auto" w:fill="auto"/>
                  <w:vAlign w:val="center"/>
                </w:tcPr>
                <w:p>
                  <w:pPr>
                    <w:pStyle w:val="27"/>
                    <w:snapToGrid w:val="0"/>
                    <w:spacing w:line="240" w:lineRule="auto"/>
                    <w:rPr>
                      <w:rFonts w:hint="eastAsia" w:eastAsia="宋体"/>
                      <w:color w:val="auto"/>
                      <w:sz w:val="18"/>
                      <w:szCs w:val="18"/>
                      <w:lang w:val="en-US" w:eastAsia="zh-CN"/>
                    </w:rPr>
                  </w:pPr>
                  <w:r>
                    <w:rPr>
                      <w:rFonts w:hint="eastAsia"/>
                      <w:color w:val="auto"/>
                      <w:sz w:val="18"/>
                      <w:szCs w:val="18"/>
                      <w:lang w:val="en-US" w:eastAsia="zh-CN"/>
                    </w:rPr>
                    <w:t>/</w:t>
                  </w:r>
                </w:p>
              </w:tc>
              <w:tc>
                <w:tcPr>
                  <w:tcW w:w="634" w:type="pct"/>
                  <w:tcBorders>
                    <w:right w:val="single" w:color="auto" w:sz="4" w:space="0"/>
                  </w:tcBorders>
                  <w:shd w:val="clear" w:color="auto" w:fill="auto"/>
                  <w:vAlign w:val="center"/>
                </w:tcPr>
                <w:p>
                  <w:pPr>
                    <w:pStyle w:val="27"/>
                    <w:snapToGrid w:val="0"/>
                    <w:spacing w:line="240" w:lineRule="auto"/>
                    <w:rPr>
                      <w:rFonts w:hint="default" w:eastAsia="宋体"/>
                      <w:color w:val="auto"/>
                      <w:sz w:val="18"/>
                      <w:szCs w:val="18"/>
                      <w:lang w:val="en-US" w:eastAsia="zh-CN"/>
                    </w:rPr>
                  </w:pPr>
                  <w:r>
                    <w:rPr>
                      <w:rFonts w:hint="eastAsia"/>
                      <w:color w:val="auto"/>
                      <w:sz w:val="18"/>
                      <w:szCs w:val="18"/>
                      <w:lang w:val="en-US" w:eastAsia="zh-CN"/>
                    </w:rPr>
                    <w:t>2000</w:t>
                  </w:r>
                </w:p>
              </w:tc>
              <w:tc>
                <w:tcPr>
                  <w:tcW w:w="535" w:type="pct"/>
                  <w:tcBorders>
                    <w:right w:val="single" w:color="auto" w:sz="4" w:space="0"/>
                  </w:tcBorders>
                  <w:shd w:val="clear" w:color="auto" w:fill="auto"/>
                  <w:vAlign w:val="center"/>
                </w:tcPr>
                <w:p>
                  <w:pPr>
                    <w:pStyle w:val="27"/>
                    <w:snapToGrid w:val="0"/>
                    <w:spacing w:line="240" w:lineRule="auto"/>
                    <w:rPr>
                      <w:rFonts w:hint="eastAsia" w:eastAsia="宋体"/>
                      <w:color w:val="auto"/>
                      <w:sz w:val="18"/>
                      <w:szCs w:val="18"/>
                      <w:lang w:val="en-US" w:eastAsia="zh-CN"/>
                    </w:rPr>
                  </w:pPr>
                  <w:r>
                    <w:rPr>
                      <w:rFonts w:hint="eastAsia"/>
                      <w:color w:val="auto"/>
                      <w:sz w:val="18"/>
                      <w:szCs w:val="18"/>
                      <w:lang w:val="en-US" w:eastAsia="zh-CN"/>
                    </w:rPr>
                    <w:t>/</w:t>
                  </w:r>
                </w:p>
              </w:tc>
              <w:tc>
                <w:tcPr>
                  <w:tcW w:w="516" w:type="pct"/>
                  <w:tcBorders>
                    <w:right w:val="single" w:color="auto" w:sz="4" w:space="0"/>
                  </w:tcBorders>
                  <w:shd w:val="clear" w:color="auto" w:fill="auto"/>
                  <w:vAlign w:val="center"/>
                </w:tcPr>
                <w:p>
                  <w:pPr>
                    <w:snapToGrid w:val="0"/>
                    <w:spacing w:line="240" w:lineRule="auto"/>
                    <w:jc w:val="center"/>
                    <w:rPr>
                      <w:rFonts w:hint="eastAsia"/>
                      <w:color w:val="auto"/>
                      <w:sz w:val="18"/>
                      <w:szCs w:val="18"/>
                    </w:rPr>
                  </w:pPr>
                  <w:r>
                    <w:rPr>
                      <w:rFonts w:hint="eastAsia"/>
                      <w:color w:val="auto"/>
                      <w:sz w:val="18"/>
                      <w:szCs w:val="18"/>
                    </w:rPr>
                    <w:t>达标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58" w:hRule="atLeast"/>
                <w:jc w:val="center"/>
              </w:trPr>
              <w:tc>
                <w:tcPr>
                  <w:tcW w:w="240" w:type="pct"/>
                  <w:vMerge w:val="restart"/>
                  <w:vAlign w:val="center"/>
                </w:tcPr>
                <w:p>
                  <w:pPr>
                    <w:pStyle w:val="27"/>
                    <w:snapToGrid w:val="0"/>
                    <w:spacing w:line="240" w:lineRule="auto"/>
                    <w:rPr>
                      <w:color w:val="auto"/>
                      <w:sz w:val="18"/>
                      <w:szCs w:val="18"/>
                    </w:rPr>
                  </w:pPr>
                  <w:r>
                    <w:rPr>
                      <w:rFonts w:hint="eastAsia"/>
                      <w:color w:val="auto"/>
                      <w:sz w:val="18"/>
                      <w:szCs w:val="18"/>
                    </w:rPr>
                    <w:t>二厂</w:t>
                  </w:r>
                </w:p>
              </w:tc>
              <w:tc>
                <w:tcPr>
                  <w:tcW w:w="444" w:type="pct"/>
                  <w:vMerge w:val="restart"/>
                  <w:vAlign w:val="center"/>
                </w:tcPr>
                <w:p>
                  <w:pPr>
                    <w:pStyle w:val="27"/>
                    <w:snapToGrid w:val="0"/>
                    <w:spacing w:line="240" w:lineRule="auto"/>
                    <w:rPr>
                      <w:color w:val="auto"/>
                      <w:sz w:val="18"/>
                      <w:szCs w:val="18"/>
                    </w:rPr>
                  </w:pPr>
                  <w:r>
                    <w:rPr>
                      <w:rFonts w:hint="eastAsia"/>
                      <w:color w:val="auto"/>
                      <w:sz w:val="18"/>
                      <w:szCs w:val="18"/>
                    </w:rPr>
                    <w:t>车间六</w:t>
                  </w:r>
                </w:p>
              </w:tc>
              <w:tc>
                <w:tcPr>
                  <w:tcW w:w="444" w:type="pct"/>
                  <w:vMerge w:val="restart"/>
                  <w:vAlign w:val="center"/>
                </w:tcPr>
                <w:p>
                  <w:pPr>
                    <w:pStyle w:val="27"/>
                    <w:snapToGrid w:val="0"/>
                    <w:spacing w:line="240" w:lineRule="auto"/>
                    <w:rPr>
                      <w:rFonts w:hint="default" w:eastAsia="宋体"/>
                      <w:color w:val="auto"/>
                      <w:sz w:val="18"/>
                      <w:szCs w:val="18"/>
                      <w:lang w:val="en-US" w:eastAsia="zh-CN"/>
                    </w:rPr>
                  </w:pPr>
                  <w:r>
                    <w:rPr>
                      <w:rFonts w:hint="eastAsia"/>
                      <w:color w:val="auto"/>
                      <w:sz w:val="18"/>
                      <w:szCs w:val="18"/>
                      <w:lang w:val="en-US" w:eastAsia="zh-CN"/>
                    </w:rPr>
                    <w:t>DA003</w:t>
                  </w:r>
                </w:p>
              </w:tc>
              <w:tc>
                <w:tcPr>
                  <w:tcW w:w="744" w:type="pct"/>
                  <w:vAlign w:val="center"/>
                </w:tcPr>
                <w:p>
                  <w:pPr>
                    <w:pStyle w:val="27"/>
                    <w:snapToGrid w:val="0"/>
                    <w:spacing w:line="240" w:lineRule="auto"/>
                    <w:rPr>
                      <w:rFonts w:hint="eastAsia" w:eastAsia="宋体"/>
                      <w:color w:val="auto"/>
                      <w:sz w:val="18"/>
                      <w:szCs w:val="18"/>
                      <w:lang w:val="en-US" w:eastAsia="zh-CN"/>
                    </w:rPr>
                  </w:pPr>
                  <w:r>
                    <w:rPr>
                      <w:rFonts w:hint="eastAsia"/>
                      <w:color w:val="auto"/>
                      <w:sz w:val="18"/>
                      <w:szCs w:val="18"/>
                      <w:lang w:val="en-US" w:eastAsia="zh-CN"/>
                    </w:rPr>
                    <w:t>颗粒物</w:t>
                  </w:r>
                </w:p>
              </w:tc>
              <w:tc>
                <w:tcPr>
                  <w:tcW w:w="752" w:type="pct"/>
                  <w:tcBorders>
                    <w:right w:val="single" w:color="auto" w:sz="4" w:space="0"/>
                  </w:tcBorders>
                  <w:vAlign w:val="center"/>
                </w:tcPr>
                <w:p>
                  <w:pPr>
                    <w:pStyle w:val="27"/>
                    <w:snapToGrid w:val="0"/>
                    <w:spacing w:line="240" w:lineRule="auto"/>
                    <w:rPr>
                      <w:rFonts w:hint="default" w:eastAsia="宋体"/>
                      <w:color w:val="auto"/>
                      <w:sz w:val="18"/>
                      <w:szCs w:val="18"/>
                      <w:lang w:val="en-US" w:eastAsia="zh-CN"/>
                    </w:rPr>
                  </w:pPr>
                  <w:r>
                    <w:rPr>
                      <w:rFonts w:hint="eastAsia"/>
                      <w:color w:val="auto"/>
                      <w:sz w:val="18"/>
                      <w:szCs w:val="18"/>
                      <w:lang w:val="en-US" w:eastAsia="zh-CN"/>
                    </w:rPr>
                    <w:t>3.4</w:t>
                  </w:r>
                </w:p>
              </w:tc>
              <w:tc>
                <w:tcPr>
                  <w:tcW w:w="688" w:type="pct"/>
                  <w:tcBorders>
                    <w:left w:val="single" w:color="auto" w:sz="4" w:space="0"/>
                  </w:tcBorders>
                  <w:vAlign w:val="center"/>
                </w:tcPr>
                <w:p>
                  <w:pPr>
                    <w:pStyle w:val="27"/>
                    <w:snapToGrid w:val="0"/>
                    <w:spacing w:line="240" w:lineRule="auto"/>
                    <w:rPr>
                      <w:rFonts w:hint="eastAsia" w:eastAsia="宋体"/>
                      <w:color w:val="auto"/>
                      <w:sz w:val="18"/>
                      <w:szCs w:val="18"/>
                      <w:lang w:val="en-US" w:eastAsia="zh-CN"/>
                    </w:rPr>
                  </w:pPr>
                  <w:r>
                    <w:rPr>
                      <w:rFonts w:hint="eastAsia"/>
                      <w:color w:val="auto"/>
                      <w:sz w:val="18"/>
                      <w:szCs w:val="18"/>
                      <w:lang w:val="en-US" w:eastAsia="zh-CN"/>
                    </w:rPr>
                    <w:t>/</w:t>
                  </w:r>
                </w:p>
              </w:tc>
              <w:tc>
                <w:tcPr>
                  <w:tcW w:w="634" w:type="pct"/>
                  <w:tcBorders>
                    <w:right w:val="single" w:color="auto" w:sz="4" w:space="0"/>
                  </w:tcBorders>
                  <w:vAlign w:val="center"/>
                </w:tcPr>
                <w:p>
                  <w:pPr>
                    <w:pStyle w:val="27"/>
                    <w:snapToGrid w:val="0"/>
                    <w:spacing w:line="240" w:lineRule="auto"/>
                    <w:rPr>
                      <w:rFonts w:hint="default" w:eastAsia="宋体"/>
                      <w:color w:val="auto"/>
                      <w:sz w:val="18"/>
                      <w:szCs w:val="18"/>
                      <w:lang w:val="en-US" w:eastAsia="zh-CN"/>
                    </w:rPr>
                  </w:pPr>
                  <w:r>
                    <w:rPr>
                      <w:rFonts w:hint="eastAsia"/>
                      <w:color w:val="auto"/>
                      <w:sz w:val="18"/>
                      <w:szCs w:val="18"/>
                      <w:lang w:val="en-US" w:eastAsia="zh-CN"/>
                    </w:rPr>
                    <w:t>20</w:t>
                  </w:r>
                </w:p>
              </w:tc>
              <w:tc>
                <w:tcPr>
                  <w:tcW w:w="535" w:type="pct"/>
                  <w:tcBorders>
                    <w:right w:val="single" w:color="auto" w:sz="4" w:space="0"/>
                  </w:tcBorders>
                  <w:vAlign w:val="center"/>
                </w:tcPr>
                <w:p>
                  <w:pPr>
                    <w:pStyle w:val="27"/>
                    <w:snapToGrid w:val="0"/>
                    <w:spacing w:line="240" w:lineRule="auto"/>
                    <w:rPr>
                      <w:rFonts w:hint="eastAsia" w:eastAsia="宋体"/>
                      <w:color w:val="auto"/>
                      <w:sz w:val="18"/>
                      <w:szCs w:val="18"/>
                      <w:lang w:val="en-US" w:eastAsia="zh-CN"/>
                    </w:rPr>
                  </w:pPr>
                  <w:r>
                    <w:rPr>
                      <w:rFonts w:hint="eastAsia"/>
                      <w:color w:val="auto"/>
                      <w:sz w:val="18"/>
                      <w:szCs w:val="18"/>
                      <w:lang w:val="en-US" w:eastAsia="zh-CN"/>
                    </w:rPr>
                    <w:t>/</w:t>
                  </w:r>
                </w:p>
              </w:tc>
              <w:tc>
                <w:tcPr>
                  <w:tcW w:w="516" w:type="pct"/>
                  <w:tcBorders>
                    <w:right w:val="single" w:color="auto" w:sz="4" w:space="0"/>
                  </w:tcBorders>
                  <w:vAlign w:val="center"/>
                </w:tcPr>
                <w:p>
                  <w:pPr>
                    <w:pStyle w:val="27"/>
                    <w:snapToGrid w:val="0"/>
                    <w:spacing w:line="240" w:lineRule="auto"/>
                    <w:rPr>
                      <w:color w:val="auto"/>
                      <w:sz w:val="18"/>
                      <w:szCs w:val="18"/>
                    </w:rPr>
                  </w:pPr>
                  <w:r>
                    <w:rPr>
                      <w:rFonts w:hint="eastAsia"/>
                      <w:color w:val="auto"/>
                      <w:sz w:val="18"/>
                      <w:szCs w:val="18"/>
                    </w:rPr>
                    <w:t>达标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58" w:hRule="atLeast"/>
                <w:jc w:val="center"/>
              </w:trPr>
              <w:tc>
                <w:tcPr>
                  <w:tcW w:w="240" w:type="pct"/>
                  <w:vMerge w:val="continue"/>
                  <w:vAlign w:val="center"/>
                </w:tcPr>
                <w:p>
                  <w:pPr>
                    <w:pStyle w:val="27"/>
                    <w:snapToGrid w:val="0"/>
                    <w:spacing w:line="240" w:lineRule="auto"/>
                    <w:rPr>
                      <w:color w:val="auto"/>
                      <w:sz w:val="18"/>
                      <w:szCs w:val="18"/>
                    </w:rPr>
                  </w:pPr>
                </w:p>
              </w:tc>
              <w:tc>
                <w:tcPr>
                  <w:tcW w:w="444" w:type="pct"/>
                  <w:vMerge w:val="continue"/>
                  <w:vAlign w:val="center"/>
                </w:tcPr>
                <w:p>
                  <w:pPr>
                    <w:pStyle w:val="27"/>
                    <w:snapToGrid w:val="0"/>
                    <w:spacing w:line="240" w:lineRule="auto"/>
                    <w:rPr>
                      <w:color w:val="auto"/>
                      <w:sz w:val="18"/>
                      <w:szCs w:val="18"/>
                    </w:rPr>
                  </w:pPr>
                </w:p>
              </w:tc>
              <w:tc>
                <w:tcPr>
                  <w:tcW w:w="444" w:type="pct"/>
                  <w:vMerge w:val="continue"/>
                  <w:vAlign w:val="center"/>
                </w:tcPr>
                <w:p>
                  <w:pPr>
                    <w:pStyle w:val="27"/>
                    <w:snapToGrid w:val="0"/>
                    <w:spacing w:line="240" w:lineRule="auto"/>
                    <w:rPr>
                      <w:color w:val="auto"/>
                      <w:sz w:val="18"/>
                      <w:szCs w:val="18"/>
                    </w:rPr>
                  </w:pPr>
                </w:p>
              </w:tc>
              <w:tc>
                <w:tcPr>
                  <w:tcW w:w="744" w:type="pct"/>
                  <w:vAlign w:val="center"/>
                </w:tcPr>
                <w:p>
                  <w:pPr>
                    <w:pStyle w:val="27"/>
                    <w:snapToGrid w:val="0"/>
                    <w:spacing w:line="240" w:lineRule="auto"/>
                    <w:rPr>
                      <w:rFonts w:hint="eastAsia" w:eastAsia="宋体"/>
                      <w:color w:val="auto"/>
                      <w:sz w:val="18"/>
                      <w:szCs w:val="18"/>
                      <w:lang w:val="en-US" w:eastAsia="zh-CN"/>
                    </w:rPr>
                  </w:pPr>
                  <w:r>
                    <w:rPr>
                      <w:rFonts w:hint="eastAsia"/>
                      <w:color w:val="auto"/>
                      <w:sz w:val="18"/>
                      <w:szCs w:val="18"/>
                      <w:lang w:val="en-US" w:eastAsia="zh-CN"/>
                    </w:rPr>
                    <w:t>非甲烷总烃</w:t>
                  </w:r>
                </w:p>
              </w:tc>
              <w:tc>
                <w:tcPr>
                  <w:tcW w:w="752" w:type="pct"/>
                  <w:tcBorders>
                    <w:right w:val="single" w:color="auto" w:sz="4" w:space="0"/>
                  </w:tcBorders>
                  <w:vAlign w:val="center"/>
                </w:tcPr>
                <w:p>
                  <w:pPr>
                    <w:pStyle w:val="27"/>
                    <w:snapToGrid w:val="0"/>
                    <w:spacing w:line="240" w:lineRule="auto"/>
                    <w:rPr>
                      <w:rFonts w:hint="default" w:eastAsia="宋体"/>
                      <w:color w:val="auto"/>
                      <w:sz w:val="18"/>
                      <w:szCs w:val="18"/>
                      <w:lang w:val="en-US" w:eastAsia="zh-CN"/>
                    </w:rPr>
                  </w:pPr>
                  <w:r>
                    <w:rPr>
                      <w:rFonts w:hint="eastAsia"/>
                      <w:color w:val="auto"/>
                      <w:sz w:val="18"/>
                      <w:szCs w:val="18"/>
                      <w:lang w:val="en-US" w:eastAsia="zh-CN"/>
                    </w:rPr>
                    <w:t>28.9</w:t>
                  </w:r>
                </w:p>
              </w:tc>
              <w:tc>
                <w:tcPr>
                  <w:tcW w:w="688" w:type="pct"/>
                  <w:tcBorders>
                    <w:left w:val="single" w:color="auto" w:sz="4" w:space="0"/>
                  </w:tcBorders>
                  <w:vAlign w:val="center"/>
                </w:tcPr>
                <w:p>
                  <w:pPr>
                    <w:pStyle w:val="27"/>
                    <w:snapToGrid w:val="0"/>
                    <w:spacing w:line="240" w:lineRule="auto"/>
                    <w:rPr>
                      <w:rFonts w:hint="default" w:eastAsia="宋体"/>
                      <w:color w:val="auto"/>
                      <w:sz w:val="18"/>
                      <w:szCs w:val="18"/>
                      <w:lang w:val="en-US" w:eastAsia="zh-CN"/>
                    </w:rPr>
                  </w:pPr>
                  <w:r>
                    <w:rPr>
                      <w:rFonts w:hint="eastAsia"/>
                      <w:color w:val="auto"/>
                      <w:sz w:val="18"/>
                      <w:szCs w:val="18"/>
                      <w:lang w:val="en-US" w:eastAsia="zh-CN"/>
                    </w:rPr>
                    <w:t>0.122</w:t>
                  </w:r>
                </w:p>
              </w:tc>
              <w:tc>
                <w:tcPr>
                  <w:tcW w:w="634" w:type="pct"/>
                  <w:tcBorders>
                    <w:right w:val="single" w:color="auto" w:sz="4" w:space="0"/>
                  </w:tcBorders>
                  <w:vAlign w:val="center"/>
                </w:tcPr>
                <w:p>
                  <w:pPr>
                    <w:pStyle w:val="27"/>
                    <w:snapToGrid w:val="0"/>
                    <w:spacing w:line="240" w:lineRule="auto"/>
                    <w:rPr>
                      <w:rFonts w:hint="default" w:eastAsia="宋体"/>
                      <w:color w:val="auto"/>
                      <w:sz w:val="18"/>
                      <w:szCs w:val="18"/>
                      <w:lang w:val="en-US" w:eastAsia="zh-CN"/>
                    </w:rPr>
                  </w:pPr>
                  <w:r>
                    <w:rPr>
                      <w:rFonts w:hint="eastAsia"/>
                      <w:color w:val="auto"/>
                      <w:sz w:val="18"/>
                      <w:szCs w:val="18"/>
                      <w:lang w:val="en-US" w:eastAsia="zh-CN"/>
                    </w:rPr>
                    <w:t>100</w:t>
                  </w:r>
                </w:p>
              </w:tc>
              <w:tc>
                <w:tcPr>
                  <w:tcW w:w="535" w:type="pct"/>
                  <w:tcBorders>
                    <w:right w:val="single" w:color="auto" w:sz="4" w:space="0"/>
                  </w:tcBorders>
                  <w:vAlign w:val="center"/>
                </w:tcPr>
                <w:p>
                  <w:pPr>
                    <w:pStyle w:val="27"/>
                    <w:snapToGrid w:val="0"/>
                    <w:spacing w:line="240" w:lineRule="auto"/>
                    <w:rPr>
                      <w:rFonts w:hint="default" w:eastAsia="宋体"/>
                      <w:color w:val="auto"/>
                      <w:sz w:val="18"/>
                      <w:szCs w:val="18"/>
                      <w:lang w:val="en-US" w:eastAsia="zh-CN"/>
                    </w:rPr>
                  </w:pPr>
                  <w:r>
                    <w:rPr>
                      <w:rFonts w:hint="eastAsia"/>
                      <w:color w:val="auto"/>
                      <w:sz w:val="18"/>
                      <w:szCs w:val="18"/>
                      <w:lang w:val="en-US" w:eastAsia="zh-CN"/>
                    </w:rPr>
                    <w:t>1.8</w:t>
                  </w:r>
                </w:p>
              </w:tc>
              <w:tc>
                <w:tcPr>
                  <w:tcW w:w="516" w:type="pct"/>
                  <w:tcBorders>
                    <w:right w:val="single" w:color="auto" w:sz="4" w:space="0"/>
                  </w:tcBorders>
                  <w:vAlign w:val="center"/>
                </w:tcPr>
                <w:p>
                  <w:pPr>
                    <w:pStyle w:val="27"/>
                    <w:snapToGrid w:val="0"/>
                    <w:spacing w:line="240" w:lineRule="auto"/>
                    <w:rPr>
                      <w:color w:val="auto"/>
                      <w:sz w:val="18"/>
                      <w:szCs w:val="18"/>
                    </w:rPr>
                  </w:pPr>
                  <w:r>
                    <w:rPr>
                      <w:rFonts w:hint="eastAsia"/>
                      <w:color w:val="auto"/>
                      <w:sz w:val="18"/>
                      <w:szCs w:val="18"/>
                    </w:rPr>
                    <w:t>达标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58" w:hRule="atLeast"/>
                <w:jc w:val="center"/>
              </w:trPr>
              <w:tc>
                <w:tcPr>
                  <w:tcW w:w="240" w:type="pct"/>
                  <w:vMerge w:val="continue"/>
                  <w:vAlign w:val="center"/>
                </w:tcPr>
                <w:p>
                  <w:pPr>
                    <w:pStyle w:val="27"/>
                    <w:snapToGrid w:val="0"/>
                    <w:spacing w:line="240" w:lineRule="auto"/>
                    <w:rPr>
                      <w:color w:val="auto"/>
                      <w:sz w:val="18"/>
                      <w:szCs w:val="18"/>
                    </w:rPr>
                  </w:pPr>
                </w:p>
              </w:tc>
              <w:tc>
                <w:tcPr>
                  <w:tcW w:w="444" w:type="pct"/>
                  <w:vMerge w:val="continue"/>
                  <w:vAlign w:val="center"/>
                </w:tcPr>
                <w:p>
                  <w:pPr>
                    <w:pStyle w:val="27"/>
                    <w:snapToGrid w:val="0"/>
                    <w:spacing w:line="240" w:lineRule="auto"/>
                    <w:rPr>
                      <w:color w:val="auto"/>
                      <w:sz w:val="18"/>
                      <w:szCs w:val="18"/>
                    </w:rPr>
                  </w:pPr>
                </w:p>
              </w:tc>
              <w:tc>
                <w:tcPr>
                  <w:tcW w:w="444" w:type="pct"/>
                  <w:vMerge w:val="continue"/>
                  <w:vAlign w:val="center"/>
                </w:tcPr>
                <w:p>
                  <w:pPr>
                    <w:pStyle w:val="27"/>
                    <w:snapToGrid w:val="0"/>
                    <w:spacing w:line="240" w:lineRule="auto"/>
                    <w:rPr>
                      <w:color w:val="auto"/>
                      <w:sz w:val="18"/>
                      <w:szCs w:val="18"/>
                    </w:rPr>
                  </w:pPr>
                </w:p>
              </w:tc>
              <w:tc>
                <w:tcPr>
                  <w:tcW w:w="744" w:type="pct"/>
                  <w:vAlign w:val="center"/>
                </w:tcPr>
                <w:p>
                  <w:pPr>
                    <w:pStyle w:val="27"/>
                    <w:snapToGrid w:val="0"/>
                    <w:spacing w:line="240" w:lineRule="auto"/>
                    <w:rPr>
                      <w:rFonts w:hint="eastAsia" w:eastAsia="宋体"/>
                      <w:color w:val="auto"/>
                      <w:sz w:val="18"/>
                      <w:szCs w:val="18"/>
                      <w:lang w:val="en-US" w:eastAsia="zh-CN"/>
                    </w:rPr>
                  </w:pPr>
                  <w:r>
                    <w:rPr>
                      <w:rFonts w:hint="eastAsia"/>
                      <w:color w:val="auto"/>
                      <w:sz w:val="18"/>
                      <w:szCs w:val="18"/>
                      <w:lang w:val="en-US" w:eastAsia="zh-CN"/>
                    </w:rPr>
                    <w:t>苯酚</w:t>
                  </w:r>
                </w:p>
              </w:tc>
              <w:tc>
                <w:tcPr>
                  <w:tcW w:w="752" w:type="pct"/>
                  <w:tcBorders>
                    <w:right w:val="single" w:color="auto" w:sz="4" w:space="0"/>
                  </w:tcBorders>
                  <w:vAlign w:val="center"/>
                </w:tcPr>
                <w:p>
                  <w:pPr>
                    <w:pStyle w:val="27"/>
                    <w:snapToGrid w:val="0"/>
                    <w:spacing w:line="240" w:lineRule="auto"/>
                    <w:rPr>
                      <w:color w:val="auto"/>
                      <w:sz w:val="18"/>
                      <w:szCs w:val="18"/>
                    </w:rPr>
                  </w:pPr>
                  <w:r>
                    <w:rPr>
                      <w:rFonts w:hint="eastAsia"/>
                      <w:color w:val="auto"/>
                      <w:sz w:val="18"/>
                      <w:szCs w:val="18"/>
                    </w:rPr>
                    <w:t>＜</w:t>
                  </w:r>
                  <w:r>
                    <w:rPr>
                      <w:rFonts w:hint="eastAsia"/>
                      <w:color w:val="auto"/>
                      <w:sz w:val="18"/>
                      <w:szCs w:val="18"/>
                      <w:lang w:val="en-US" w:eastAsia="zh-CN"/>
                    </w:rPr>
                    <w:t>0.3</w:t>
                  </w:r>
                </w:p>
              </w:tc>
              <w:tc>
                <w:tcPr>
                  <w:tcW w:w="688" w:type="pct"/>
                  <w:tcBorders>
                    <w:left w:val="single" w:color="auto" w:sz="4" w:space="0"/>
                  </w:tcBorders>
                  <w:vAlign w:val="center"/>
                </w:tcPr>
                <w:p>
                  <w:pPr>
                    <w:pStyle w:val="27"/>
                    <w:snapToGrid w:val="0"/>
                    <w:spacing w:line="240" w:lineRule="auto"/>
                    <w:rPr>
                      <w:color w:val="auto"/>
                      <w:sz w:val="18"/>
                      <w:szCs w:val="18"/>
                    </w:rPr>
                  </w:pPr>
                  <w:r>
                    <w:rPr>
                      <w:rFonts w:hint="eastAsia"/>
                      <w:color w:val="auto"/>
                      <w:sz w:val="18"/>
                      <w:szCs w:val="18"/>
                      <w:lang w:val="en-US" w:eastAsia="zh-CN"/>
                    </w:rPr>
                    <w:t>/</w:t>
                  </w:r>
                </w:p>
              </w:tc>
              <w:tc>
                <w:tcPr>
                  <w:tcW w:w="634" w:type="pct"/>
                  <w:tcBorders>
                    <w:right w:val="single" w:color="auto" w:sz="4" w:space="0"/>
                  </w:tcBorders>
                  <w:vAlign w:val="center"/>
                </w:tcPr>
                <w:p>
                  <w:pPr>
                    <w:pStyle w:val="27"/>
                    <w:snapToGrid w:val="0"/>
                    <w:spacing w:line="240" w:lineRule="auto"/>
                    <w:rPr>
                      <w:color w:val="auto"/>
                      <w:sz w:val="18"/>
                      <w:szCs w:val="18"/>
                    </w:rPr>
                  </w:pPr>
                  <w:r>
                    <w:rPr>
                      <w:rFonts w:hint="eastAsia"/>
                      <w:color w:val="auto"/>
                      <w:sz w:val="18"/>
                      <w:szCs w:val="18"/>
                      <w:lang w:val="en-US" w:eastAsia="zh-CN"/>
                    </w:rPr>
                    <w:t>20</w:t>
                  </w:r>
                </w:p>
              </w:tc>
              <w:tc>
                <w:tcPr>
                  <w:tcW w:w="535" w:type="pct"/>
                  <w:tcBorders>
                    <w:right w:val="single" w:color="auto" w:sz="4" w:space="0"/>
                  </w:tcBorders>
                  <w:vAlign w:val="center"/>
                </w:tcPr>
                <w:p>
                  <w:pPr>
                    <w:pStyle w:val="27"/>
                    <w:snapToGrid w:val="0"/>
                    <w:spacing w:line="240" w:lineRule="auto"/>
                    <w:rPr>
                      <w:color w:val="auto"/>
                      <w:sz w:val="18"/>
                      <w:szCs w:val="18"/>
                    </w:rPr>
                  </w:pPr>
                  <w:r>
                    <w:rPr>
                      <w:rFonts w:hint="eastAsia"/>
                      <w:color w:val="auto"/>
                      <w:sz w:val="18"/>
                      <w:szCs w:val="18"/>
                      <w:lang w:val="en-US" w:eastAsia="zh-CN"/>
                    </w:rPr>
                    <w:t>/</w:t>
                  </w:r>
                </w:p>
              </w:tc>
              <w:tc>
                <w:tcPr>
                  <w:tcW w:w="516" w:type="pct"/>
                  <w:tcBorders>
                    <w:right w:val="single" w:color="auto" w:sz="4" w:space="0"/>
                  </w:tcBorders>
                  <w:vAlign w:val="center"/>
                </w:tcPr>
                <w:p>
                  <w:pPr>
                    <w:pStyle w:val="27"/>
                    <w:snapToGrid w:val="0"/>
                    <w:spacing w:line="240" w:lineRule="auto"/>
                    <w:rPr>
                      <w:rFonts w:hint="eastAsia"/>
                      <w:color w:val="auto"/>
                      <w:sz w:val="18"/>
                      <w:szCs w:val="18"/>
                    </w:rPr>
                  </w:pPr>
                  <w:r>
                    <w:rPr>
                      <w:rFonts w:hint="eastAsia"/>
                      <w:color w:val="auto"/>
                      <w:sz w:val="18"/>
                      <w:szCs w:val="18"/>
                    </w:rPr>
                    <w:t>达标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58" w:hRule="atLeast"/>
                <w:jc w:val="center"/>
              </w:trPr>
              <w:tc>
                <w:tcPr>
                  <w:tcW w:w="240" w:type="pct"/>
                  <w:vMerge w:val="continue"/>
                  <w:vAlign w:val="center"/>
                </w:tcPr>
                <w:p>
                  <w:pPr>
                    <w:pStyle w:val="27"/>
                    <w:snapToGrid w:val="0"/>
                    <w:spacing w:line="240" w:lineRule="auto"/>
                    <w:rPr>
                      <w:color w:val="auto"/>
                      <w:sz w:val="18"/>
                      <w:szCs w:val="18"/>
                    </w:rPr>
                  </w:pPr>
                </w:p>
              </w:tc>
              <w:tc>
                <w:tcPr>
                  <w:tcW w:w="444" w:type="pct"/>
                  <w:vAlign w:val="center"/>
                </w:tcPr>
                <w:p>
                  <w:pPr>
                    <w:pStyle w:val="27"/>
                    <w:snapToGrid w:val="0"/>
                    <w:spacing w:line="240" w:lineRule="auto"/>
                    <w:rPr>
                      <w:color w:val="auto"/>
                      <w:sz w:val="18"/>
                      <w:szCs w:val="18"/>
                    </w:rPr>
                  </w:pPr>
                  <w:r>
                    <w:rPr>
                      <w:rFonts w:hint="eastAsia"/>
                      <w:color w:val="auto"/>
                      <w:sz w:val="18"/>
                      <w:szCs w:val="18"/>
                    </w:rPr>
                    <w:t>车间八</w:t>
                  </w:r>
                </w:p>
              </w:tc>
              <w:tc>
                <w:tcPr>
                  <w:tcW w:w="444" w:type="pct"/>
                  <w:vAlign w:val="center"/>
                </w:tcPr>
                <w:p>
                  <w:pPr>
                    <w:pStyle w:val="27"/>
                    <w:snapToGrid w:val="0"/>
                    <w:spacing w:line="240" w:lineRule="auto"/>
                    <w:rPr>
                      <w:rFonts w:hint="default" w:eastAsia="宋体"/>
                      <w:color w:val="auto"/>
                      <w:sz w:val="18"/>
                      <w:szCs w:val="18"/>
                      <w:lang w:val="en-US" w:eastAsia="zh-CN"/>
                    </w:rPr>
                  </w:pPr>
                  <w:r>
                    <w:rPr>
                      <w:rFonts w:hint="eastAsia"/>
                      <w:color w:val="auto"/>
                      <w:sz w:val="18"/>
                      <w:szCs w:val="18"/>
                      <w:lang w:val="en-US" w:eastAsia="zh-CN"/>
                    </w:rPr>
                    <w:t>DA006</w:t>
                  </w:r>
                </w:p>
              </w:tc>
              <w:tc>
                <w:tcPr>
                  <w:tcW w:w="744" w:type="pct"/>
                  <w:vAlign w:val="center"/>
                </w:tcPr>
                <w:p>
                  <w:pPr>
                    <w:pStyle w:val="27"/>
                    <w:snapToGrid w:val="0"/>
                    <w:spacing w:line="240" w:lineRule="auto"/>
                    <w:rPr>
                      <w:rFonts w:hint="eastAsia"/>
                      <w:color w:val="auto"/>
                      <w:sz w:val="18"/>
                      <w:szCs w:val="18"/>
                      <w:lang w:val="en-US" w:eastAsia="zh-CN"/>
                    </w:rPr>
                  </w:pPr>
                  <w:r>
                    <w:rPr>
                      <w:rFonts w:hint="eastAsia"/>
                      <w:color w:val="auto"/>
                      <w:sz w:val="18"/>
                      <w:szCs w:val="18"/>
                      <w:lang w:val="en-US" w:eastAsia="zh-CN"/>
                    </w:rPr>
                    <w:t>非甲烷总烃</w:t>
                  </w:r>
                </w:p>
              </w:tc>
              <w:tc>
                <w:tcPr>
                  <w:tcW w:w="752" w:type="pct"/>
                  <w:tcBorders>
                    <w:right w:val="single" w:color="auto" w:sz="4" w:space="0"/>
                  </w:tcBorders>
                  <w:vAlign w:val="center"/>
                </w:tcPr>
                <w:p>
                  <w:pPr>
                    <w:pStyle w:val="27"/>
                    <w:snapToGrid w:val="0"/>
                    <w:spacing w:line="240" w:lineRule="auto"/>
                    <w:rPr>
                      <w:rFonts w:hint="default" w:eastAsia="宋体"/>
                      <w:color w:val="auto"/>
                      <w:sz w:val="18"/>
                      <w:szCs w:val="18"/>
                      <w:lang w:val="en-US" w:eastAsia="zh-CN"/>
                    </w:rPr>
                  </w:pPr>
                  <w:r>
                    <w:rPr>
                      <w:rFonts w:hint="eastAsia"/>
                      <w:color w:val="auto"/>
                      <w:sz w:val="18"/>
                      <w:szCs w:val="18"/>
                      <w:lang w:val="en-US" w:eastAsia="zh-CN"/>
                    </w:rPr>
                    <w:t>1.22</w:t>
                  </w:r>
                </w:p>
              </w:tc>
              <w:tc>
                <w:tcPr>
                  <w:tcW w:w="688" w:type="pct"/>
                  <w:tcBorders>
                    <w:left w:val="single" w:color="auto" w:sz="4" w:space="0"/>
                  </w:tcBorders>
                  <w:vAlign w:val="center"/>
                </w:tcPr>
                <w:p>
                  <w:pPr>
                    <w:pStyle w:val="27"/>
                    <w:snapToGrid w:val="0"/>
                    <w:spacing w:line="240" w:lineRule="auto"/>
                    <w:rPr>
                      <w:rFonts w:hint="default"/>
                      <w:color w:val="auto"/>
                      <w:sz w:val="18"/>
                      <w:szCs w:val="18"/>
                      <w:lang w:val="en-US" w:eastAsia="zh-CN"/>
                    </w:rPr>
                  </w:pPr>
                  <w:r>
                    <w:rPr>
                      <w:rFonts w:hint="eastAsia"/>
                      <w:color w:val="auto"/>
                      <w:sz w:val="18"/>
                      <w:szCs w:val="18"/>
                      <w:lang w:val="en-US" w:eastAsia="zh-CN"/>
                    </w:rPr>
                    <w:t>0.003</w:t>
                  </w:r>
                </w:p>
              </w:tc>
              <w:tc>
                <w:tcPr>
                  <w:tcW w:w="634" w:type="pct"/>
                  <w:tcBorders>
                    <w:right w:val="single" w:color="auto" w:sz="4" w:space="0"/>
                  </w:tcBorders>
                  <w:vAlign w:val="center"/>
                </w:tcPr>
                <w:p>
                  <w:pPr>
                    <w:pStyle w:val="27"/>
                    <w:snapToGrid w:val="0"/>
                    <w:spacing w:line="240" w:lineRule="auto"/>
                    <w:rPr>
                      <w:rFonts w:hint="default"/>
                      <w:color w:val="auto"/>
                      <w:sz w:val="18"/>
                      <w:szCs w:val="18"/>
                      <w:lang w:val="en-US" w:eastAsia="zh-CN"/>
                    </w:rPr>
                  </w:pPr>
                  <w:r>
                    <w:rPr>
                      <w:rFonts w:hint="eastAsia"/>
                      <w:color w:val="auto"/>
                      <w:sz w:val="18"/>
                      <w:szCs w:val="18"/>
                      <w:lang w:val="en-US" w:eastAsia="zh-CN"/>
                    </w:rPr>
                    <w:t>100</w:t>
                  </w:r>
                </w:p>
              </w:tc>
              <w:tc>
                <w:tcPr>
                  <w:tcW w:w="535" w:type="pct"/>
                  <w:tcBorders>
                    <w:right w:val="single" w:color="auto" w:sz="4" w:space="0"/>
                  </w:tcBorders>
                  <w:vAlign w:val="center"/>
                </w:tcPr>
                <w:p>
                  <w:pPr>
                    <w:pStyle w:val="27"/>
                    <w:snapToGrid w:val="0"/>
                    <w:spacing w:line="240" w:lineRule="auto"/>
                    <w:rPr>
                      <w:rFonts w:hint="default"/>
                      <w:color w:val="auto"/>
                      <w:sz w:val="18"/>
                      <w:szCs w:val="18"/>
                      <w:lang w:val="en-US" w:eastAsia="zh-CN"/>
                    </w:rPr>
                  </w:pPr>
                  <w:r>
                    <w:rPr>
                      <w:rFonts w:hint="eastAsia"/>
                      <w:color w:val="auto"/>
                      <w:sz w:val="18"/>
                      <w:szCs w:val="18"/>
                      <w:lang w:val="en-US" w:eastAsia="zh-CN"/>
                    </w:rPr>
                    <w:t>1.8</w:t>
                  </w:r>
                </w:p>
              </w:tc>
              <w:tc>
                <w:tcPr>
                  <w:tcW w:w="516" w:type="pct"/>
                  <w:tcBorders>
                    <w:right w:val="single" w:color="auto" w:sz="4" w:space="0"/>
                  </w:tcBorders>
                  <w:vAlign w:val="center"/>
                </w:tcPr>
                <w:p>
                  <w:pPr>
                    <w:pStyle w:val="27"/>
                    <w:snapToGrid w:val="0"/>
                    <w:spacing w:line="240" w:lineRule="auto"/>
                    <w:rPr>
                      <w:rFonts w:hint="eastAsia"/>
                      <w:color w:val="auto"/>
                      <w:sz w:val="18"/>
                      <w:szCs w:val="18"/>
                    </w:rPr>
                  </w:pPr>
                  <w:r>
                    <w:rPr>
                      <w:rFonts w:hint="eastAsia"/>
                      <w:color w:val="auto"/>
                      <w:sz w:val="18"/>
                      <w:szCs w:val="18"/>
                    </w:rPr>
                    <w:t>达标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58" w:hRule="atLeast"/>
                <w:jc w:val="center"/>
              </w:trPr>
              <w:tc>
                <w:tcPr>
                  <w:tcW w:w="240" w:type="pct"/>
                  <w:vMerge w:val="continue"/>
                  <w:vAlign w:val="center"/>
                </w:tcPr>
                <w:p>
                  <w:pPr>
                    <w:pStyle w:val="27"/>
                    <w:snapToGrid w:val="0"/>
                    <w:spacing w:line="240" w:lineRule="auto"/>
                    <w:rPr>
                      <w:color w:val="auto"/>
                      <w:sz w:val="18"/>
                      <w:szCs w:val="18"/>
                    </w:rPr>
                  </w:pPr>
                </w:p>
              </w:tc>
              <w:tc>
                <w:tcPr>
                  <w:tcW w:w="444" w:type="pct"/>
                  <w:vAlign w:val="center"/>
                </w:tcPr>
                <w:p>
                  <w:pPr>
                    <w:pStyle w:val="27"/>
                    <w:snapToGrid w:val="0"/>
                    <w:spacing w:line="240" w:lineRule="auto"/>
                    <w:rPr>
                      <w:rFonts w:hint="eastAsia"/>
                      <w:color w:val="auto"/>
                      <w:sz w:val="18"/>
                      <w:szCs w:val="18"/>
                    </w:rPr>
                  </w:pPr>
                  <w:r>
                    <w:rPr>
                      <w:rFonts w:hint="eastAsia"/>
                      <w:color w:val="auto"/>
                      <w:sz w:val="18"/>
                      <w:szCs w:val="18"/>
                      <w:lang w:val="en-US" w:eastAsia="zh-CN"/>
                    </w:rPr>
                    <w:t>危废库废气</w:t>
                  </w:r>
                </w:p>
              </w:tc>
              <w:tc>
                <w:tcPr>
                  <w:tcW w:w="444" w:type="pct"/>
                  <w:vAlign w:val="center"/>
                </w:tcPr>
                <w:p>
                  <w:pPr>
                    <w:pStyle w:val="27"/>
                    <w:snapToGrid w:val="0"/>
                    <w:spacing w:line="240" w:lineRule="auto"/>
                    <w:rPr>
                      <w:rFonts w:hint="default"/>
                      <w:color w:val="auto"/>
                      <w:sz w:val="18"/>
                      <w:szCs w:val="18"/>
                      <w:lang w:val="en-US" w:eastAsia="zh-CN"/>
                    </w:rPr>
                  </w:pPr>
                  <w:r>
                    <w:rPr>
                      <w:rFonts w:hint="eastAsia"/>
                      <w:color w:val="auto"/>
                      <w:sz w:val="18"/>
                      <w:szCs w:val="18"/>
                      <w:lang w:val="en-US" w:eastAsia="zh-CN"/>
                    </w:rPr>
                    <w:t>DA007</w:t>
                  </w:r>
                </w:p>
              </w:tc>
              <w:tc>
                <w:tcPr>
                  <w:tcW w:w="744" w:type="pct"/>
                  <w:vAlign w:val="center"/>
                </w:tcPr>
                <w:p>
                  <w:pPr>
                    <w:pStyle w:val="27"/>
                    <w:snapToGrid w:val="0"/>
                    <w:spacing w:line="240" w:lineRule="auto"/>
                    <w:rPr>
                      <w:rFonts w:hint="eastAsia"/>
                      <w:color w:val="auto"/>
                      <w:sz w:val="18"/>
                      <w:szCs w:val="18"/>
                      <w:lang w:val="en-US" w:eastAsia="zh-CN"/>
                    </w:rPr>
                  </w:pPr>
                  <w:r>
                    <w:rPr>
                      <w:rFonts w:hint="eastAsia"/>
                      <w:color w:val="auto"/>
                      <w:sz w:val="18"/>
                      <w:szCs w:val="18"/>
                      <w:lang w:val="en-US" w:eastAsia="zh-CN"/>
                    </w:rPr>
                    <w:t>非甲烷总烃</w:t>
                  </w:r>
                </w:p>
              </w:tc>
              <w:tc>
                <w:tcPr>
                  <w:tcW w:w="752" w:type="pct"/>
                  <w:tcBorders>
                    <w:right w:val="single" w:color="auto" w:sz="4" w:space="0"/>
                  </w:tcBorders>
                  <w:vAlign w:val="center"/>
                </w:tcPr>
                <w:p>
                  <w:pPr>
                    <w:pStyle w:val="27"/>
                    <w:snapToGrid w:val="0"/>
                    <w:spacing w:line="240" w:lineRule="auto"/>
                    <w:rPr>
                      <w:rFonts w:hint="default"/>
                      <w:color w:val="auto"/>
                      <w:sz w:val="18"/>
                      <w:szCs w:val="18"/>
                      <w:lang w:val="en-US" w:eastAsia="zh-CN"/>
                    </w:rPr>
                  </w:pPr>
                  <w:r>
                    <w:rPr>
                      <w:rFonts w:hint="eastAsia"/>
                      <w:color w:val="auto"/>
                      <w:sz w:val="18"/>
                      <w:szCs w:val="18"/>
                      <w:lang w:val="en-US" w:eastAsia="zh-CN"/>
                    </w:rPr>
                    <w:t>1.2</w:t>
                  </w:r>
                </w:p>
              </w:tc>
              <w:tc>
                <w:tcPr>
                  <w:tcW w:w="688" w:type="pct"/>
                  <w:tcBorders>
                    <w:left w:val="single" w:color="auto" w:sz="4" w:space="0"/>
                  </w:tcBorders>
                  <w:vAlign w:val="center"/>
                </w:tcPr>
                <w:p>
                  <w:pPr>
                    <w:pStyle w:val="27"/>
                    <w:snapToGrid w:val="0"/>
                    <w:spacing w:line="240" w:lineRule="auto"/>
                    <w:rPr>
                      <w:rFonts w:hint="default"/>
                      <w:color w:val="auto"/>
                      <w:sz w:val="18"/>
                      <w:szCs w:val="18"/>
                      <w:lang w:val="en-US" w:eastAsia="zh-CN"/>
                    </w:rPr>
                  </w:pPr>
                  <w:r>
                    <w:rPr>
                      <w:rFonts w:hint="eastAsia"/>
                      <w:color w:val="auto"/>
                      <w:sz w:val="18"/>
                      <w:szCs w:val="18"/>
                      <w:lang w:val="en-US" w:eastAsia="zh-CN"/>
                    </w:rPr>
                    <w:t>0.001</w:t>
                  </w:r>
                </w:p>
              </w:tc>
              <w:tc>
                <w:tcPr>
                  <w:tcW w:w="634" w:type="pct"/>
                  <w:tcBorders>
                    <w:right w:val="single" w:color="auto" w:sz="4" w:space="0"/>
                  </w:tcBorders>
                  <w:vAlign w:val="center"/>
                </w:tcPr>
                <w:p>
                  <w:pPr>
                    <w:pStyle w:val="27"/>
                    <w:snapToGrid w:val="0"/>
                    <w:spacing w:line="240" w:lineRule="auto"/>
                    <w:rPr>
                      <w:rFonts w:hint="default"/>
                      <w:color w:val="auto"/>
                      <w:sz w:val="18"/>
                      <w:szCs w:val="18"/>
                      <w:lang w:val="en-US" w:eastAsia="zh-CN"/>
                    </w:rPr>
                  </w:pPr>
                  <w:r>
                    <w:rPr>
                      <w:rFonts w:hint="eastAsia"/>
                      <w:color w:val="auto"/>
                      <w:sz w:val="18"/>
                      <w:szCs w:val="18"/>
                      <w:lang w:val="en-US" w:eastAsia="zh-CN"/>
                    </w:rPr>
                    <w:t>100</w:t>
                  </w:r>
                </w:p>
              </w:tc>
              <w:tc>
                <w:tcPr>
                  <w:tcW w:w="535" w:type="pct"/>
                  <w:tcBorders>
                    <w:right w:val="single" w:color="auto" w:sz="4" w:space="0"/>
                  </w:tcBorders>
                  <w:vAlign w:val="center"/>
                </w:tcPr>
                <w:p>
                  <w:pPr>
                    <w:pStyle w:val="27"/>
                    <w:snapToGrid w:val="0"/>
                    <w:spacing w:line="240" w:lineRule="auto"/>
                    <w:rPr>
                      <w:rFonts w:hint="default"/>
                      <w:color w:val="auto"/>
                      <w:sz w:val="18"/>
                      <w:szCs w:val="18"/>
                      <w:lang w:val="en-US" w:eastAsia="zh-CN"/>
                    </w:rPr>
                  </w:pPr>
                  <w:r>
                    <w:rPr>
                      <w:rFonts w:hint="eastAsia"/>
                      <w:color w:val="auto"/>
                      <w:sz w:val="18"/>
                      <w:szCs w:val="18"/>
                      <w:lang w:val="en-US" w:eastAsia="zh-CN"/>
                    </w:rPr>
                    <w:t>1.8</w:t>
                  </w:r>
                </w:p>
              </w:tc>
              <w:tc>
                <w:tcPr>
                  <w:tcW w:w="516" w:type="pct"/>
                  <w:tcBorders>
                    <w:right w:val="single" w:color="auto" w:sz="4" w:space="0"/>
                  </w:tcBorders>
                  <w:vAlign w:val="center"/>
                </w:tcPr>
                <w:p>
                  <w:pPr>
                    <w:pStyle w:val="27"/>
                    <w:snapToGrid w:val="0"/>
                    <w:spacing w:line="240" w:lineRule="auto"/>
                    <w:rPr>
                      <w:rFonts w:hint="eastAsia"/>
                      <w:color w:val="auto"/>
                      <w:sz w:val="18"/>
                      <w:szCs w:val="18"/>
                    </w:rPr>
                  </w:pPr>
                  <w:r>
                    <w:rPr>
                      <w:rFonts w:hint="eastAsia"/>
                      <w:color w:val="auto"/>
                      <w:sz w:val="18"/>
                      <w:szCs w:val="18"/>
                    </w:rPr>
                    <w:t>达标</w:t>
                  </w:r>
                </w:p>
              </w:tc>
            </w:tr>
          </w:tbl>
          <w:p>
            <w:pPr>
              <w:spacing w:before="194" w:beforeLines="50"/>
              <w:jc w:val="center"/>
              <w:outlineLvl w:val="5"/>
              <w:rPr>
                <w:rFonts w:hint="eastAsia"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表2-15  现有建成工程锅炉废气</w:t>
            </w:r>
            <w:r>
              <w:rPr>
                <w:rFonts w:hint="eastAsia" w:eastAsia="宋体" w:cs="Times New Roman"/>
                <w:b/>
                <w:color w:val="auto"/>
                <w:spacing w:val="0"/>
                <w:sz w:val="21"/>
                <w:szCs w:val="21"/>
                <w:lang w:val="zh-CN" w:eastAsia="zh-CN"/>
              </w:rPr>
              <w:t>污染物排放情况</w:t>
            </w:r>
          </w:p>
          <w:tbl>
            <w:tblPr>
              <w:tblStyle w:val="19"/>
              <w:tblW w:w="48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242"/>
              <w:gridCol w:w="780"/>
              <w:gridCol w:w="1408"/>
              <w:gridCol w:w="1232"/>
              <w:gridCol w:w="1139"/>
              <w:gridCol w:w="1008"/>
              <w:gridCol w:w="968"/>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1299" w:type="pct"/>
                  <w:gridSpan w:val="2"/>
                  <w:vAlign w:val="center"/>
                </w:tcPr>
                <w:p>
                  <w:pPr>
                    <w:pStyle w:val="27"/>
                    <w:rPr>
                      <w:color w:val="auto"/>
                      <w:sz w:val="18"/>
                      <w:szCs w:val="18"/>
                    </w:rPr>
                  </w:pPr>
                  <w:r>
                    <w:rPr>
                      <w:rFonts w:hint="eastAsia"/>
                      <w:color w:val="auto"/>
                      <w:sz w:val="18"/>
                      <w:szCs w:val="18"/>
                    </w:rPr>
                    <w:t>废气排放口</w:t>
                  </w:r>
                </w:p>
              </w:tc>
              <w:tc>
                <w:tcPr>
                  <w:tcW w:w="905" w:type="pct"/>
                  <w:tcBorders>
                    <w:right w:val="single" w:color="auto" w:sz="4" w:space="0"/>
                  </w:tcBorders>
                  <w:vAlign w:val="center"/>
                </w:tcPr>
                <w:p>
                  <w:pPr>
                    <w:pStyle w:val="27"/>
                    <w:rPr>
                      <w:color w:val="auto"/>
                      <w:sz w:val="18"/>
                      <w:szCs w:val="18"/>
                    </w:rPr>
                  </w:pPr>
                  <w:r>
                    <w:rPr>
                      <w:rFonts w:hint="eastAsia"/>
                      <w:color w:val="auto"/>
                      <w:sz w:val="18"/>
                      <w:szCs w:val="18"/>
                    </w:rPr>
                    <w:t>污染物</w:t>
                  </w:r>
                </w:p>
              </w:tc>
              <w:tc>
                <w:tcPr>
                  <w:tcW w:w="792" w:type="pct"/>
                  <w:tcBorders>
                    <w:right w:val="single" w:color="auto" w:sz="4" w:space="0"/>
                  </w:tcBorders>
                  <w:vAlign w:val="center"/>
                </w:tcPr>
                <w:p>
                  <w:pPr>
                    <w:pStyle w:val="27"/>
                    <w:spacing w:line="240" w:lineRule="auto"/>
                    <w:rPr>
                      <w:color w:val="auto"/>
                      <w:sz w:val="18"/>
                      <w:szCs w:val="18"/>
                    </w:rPr>
                  </w:pPr>
                  <w:r>
                    <w:rPr>
                      <w:rFonts w:hint="eastAsia"/>
                      <w:color w:val="auto"/>
                      <w:sz w:val="18"/>
                      <w:szCs w:val="18"/>
                    </w:rPr>
                    <w:t>实测浓度均值(mg/m</w:t>
                  </w:r>
                  <w:r>
                    <w:rPr>
                      <w:rFonts w:hint="eastAsia"/>
                      <w:color w:val="auto"/>
                      <w:sz w:val="18"/>
                      <w:szCs w:val="18"/>
                      <w:vertAlign w:val="superscript"/>
                    </w:rPr>
                    <w:t>3</w:t>
                  </w:r>
                  <w:r>
                    <w:rPr>
                      <w:rFonts w:hint="eastAsia"/>
                      <w:color w:val="auto"/>
                      <w:sz w:val="18"/>
                      <w:szCs w:val="18"/>
                    </w:rPr>
                    <w:t>)</w:t>
                  </w:r>
                </w:p>
              </w:tc>
              <w:tc>
                <w:tcPr>
                  <w:tcW w:w="732" w:type="pct"/>
                  <w:tcBorders>
                    <w:right w:val="single" w:color="auto" w:sz="4" w:space="0"/>
                  </w:tcBorders>
                  <w:vAlign w:val="center"/>
                </w:tcPr>
                <w:p>
                  <w:pPr>
                    <w:pStyle w:val="27"/>
                    <w:rPr>
                      <w:color w:val="auto"/>
                      <w:sz w:val="18"/>
                      <w:szCs w:val="18"/>
                    </w:rPr>
                  </w:pPr>
                  <w:r>
                    <w:rPr>
                      <w:rFonts w:hint="eastAsia"/>
                      <w:color w:val="auto"/>
                      <w:sz w:val="18"/>
                      <w:szCs w:val="18"/>
                    </w:rPr>
                    <w:t>折算浓度(mg/m</w:t>
                  </w:r>
                  <w:r>
                    <w:rPr>
                      <w:rFonts w:hint="eastAsia"/>
                      <w:color w:val="auto"/>
                      <w:sz w:val="18"/>
                      <w:szCs w:val="18"/>
                      <w:vertAlign w:val="superscript"/>
                    </w:rPr>
                    <w:t>3</w:t>
                  </w:r>
                  <w:r>
                    <w:rPr>
                      <w:rFonts w:hint="eastAsia"/>
                      <w:color w:val="auto"/>
                      <w:sz w:val="18"/>
                      <w:szCs w:val="18"/>
                    </w:rPr>
                    <w:t>)</w:t>
                  </w:r>
                </w:p>
              </w:tc>
              <w:tc>
                <w:tcPr>
                  <w:tcW w:w="648" w:type="pct"/>
                  <w:tcBorders>
                    <w:right w:val="single" w:color="auto" w:sz="4" w:space="0"/>
                  </w:tcBorders>
                  <w:vAlign w:val="center"/>
                </w:tcPr>
                <w:p>
                  <w:pPr>
                    <w:pStyle w:val="27"/>
                    <w:rPr>
                      <w:color w:val="auto"/>
                      <w:sz w:val="18"/>
                      <w:szCs w:val="18"/>
                    </w:rPr>
                  </w:pPr>
                  <w:r>
                    <w:rPr>
                      <w:rFonts w:hint="eastAsia"/>
                      <w:color w:val="auto"/>
                      <w:sz w:val="18"/>
                      <w:szCs w:val="18"/>
                    </w:rPr>
                    <w:t>标准限值(mg/m</w:t>
                  </w:r>
                  <w:r>
                    <w:rPr>
                      <w:rFonts w:hint="eastAsia"/>
                      <w:color w:val="auto"/>
                      <w:sz w:val="18"/>
                      <w:szCs w:val="18"/>
                      <w:vertAlign w:val="superscript"/>
                    </w:rPr>
                    <w:t>3</w:t>
                  </w:r>
                  <w:r>
                    <w:rPr>
                      <w:rFonts w:hint="eastAsia"/>
                      <w:color w:val="auto"/>
                      <w:sz w:val="18"/>
                      <w:szCs w:val="18"/>
                    </w:rPr>
                    <w:t>)</w:t>
                  </w:r>
                </w:p>
              </w:tc>
              <w:tc>
                <w:tcPr>
                  <w:tcW w:w="622" w:type="pct"/>
                  <w:tcBorders>
                    <w:right w:val="single" w:color="auto" w:sz="4" w:space="0"/>
                  </w:tcBorders>
                  <w:vAlign w:val="center"/>
                </w:tcPr>
                <w:p>
                  <w:pPr>
                    <w:pStyle w:val="27"/>
                    <w:rPr>
                      <w:color w:val="auto"/>
                      <w:sz w:val="18"/>
                      <w:szCs w:val="18"/>
                    </w:rPr>
                  </w:pPr>
                  <w:r>
                    <w:rPr>
                      <w:rFonts w:hint="eastAsia"/>
                      <w:color w:val="auto"/>
                      <w:sz w:val="18"/>
                      <w:szCs w:val="18"/>
                    </w:rPr>
                    <w:t>达标情况</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798" w:type="pct"/>
                  <w:vMerge w:val="restart"/>
                  <w:vAlign w:val="center"/>
                </w:tcPr>
                <w:p>
                  <w:pPr>
                    <w:pStyle w:val="27"/>
                    <w:rPr>
                      <w:color w:val="auto"/>
                      <w:sz w:val="18"/>
                      <w:szCs w:val="18"/>
                    </w:rPr>
                  </w:pPr>
                  <w:r>
                    <w:rPr>
                      <w:rFonts w:hint="eastAsia"/>
                      <w:color w:val="auto"/>
                      <w:sz w:val="18"/>
                      <w:szCs w:val="18"/>
                    </w:rPr>
                    <w:t>二厂1#锅炉</w:t>
                  </w:r>
                </w:p>
                <w:p>
                  <w:pPr>
                    <w:pStyle w:val="27"/>
                    <w:rPr>
                      <w:color w:val="auto"/>
                      <w:sz w:val="18"/>
                      <w:szCs w:val="18"/>
                    </w:rPr>
                  </w:pPr>
                  <w:r>
                    <w:rPr>
                      <w:rFonts w:hint="eastAsia"/>
                      <w:color w:val="auto"/>
                      <w:sz w:val="18"/>
                      <w:szCs w:val="18"/>
                    </w:rPr>
                    <w:t>废气排放口</w:t>
                  </w:r>
                </w:p>
              </w:tc>
              <w:tc>
                <w:tcPr>
                  <w:tcW w:w="501" w:type="pct"/>
                  <w:vMerge w:val="restart"/>
                  <w:vAlign w:val="center"/>
                </w:tcPr>
                <w:p>
                  <w:pPr>
                    <w:pStyle w:val="27"/>
                    <w:rPr>
                      <w:rFonts w:hint="default" w:eastAsia="宋体"/>
                      <w:color w:val="auto"/>
                      <w:sz w:val="18"/>
                      <w:szCs w:val="18"/>
                      <w:lang w:val="en-US" w:eastAsia="zh-CN"/>
                    </w:rPr>
                  </w:pPr>
                  <w:r>
                    <w:rPr>
                      <w:rFonts w:hint="eastAsia"/>
                      <w:color w:val="auto"/>
                      <w:sz w:val="18"/>
                      <w:szCs w:val="18"/>
                      <w:lang w:val="en-US" w:eastAsia="zh-CN"/>
                    </w:rPr>
                    <w:t>DA009</w:t>
                  </w:r>
                </w:p>
              </w:tc>
              <w:tc>
                <w:tcPr>
                  <w:tcW w:w="905" w:type="pct"/>
                  <w:tcBorders>
                    <w:right w:val="single" w:color="auto" w:sz="4" w:space="0"/>
                  </w:tcBorders>
                  <w:vAlign w:val="center"/>
                </w:tcPr>
                <w:p>
                  <w:pPr>
                    <w:pStyle w:val="27"/>
                    <w:rPr>
                      <w:color w:val="auto"/>
                      <w:sz w:val="18"/>
                      <w:szCs w:val="18"/>
                    </w:rPr>
                  </w:pPr>
                  <w:r>
                    <w:rPr>
                      <w:rFonts w:hint="eastAsia"/>
                      <w:color w:val="auto"/>
                      <w:sz w:val="18"/>
                      <w:szCs w:val="18"/>
                    </w:rPr>
                    <w:t>颗粒物</w:t>
                  </w:r>
                </w:p>
              </w:tc>
              <w:tc>
                <w:tcPr>
                  <w:tcW w:w="792" w:type="pct"/>
                  <w:tcBorders>
                    <w:right w:val="single" w:color="auto" w:sz="4" w:space="0"/>
                  </w:tcBorders>
                  <w:vAlign w:val="center"/>
                </w:tcPr>
                <w:p>
                  <w:pPr>
                    <w:pStyle w:val="27"/>
                    <w:rPr>
                      <w:rFonts w:hint="default" w:eastAsia="宋体"/>
                      <w:color w:val="auto"/>
                      <w:sz w:val="18"/>
                      <w:szCs w:val="18"/>
                      <w:lang w:val="en-US" w:eastAsia="zh-CN"/>
                    </w:rPr>
                  </w:pPr>
                  <w:r>
                    <w:rPr>
                      <w:rFonts w:hint="eastAsia"/>
                      <w:color w:val="auto"/>
                      <w:sz w:val="18"/>
                      <w:szCs w:val="18"/>
                      <w:lang w:val="en-US" w:eastAsia="zh-CN"/>
                    </w:rPr>
                    <w:t>3.8</w:t>
                  </w:r>
                </w:p>
              </w:tc>
              <w:tc>
                <w:tcPr>
                  <w:tcW w:w="732" w:type="pct"/>
                  <w:tcBorders>
                    <w:right w:val="single" w:color="auto" w:sz="4" w:space="0"/>
                  </w:tcBorders>
                  <w:vAlign w:val="center"/>
                </w:tcPr>
                <w:p>
                  <w:pPr>
                    <w:pStyle w:val="27"/>
                    <w:rPr>
                      <w:rFonts w:hint="default" w:eastAsia="宋体"/>
                      <w:color w:val="auto"/>
                      <w:sz w:val="18"/>
                      <w:szCs w:val="18"/>
                      <w:lang w:val="en-US" w:eastAsia="zh-CN"/>
                    </w:rPr>
                  </w:pPr>
                  <w:r>
                    <w:rPr>
                      <w:rFonts w:hint="eastAsia"/>
                      <w:color w:val="auto"/>
                      <w:sz w:val="18"/>
                      <w:szCs w:val="18"/>
                      <w:lang w:val="en-US" w:eastAsia="zh-CN"/>
                    </w:rPr>
                    <w:t>4.5</w:t>
                  </w:r>
                </w:p>
              </w:tc>
              <w:tc>
                <w:tcPr>
                  <w:tcW w:w="648" w:type="pct"/>
                  <w:tcBorders>
                    <w:right w:val="single" w:color="auto" w:sz="4" w:space="0"/>
                  </w:tcBorders>
                  <w:vAlign w:val="center"/>
                </w:tcPr>
                <w:p>
                  <w:pPr>
                    <w:pStyle w:val="27"/>
                    <w:rPr>
                      <w:rFonts w:hint="default" w:eastAsia="宋体"/>
                      <w:color w:val="auto"/>
                      <w:sz w:val="18"/>
                      <w:szCs w:val="18"/>
                      <w:lang w:val="en-US" w:eastAsia="zh-CN"/>
                    </w:rPr>
                  </w:pPr>
                  <w:r>
                    <w:rPr>
                      <w:rFonts w:hint="eastAsia"/>
                      <w:color w:val="auto"/>
                      <w:sz w:val="18"/>
                      <w:szCs w:val="18"/>
                      <w:lang w:val="en-US" w:eastAsia="zh-CN"/>
                    </w:rPr>
                    <w:t>30</w:t>
                  </w:r>
                </w:p>
              </w:tc>
              <w:tc>
                <w:tcPr>
                  <w:tcW w:w="622" w:type="pct"/>
                  <w:tcBorders>
                    <w:right w:val="single" w:color="auto" w:sz="4" w:space="0"/>
                  </w:tcBorders>
                  <w:vAlign w:val="center"/>
                </w:tcPr>
                <w:p>
                  <w:pPr>
                    <w:pStyle w:val="27"/>
                    <w:rPr>
                      <w:color w:val="auto"/>
                      <w:sz w:val="18"/>
                      <w:szCs w:val="18"/>
                    </w:rPr>
                  </w:pPr>
                  <w:r>
                    <w:rPr>
                      <w:rFonts w:hint="eastAsia"/>
                      <w:color w:val="auto"/>
                      <w:sz w:val="18"/>
                      <w:szCs w:val="18"/>
                    </w:rPr>
                    <w:t>达标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798" w:type="pct"/>
                  <w:vMerge w:val="continue"/>
                  <w:vAlign w:val="center"/>
                </w:tcPr>
                <w:p>
                  <w:pPr>
                    <w:pStyle w:val="27"/>
                    <w:rPr>
                      <w:color w:val="auto"/>
                      <w:sz w:val="18"/>
                      <w:szCs w:val="18"/>
                    </w:rPr>
                  </w:pPr>
                </w:p>
              </w:tc>
              <w:tc>
                <w:tcPr>
                  <w:tcW w:w="501" w:type="pct"/>
                  <w:vMerge w:val="continue"/>
                  <w:vAlign w:val="center"/>
                </w:tcPr>
                <w:p>
                  <w:pPr>
                    <w:pStyle w:val="27"/>
                    <w:rPr>
                      <w:color w:val="auto"/>
                      <w:sz w:val="18"/>
                      <w:szCs w:val="18"/>
                    </w:rPr>
                  </w:pPr>
                </w:p>
              </w:tc>
              <w:tc>
                <w:tcPr>
                  <w:tcW w:w="905" w:type="pct"/>
                  <w:tcBorders>
                    <w:right w:val="single" w:color="auto" w:sz="4" w:space="0"/>
                  </w:tcBorders>
                  <w:vAlign w:val="center"/>
                </w:tcPr>
                <w:p>
                  <w:pPr>
                    <w:pStyle w:val="27"/>
                    <w:rPr>
                      <w:color w:val="auto"/>
                      <w:sz w:val="18"/>
                      <w:szCs w:val="18"/>
                    </w:rPr>
                  </w:pPr>
                  <w:r>
                    <w:rPr>
                      <w:rFonts w:hint="eastAsia"/>
                      <w:color w:val="auto"/>
                      <w:sz w:val="18"/>
                      <w:szCs w:val="18"/>
                    </w:rPr>
                    <w:t>二氧化硫</w:t>
                  </w:r>
                </w:p>
              </w:tc>
              <w:tc>
                <w:tcPr>
                  <w:tcW w:w="792" w:type="pct"/>
                  <w:tcBorders>
                    <w:right w:val="single" w:color="auto" w:sz="4" w:space="0"/>
                  </w:tcBorders>
                  <w:vAlign w:val="center"/>
                </w:tcPr>
                <w:p>
                  <w:pPr>
                    <w:pStyle w:val="27"/>
                    <w:rPr>
                      <w:color w:val="auto"/>
                      <w:sz w:val="18"/>
                      <w:szCs w:val="18"/>
                    </w:rPr>
                  </w:pPr>
                  <w:r>
                    <w:rPr>
                      <w:rFonts w:hint="eastAsia"/>
                      <w:color w:val="auto"/>
                      <w:sz w:val="18"/>
                      <w:szCs w:val="18"/>
                    </w:rPr>
                    <w:t>＜3</w:t>
                  </w:r>
                </w:p>
              </w:tc>
              <w:tc>
                <w:tcPr>
                  <w:tcW w:w="732" w:type="pct"/>
                  <w:tcBorders>
                    <w:right w:val="single" w:color="auto" w:sz="4" w:space="0"/>
                  </w:tcBorders>
                  <w:vAlign w:val="center"/>
                </w:tcPr>
                <w:p>
                  <w:pPr>
                    <w:pStyle w:val="27"/>
                    <w:rPr>
                      <w:color w:val="auto"/>
                      <w:sz w:val="18"/>
                      <w:szCs w:val="18"/>
                    </w:rPr>
                  </w:pPr>
                  <w:r>
                    <w:rPr>
                      <w:rFonts w:hint="eastAsia"/>
                      <w:color w:val="auto"/>
                      <w:sz w:val="18"/>
                      <w:szCs w:val="18"/>
                    </w:rPr>
                    <w:t>/</w:t>
                  </w:r>
                </w:p>
              </w:tc>
              <w:tc>
                <w:tcPr>
                  <w:tcW w:w="648" w:type="pct"/>
                  <w:tcBorders>
                    <w:right w:val="single" w:color="auto" w:sz="4" w:space="0"/>
                  </w:tcBorders>
                  <w:vAlign w:val="center"/>
                </w:tcPr>
                <w:p>
                  <w:pPr>
                    <w:pStyle w:val="27"/>
                    <w:rPr>
                      <w:rFonts w:hint="default" w:eastAsia="宋体"/>
                      <w:color w:val="auto"/>
                      <w:sz w:val="18"/>
                      <w:szCs w:val="18"/>
                      <w:lang w:val="en-US" w:eastAsia="zh-CN"/>
                    </w:rPr>
                  </w:pPr>
                  <w:r>
                    <w:rPr>
                      <w:rFonts w:hint="eastAsia"/>
                      <w:color w:val="auto"/>
                      <w:sz w:val="18"/>
                      <w:szCs w:val="18"/>
                      <w:lang w:val="en-US" w:eastAsia="zh-CN"/>
                    </w:rPr>
                    <w:t>100</w:t>
                  </w:r>
                </w:p>
              </w:tc>
              <w:tc>
                <w:tcPr>
                  <w:tcW w:w="622" w:type="pct"/>
                  <w:tcBorders>
                    <w:right w:val="single" w:color="auto" w:sz="4" w:space="0"/>
                  </w:tcBorders>
                  <w:vAlign w:val="center"/>
                </w:tcPr>
                <w:p>
                  <w:pPr>
                    <w:pStyle w:val="27"/>
                    <w:rPr>
                      <w:color w:val="auto"/>
                      <w:sz w:val="18"/>
                      <w:szCs w:val="18"/>
                    </w:rPr>
                  </w:pPr>
                  <w:r>
                    <w:rPr>
                      <w:rFonts w:hint="eastAsia"/>
                      <w:color w:val="auto"/>
                      <w:sz w:val="18"/>
                      <w:szCs w:val="18"/>
                    </w:rPr>
                    <w:t>达标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798" w:type="pct"/>
                  <w:vMerge w:val="continue"/>
                  <w:vAlign w:val="center"/>
                </w:tcPr>
                <w:p>
                  <w:pPr>
                    <w:pStyle w:val="27"/>
                    <w:rPr>
                      <w:color w:val="auto"/>
                      <w:sz w:val="18"/>
                      <w:szCs w:val="18"/>
                    </w:rPr>
                  </w:pPr>
                </w:p>
              </w:tc>
              <w:tc>
                <w:tcPr>
                  <w:tcW w:w="501" w:type="pct"/>
                  <w:vMerge w:val="continue"/>
                  <w:vAlign w:val="center"/>
                </w:tcPr>
                <w:p>
                  <w:pPr>
                    <w:pStyle w:val="27"/>
                    <w:rPr>
                      <w:color w:val="auto"/>
                      <w:sz w:val="18"/>
                      <w:szCs w:val="18"/>
                    </w:rPr>
                  </w:pPr>
                </w:p>
              </w:tc>
              <w:tc>
                <w:tcPr>
                  <w:tcW w:w="905" w:type="pct"/>
                  <w:tcBorders>
                    <w:right w:val="single" w:color="auto" w:sz="4" w:space="0"/>
                  </w:tcBorders>
                  <w:vAlign w:val="center"/>
                </w:tcPr>
                <w:p>
                  <w:pPr>
                    <w:pStyle w:val="27"/>
                    <w:rPr>
                      <w:color w:val="auto"/>
                      <w:sz w:val="18"/>
                      <w:szCs w:val="18"/>
                    </w:rPr>
                  </w:pPr>
                  <w:r>
                    <w:rPr>
                      <w:rFonts w:hint="eastAsia"/>
                      <w:color w:val="auto"/>
                      <w:sz w:val="18"/>
                      <w:szCs w:val="18"/>
                    </w:rPr>
                    <w:t>氮氧化物</w:t>
                  </w:r>
                </w:p>
              </w:tc>
              <w:tc>
                <w:tcPr>
                  <w:tcW w:w="792" w:type="pct"/>
                  <w:tcBorders>
                    <w:right w:val="single" w:color="auto" w:sz="4" w:space="0"/>
                  </w:tcBorders>
                  <w:vAlign w:val="center"/>
                </w:tcPr>
                <w:p>
                  <w:pPr>
                    <w:pStyle w:val="27"/>
                    <w:rPr>
                      <w:rFonts w:hint="default" w:eastAsia="宋体"/>
                      <w:color w:val="auto"/>
                      <w:sz w:val="18"/>
                      <w:szCs w:val="18"/>
                      <w:lang w:val="en-US" w:eastAsia="zh-CN"/>
                    </w:rPr>
                  </w:pPr>
                  <w:r>
                    <w:rPr>
                      <w:rFonts w:hint="eastAsia"/>
                      <w:color w:val="auto"/>
                      <w:sz w:val="18"/>
                      <w:szCs w:val="18"/>
                      <w:lang w:val="en-US" w:eastAsia="zh-CN"/>
                    </w:rPr>
                    <w:t>85</w:t>
                  </w:r>
                </w:p>
              </w:tc>
              <w:tc>
                <w:tcPr>
                  <w:tcW w:w="732" w:type="pct"/>
                  <w:tcBorders>
                    <w:right w:val="single" w:color="auto" w:sz="4" w:space="0"/>
                  </w:tcBorders>
                  <w:vAlign w:val="center"/>
                </w:tcPr>
                <w:p>
                  <w:pPr>
                    <w:pStyle w:val="27"/>
                    <w:rPr>
                      <w:rFonts w:hint="default" w:eastAsia="宋体"/>
                      <w:color w:val="auto"/>
                      <w:sz w:val="18"/>
                      <w:szCs w:val="18"/>
                      <w:lang w:val="en-US" w:eastAsia="zh-CN"/>
                    </w:rPr>
                  </w:pPr>
                  <w:r>
                    <w:rPr>
                      <w:rFonts w:hint="eastAsia"/>
                      <w:color w:val="auto"/>
                      <w:sz w:val="18"/>
                      <w:szCs w:val="18"/>
                      <w:lang w:val="en-US" w:eastAsia="zh-CN"/>
                    </w:rPr>
                    <w:t>100</w:t>
                  </w:r>
                </w:p>
              </w:tc>
              <w:tc>
                <w:tcPr>
                  <w:tcW w:w="648" w:type="pct"/>
                  <w:tcBorders>
                    <w:right w:val="single" w:color="auto" w:sz="4" w:space="0"/>
                  </w:tcBorders>
                  <w:vAlign w:val="center"/>
                </w:tcPr>
                <w:p>
                  <w:pPr>
                    <w:pStyle w:val="27"/>
                    <w:rPr>
                      <w:rFonts w:hint="default" w:eastAsia="宋体"/>
                      <w:color w:val="auto"/>
                      <w:sz w:val="18"/>
                      <w:szCs w:val="18"/>
                      <w:lang w:val="en-US" w:eastAsia="zh-CN"/>
                    </w:rPr>
                  </w:pPr>
                  <w:r>
                    <w:rPr>
                      <w:rFonts w:hint="eastAsia"/>
                      <w:color w:val="auto"/>
                      <w:sz w:val="18"/>
                      <w:szCs w:val="18"/>
                      <w:lang w:val="en-US" w:eastAsia="zh-CN"/>
                    </w:rPr>
                    <w:t>400</w:t>
                  </w:r>
                </w:p>
              </w:tc>
              <w:tc>
                <w:tcPr>
                  <w:tcW w:w="622" w:type="pct"/>
                  <w:tcBorders>
                    <w:right w:val="single" w:color="auto" w:sz="4" w:space="0"/>
                  </w:tcBorders>
                  <w:vAlign w:val="center"/>
                </w:tcPr>
                <w:p>
                  <w:pPr>
                    <w:pStyle w:val="27"/>
                    <w:rPr>
                      <w:color w:val="auto"/>
                      <w:sz w:val="18"/>
                      <w:szCs w:val="18"/>
                    </w:rPr>
                  </w:pPr>
                  <w:r>
                    <w:rPr>
                      <w:rFonts w:hint="eastAsia"/>
                      <w:color w:val="auto"/>
                      <w:sz w:val="18"/>
                      <w:szCs w:val="18"/>
                    </w:rPr>
                    <w:t>达标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798" w:type="pct"/>
                  <w:vMerge w:val="continue"/>
                  <w:vAlign w:val="center"/>
                </w:tcPr>
                <w:p>
                  <w:pPr>
                    <w:pStyle w:val="27"/>
                    <w:rPr>
                      <w:color w:val="auto"/>
                      <w:sz w:val="18"/>
                      <w:szCs w:val="18"/>
                    </w:rPr>
                  </w:pPr>
                </w:p>
              </w:tc>
              <w:tc>
                <w:tcPr>
                  <w:tcW w:w="501" w:type="pct"/>
                  <w:vMerge w:val="continue"/>
                  <w:vAlign w:val="center"/>
                </w:tcPr>
                <w:p>
                  <w:pPr>
                    <w:pStyle w:val="27"/>
                    <w:rPr>
                      <w:color w:val="auto"/>
                      <w:sz w:val="18"/>
                      <w:szCs w:val="18"/>
                    </w:rPr>
                  </w:pPr>
                </w:p>
              </w:tc>
              <w:tc>
                <w:tcPr>
                  <w:tcW w:w="905" w:type="pct"/>
                  <w:tcBorders>
                    <w:right w:val="single" w:color="auto" w:sz="4" w:space="0"/>
                  </w:tcBorders>
                  <w:vAlign w:val="center"/>
                </w:tcPr>
                <w:p>
                  <w:pPr>
                    <w:pStyle w:val="27"/>
                    <w:rPr>
                      <w:color w:val="auto"/>
                      <w:sz w:val="18"/>
                      <w:szCs w:val="18"/>
                    </w:rPr>
                  </w:pPr>
                  <w:r>
                    <w:rPr>
                      <w:rFonts w:hint="eastAsia"/>
                      <w:color w:val="auto"/>
                      <w:sz w:val="18"/>
                      <w:szCs w:val="18"/>
                    </w:rPr>
                    <w:t>烟气黑度(级)</w:t>
                  </w:r>
                </w:p>
              </w:tc>
              <w:tc>
                <w:tcPr>
                  <w:tcW w:w="792" w:type="pct"/>
                  <w:tcBorders>
                    <w:right w:val="single" w:color="auto" w:sz="4" w:space="0"/>
                  </w:tcBorders>
                  <w:vAlign w:val="center"/>
                </w:tcPr>
                <w:p>
                  <w:pPr>
                    <w:pStyle w:val="27"/>
                    <w:rPr>
                      <w:color w:val="auto"/>
                      <w:sz w:val="18"/>
                      <w:szCs w:val="18"/>
                    </w:rPr>
                  </w:pPr>
                  <w:r>
                    <w:rPr>
                      <w:rFonts w:hint="eastAsia"/>
                      <w:color w:val="auto"/>
                      <w:sz w:val="18"/>
                      <w:szCs w:val="18"/>
                    </w:rPr>
                    <w:t>＜1</w:t>
                  </w:r>
                </w:p>
              </w:tc>
              <w:tc>
                <w:tcPr>
                  <w:tcW w:w="732" w:type="pct"/>
                  <w:tcBorders>
                    <w:right w:val="single" w:color="auto" w:sz="4" w:space="0"/>
                  </w:tcBorders>
                  <w:vAlign w:val="center"/>
                </w:tcPr>
                <w:p>
                  <w:pPr>
                    <w:pStyle w:val="27"/>
                    <w:rPr>
                      <w:color w:val="auto"/>
                      <w:sz w:val="18"/>
                      <w:szCs w:val="18"/>
                    </w:rPr>
                  </w:pPr>
                  <w:r>
                    <w:rPr>
                      <w:rFonts w:hint="eastAsia"/>
                      <w:color w:val="auto"/>
                      <w:sz w:val="18"/>
                      <w:szCs w:val="18"/>
                    </w:rPr>
                    <w:t>/</w:t>
                  </w:r>
                </w:p>
              </w:tc>
              <w:tc>
                <w:tcPr>
                  <w:tcW w:w="648" w:type="pct"/>
                  <w:tcBorders>
                    <w:right w:val="single" w:color="auto" w:sz="4" w:space="0"/>
                  </w:tcBorders>
                  <w:vAlign w:val="center"/>
                </w:tcPr>
                <w:p>
                  <w:pPr>
                    <w:pStyle w:val="27"/>
                    <w:rPr>
                      <w:color w:val="auto"/>
                      <w:sz w:val="18"/>
                      <w:szCs w:val="18"/>
                    </w:rPr>
                  </w:pPr>
                  <w:r>
                    <w:rPr>
                      <w:rFonts w:hint="eastAsia"/>
                      <w:color w:val="auto"/>
                      <w:sz w:val="18"/>
                      <w:szCs w:val="18"/>
                    </w:rPr>
                    <w:t>＜1</w:t>
                  </w:r>
                </w:p>
              </w:tc>
              <w:tc>
                <w:tcPr>
                  <w:tcW w:w="622" w:type="pct"/>
                  <w:tcBorders>
                    <w:right w:val="single" w:color="auto" w:sz="4" w:space="0"/>
                  </w:tcBorders>
                  <w:vAlign w:val="center"/>
                </w:tcPr>
                <w:p>
                  <w:pPr>
                    <w:pStyle w:val="27"/>
                    <w:rPr>
                      <w:color w:val="auto"/>
                      <w:sz w:val="18"/>
                      <w:szCs w:val="18"/>
                    </w:rPr>
                  </w:pPr>
                  <w:r>
                    <w:rPr>
                      <w:rFonts w:hint="eastAsia"/>
                      <w:color w:val="auto"/>
                      <w:sz w:val="18"/>
                      <w:szCs w:val="18"/>
                    </w:rPr>
                    <w:t>达标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798" w:type="pct"/>
                  <w:vMerge w:val="restart"/>
                  <w:vAlign w:val="center"/>
                </w:tcPr>
                <w:p>
                  <w:pPr>
                    <w:pStyle w:val="27"/>
                    <w:rPr>
                      <w:color w:val="auto"/>
                      <w:sz w:val="18"/>
                      <w:szCs w:val="18"/>
                    </w:rPr>
                  </w:pPr>
                  <w:r>
                    <w:rPr>
                      <w:rFonts w:hint="eastAsia"/>
                      <w:color w:val="auto"/>
                      <w:sz w:val="18"/>
                      <w:szCs w:val="18"/>
                    </w:rPr>
                    <w:t>二厂2#锅炉</w:t>
                  </w:r>
                </w:p>
                <w:p>
                  <w:pPr>
                    <w:pStyle w:val="27"/>
                    <w:rPr>
                      <w:color w:val="auto"/>
                      <w:sz w:val="18"/>
                      <w:szCs w:val="18"/>
                    </w:rPr>
                  </w:pPr>
                  <w:r>
                    <w:rPr>
                      <w:rFonts w:hint="eastAsia"/>
                      <w:color w:val="auto"/>
                      <w:sz w:val="18"/>
                      <w:szCs w:val="18"/>
                    </w:rPr>
                    <w:t>废气排放口</w:t>
                  </w:r>
                </w:p>
              </w:tc>
              <w:tc>
                <w:tcPr>
                  <w:tcW w:w="501" w:type="pct"/>
                  <w:vMerge w:val="restart"/>
                  <w:vAlign w:val="center"/>
                </w:tcPr>
                <w:p>
                  <w:pPr>
                    <w:pStyle w:val="27"/>
                    <w:rPr>
                      <w:rFonts w:hint="default"/>
                      <w:color w:val="auto"/>
                      <w:sz w:val="18"/>
                      <w:szCs w:val="18"/>
                      <w:lang w:val="en-US"/>
                    </w:rPr>
                  </w:pPr>
                  <w:r>
                    <w:rPr>
                      <w:rFonts w:hint="eastAsia"/>
                      <w:color w:val="auto"/>
                      <w:sz w:val="18"/>
                      <w:szCs w:val="18"/>
                      <w:lang w:val="en-US" w:eastAsia="zh-CN"/>
                    </w:rPr>
                    <w:t>DA010</w:t>
                  </w:r>
                </w:p>
              </w:tc>
              <w:tc>
                <w:tcPr>
                  <w:tcW w:w="905" w:type="pct"/>
                  <w:tcBorders>
                    <w:right w:val="single" w:color="auto" w:sz="4" w:space="0"/>
                  </w:tcBorders>
                  <w:vAlign w:val="center"/>
                </w:tcPr>
                <w:p>
                  <w:pPr>
                    <w:pStyle w:val="27"/>
                    <w:rPr>
                      <w:color w:val="auto"/>
                      <w:sz w:val="18"/>
                      <w:szCs w:val="18"/>
                    </w:rPr>
                  </w:pPr>
                  <w:r>
                    <w:rPr>
                      <w:rFonts w:hint="eastAsia"/>
                      <w:color w:val="auto"/>
                      <w:sz w:val="18"/>
                      <w:szCs w:val="18"/>
                    </w:rPr>
                    <w:t>颗粒物</w:t>
                  </w:r>
                </w:p>
              </w:tc>
              <w:tc>
                <w:tcPr>
                  <w:tcW w:w="792" w:type="pct"/>
                  <w:tcBorders>
                    <w:right w:val="single" w:color="auto" w:sz="4" w:space="0"/>
                  </w:tcBorders>
                  <w:vAlign w:val="center"/>
                </w:tcPr>
                <w:p>
                  <w:pPr>
                    <w:pStyle w:val="27"/>
                    <w:rPr>
                      <w:rFonts w:hint="eastAsia" w:eastAsia="宋体"/>
                      <w:color w:val="auto"/>
                      <w:sz w:val="18"/>
                      <w:szCs w:val="18"/>
                      <w:lang w:eastAsia="zh-CN"/>
                    </w:rPr>
                  </w:pPr>
                  <w:r>
                    <w:rPr>
                      <w:rFonts w:hint="eastAsia"/>
                      <w:color w:val="auto"/>
                      <w:sz w:val="18"/>
                      <w:szCs w:val="18"/>
                      <w:lang w:val="en-US" w:eastAsia="zh-CN"/>
                    </w:rPr>
                    <w:t>2</w:t>
                  </w:r>
                </w:p>
              </w:tc>
              <w:tc>
                <w:tcPr>
                  <w:tcW w:w="732" w:type="pct"/>
                  <w:tcBorders>
                    <w:right w:val="single" w:color="auto" w:sz="4" w:space="0"/>
                  </w:tcBorders>
                  <w:vAlign w:val="center"/>
                </w:tcPr>
                <w:p>
                  <w:pPr>
                    <w:pStyle w:val="27"/>
                    <w:rPr>
                      <w:rFonts w:hint="default" w:eastAsia="宋体"/>
                      <w:color w:val="auto"/>
                      <w:sz w:val="18"/>
                      <w:szCs w:val="18"/>
                      <w:lang w:val="en-US" w:eastAsia="zh-CN"/>
                    </w:rPr>
                  </w:pPr>
                  <w:r>
                    <w:rPr>
                      <w:rFonts w:hint="eastAsia"/>
                      <w:color w:val="auto"/>
                      <w:sz w:val="18"/>
                      <w:szCs w:val="18"/>
                      <w:lang w:val="en-US" w:eastAsia="zh-CN"/>
                    </w:rPr>
                    <w:t>2.4</w:t>
                  </w:r>
                </w:p>
              </w:tc>
              <w:tc>
                <w:tcPr>
                  <w:tcW w:w="648" w:type="pct"/>
                  <w:tcBorders>
                    <w:right w:val="single" w:color="auto" w:sz="4" w:space="0"/>
                  </w:tcBorders>
                  <w:vAlign w:val="center"/>
                </w:tcPr>
                <w:p>
                  <w:pPr>
                    <w:pStyle w:val="27"/>
                    <w:rPr>
                      <w:color w:val="auto"/>
                      <w:sz w:val="18"/>
                      <w:szCs w:val="18"/>
                    </w:rPr>
                  </w:pPr>
                  <w:r>
                    <w:rPr>
                      <w:rFonts w:hint="eastAsia"/>
                      <w:color w:val="auto"/>
                      <w:sz w:val="18"/>
                      <w:szCs w:val="18"/>
                      <w:lang w:val="en-US" w:eastAsia="zh-CN"/>
                    </w:rPr>
                    <w:t>30</w:t>
                  </w:r>
                </w:p>
              </w:tc>
              <w:tc>
                <w:tcPr>
                  <w:tcW w:w="622" w:type="pct"/>
                  <w:tcBorders>
                    <w:right w:val="single" w:color="auto" w:sz="4" w:space="0"/>
                  </w:tcBorders>
                  <w:vAlign w:val="center"/>
                </w:tcPr>
                <w:p>
                  <w:pPr>
                    <w:pStyle w:val="27"/>
                    <w:rPr>
                      <w:color w:val="auto"/>
                      <w:sz w:val="18"/>
                      <w:szCs w:val="18"/>
                    </w:rPr>
                  </w:pPr>
                  <w:r>
                    <w:rPr>
                      <w:rFonts w:hint="eastAsia"/>
                      <w:color w:val="auto"/>
                      <w:sz w:val="18"/>
                      <w:szCs w:val="18"/>
                    </w:rPr>
                    <w:t>达标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798" w:type="pct"/>
                  <w:vMerge w:val="continue"/>
                  <w:vAlign w:val="center"/>
                </w:tcPr>
                <w:p>
                  <w:pPr>
                    <w:pStyle w:val="27"/>
                    <w:rPr>
                      <w:color w:val="auto"/>
                      <w:sz w:val="18"/>
                      <w:szCs w:val="18"/>
                    </w:rPr>
                  </w:pPr>
                </w:p>
              </w:tc>
              <w:tc>
                <w:tcPr>
                  <w:tcW w:w="501" w:type="pct"/>
                  <w:vMerge w:val="continue"/>
                  <w:vAlign w:val="center"/>
                </w:tcPr>
                <w:p>
                  <w:pPr>
                    <w:pStyle w:val="27"/>
                    <w:rPr>
                      <w:color w:val="auto"/>
                      <w:sz w:val="18"/>
                      <w:szCs w:val="18"/>
                    </w:rPr>
                  </w:pPr>
                </w:p>
              </w:tc>
              <w:tc>
                <w:tcPr>
                  <w:tcW w:w="905" w:type="pct"/>
                  <w:tcBorders>
                    <w:right w:val="single" w:color="auto" w:sz="4" w:space="0"/>
                  </w:tcBorders>
                  <w:vAlign w:val="center"/>
                </w:tcPr>
                <w:p>
                  <w:pPr>
                    <w:pStyle w:val="27"/>
                    <w:rPr>
                      <w:color w:val="auto"/>
                      <w:sz w:val="18"/>
                      <w:szCs w:val="18"/>
                    </w:rPr>
                  </w:pPr>
                  <w:r>
                    <w:rPr>
                      <w:rFonts w:hint="eastAsia"/>
                      <w:color w:val="auto"/>
                      <w:sz w:val="18"/>
                      <w:szCs w:val="18"/>
                    </w:rPr>
                    <w:t>二氧化硫</w:t>
                  </w:r>
                </w:p>
              </w:tc>
              <w:tc>
                <w:tcPr>
                  <w:tcW w:w="792" w:type="pct"/>
                  <w:tcBorders>
                    <w:right w:val="single" w:color="auto" w:sz="4" w:space="0"/>
                  </w:tcBorders>
                  <w:vAlign w:val="center"/>
                </w:tcPr>
                <w:p>
                  <w:pPr>
                    <w:pStyle w:val="27"/>
                    <w:rPr>
                      <w:color w:val="auto"/>
                      <w:sz w:val="18"/>
                      <w:szCs w:val="18"/>
                    </w:rPr>
                  </w:pPr>
                  <w:r>
                    <w:rPr>
                      <w:rFonts w:hint="eastAsia"/>
                      <w:color w:val="auto"/>
                      <w:sz w:val="18"/>
                      <w:szCs w:val="18"/>
                    </w:rPr>
                    <w:t>＜3</w:t>
                  </w:r>
                </w:p>
              </w:tc>
              <w:tc>
                <w:tcPr>
                  <w:tcW w:w="732" w:type="pct"/>
                  <w:tcBorders>
                    <w:right w:val="single" w:color="auto" w:sz="4" w:space="0"/>
                  </w:tcBorders>
                  <w:vAlign w:val="center"/>
                </w:tcPr>
                <w:p>
                  <w:pPr>
                    <w:pStyle w:val="27"/>
                    <w:rPr>
                      <w:color w:val="auto"/>
                      <w:sz w:val="18"/>
                      <w:szCs w:val="18"/>
                    </w:rPr>
                  </w:pPr>
                  <w:r>
                    <w:rPr>
                      <w:rFonts w:hint="eastAsia"/>
                      <w:color w:val="auto"/>
                      <w:sz w:val="18"/>
                      <w:szCs w:val="18"/>
                    </w:rPr>
                    <w:t>/</w:t>
                  </w:r>
                </w:p>
              </w:tc>
              <w:tc>
                <w:tcPr>
                  <w:tcW w:w="648" w:type="pct"/>
                  <w:tcBorders>
                    <w:right w:val="single" w:color="auto" w:sz="4" w:space="0"/>
                  </w:tcBorders>
                  <w:vAlign w:val="center"/>
                </w:tcPr>
                <w:p>
                  <w:pPr>
                    <w:pStyle w:val="27"/>
                    <w:rPr>
                      <w:color w:val="auto"/>
                      <w:sz w:val="18"/>
                      <w:szCs w:val="18"/>
                    </w:rPr>
                  </w:pPr>
                  <w:r>
                    <w:rPr>
                      <w:rFonts w:hint="eastAsia"/>
                      <w:color w:val="auto"/>
                      <w:sz w:val="18"/>
                      <w:szCs w:val="18"/>
                      <w:lang w:val="en-US" w:eastAsia="zh-CN"/>
                    </w:rPr>
                    <w:t>100</w:t>
                  </w:r>
                </w:p>
              </w:tc>
              <w:tc>
                <w:tcPr>
                  <w:tcW w:w="622" w:type="pct"/>
                  <w:tcBorders>
                    <w:right w:val="single" w:color="auto" w:sz="4" w:space="0"/>
                  </w:tcBorders>
                  <w:vAlign w:val="center"/>
                </w:tcPr>
                <w:p>
                  <w:pPr>
                    <w:pStyle w:val="27"/>
                    <w:rPr>
                      <w:color w:val="auto"/>
                      <w:sz w:val="18"/>
                      <w:szCs w:val="18"/>
                    </w:rPr>
                  </w:pPr>
                  <w:r>
                    <w:rPr>
                      <w:rFonts w:hint="eastAsia"/>
                      <w:color w:val="auto"/>
                      <w:sz w:val="18"/>
                      <w:szCs w:val="18"/>
                    </w:rPr>
                    <w:t>达标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798" w:type="pct"/>
                  <w:vMerge w:val="continue"/>
                  <w:vAlign w:val="center"/>
                </w:tcPr>
                <w:p>
                  <w:pPr>
                    <w:pStyle w:val="27"/>
                    <w:rPr>
                      <w:color w:val="auto"/>
                      <w:sz w:val="18"/>
                      <w:szCs w:val="18"/>
                    </w:rPr>
                  </w:pPr>
                </w:p>
              </w:tc>
              <w:tc>
                <w:tcPr>
                  <w:tcW w:w="501" w:type="pct"/>
                  <w:vMerge w:val="continue"/>
                  <w:vAlign w:val="center"/>
                </w:tcPr>
                <w:p>
                  <w:pPr>
                    <w:pStyle w:val="27"/>
                    <w:rPr>
                      <w:color w:val="auto"/>
                      <w:sz w:val="18"/>
                      <w:szCs w:val="18"/>
                    </w:rPr>
                  </w:pPr>
                </w:p>
              </w:tc>
              <w:tc>
                <w:tcPr>
                  <w:tcW w:w="905" w:type="pct"/>
                  <w:tcBorders>
                    <w:right w:val="single" w:color="auto" w:sz="4" w:space="0"/>
                  </w:tcBorders>
                  <w:vAlign w:val="center"/>
                </w:tcPr>
                <w:p>
                  <w:pPr>
                    <w:pStyle w:val="27"/>
                    <w:rPr>
                      <w:color w:val="auto"/>
                      <w:sz w:val="18"/>
                      <w:szCs w:val="18"/>
                    </w:rPr>
                  </w:pPr>
                  <w:r>
                    <w:rPr>
                      <w:rFonts w:hint="eastAsia"/>
                      <w:color w:val="auto"/>
                      <w:sz w:val="18"/>
                      <w:szCs w:val="18"/>
                    </w:rPr>
                    <w:t>氮氧化物</w:t>
                  </w:r>
                </w:p>
              </w:tc>
              <w:tc>
                <w:tcPr>
                  <w:tcW w:w="792" w:type="pct"/>
                  <w:tcBorders>
                    <w:right w:val="single" w:color="auto" w:sz="4" w:space="0"/>
                  </w:tcBorders>
                  <w:vAlign w:val="center"/>
                </w:tcPr>
                <w:p>
                  <w:pPr>
                    <w:pStyle w:val="27"/>
                    <w:rPr>
                      <w:rFonts w:hint="default" w:eastAsia="宋体"/>
                      <w:color w:val="auto"/>
                      <w:sz w:val="18"/>
                      <w:szCs w:val="18"/>
                      <w:lang w:val="en-US" w:eastAsia="zh-CN"/>
                    </w:rPr>
                  </w:pPr>
                  <w:r>
                    <w:rPr>
                      <w:rFonts w:hint="eastAsia"/>
                      <w:color w:val="auto"/>
                      <w:sz w:val="18"/>
                      <w:szCs w:val="18"/>
                      <w:lang w:val="en-US" w:eastAsia="zh-CN"/>
                    </w:rPr>
                    <w:t>84</w:t>
                  </w:r>
                </w:p>
              </w:tc>
              <w:tc>
                <w:tcPr>
                  <w:tcW w:w="732" w:type="pct"/>
                  <w:tcBorders>
                    <w:right w:val="single" w:color="auto" w:sz="4" w:space="0"/>
                  </w:tcBorders>
                  <w:vAlign w:val="center"/>
                </w:tcPr>
                <w:p>
                  <w:pPr>
                    <w:pStyle w:val="27"/>
                    <w:rPr>
                      <w:rFonts w:hint="default" w:eastAsia="宋体"/>
                      <w:color w:val="auto"/>
                      <w:sz w:val="18"/>
                      <w:szCs w:val="18"/>
                      <w:lang w:val="en-US" w:eastAsia="zh-CN"/>
                    </w:rPr>
                  </w:pPr>
                  <w:r>
                    <w:rPr>
                      <w:rFonts w:hint="eastAsia"/>
                      <w:color w:val="auto"/>
                      <w:sz w:val="18"/>
                      <w:szCs w:val="18"/>
                      <w:lang w:val="en-US" w:eastAsia="zh-CN"/>
                    </w:rPr>
                    <w:t>102</w:t>
                  </w:r>
                </w:p>
              </w:tc>
              <w:tc>
                <w:tcPr>
                  <w:tcW w:w="648" w:type="pct"/>
                  <w:tcBorders>
                    <w:right w:val="single" w:color="auto" w:sz="4" w:space="0"/>
                  </w:tcBorders>
                  <w:vAlign w:val="center"/>
                </w:tcPr>
                <w:p>
                  <w:pPr>
                    <w:pStyle w:val="27"/>
                    <w:rPr>
                      <w:color w:val="auto"/>
                      <w:sz w:val="18"/>
                      <w:szCs w:val="18"/>
                    </w:rPr>
                  </w:pPr>
                  <w:r>
                    <w:rPr>
                      <w:rFonts w:hint="eastAsia"/>
                      <w:color w:val="auto"/>
                      <w:sz w:val="18"/>
                      <w:szCs w:val="18"/>
                      <w:lang w:val="en-US" w:eastAsia="zh-CN"/>
                    </w:rPr>
                    <w:t>400</w:t>
                  </w:r>
                </w:p>
              </w:tc>
              <w:tc>
                <w:tcPr>
                  <w:tcW w:w="622" w:type="pct"/>
                  <w:tcBorders>
                    <w:right w:val="single" w:color="auto" w:sz="4" w:space="0"/>
                  </w:tcBorders>
                  <w:vAlign w:val="center"/>
                </w:tcPr>
                <w:p>
                  <w:pPr>
                    <w:pStyle w:val="27"/>
                    <w:rPr>
                      <w:color w:val="auto"/>
                      <w:sz w:val="18"/>
                      <w:szCs w:val="18"/>
                    </w:rPr>
                  </w:pPr>
                  <w:r>
                    <w:rPr>
                      <w:rFonts w:hint="eastAsia"/>
                      <w:color w:val="auto"/>
                      <w:sz w:val="18"/>
                      <w:szCs w:val="18"/>
                    </w:rPr>
                    <w:t>达标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798" w:type="pct"/>
                  <w:vMerge w:val="continue"/>
                  <w:vAlign w:val="center"/>
                </w:tcPr>
                <w:p>
                  <w:pPr>
                    <w:pStyle w:val="27"/>
                    <w:rPr>
                      <w:color w:val="auto"/>
                      <w:sz w:val="18"/>
                      <w:szCs w:val="18"/>
                    </w:rPr>
                  </w:pPr>
                </w:p>
              </w:tc>
              <w:tc>
                <w:tcPr>
                  <w:tcW w:w="501" w:type="pct"/>
                  <w:vMerge w:val="continue"/>
                  <w:vAlign w:val="center"/>
                </w:tcPr>
                <w:p>
                  <w:pPr>
                    <w:pStyle w:val="27"/>
                    <w:rPr>
                      <w:color w:val="auto"/>
                      <w:sz w:val="18"/>
                      <w:szCs w:val="18"/>
                    </w:rPr>
                  </w:pPr>
                </w:p>
              </w:tc>
              <w:tc>
                <w:tcPr>
                  <w:tcW w:w="905" w:type="pct"/>
                  <w:tcBorders>
                    <w:right w:val="single" w:color="auto" w:sz="4" w:space="0"/>
                  </w:tcBorders>
                  <w:vAlign w:val="center"/>
                </w:tcPr>
                <w:p>
                  <w:pPr>
                    <w:pStyle w:val="27"/>
                    <w:rPr>
                      <w:color w:val="auto"/>
                      <w:sz w:val="18"/>
                      <w:szCs w:val="18"/>
                    </w:rPr>
                  </w:pPr>
                  <w:r>
                    <w:rPr>
                      <w:rFonts w:hint="eastAsia"/>
                      <w:color w:val="auto"/>
                      <w:sz w:val="18"/>
                      <w:szCs w:val="18"/>
                    </w:rPr>
                    <w:t>烟气黑度(级)</w:t>
                  </w:r>
                </w:p>
              </w:tc>
              <w:tc>
                <w:tcPr>
                  <w:tcW w:w="792" w:type="pct"/>
                  <w:tcBorders>
                    <w:right w:val="single" w:color="auto" w:sz="4" w:space="0"/>
                  </w:tcBorders>
                  <w:vAlign w:val="center"/>
                </w:tcPr>
                <w:p>
                  <w:pPr>
                    <w:pStyle w:val="27"/>
                    <w:rPr>
                      <w:color w:val="auto"/>
                      <w:sz w:val="18"/>
                      <w:szCs w:val="18"/>
                    </w:rPr>
                  </w:pPr>
                  <w:r>
                    <w:rPr>
                      <w:rFonts w:hint="eastAsia"/>
                      <w:color w:val="auto"/>
                      <w:sz w:val="18"/>
                      <w:szCs w:val="18"/>
                    </w:rPr>
                    <w:t>＜1</w:t>
                  </w:r>
                </w:p>
              </w:tc>
              <w:tc>
                <w:tcPr>
                  <w:tcW w:w="732" w:type="pct"/>
                  <w:tcBorders>
                    <w:right w:val="single" w:color="auto" w:sz="4" w:space="0"/>
                  </w:tcBorders>
                  <w:vAlign w:val="center"/>
                </w:tcPr>
                <w:p>
                  <w:pPr>
                    <w:pStyle w:val="27"/>
                    <w:rPr>
                      <w:color w:val="auto"/>
                      <w:sz w:val="18"/>
                      <w:szCs w:val="18"/>
                    </w:rPr>
                  </w:pPr>
                  <w:r>
                    <w:rPr>
                      <w:rFonts w:hint="eastAsia"/>
                      <w:color w:val="auto"/>
                      <w:sz w:val="18"/>
                      <w:szCs w:val="18"/>
                    </w:rPr>
                    <w:t>/</w:t>
                  </w:r>
                </w:p>
              </w:tc>
              <w:tc>
                <w:tcPr>
                  <w:tcW w:w="648" w:type="pct"/>
                  <w:tcBorders>
                    <w:right w:val="single" w:color="auto" w:sz="4" w:space="0"/>
                  </w:tcBorders>
                  <w:vAlign w:val="center"/>
                </w:tcPr>
                <w:p>
                  <w:pPr>
                    <w:pStyle w:val="27"/>
                    <w:rPr>
                      <w:color w:val="auto"/>
                      <w:sz w:val="18"/>
                      <w:szCs w:val="18"/>
                    </w:rPr>
                  </w:pPr>
                  <w:r>
                    <w:rPr>
                      <w:rFonts w:hint="eastAsia"/>
                      <w:color w:val="auto"/>
                      <w:sz w:val="18"/>
                      <w:szCs w:val="18"/>
                    </w:rPr>
                    <w:t>＜1</w:t>
                  </w:r>
                </w:p>
              </w:tc>
              <w:tc>
                <w:tcPr>
                  <w:tcW w:w="622" w:type="pct"/>
                  <w:tcBorders>
                    <w:right w:val="single" w:color="auto" w:sz="4" w:space="0"/>
                  </w:tcBorders>
                  <w:vAlign w:val="center"/>
                </w:tcPr>
                <w:p>
                  <w:pPr>
                    <w:pStyle w:val="27"/>
                    <w:rPr>
                      <w:color w:val="auto"/>
                      <w:sz w:val="18"/>
                      <w:szCs w:val="18"/>
                    </w:rPr>
                  </w:pPr>
                  <w:r>
                    <w:rPr>
                      <w:rFonts w:hint="eastAsia"/>
                      <w:color w:val="auto"/>
                      <w:sz w:val="18"/>
                      <w:szCs w:val="18"/>
                    </w:rPr>
                    <w:t>达标</w:t>
                  </w:r>
                </w:p>
              </w:tc>
            </w:tr>
          </w:tbl>
          <w:p>
            <w:pPr>
              <w:spacing w:before="194" w:beforeLines="50"/>
              <w:jc w:val="center"/>
              <w:outlineLvl w:val="5"/>
              <w:rPr>
                <w:rFonts w:hint="eastAsia"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表2-16  现有建成工程废水污染物排放情况</w:t>
            </w:r>
          </w:p>
          <w:tbl>
            <w:tblPr>
              <w:tblStyle w:val="19"/>
              <w:tblW w:w="7884"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068"/>
              <w:gridCol w:w="1544"/>
              <w:gridCol w:w="2577"/>
              <w:gridCol w:w="1227"/>
              <w:gridCol w:w="1468"/>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1656" w:type="pct"/>
                  <w:gridSpan w:val="2"/>
                  <w:vMerge w:val="restart"/>
                  <w:vAlign w:val="center"/>
                </w:tcPr>
                <w:p>
                  <w:pPr>
                    <w:pStyle w:val="27"/>
                    <w:rPr>
                      <w:color w:val="auto"/>
                      <w:sz w:val="18"/>
                      <w:szCs w:val="18"/>
                    </w:rPr>
                  </w:pPr>
                  <w:r>
                    <w:rPr>
                      <w:rFonts w:hint="eastAsia"/>
                      <w:color w:val="auto"/>
                      <w:sz w:val="18"/>
                      <w:szCs w:val="18"/>
                    </w:rPr>
                    <w:t>项目</w:t>
                  </w:r>
                </w:p>
              </w:tc>
              <w:tc>
                <w:tcPr>
                  <w:tcW w:w="1634" w:type="pct"/>
                  <w:tcBorders>
                    <w:right w:val="single" w:color="auto" w:sz="4" w:space="0"/>
                  </w:tcBorders>
                  <w:vAlign w:val="center"/>
                </w:tcPr>
                <w:p>
                  <w:pPr>
                    <w:pStyle w:val="27"/>
                    <w:rPr>
                      <w:color w:val="auto"/>
                      <w:sz w:val="18"/>
                      <w:szCs w:val="18"/>
                    </w:rPr>
                  </w:pPr>
                  <w:r>
                    <w:rPr>
                      <w:rFonts w:hint="eastAsia"/>
                      <w:color w:val="auto"/>
                      <w:sz w:val="18"/>
                      <w:szCs w:val="18"/>
                    </w:rPr>
                    <w:t>监测排放浓度均值(mg/L)</w:t>
                  </w:r>
                </w:p>
              </w:tc>
              <w:tc>
                <w:tcPr>
                  <w:tcW w:w="778" w:type="pct"/>
                  <w:vMerge w:val="restart"/>
                  <w:tcBorders>
                    <w:right w:val="single" w:color="auto" w:sz="4" w:space="0"/>
                  </w:tcBorders>
                  <w:vAlign w:val="center"/>
                </w:tcPr>
                <w:p>
                  <w:pPr>
                    <w:pStyle w:val="27"/>
                    <w:rPr>
                      <w:color w:val="auto"/>
                      <w:sz w:val="18"/>
                      <w:szCs w:val="18"/>
                    </w:rPr>
                  </w:pPr>
                  <w:r>
                    <w:rPr>
                      <w:rFonts w:hint="eastAsia"/>
                      <w:color w:val="auto"/>
                      <w:sz w:val="18"/>
                      <w:szCs w:val="18"/>
                    </w:rPr>
                    <w:t>标准限值(mg/L)</w:t>
                  </w:r>
                </w:p>
              </w:tc>
              <w:tc>
                <w:tcPr>
                  <w:tcW w:w="930" w:type="pct"/>
                  <w:vMerge w:val="restart"/>
                  <w:tcBorders>
                    <w:right w:val="single" w:color="auto" w:sz="4" w:space="0"/>
                  </w:tcBorders>
                  <w:vAlign w:val="center"/>
                </w:tcPr>
                <w:p>
                  <w:pPr>
                    <w:pStyle w:val="27"/>
                    <w:rPr>
                      <w:color w:val="auto"/>
                      <w:sz w:val="18"/>
                      <w:szCs w:val="18"/>
                    </w:rPr>
                  </w:pPr>
                  <w:r>
                    <w:rPr>
                      <w:rFonts w:hint="eastAsia"/>
                      <w:color w:val="auto"/>
                      <w:sz w:val="18"/>
                      <w:szCs w:val="18"/>
                    </w:rPr>
                    <w:t>达标情况</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1656" w:type="pct"/>
                  <w:gridSpan w:val="2"/>
                  <w:vMerge w:val="continue"/>
                  <w:vAlign w:val="center"/>
                </w:tcPr>
                <w:p>
                  <w:pPr>
                    <w:pStyle w:val="27"/>
                    <w:rPr>
                      <w:color w:val="auto"/>
                      <w:sz w:val="18"/>
                      <w:szCs w:val="18"/>
                    </w:rPr>
                  </w:pPr>
                </w:p>
              </w:tc>
              <w:tc>
                <w:tcPr>
                  <w:tcW w:w="1634" w:type="pct"/>
                  <w:tcBorders>
                    <w:right w:val="single" w:color="auto" w:sz="4" w:space="0"/>
                  </w:tcBorders>
                  <w:vAlign w:val="center"/>
                </w:tcPr>
                <w:p>
                  <w:pPr>
                    <w:pStyle w:val="34"/>
                    <w:rPr>
                      <w:rFonts w:hint="default" w:eastAsia="宋体"/>
                      <w:color w:val="auto"/>
                      <w:sz w:val="18"/>
                      <w:szCs w:val="18"/>
                      <w:lang w:val="en-US" w:eastAsia="zh-CN"/>
                    </w:rPr>
                  </w:pPr>
                  <w:r>
                    <w:rPr>
                      <w:rFonts w:hint="eastAsia"/>
                      <w:color w:val="auto"/>
                      <w:sz w:val="18"/>
                      <w:szCs w:val="18"/>
                      <w:lang w:val="en-US" w:eastAsia="zh-CN"/>
                    </w:rPr>
                    <w:t>2026.4</w:t>
                  </w:r>
                </w:p>
              </w:tc>
              <w:tc>
                <w:tcPr>
                  <w:tcW w:w="778" w:type="pct"/>
                  <w:vMerge w:val="continue"/>
                  <w:tcBorders>
                    <w:right w:val="single" w:color="auto" w:sz="4" w:space="0"/>
                  </w:tcBorders>
                  <w:vAlign w:val="center"/>
                </w:tcPr>
                <w:p>
                  <w:pPr>
                    <w:pStyle w:val="27"/>
                    <w:rPr>
                      <w:color w:val="auto"/>
                      <w:sz w:val="18"/>
                      <w:szCs w:val="18"/>
                    </w:rPr>
                  </w:pPr>
                </w:p>
              </w:tc>
              <w:tc>
                <w:tcPr>
                  <w:tcW w:w="930" w:type="pct"/>
                  <w:vMerge w:val="continue"/>
                  <w:tcBorders>
                    <w:right w:val="single" w:color="auto" w:sz="4" w:space="0"/>
                  </w:tcBorders>
                  <w:vAlign w:val="center"/>
                </w:tcPr>
                <w:p>
                  <w:pPr>
                    <w:pStyle w:val="27"/>
                    <w:rPr>
                      <w:color w:val="auto"/>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677" w:type="pct"/>
                  <w:vMerge w:val="restart"/>
                  <w:vAlign w:val="center"/>
                </w:tcPr>
                <w:p>
                  <w:pPr>
                    <w:pStyle w:val="27"/>
                    <w:rPr>
                      <w:rFonts w:hint="eastAsia"/>
                      <w:color w:val="auto"/>
                      <w:sz w:val="18"/>
                      <w:szCs w:val="18"/>
                    </w:rPr>
                  </w:pPr>
                  <w:r>
                    <w:rPr>
                      <w:rFonts w:hint="eastAsia"/>
                      <w:color w:val="auto"/>
                      <w:sz w:val="18"/>
                      <w:szCs w:val="18"/>
                    </w:rPr>
                    <w:t>一厂污水处理站废水排放口</w:t>
                  </w:r>
                </w:p>
                <w:p>
                  <w:pPr>
                    <w:pStyle w:val="27"/>
                    <w:rPr>
                      <w:color w:val="auto"/>
                      <w:sz w:val="18"/>
                      <w:szCs w:val="18"/>
                    </w:rPr>
                  </w:pPr>
                </w:p>
                <w:p>
                  <w:pPr>
                    <w:pStyle w:val="27"/>
                    <w:rPr>
                      <w:color w:val="auto"/>
                      <w:sz w:val="18"/>
                      <w:szCs w:val="18"/>
                    </w:rPr>
                  </w:pPr>
                </w:p>
              </w:tc>
              <w:tc>
                <w:tcPr>
                  <w:tcW w:w="979" w:type="pct"/>
                  <w:vAlign w:val="center"/>
                </w:tcPr>
                <w:p>
                  <w:pPr>
                    <w:pStyle w:val="34"/>
                    <w:rPr>
                      <w:color w:val="auto"/>
                      <w:sz w:val="18"/>
                      <w:szCs w:val="18"/>
                    </w:rPr>
                  </w:pPr>
                  <w:r>
                    <w:rPr>
                      <w:rFonts w:hint="eastAsia"/>
                      <w:color w:val="auto"/>
                      <w:sz w:val="18"/>
                      <w:szCs w:val="18"/>
                    </w:rPr>
                    <w:t>pH</w:t>
                  </w:r>
                </w:p>
              </w:tc>
              <w:tc>
                <w:tcPr>
                  <w:tcW w:w="1634" w:type="pct"/>
                  <w:tcBorders>
                    <w:right w:val="single" w:color="auto" w:sz="4" w:space="0"/>
                  </w:tcBorders>
                  <w:vAlign w:val="center"/>
                </w:tcPr>
                <w:p>
                  <w:pPr>
                    <w:pStyle w:val="34"/>
                    <w:rPr>
                      <w:rFonts w:hint="default" w:eastAsia="宋体"/>
                      <w:color w:val="auto"/>
                      <w:sz w:val="18"/>
                      <w:szCs w:val="18"/>
                      <w:lang w:val="en-US" w:eastAsia="zh-CN"/>
                    </w:rPr>
                  </w:pPr>
                  <w:r>
                    <w:rPr>
                      <w:color w:val="auto"/>
                      <w:sz w:val="18"/>
                      <w:szCs w:val="18"/>
                    </w:rPr>
                    <w:t>6.</w:t>
                  </w:r>
                  <w:r>
                    <w:rPr>
                      <w:rFonts w:hint="eastAsia"/>
                      <w:color w:val="auto"/>
                      <w:sz w:val="18"/>
                      <w:szCs w:val="18"/>
                      <w:lang w:val="en-US" w:eastAsia="zh-CN"/>
                    </w:rPr>
                    <w:t>7</w:t>
                  </w:r>
                  <w:r>
                    <w:rPr>
                      <w:color w:val="auto"/>
                      <w:sz w:val="18"/>
                      <w:szCs w:val="18"/>
                    </w:rPr>
                    <w:t>~</w:t>
                  </w:r>
                  <w:r>
                    <w:rPr>
                      <w:rFonts w:hint="eastAsia"/>
                      <w:color w:val="auto"/>
                      <w:sz w:val="18"/>
                      <w:szCs w:val="18"/>
                      <w:lang w:val="en-US" w:eastAsia="zh-CN"/>
                    </w:rPr>
                    <w:t>7.0</w:t>
                  </w:r>
                </w:p>
              </w:tc>
              <w:tc>
                <w:tcPr>
                  <w:tcW w:w="778" w:type="pct"/>
                  <w:tcBorders>
                    <w:right w:val="single" w:color="auto" w:sz="4" w:space="0"/>
                  </w:tcBorders>
                  <w:vAlign w:val="center"/>
                </w:tcPr>
                <w:p>
                  <w:pPr>
                    <w:pStyle w:val="34"/>
                    <w:rPr>
                      <w:color w:val="auto"/>
                      <w:sz w:val="18"/>
                      <w:szCs w:val="18"/>
                    </w:rPr>
                  </w:pPr>
                  <w:r>
                    <w:rPr>
                      <w:rFonts w:hint="eastAsia"/>
                      <w:color w:val="auto"/>
                      <w:sz w:val="18"/>
                      <w:szCs w:val="18"/>
                    </w:rPr>
                    <w:t>6~9</w:t>
                  </w:r>
                </w:p>
              </w:tc>
              <w:tc>
                <w:tcPr>
                  <w:tcW w:w="930" w:type="pct"/>
                  <w:tcBorders>
                    <w:right w:val="single" w:color="auto" w:sz="4" w:space="0"/>
                  </w:tcBorders>
                  <w:vAlign w:val="center"/>
                </w:tcPr>
                <w:p>
                  <w:pPr>
                    <w:pStyle w:val="27"/>
                    <w:rPr>
                      <w:color w:val="auto"/>
                      <w:sz w:val="18"/>
                      <w:szCs w:val="18"/>
                    </w:rPr>
                  </w:pPr>
                  <w:r>
                    <w:rPr>
                      <w:rFonts w:hint="eastAsia"/>
                      <w:color w:val="auto"/>
                      <w:sz w:val="18"/>
                      <w:szCs w:val="18"/>
                    </w:rPr>
                    <w:t>达标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677" w:type="pct"/>
                  <w:vMerge w:val="continue"/>
                  <w:vAlign w:val="center"/>
                </w:tcPr>
                <w:p>
                  <w:pPr>
                    <w:pStyle w:val="27"/>
                    <w:rPr>
                      <w:color w:val="auto"/>
                      <w:sz w:val="18"/>
                      <w:szCs w:val="18"/>
                    </w:rPr>
                  </w:pPr>
                </w:p>
              </w:tc>
              <w:tc>
                <w:tcPr>
                  <w:tcW w:w="979" w:type="pct"/>
                  <w:vAlign w:val="center"/>
                </w:tcPr>
                <w:p>
                  <w:pPr>
                    <w:pStyle w:val="34"/>
                    <w:rPr>
                      <w:color w:val="auto"/>
                      <w:sz w:val="18"/>
                      <w:szCs w:val="18"/>
                    </w:rPr>
                  </w:pPr>
                  <w:r>
                    <w:rPr>
                      <w:color w:val="auto"/>
                      <w:sz w:val="18"/>
                      <w:szCs w:val="18"/>
                    </w:rPr>
                    <w:t>COD</w:t>
                  </w:r>
                </w:p>
              </w:tc>
              <w:tc>
                <w:tcPr>
                  <w:tcW w:w="1634" w:type="pct"/>
                  <w:tcBorders>
                    <w:left w:val="single" w:color="auto" w:sz="4" w:space="0"/>
                  </w:tcBorders>
                  <w:vAlign w:val="center"/>
                </w:tcPr>
                <w:p>
                  <w:pPr>
                    <w:pStyle w:val="34"/>
                    <w:rPr>
                      <w:rFonts w:hint="default" w:eastAsia="宋体"/>
                      <w:color w:val="auto"/>
                      <w:sz w:val="18"/>
                      <w:szCs w:val="18"/>
                      <w:lang w:val="en-US" w:eastAsia="zh-CN"/>
                    </w:rPr>
                  </w:pPr>
                  <w:r>
                    <w:rPr>
                      <w:rFonts w:hint="eastAsia"/>
                      <w:color w:val="auto"/>
                      <w:sz w:val="18"/>
                      <w:szCs w:val="18"/>
                      <w:lang w:val="en-US" w:eastAsia="zh-CN"/>
                    </w:rPr>
                    <w:t>178</w:t>
                  </w:r>
                </w:p>
              </w:tc>
              <w:tc>
                <w:tcPr>
                  <w:tcW w:w="778" w:type="pct"/>
                  <w:tcBorders>
                    <w:left w:val="single" w:color="auto" w:sz="4" w:space="0"/>
                  </w:tcBorders>
                  <w:vAlign w:val="center"/>
                </w:tcPr>
                <w:p>
                  <w:pPr>
                    <w:pStyle w:val="34"/>
                    <w:rPr>
                      <w:color w:val="auto"/>
                      <w:sz w:val="18"/>
                      <w:szCs w:val="18"/>
                    </w:rPr>
                  </w:pPr>
                  <w:r>
                    <w:rPr>
                      <w:rFonts w:hint="eastAsia"/>
                      <w:color w:val="auto"/>
                      <w:sz w:val="18"/>
                      <w:szCs w:val="18"/>
                    </w:rPr>
                    <w:t>500</w:t>
                  </w:r>
                </w:p>
              </w:tc>
              <w:tc>
                <w:tcPr>
                  <w:tcW w:w="930" w:type="pct"/>
                  <w:tcBorders>
                    <w:right w:val="single" w:color="auto" w:sz="4" w:space="0"/>
                  </w:tcBorders>
                  <w:vAlign w:val="center"/>
                </w:tcPr>
                <w:p>
                  <w:pPr>
                    <w:jc w:val="center"/>
                    <w:rPr>
                      <w:color w:val="auto"/>
                      <w:sz w:val="18"/>
                      <w:szCs w:val="18"/>
                    </w:rPr>
                  </w:pPr>
                  <w:r>
                    <w:rPr>
                      <w:rFonts w:hint="eastAsia"/>
                      <w:color w:val="auto"/>
                      <w:sz w:val="18"/>
                      <w:szCs w:val="18"/>
                    </w:rPr>
                    <w:t>达标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677" w:type="pct"/>
                  <w:vMerge w:val="continue"/>
                  <w:vAlign w:val="center"/>
                </w:tcPr>
                <w:p>
                  <w:pPr>
                    <w:pStyle w:val="27"/>
                    <w:rPr>
                      <w:color w:val="auto"/>
                      <w:sz w:val="18"/>
                      <w:szCs w:val="18"/>
                    </w:rPr>
                  </w:pPr>
                </w:p>
              </w:tc>
              <w:tc>
                <w:tcPr>
                  <w:tcW w:w="979" w:type="pct"/>
                  <w:vAlign w:val="center"/>
                </w:tcPr>
                <w:p>
                  <w:pPr>
                    <w:pStyle w:val="34"/>
                    <w:rPr>
                      <w:color w:val="auto"/>
                      <w:sz w:val="18"/>
                      <w:szCs w:val="18"/>
                    </w:rPr>
                  </w:pPr>
                  <w:r>
                    <w:rPr>
                      <w:rFonts w:hint="eastAsia"/>
                      <w:color w:val="auto"/>
                      <w:sz w:val="18"/>
                      <w:szCs w:val="18"/>
                    </w:rPr>
                    <w:t>BOD</w:t>
                  </w:r>
                  <w:r>
                    <w:rPr>
                      <w:rFonts w:hint="eastAsia"/>
                      <w:color w:val="auto"/>
                      <w:sz w:val="18"/>
                      <w:szCs w:val="18"/>
                      <w:vertAlign w:val="subscript"/>
                    </w:rPr>
                    <w:t>5</w:t>
                  </w:r>
                </w:p>
              </w:tc>
              <w:tc>
                <w:tcPr>
                  <w:tcW w:w="1634" w:type="pct"/>
                  <w:tcBorders>
                    <w:left w:val="single" w:color="auto" w:sz="4" w:space="0"/>
                  </w:tcBorders>
                  <w:vAlign w:val="center"/>
                </w:tcPr>
                <w:p>
                  <w:pPr>
                    <w:pStyle w:val="34"/>
                    <w:rPr>
                      <w:rFonts w:hint="default" w:eastAsia="宋体"/>
                      <w:color w:val="auto"/>
                      <w:sz w:val="18"/>
                      <w:szCs w:val="18"/>
                      <w:lang w:val="en-US" w:eastAsia="zh-CN"/>
                    </w:rPr>
                  </w:pPr>
                  <w:r>
                    <w:rPr>
                      <w:rFonts w:hint="eastAsia"/>
                      <w:color w:val="auto"/>
                      <w:sz w:val="18"/>
                      <w:szCs w:val="18"/>
                      <w:lang w:val="en-US" w:eastAsia="zh-CN"/>
                    </w:rPr>
                    <w:t>56</w:t>
                  </w:r>
                </w:p>
              </w:tc>
              <w:tc>
                <w:tcPr>
                  <w:tcW w:w="778" w:type="pct"/>
                  <w:tcBorders>
                    <w:left w:val="single" w:color="auto" w:sz="4" w:space="0"/>
                  </w:tcBorders>
                  <w:vAlign w:val="center"/>
                </w:tcPr>
                <w:p>
                  <w:pPr>
                    <w:pStyle w:val="34"/>
                    <w:rPr>
                      <w:color w:val="auto"/>
                      <w:sz w:val="18"/>
                      <w:szCs w:val="18"/>
                    </w:rPr>
                  </w:pPr>
                  <w:r>
                    <w:rPr>
                      <w:rFonts w:hint="eastAsia"/>
                      <w:color w:val="auto"/>
                      <w:sz w:val="18"/>
                      <w:szCs w:val="18"/>
                    </w:rPr>
                    <w:t>300</w:t>
                  </w:r>
                </w:p>
              </w:tc>
              <w:tc>
                <w:tcPr>
                  <w:tcW w:w="930" w:type="pct"/>
                  <w:tcBorders>
                    <w:right w:val="single" w:color="auto" w:sz="4" w:space="0"/>
                  </w:tcBorders>
                  <w:vAlign w:val="center"/>
                </w:tcPr>
                <w:p>
                  <w:pPr>
                    <w:jc w:val="center"/>
                    <w:rPr>
                      <w:color w:val="auto"/>
                      <w:sz w:val="18"/>
                      <w:szCs w:val="18"/>
                    </w:rPr>
                  </w:pPr>
                  <w:r>
                    <w:rPr>
                      <w:rFonts w:hint="eastAsia"/>
                      <w:color w:val="auto"/>
                      <w:sz w:val="18"/>
                      <w:szCs w:val="18"/>
                    </w:rPr>
                    <w:t>达标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677" w:type="pct"/>
                  <w:vMerge w:val="continue"/>
                  <w:vAlign w:val="center"/>
                </w:tcPr>
                <w:p>
                  <w:pPr>
                    <w:pStyle w:val="27"/>
                    <w:rPr>
                      <w:color w:val="auto"/>
                      <w:sz w:val="18"/>
                      <w:szCs w:val="18"/>
                    </w:rPr>
                  </w:pPr>
                </w:p>
              </w:tc>
              <w:tc>
                <w:tcPr>
                  <w:tcW w:w="979" w:type="pct"/>
                  <w:vAlign w:val="center"/>
                </w:tcPr>
                <w:p>
                  <w:pPr>
                    <w:pStyle w:val="34"/>
                    <w:rPr>
                      <w:color w:val="auto"/>
                      <w:sz w:val="18"/>
                      <w:szCs w:val="18"/>
                    </w:rPr>
                  </w:pPr>
                  <w:r>
                    <w:rPr>
                      <w:rFonts w:hint="eastAsia"/>
                      <w:color w:val="auto"/>
                      <w:sz w:val="18"/>
                      <w:szCs w:val="18"/>
                    </w:rPr>
                    <w:t>SS</w:t>
                  </w:r>
                </w:p>
              </w:tc>
              <w:tc>
                <w:tcPr>
                  <w:tcW w:w="1634" w:type="pct"/>
                  <w:tcBorders>
                    <w:left w:val="single" w:color="auto" w:sz="4" w:space="0"/>
                  </w:tcBorders>
                  <w:vAlign w:val="center"/>
                </w:tcPr>
                <w:p>
                  <w:pPr>
                    <w:pStyle w:val="34"/>
                    <w:rPr>
                      <w:rFonts w:hint="default" w:eastAsia="宋体"/>
                      <w:color w:val="auto"/>
                      <w:sz w:val="18"/>
                      <w:szCs w:val="18"/>
                      <w:lang w:val="en-US" w:eastAsia="zh-CN"/>
                    </w:rPr>
                  </w:pPr>
                  <w:r>
                    <w:rPr>
                      <w:rFonts w:hint="eastAsia"/>
                      <w:color w:val="auto"/>
                      <w:sz w:val="18"/>
                      <w:szCs w:val="18"/>
                      <w:lang w:val="en-US" w:eastAsia="zh-CN"/>
                    </w:rPr>
                    <w:t>29</w:t>
                  </w:r>
                </w:p>
              </w:tc>
              <w:tc>
                <w:tcPr>
                  <w:tcW w:w="778" w:type="pct"/>
                  <w:tcBorders>
                    <w:left w:val="single" w:color="auto" w:sz="4" w:space="0"/>
                  </w:tcBorders>
                  <w:vAlign w:val="center"/>
                </w:tcPr>
                <w:p>
                  <w:pPr>
                    <w:pStyle w:val="34"/>
                    <w:rPr>
                      <w:color w:val="auto"/>
                      <w:sz w:val="18"/>
                      <w:szCs w:val="18"/>
                    </w:rPr>
                  </w:pPr>
                  <w:r>
                    <w:rPr>
                      <w:rFonts w:hint="eastAsia"/>
                      <w:color w:val="auto"/>
                      <w:sz w:val="18"/>
                      <w:szCs w:val="18"/>
                    </w:rPr>
                    <w:t>400</w:t>
                  </w:r>
                </w:p>
              </w:tc>
              <w:tc>
                <w:tcPr>
                  <w:tcW w:w="930" w:type="pct"/>
                  <w:tcBorders>
                    <w:right w:val="single" w:color="auto" w:sz="4" w:space="0"/>
                  </w:tcBorders>
                  <w:vAlign w:val="center"/>
                </w:tcPr>
                <w:p>
                  <w:pPr>
                    <w:jc w:val="center"/>
                    <w:rPr>
                      <w:color w:val="auto"/>
                      <w:sz w:val="18"/>
                      <w:szCs w:val="18"/>
                    </w:rPr>
                  </w:pPr>
                  <w:r>
                    <w:rPr>
                      <w:rFonts w:hint="eastAsia"/>
                      <w:color w:val="auto"/>
                      <w:sz w:val="18"/>
                      <w:szCs w:val="18"/>
                    </w:rPr>
                    <w:t>达标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6" w:hRule="atLeast"/>
                <w:jc w:val="center"/>
              </w:trPr>
              <w:tc>
                <w:tcPr>
                  <w:tcW w:w="677" w:type="pct"/>
                  <w:vMerge w:val="continue"/>
                  <w:vAlign w:val="center"/>
                </w:tcPr>
                <w:p>
                  <w:pPr>
                    <w:pStyle w:val="27"/>
                    <w:rPr>
                      <w:color w:val="auto"/>
                      <w:sz w:val="18"/>
                      <w:szCs w:val="18"/>
                    </w:rPr>
                  </w:pPr>
                </w:p>
              </w:tc>
              <w:tc>
                <w:tcPr>
                  <w:tcW w:w="979" w:type="pct"/>
                  <w:vAlign w:val="center"/>
                </w:tcPr>
                <w:p>
                  <w:pPr>
                    <w:pStyle w:val="34"/>
                    <w:rPr>
                      <w:color w:val="auto"/>
                      <w:sz w:val="18"/>
                      <w:szCs w:val="18"/>
                    </w:rPr>
                  </w:pPr>
                  <w:r>
                    <w:rPr>
                      <w:rFonts w:hint="eastAsia"/>
                      <w:color w:val="auto"/>
                      <w:sz w:val="18"/>
                      <w:szCs w:val="18"/>
                    </w:rPr>
                    <w:t>氨氮</w:t>
                  </w:r>
                </w:p>
              </w:tc>
              <w:tc>
                <w:tcPr>
                  <w:tcW w:w="1634" w:type="pct"/>
                  <w:tcBorders>
                    <w:left w:val="single" w:color="auto" w:sz="4" w:space="0"/>
                  </w:tcBorders>
                  <w:vAlign w:val="center"/>
                </w:tcPr>
                <w:p>
                  <w:pPr>
                    <w:pStyle w:val="34"/>
                    <w:rPr>
                      <w:rFonts w:hint="default" w:eastAsia="宋体"/>
                      <w:color w:val="auto"/>
                      <w:sz w:val="18"/>
                      <w:szCs w:val="18"/>
                      <w:lang w:val="en-US" w:eastAsia="zh-CN"/>
                    </w:rPr>
                  </w:pPr>
                  <w:r>
                    <w:rPr>
                      <w:rFonts w:hint="eastAsia"/>
                      <w:color w:val="auto"/>
                      <w:sz w:val="18"/>
                      <w:szCs w:val="18"/>
                      <w:lang w:val="en-US" w:eastAsia="zh-CN"/>
                    </w:rPr>
                    <w:t>3.97</w:t>
                  </w:r>
                </w:p>
              </w:tc>
              <w:tc>
                <w:tcPr>
                  <w:tcW w:w="778" w:type="pct"/>
                  <w:tcBorders>
                    <w:left w:val="single" w:color="auto" w:sz="4" w:space="0"/>
                  </w:tcBorders>
                  <w:vAlign w:val="center"/>
                </w:tcPr>
                <w:p>
                  <w:pPr>
                    <w:pStyle w:val="34"/>
                    <w:rPr>
                      <w:color w:val="auto"/>
                      <w:sz w:val="18"/>
                      <w:szCs w:val="18"/>
                    </w:rPr>
                  </w:pPr>
                  <w:r>
                    <w:rPr>
                      <w:rFonts w:hint="eastAsia"/>
                      <w:color w:val="auto"/>
                      <w:sz w:val="18"/>
                      <w:szCs w:val="18"/>
                    </w:rPr>
                    <w:t>45</w:t>
                  </w:r>
                </w:p>
              </w:tc>
              <w:tc>
                <w:tcPr>
                  <w:tcW w:w="930" w:type="pct"/>
                  <w:tcBorders>
                    <w:right w:val="single" w:color="auto" w:sz="4" w:space="0"/>
                  </w:tcBorders>
                  <w:vAlign w:val="center"/>
                </w:tcPr>
                <w:p>
                  <w:pPr>
                    <w:jc w:val="center"/>
                    <w:rPr>
                      <w:color w:val="auto"/>
                      <w:sz w:val="18"/>
                      <w:szCs w:val="18"/>
                    </w:rPr>
                  </w:pPr>
                  <w:r>
                    <w:rPr>
                      <w:rFonts w:hint="eastAsia"/>
                      <w:color w:val="auto"/>
                      <w:sz w:val="18"/>
                      <w:szCs w:val="18"/>
                    </w:rPr>
                    <w:t>达标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677" w:type="pct"/>
                  <w:vMerge w:val="continue"/>
                  <w:vAlign w:val="center"/>
                </w:tcPr>
                <w:p>
                  <w:pPr>
                    <w:pStyle w:val="27"/>
                    <w:rPr>
                      <w:color w:val="auto"/>
                      <w:sz w:val="18"/>
                      <w:szCs w:val="18"/>
                    </w:rPr>
                  </w:pPr>
                </w:p>
              </w:tc>
              <w:tc>
                <w:tcPr>
                  <w:tcW w:w="979" w:type="pct"/>
                  <w:vAlign w:val="center"/>
                </w:tcPr>
                <w:p>
                  <w:pPr>
                    <w:pStyle w:val="34"/>
                    <w:rPr>
                      <w:color w:val="auto"/>
                      <w:sz w:val="18"/>
                      <w:szCs w:val="18"/>
                    </w:rPr>
                  </w:pPr>
                  <w:r>
                    <w:rPr>
                      <w:rFonts w:hint="eastAsia"/>
                      <w:color w:val="auto"/>
                      <w:sz w:val="18"/>
                      <w:szCs w:val="18"/>
                    </w:rPr>
                    <w:t>总氮</w:t>
                  </w:r>
                </w:p>
              </w:tc>
              <w:tc>
                <w:tcPr>
                  <w:tcW w:w="1634" w:type="pct"/>
                  <w:tcBorders>
                    <w:left w:val="single" w:color="auto" w:sz="4" w:space="0"/>
                  </w:tcBorders>
                  <w:vAlign w:val="center"/>
                </w:tcPr>
                <w:p>
                  <w:pPr>
                    <w:pStyle w:val="34"/>
                    <w:rPr>
                      <w:rFonts w:hint="default" w:eastAsia="宋体"/>
                      <w:color w:val="auto"/>
                      <w:sz w:val="18"/>
                      <w:szCs w:val="18"/>
                      <w:lang w:val="en-US" w:eastAsia="zh-CN"/>
                    </w:rPr>
                  </w:pPr>
                  <w:r>
                    <w:rPr>
                      <w:rFonts w:hint="eastAsia"/>
                      <w:color w:val="auto"/>
                      <w:sz w:val="18"/>
                      <w:szCs w:val="18"/>
                      <w:lang w:val="en-US" w:eastAsia="zh-CN"/>
                    </w:rPr>
                    <w:t>9.6</w:t>
                  </w:r>
                </w:p>
              </w:tc>
              <w:tc>
                <w:tcPr>
                  <w:tcW w:w="778" w:type="pct"/>
                  <w:tcBorders>
                    <w:left w:val="single" w:color="auto" w:sz="4" w:space="0"/>
                  </w:tcBorders>
                  <w:vAlign w:val="center"/>
                </w:tcPr>
                <w:p>
                  <w:pPr>
                    <w:pStyle w:val="34"/>
                    <w:rPr>
                      <w:color w:val="auto"/>
                      <w:sz w:val="18"/>
                      <w:szCs w:val="18"/>
                    </w:rPr>
                  </w:pPr>
                  <w:r>
                    <w:rPr>
                      <w:rFonts w:hint="eastAsia"/>
                      <w:color w:val="auto"/>
                      <w:sz w:val="18"/>
                      <w:szCs w:val="18"/>
                    </w:rPr>
                    <w:t>70</w:t>
                  </w:r>
                </w:p>
              </w:tc>
              <w:tc>
                <w:tcPr>
                  <w:tcW w:w="930" w:type="pct"/>
                  <w:tcBorders>
                    <w:right w:val="single" w:color="auto" w:sz="4" w:space="0"/>
                  </w:tcBorders>
                  <w:vAlign w:val="center"/>
                </w:tcPr>
                <w:p>
                  <w:pPr>
                    <w:pStyle w:val="27"/>
                    <w:rPr>
                      <w:color w:val="auto"/>
                      <w:sz w:val="18"/>
                      <w:szCs w:val="18"/>
                    </w:rPr>
                  </w:pPr>
                  <w:r>
                    <w:rPr>
                      <w:rFonts w:hint="eastAsia"/>
                      <w:color w:val="auto"/>
                      <w:sz w:val="18"/>
                      <w:szCs w:val="18"/>
                    </w:rPr>
                    <w:t>达标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677" w:type="pct"/>
                  <w:vMerge w:val="continue"/>
                  <w:vAlign w:val="center"/>
                </w:tcPr>
                <w:p>
                  <w:pPr>
                    <w:pStyle w:val="27"/>
                    <w:rPr>
                      <w:color w:val="auto"/>
                      <w:sz w:val="18"/>
                      <w:szCs w:val="18"/>
                    </w:rPr>
                  </w:pPr>
                </w:p>
              </w:tc>
              <w:tc>
                <w:tcPr>
                  <w:tcW w:w="979" w:type="pct"/>
                  <w:vAlign w:val="center"/>
                </w:tcPr>
                <w:p>
                  <w:pPr>
                    <w:pStyle w:val="34"/>
                    <w:rPr>
                      <w:color w:val="auto"/>
                      <w:sz w:val="18"/>
                      <w:szCs w:val="18"/>
                    </w:rPr>
                  </w:pPr>
                  <w:r>
                    <w:rPr>
                      <w:rFonts w:hint="eastAsia"/>
                      <w:color w:val="auto"/>
                      <w:sz w:val="18"/>
                      <w:szCs w:val="18"/>
                    </w:rPr>
                    <w:t>氟化物</w:t>
                  </w:r>
                </w:p>
              </w:tc>
              <w:tc>
                <w:tcPr>
                  <w:tcW w:w="1634" w:type="pct"/>
                  <w:tcBorders>
                    <w:left w:val="single" w:color="auto" w:sz="4" w:space="0"/>
                  </w:tcBorders>
                  <w:vAlign w:val="center"/>
                </w:tcPr>
                <w:p>
                  <w:pPr>
                    <w:pStyle w:val="34"/>
                    <w:rPr>
                      <w:rFonts w:hint="default" w:eastAsia="宋体"/>
                      <w:color w:val="auto"/>
                      <w:sz w:val="18"/>
                      <w:szCs w:val="18"/>
                      <w:lang w:val="en-US" w:eastAsia="zh-CN"/>
                    </w:rPr>
                  </w:pPr>
                  <w:r>
                    <w:rPr>
                      <w:rFonts w:hint="eastAsia"/>
                      <w:color w:val="auto"/>
                      <w:sz w:val="18"/>
                      <w:szCs w:val="18"/>
                      <w:lang w:val="en-US" w:eastAsia="zh-CN"/>
                    </w:rPr>
                    <w:t>2.08</w:t>
                  </w:r>
                </w:p>
              </w:tc>
              <w:tc>
                <w:tcPr>
                  <w:tcW w:w="778" w:type="pct"/>
                  <w:tcBorders>
                    <w:left w:val="single" w:color="auto" w:sz="4" w:space="0"/>
                  </w:tcBorders>
                  <w:vAlign w:val="center"/>
                </w:tcPr>
                <w:p>
                  <w:pPr>
                    <w:pStyle w:val="34"/>
                    <w:rPr>
                      <w:color w:val="auto"/>
                      <w:sz w:val="18"/>
                      <w:szCs w:val="18"/>
                    </w:rPr>
                  </w:pPr>
                  <w:r>
                    <w:rPr>
                      <w:rFonts w:hint="eastAsia"/>
                      <w:color w:val="auto"/>
                      <w:sz w:val="18"/>
                      <w:szCs w:val="18"/>
                    </w:rPr>
                    <w:t>6</w:t>
                  </w:r>
                </w:p>
              </w:tc>
              <w:tc>
                <w:tcPr>
                  <w:tcW w:w="930" w:type="pct"/>
                  <w:tcBorders>
                    <w:right w:val="single" w:color="auto" w:sz="4" w:space="0"/>
                  </w:tcBorders>
                  <w:vAlign w:val="center"/>
                </w:tcPr>
                <w:p>
                  <w:pPr>
                    <w:jc w:val="center"/>
                    <w:rPr>
                      <w:color w:val="auto"/>
                      <w:sz w:val="18"/>
                      <w:szCs w:val="18"/>
                    </w:rPr>
                  </w:pPr>
                  <w:r>
                    <w:rPr>
                      <w:rFonts w:hint="eastAsia"/>
                      <w:color w:val="auto"/>
                      <w:sz w:val="18"/>
                      <w:szCs w:val="18"/>
                    </w:rPr>
                    <w:t>达标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677" w:type="pct"/>
                  <w:vMerge w:val="continue"/>
                  <w:vAlign w:val="center"/>
                </w:tcPr>
                <w:p>
                  <w:pPr>
                    <w:pStyle w:val="27"/>
                    <w:rPr>
                      <w:color w:val="auto"/>
                      <w:sz w:val="18"/>
                      <w:szCs w:val="18"/>
                    </w:rPr>
                  </w:pPr>
                </w:p>
              </w:tc>
              <w:tc>
                <w:tcPr>
                  <w:tcW w:w="979" w:type="pct"/>
                  <w:vAlign w:val="center"/>
                </w:tcPr>
                <w:p>
                  <w:pPr>
                    <w:pStyle w:val="34"/>
                    <w:rPr>
                      <w:color w:val="auto"/>
                      <w:sz w:val="18"/>
                      <w:szCs w:val="18"/>
                    </w:rPr>
                  </w:pPr>
                  <w:r>
                    <w:rPr>
                      <w:rFonts w:hint="eastAsia"/>
                      <w:color w:val="auto"/>
                      <w:sz w:val="18"/>
                      <w:szCs w:val="18"/>
                    </w:rPr>
                    <w:t>挥发酚</w:t>
                  </w:r>
                </w:p>
              </w:tc>
              <w:tc>
                <w:tcPr>
                  <w:tcW w:w="1634" w:type="pct"/>
                  <w:tcBorders>
                    <w:left w:val="single" w:color="auto" w:sz="4" w:space="0"/>
                  </w:tcBorders>
                  <w:vAlign w:val="center"/>
                </w:tcPr>
                <w:p>
                  <w:pPr>
                    <w:pStyle w:val="34"/>
                    <w:rPr>
                      <w:rFonts w:hint="default" w:eastAsia="宋体"/>
                      <w:color w:val="auto"/>
                      <w:sz w:val="18"/>
                      <w:szCs w:val="18"/>
                      <w:lang w:val="en-US" w:eastAsia="zh-CN"/>
                    </w:rPr>
                  </w:pPr>
                  <w:r>
                    <w:rPr>
                      <w:rFonts w:hint="eastAsia"/>
                      <w:color w:val="auto"/>
                      <w:sz w:val="18"/>
                      <w:szCs w:val="18"/>
                      <w:lang w:val="en-US" w:eastAsia="zh-CN"/>
                    </w:rPr>
                    <w:t>0.247</w:t>
                  </w:r>
                </w:p>
              </w:tc>
              <w:tc>
                <w:tcPr>
                  <w:tcW w:w="778" w:type="pct"/>
                  <w:tcBorders>
                    <w:left w:val="single" w:color="auto" w:sz="4" w:space="0"/>
                  </w:tcBorders>
                  <w:vAlign w:val="center"/>
                </w:tcPr>
                <w:p>
                  <w:pPr>
                    <w:pStyle w:val="34"/>
                    <w:rPr>
                      <w:color w:val="auto"/>
                      <w:sz w:val="18"/>
                      <w:szCs w:val="18"/>
                    </w:rPr>
                  </w:pPr>
                  <w:r>
                    <w:rPr>
                      <w:rFonts w:hint="eastAsia"/>
                      <w:color w:val="auto"/>
                      <w:sz w:val="18"/>
                      <w:szCs w:val="18"/>
                    </w:rPr>
                    <w:t>0.5</w:t>
                  </w:r>
                </w:p>
              </w:tc>
              <w:tc>
                <w:tcPr>
                  <w:tcW w:w="930" w:type="pct"/>
                  <w:tcBorders>
                    <w:right w:val="single" w:color="auto" w:sz="4" w:space="0"/>
                  </w:tcBorders>
                  <w:vAlign w:val="center"/>
                </w:tcPr>
                <w:p>
                  <w:pPr>
                    <w:jc w:val="center"/>
                    <w:rPr>
                      <w:color w:val="auto"/>
                      <w:sz w:val="18"/>
                      <w:szCs w:val="18"/>
                    </w:rPr>
                  </w:pPr>
                  <w:r>
                    <w:rPr>
                      <w:rFonts w:hint="eastAsia"/>
                      <w:color w:val="auto"/>
                      <w:sz w:val="18"/>
                      <w:szCs w:val="18"/>
                    </w:rPr>
                    <w:t>达标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677" w:type="pct"/>
                  <w:vMerge w:val="continue"/>
                  <w:vAlign w:val="center"/>
                </w:tcPr>
                <w:p>
                  <w:pPr>
                    <w:pStyle w:val="27"/>
                    <w:rPr>
                      <w:color w:val="auto"/>
                      <w:sz w:val="18"/>
                      <w:szCs w:val="18"/>
                    </w:rPr>
                  </w:pPr>
                </w:p>
              </w:tc>
              <w:tc>
                <w:tcPr>
                  <w:tcW w:w="979" w:type="pct"/>
                  <w:vAlign w:val="center"/>
                </w:tcPr>
                <w:p>
                  <w:pPr>
                    <w:pStyle w:val="34"/>
                    <w:rPr>
                      <w:rFonts w:hint="eastAsia" w:eastAsia="宋体"/>
                      <w:color w:val="auto"/>
                      <w:sz w:val="18"/>
                      <w:szCs w:val="18"/>
                      <w:lang w:val="en-US" w:eastAsia="zh-CN"/>
                    </w:rPr>
                  </w:pPr>
                  <w:r>
                    <w:rPr>
                      <w:rFonts w:hint="eastAsia"/>
                      <w:color w:val="auto"/>
                      <w:sz w:val="18"/>
                      <w:szCs w:val="18"/>
                      <w:lang w:val="en-US" w:eastAsia="zh-CN"/>
                    </w:rPr>
                    <w:t>氯化物</w:t>
                  </w:r>
                </w:p>
              </w:tc>
              <w:tc>
                <w:tcPr>
                  <w:tcW w:w="1634" w:type="pct"/>
                  <w:tcBorders>
                    <w:left w:val="single" w:color="auto" w:sz="4" w:space="0"/>
                  </w:tcBorders>
                  <w:vAlign w:val="center"/>
                </w:tcPr>
                <w:p>
                  <w:pPr>
                    <w:pStyle w:val="34"/>
                    <w:rPr>
                      <w:rFonts w:hint="default"/>
                      <w:color w:val="auto"/>
                      <w:sz w:val="18"/>
                      <w:szCs w:val="18"/>
                      <w:lang w:val="en-US" w:eastAsia="zh-CN"/>
                    </w:rPr>
                  </w:pPr>
                  <w:r>
                    <w:rPr>
                      <w:rFonts w:hint="eastAsia"/>
                      <w:color w:val="auto"/>
                      <w:sz w:val="18"/>
                      <w:szCs w:val="18"/>
                      <w:lang w:val="en-US" w:eastAsia="zh-CN"/>
                    </w:rPr>
                    <w:t>61</w:t>
                  </w:r>
                </w:p>
              </w:tc>
              <w:tc>
                <w:tcPr>
                  <w:tcW w:w="778" w:type="pct"/>
                  <w:tcBorders>
                    <w:left w:val="single" w:color="auto" w:sz="4" w:space="0"/>
                  </w:tcBorders>
                  <w:vAlign w:val="center"/>
                </w:tcPr>
                <w:p>
                  <w:pPr>
                    <w:pStyle w:val="34"/>
                    <w:rPr>
                      <w:rFonts w:hint="default" w:eastAsia="宋体"/>
                      <w:color w:val="auto"/>
                      <w:sz w:val="18"/>
                      <w:szCs w:val="18"/>
                      <w:lang w:val="en-US" w:eastAsia="zh-CN"/>
                    </w:rPr>
                  </w:pPr>
                  <w:r>
                    <w:rPr>
                      <w:rFonts w:hint="eastAsia"/>
                      <w:color w:val="auto"/>
                      <w:sz w:val="18"/>
                      <w:szCs w:val="18"/>
                      <w:lang w:val="en-US" w:eastAsia="zh-CN"/>
                    </w:rPr>
                    <w:t>800</w:t>
                  </w:r>
                </w:p>
              </w:tc>
              <w:tc>
                <w:tcPr>
                  <w:tcW w:w="930" w:type="pct"/>
                  <w:tcBorders>
                    <w:right w:val="single" w:color="auto" w:sz="4" w:space="0"/>
                  </w:tcBorders>
                  <w:vAlign w:val="center"/>
                </w:tcPr>
                <w:p>
                  <w:pPr>
                    <w:jc w:val="center"/>
                    <w:rPr>
                      <w:rFonts w:hint="eastAsia"/>
                      <w:color w:val="auto"/>
                      <w:sz w:val="18"/>
                      <w:szCs w:val="18"/>
                    </w:rPr>
                  </w:pPr>
                  <w:r>
                    <w:rPr>
                      <w:rFonts w:hint="eastAsia"/>
                      <w:color w:val="auto"/>
                      <w:sz w:val="18"/>
                      <w:szCs w:val="18"/>
                    </w:rPr>
                    <w:t>达标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677" w:type="pct"/>
                  <w:vMerge w:val="continue"/>
                  <w:vAlign w:val="center"/>
                </w:tcPr>
                <w:p>
                  <w:pPr>
                    <w:pStyle w:val="27"/>
                    <w:rPr>
                      <w:color w:val="auto"/>
                      <w:sz w:val="18"/>
                      <w:szCs w:val="18"/>
                    </w:rPr>
                  </w:pPr>
                </w:p>
              </w:tc>
              <w:tc>
                <w:tcPr>
                  <w:tcW w:w="979" w:type="pct"/>
                  <w:vAlign w:val="center"/>
                </w:tcPr>
                <w:p>
                  <w:pPr>
                    <w:pStyle w:val="34"/>
                    <w:rPr>
                      <w:rFonts w:hint="eastAsia" w:eastAsia="宋体"/>
                      <w:color w:val="auto"/>
                      <w:sz w:val="18"/>
                      <w:szCs w:val="18"/>
                      <w:lang w:val="en-US" w:eastAsia="zh-CN"/>
                    </w:rPr>
                  </w:pPr>
                  <w:r>
                    <w:rPr>
                      <w:rFonts w:hint="eastAsia"/>
                      <w:color w:val="auto"/>
                      <w:sz w:val="18"/>
                      <w:szCs w:val="18"/>
                      <w:lang w:val="en-US" w:eastAsia="zh-CN"/>
                    </w:rPr>
                    <w:t>硫酸盐</w:t>
                  </w:r>
                </w:p>
              </w:tc>
              <w:tc>
                <w:tcPr>
                  <w:tcW w:w="1634" w:type="pct"/>
                  <w:tcBorders>
                    <w:left w:val="single" w:color="auto" w:sz="4" w:space="0"/>
                  </w:tcBorders>
                  <w:vAlign w:val="center"/>
                </w:tcPr>
                <w:p>
                  <w:pPr>
                    <w:pStyle w:val="34"/>
                    <w:rPr>
                      <w:rFonts w:hint="default"/>
                      <w:color w:val="auto"/>
                      <w:sz w:val="18"/>
                      <w:szCs w:val="18"/>
                      <w:lang w:val="en-US" w:eastAsia="zh-CN"/>
                    </w:rPr>
                  </w:pPr>
                  <w:r>
                    <w:rPr>
                      <w:rFonts w:hint="eastAsia"/>
                      <w:color w:val="auto"/>
                      <w:sz w:val="18"/>
                      <w:szCs w:val="18"/>
                      <w:lang w:val="en-US" w:eastAsia="zh-CN"/>
                    </w:rPr>
                    <w:t>18</w:t>
                  </w:r>
                </w:p>
              </w:tc>
              <w:tc>
                <w:tcPr>
                  <w:tcW w:w="778" w:type="pct"/>
                  <w:tcBorders>
                    <w:left w:val="single" w:color="auto" w:sz="4" w:space="0"/>
                  </w:tcBorders>
                  <w:vAlign w:val="center"/>
                </w:tcPr>
                <w:p>
                  <w:pPr>
                    <w:pStyle w:val="34"/>
                    <w:rPr>
                      <w:rFonts w:hint="default" w:eastAsia="宋体"/>
                      <w:color w:val="auto"/>
                      <w:sz w:val="18"/>
                      <w:szCs w:val="18"/>
                      <w:lang w:val="en-US" w:eastAsia="zh-CN"/>
                    </w:rPr>
                  </w:pPr>
                  <w:r>
                    <w:rPr>
                      <w:rFonts w:hint="eastAsia"/>
                      <w:color w:val="auto"/>
                      <w:sz w:val="18"/>
                      <w:szCs w:val="18"/>
                      <w:lang w:val="en-US" w:eastAsia="zh-CN"/>
                    </w:rPr>
                    <w:t>600</w:t>
                  </w:r>
                </w:p>
              </w:tc>
              <w:tc>
                <w:tcPr>
                  <w:tcW w:w="930" w:type="pct"/>
                  <w:tcBorders>
                    <w:right w:val="single" w:color="auto" w:sz="4" w:space="0"/>
                  </w:tcBorders>
                  <w:vAlign w:val="center"/>
                </w:tcPr>
                <w:p>
                  <w:pPr>
                    <w:jc w:val="center"/>
                    <w:rPr>
                      <w:rFonts w:hint="eastAsia"/>
                      <w:color w:val="auto"/>
                      <w:sz w:val="18"/>
                      <w:szCs w:val="18"/>
                    </w:rPr>
                  </w:pPr>
                  <w:r>
                    <w:rPr>
                      <w:rFonts w:hint="eastAsia"/>
                      <w:color w:val="auto"/>
                      <w:sz w:val="18"/>
                      <w:szCs w:val="18"/>
                    </w:rPr>
                    <w:t>达标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677" w:type="pct"/>
                  <w:vMerge w:val="continue"/>
                  <w:vAlign w:val="center"/>
                </w:tcPr>
                <w:p>
                  <w:pPr>
                    <w:pStyle w:val="27"/>
                    <w:rPr>
                      <w:color w:val="auto"/>
                      <w:sz w:val="18"/>
                      <w:szCs w:val="18"/>
                    </w:rPr>
                  </w:pPr>
                </w:p>
              </w:tc>
              <w:tc>
                <w:tcPr>
                  <w:tcW w:w="979" w:type="pct"/>
                  <w:vAlign w:val="center"/>
                </w:tcPr>
                <w:p>
                  <w:pPr>
                    <w:pStyle w:val="34"/>
                    <w:rPr>
                      <w:rFonts w:hint="default" w:eastAsia="宋体"/>
                      <w:color w:val="auto"/>
                      <w:sz w:val="18"/>
                      <w:szCs w:val="18"/>
                      <w:lang w:val="en-US" w:eastAsia="zh-CN"/>
                    </w:rPr>
                  </w:pPr>
                  <w:r>
                    <w:rPr>
                      <w:rFonts w:hint="eastAsia"/>
                      <w:color w:val="auto"/>
                      <w:sz w:val="18"/>
                      <w:szCs w:val="18"/>
                      <w:lang w:val="en-US" w:eastAsia="zh-CN"/>
                    </w:rPr>
                    <w:t>溶解性总固体</w:t>
                  </w:r>
                </w:p>
              </w:tc>
              <w:tc>
                <w:tcPr>
                  <w:tcW w:w="1634" w:type="pct"/>
                  <w:tcBorders>
                    <w:left w:val="single" w:color="auto" w:sz="4" w:space="0"/>
                  </w:tcBorders>
                  <w:vAlign w:val="center"/>
                </w:tcPr>
                <w:p>
                  <w:pPr>
                    <w:pStyle w:val="34"/>
                    <w:rPr>
                      <w:rFonts w:hint="default"/>
                      <w:color w:val="auto"/>
                      <w:sz w:val="18"/>
                      <w:szCs w:val="18"/>
                      <w:lang w:val="en-US" w:eastAsia="zh-CN"/>
                    </w:rPr>
                  </w:pPr>
                  <w:r>
                    <w:rPr>
                      <w:rFonts w:hint="eastAsia"/>
                      <w:color w:val="auto"/>
                      <w:sz w:val="18"/>
                      <w:szCs w:val="18"/>
                      <w:lang w:val="en-US" w:eastAsia="zh-CN"/>
                    </w:rPr>
                    <w:t>636</w:t>
                  </w:r>
                </w:p>
              </w:tc>
              <w:tc>
                <w:tcPr>
                  <w:tcW w:w="778" w:type="pct"/>
                  <w:tcBorders>
                    <w:left w:val="single" w:color="auto" w:sz="4" w:space="0"/>
                  </w:tcBorders>
                  <w:vAlign w:val="center"/>
                </w:tcPr>
                <w:p>
                  <w:pPr>
                    <w:pStyle w:val="34"/>
                    <w:rPr>
                      <w:rFonts w:hint="default" w:eastAsia="宋体"/>
                      <w:color w:val="auto"/>
                      <w:sz w:val="18"/>
                      <w:szCs w:val="18"/>
                      <w:lang w:val="en-US" w:eastAsia="zh-CN"/>
                    </w:rPr>
                  </w:pPr>
                  <w:r>
                    <w:rPr>
                      <w:rFonts w:hint="eastAsia"/>
                      <w:color w:val="auto"/>
                      <w:sz w:val="18"/>
                      <w:szCs w:val="18"/>
                      <w:lang w:val="en-US" w:eastAsia="zh-CN"/>
                    </w:rPr>
                    <w:t>2000</w:t>
                  </w:r>
                </w:p>
              </w:tc>
              <w:tc>
                <w:tcPr>
                  <w:tcW w:w="930" w:type="pct"/>
                  <w:tcBorders>
                    <w:right w:val="single" w:color="auto" w:sz="4" w:space="0"/>
                  </w:tcBorders>
                  <w:vAlign w:val="center"/>
                </w:tcPr>
                <w:p>
                  <w:pPr>
                    <w:jc w:val="center"/>
                    <w:rPr>
                      <w:rFonts w:hint="eastAsia"/>
                      <w:color w:val="auto"/>
                      <w:sz w:val="18"/>
                      <w:szCs w:val="18"/>
                    </w:rPr>
                  </w:pPr>
                  <w:r>
                    <w:rPr>
                      <w:rFonts w:hint="eastAsia"/>
                      <w:color w:val="auto"/>
                      <w:sz w:val="18"/>
                      <w:szCs w:val="18"/>
                    </w:rPr>
                    <w:t>达标</w:t>
                  </w:r>
                </w:p>
              </w:tc>
            </w:tr>
          </w:tbl>
          <w:p>
            <w:pPr>
              <w:pStyle w:val="24"/>
              <w:ind w:firstLine="420"/>
              <w:rPr>
                <w:color w:val="auto"/>
                <w:sz w:val="21"/>
                <w:szCs w:val="21"/>
              </w:rPr>
            </w:pPr>
          </w:p>
          <w:p>
            <w:pPr>
              <w:pStyle w:val="24"/>
              <w:ind w:firstLine="420"/>
              <w:rPr>
                <w:color w:val="auto"/>
                <w:sz w:val="21"/>
                <w:szCs w:val="21"/>
              </w:rPr>
            </w:pPr>
            <w:r>
              <w:rPr>
                <w:color w:val="auto"/>
                <w:sz w:val="21"/>
                <w:szCs w:val="21"/>
              </w:rPr>
              <w:t>（</w:t>
            </w:r>
            <w:r>
              <w:rPr>
                <w:rFonts w:hint="eastAsia"/>
                <w:color w:val="auto"/>
                <w:sz w:val="21"/>
                <w:szCs w:val="21"/>
                <w:lang w:val="en-US" w:eastAsia="zh-CN"/>
              </w:rPr>
              <w:t>4</w:t>
            </w:r>
            <w:r>
              <w:rPr>
                <w:color w:val="auto"/>
                <w:sz w:val="21"/>
                <w:szCs w:val="21"/>
              </w:rPr>
              <w:t>）污染物排放量</w:t>
            </w:r>
          </w:p>
          <w:p>
            <w:pPr>
              <w:spacing w:before="194" w:beforeLines="50"/>
              <w:jc w:val="center"/>
              <w:outlineLvl w:val="5"/>
              <w:rPr>
                <w:rFonts w:hint="eastAsia"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表2-17一二厂污染物排放量一览表</w:t>
            </w:r>
          </w:p>
          <w:tbl>
            <w:tblPr>
              <w:tblStyle w:val="19"/>
              <w:tblW w:w="4998" w:type="pct"/>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0" w:type="dxa"/>
                <w:bottom w:w="0" w:type="dxa"/>
                <w:right w:w="0" w:type="dxa"/>
              </w:tblCellMar>
            </w:tblPr>
            <w:tblGrid>
              <w:gridCol w:w="468"/>
              <w:gridCol w:w="1843"/>
              <w:gridCol w:w="468"/>
              <w:gridCol w:w="1619"/>
              <w:gridCol w:w="1159"/>
              <w:gridCol w:w="2537"/>
            </w:tblGrid>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0" w:type="dxa"/>
                  <w:bottom w:w="0" w:type="dxa"/>
                  <w:right w:w="0" w:type="dxa"/>
                </w:tblCellMar>
              </w:tblPrEx>
              <w:trPr>
                <w:trHeight w:val="451" w:hRule="atLeast"/>
                <w:tblHeader/>
                <w:jc w:val="center"/>
              </w:trPr>
              <w:tc>
                <w:tcPr>
                  <w:tcW w:w="289" w:type="pct"/>
                  <w:tcMar>
                    <w:left w:w="0" w:type="dxa"/>
                    <w:right w:w="0" w:type="dxa"/>
                  </w:tcMar>
                  <w:vAlign w:val="center"/>
                </w:tcPr>
                <w:p>
                  <w:pPr>
                    <w:snapToGrid w:val="0"/>
                    <w:jc w:val="center"/>
                    <w:rPr>
                      <w:rFonts w:hint="default" w:ascii="Times New Roman" w:hAnsi="Times New Roman" w:eastAsia="宋体" w:cs="Times New Roman"/>
                      <w:b/>
                      <w:color w:val="auto"/>
                      <w:sz w:val="18"/>
                      <w:szCs w:val="18"/>
                    </w:rPr>
                  </w:pPr>
                  <w:r>
                    <w:rPr>
                      <w:rFonts w:hint="default" w:ascii="Times New Roman" w:hAnsi="Times New Roman" w:eastAsia="宋体" w:cs="Times New Roman"/>
                      <w:b/>
                      <w:color w:val="auto"/>
                      <w:sz w:val="18"/>
                      <w:szCs w:val="18"/>
                    </w:rPr>
                    <w:t>类别</w:t>
                  </w:r>
                </w:p>
              </w:tc>
              <w:tc>
                <w:tcPr>
                  <w:tcW w:w="1138" w:type="pct"/>
                  <w:vAlign w:val="center"/>
                </w:tcPr>
                <w:p>
                  <w:pPr>
                    <w:snapToGrid w:val="0"/>
                    <w:jc w:val="center"/>
                    <w:rPr>
                      <w:rFonts w:hint="default" w:ascii="Times New Roman" w:hAnsi="Times New Roman" w:eastAsia="宋体" w:cs="Times New Roman"/>
                      <w:b/>
                      <w:color w:val="auto"/>
                      <w:sz w:val="18"/>
                      <w:szCs w:val="18"/>
                    </w:rPr>
                  </w:pPr>
                  <w:r>
                    <w:rPr>
                      <w:rFonts w:hint="default" w:ascii="Times New Roman" w:hAnsi="Times New Roman" w:eastAsia="宋体" w:cs="Times New Roman"/>
                      <w:b/>
                      <w:color w:val="auto"/>
                      <w:sz w:val="18"/>
                      <w:szCs w:val="18"/>
                    </w:rPr>
                    <w:t>污染物项目</w:t>
                  </w:r>
                </w:p>
              </w:tc>
              <w:tc>
                <w:tcPr>
                  <w:tcW w:w="289" w:type="pct"/>
                  <w:vAlign w:val="center"/>
                </w:tcPr>
                <w:p>
                  <w:pPr>
                    <w:snapToGrid w:val="0"/>
                    <w:jc w:val="center"/>
                    <w:rPr>
                      <w:rFonts w:hint="default" w:ascii="Times New Roman" w:hAnsi="Times New Roman" w:eastAsia="宋体" w:cs="Times New Roman"/>
                      <w:b/>
                      <w:color w:val="auto"/>
                      <w:sz w:val="18"/>
                      <w:szCs w:val="18"/>
                    </w:rPr>
                  </w:pPr>
                  <w:r>
                    <w:rPr>
                      <w:rFonts w:hint="default" w:ascii="Times New Roman" w:hAnsi="Times New Roman" w:eastAsia="宋体" w:cs="Times New Roman"/>
                      <w:b/>
                      <w:color w:val="auto"/>
                      <w:sz w:val="18"/>
                      <w:szCs w:val="18"/>
                    </w:rPr>
                    <w:t>单位</w:t>
                  </w:r>
                </w:p>
              </w:tc>
              <w:tc>
                <w:tcPr>
                  <w:tcW w:w="1000" w:type="pct"/>
                  <w:vAlign w:val="center"/>
                </w:tcPr>
                <w:p>
                  <w:pPr>
                    <w:snapToGrid w:val="0"/>
                    <w:jc w:val="center"/>
                    <w:rPr>
                      <w:rFonts w:hint="default" w:ascii="Times New Roman" w:hAnsi="Times New Roman" w:eastAsia="宋体" w:cs="Times New Roman"/>
                      <w:b/>
                      <w:color w:val="auto"/>
                      <w:sz w:val="18"/>
                      <w:szCs w:val="18"/>
                    </w:rPr>
                  </w:pPr>
                  <w:r>
                    <w:rPr>
                      <w:rFonts w:hint="default" w:ascii="Times New Roman" w:hAnsi="Times New Roman" w:eastAsia="宋体" w:cs="Times New Roman"/>
                      <w:b/>
                      <w:color w:val="auto"/>
                      <w:sz w:val="18"/>
                      <w:szCs w:val="18"/>
                    </w:rPr>
                    <w:t>现有工程排放量</w:t>
                  </w:r>
                </w:p>
              </w:tc>
              <w:tc>
                <w:tcPr>
                  <w:tcW w:w="716" w:type="pct"/>
                  <w:vAlign w:val="center"/>
                </w:tcPr>
                <w:p>
                  <w:pPr>
                    <w:pStyle w:val="27"/>
                    <w:snapToGrid w:val="0"/>
                    <w:spacing w:line="240" w:lineRule="auto"/>
                    <w:jc w:val="center"/>
                    <w:rPr>
                      <w:rFonts w:hint="default" w:ascii="Times New Roman" w:hAnsi="Times New Roman" w:eastAsia="宋体" w:cs="Times New Roman"/>
                      <w:b/>
                      <w:color w:val="auto"/>
                      <w:kern w:val="0"/>
                      <w:sz w:val="18"/>
                      <w:szCs w:val="18"/>
                    </w:rPr>
                  </w:pPr>
                  <w:r>
                    <w:rPr>
                      <w:rFonts w:hint="default" w:ascii="Times New Roman" w:hAnsi="Times New Roman" w:eastAsia="宋体" w:cs="Times New Roman"/>
                      <w:b/>
                      <w:color w:val="auto"/>
                      <w:kern w:val="0"/>
                      <w:sz w:val="18"/>
                      <w:szCs w:val="18"/>
                    </w:rPr>
                    <w:t>许可排放量</w:t>
                  </w:r>
                </w:p>
              </w:tc>
              <w:tc>
                <w:tcPr>
                  <w:tcW w:w="1566" w:type="pct"/>
                  <w:vAlign w:val="center"/>
                </w:tcPr>
                <w:p>
                  <w:pPr>
                    <w:pStyle w:val="27"/>
                    <w:snapToGrid w:val="0"/>
                    <w:spacing w:line="240" w:lineRule="auto"/>
                    <w:jc w:val="center"/>
                    <w:rPr>
                      <w:rFonts w:hint="default" w:ascii="Times New Roman" w:hAnsi="Times New Roman" w:eastAsia="宋体" w:cs="Times New Roman"/>
                      <w:b/>
                      <w:color w:val="auto"/>
                      <w:kern w:val="0"/>
                      <w:sz w:val="18"/>
                      <w:szCs w:val="18"/>
                    </w:rPr>
                  </w:pPr>
                  <w:r>
                    <w:rPr>
                      <w:rFonts w:hint="default" w:ascii="Times New Roman" w:hAnsi="Times New Roman" w:eastAsia="宋体" w:cs="Times New Roman"/>
                      <w:b/>
                      <w:color w:val="auto"/>
                      <w:kern w:val="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0" w:type="dxa"/>
                  <w:bottom w:w="0" w:type="dxa"/>
                  <w:right w:w="0" w:type="dxa"/>
                </w:tblCellMar>
              </w:tblPrEx>
              <w:trPr>
                <w:jc w:val="center"/>
              </w:trPr>
              <w:tc>
                <w:tcPr>
                  <w:tcW w:w="289" w:type="pct"/>
                  <w:vMerge w:val="restart"/>
                  <w:tcMar>
                    <w:left w:w="0" w:type="dxa"/>
                    <w:right w:w="0" w:type="dxa"/>
                  </w:tcMar>
                  <w:vAlign w:val="center"/>
                </w:tcPr>
                <w:p>
                  <w:pPr>
                    <w:snapToGrid w:val="0"/>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废水</w:t>
                  </w:r>
                </w:p>
              </w:tc>
              <w:tc>
                <w:tcPr>
                  <w:tcW w:w="1138" w:type="pct"/>
                  <w:vAlign w:val="center"/>
                </w:tcPr>
                <w:p>
                  <w:pPr>
                    <w:pStyle w:val="44"/>
                    <w:spacing w:beforeLines="0" w:afterLines="0" w:line="240" w:lineRule="auto"/>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snapToGrid w:val="0"/>
                      <w:color w:val="auto"/>
                      <w:kern w:val="21"/>
                      <w:sz w:val="18"/>
                      <w:szCs w:val="18"/>
                    </w:rPr>
                    <w:t>污水量</w:t>
                  </w:r>
                </w:p>
              </w:tc>
              <w:tc>
                <w:tcPr>
                  <w:tcW w:w="289" w:type="pct"/>
                  <w:vAlign w:val="center"/>
                </w:tcPr>
                <w:p>
                  <w:pPr>
                    <w:pStyle w:val="27"/>
                    <w:snapToGrid w:val="0"/>
                    <w:spacing w:line="240" w:lineRule="auto"/>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t/a</w:t>
                  </w:r>
                </w:p>
              </w:tc>
              <w:tc>
                <w:tcPr>
                  <w:tcW w:w="1000" w:type="pct"/>
                  <w:vAlign w:val="center"/>
                </w:tcPr>
                <w:p>
                  <w:pPr>
                    <w:widowControl/>
                    <w:jc w:val="center"/>
                    <w:textAlignment w:val="center"/>
                    <w:rPr>
                      <w:rFonts w:hint="default" w:ascii="Times New Roman" w:hAnsi="Times New Roman" w:eastAsia="宋体" w:cs="Times New Roman"/>
                      <w:color w:val="auto"/>
                      <w:sz w:val="18"/>
                      <w:szCs w:val="18"/>
                      <w:lang w:val="en-US" w:eastAsia="zh-CN"/>
                    </w:rPr>
                  </w:pPr>
                  <w:r>
                    <w:rPr>
                      <w:rFonts w:hint="eastAsia" w:cs="Times New Roman"/>
                      <w:color w:val="auto"/>
                      <w:kern w:val="0"/>
                      <w:sz w:val="18"/>
                      <w:szCs w:val="18"/>
                      <w:lang w:val="en-US" w:eastAsia="zh-CN" w:bidi="ar"/>
                    </w:rPr>
                    <w:t>37202.1</w:t>
                  </w:r>
                </w:p>
              </w:tc>
              <w:tc>
                <w:tcPr>
                  <w:tcW w:w="716" w:type="pct"/>
                  <w:vAlign w:val="center"/>
                </w:tcPr>
                <w:p>
                  <w:pPr>
                    <w:pStyle w:val="32"/>
                    <w:snapToGrid w:val="0"/>
                    <w:jc w:val="center"/>
                    <w:rPr>
                      <w:rFonts w:hint="eastAsia" w:ascii="Times New Roman" w:hAnsi="Times New Roman" w:eastAsia="宋体" w:cs="Times New Roman"/>
                      <w:color w:val="auto"/>
                      <w:sz w:val="18"/>
                      <w:szCs w:val="18"/>
                      <w:lang w:val="en-US" w:eastAsia="zh-CN"/>
                    </w:rPr>
                  </w:pPr>
                  <w:r>
                    <w:rPr>
                      <w:rFonts w:hint="eastAsia" w:cs="Times New Roman"/>
                      <w:color w:val="auto"/>
                      <w:sz w:val="18"/>
                      <w:szCs w:val="18"/>
                      <w:lang w:val="en-US" w:eastAsia="zh-CN"/>
                    </w:rPr>
                    <w:t>/</w:t>
                  </w:r>
                </w:p>
              </w:tc>
              <w:tc>
                <w:tcPr>
                  <w:tcW w:w="1566" w:type="pct"/>
                  <w:vAlign w:val="center"/>
                </w:tcPr>
                <w:p>
                  <w:pPr>
                    <w:pStyle w:val="32"/>
                    <w:snapToGrid w:val="0"/>
                    <w:jc w:val="center"/>
                    <w:rPr>
                      <w:rFonts w:hint="default" w:ascii="Times New Roman" w:hAnsi="Times New Roman" w:eastAsia="宋体"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0" w:type="dxa"/>
                  <w:bottom w:w="0" w:type="dxa"/>
                  <w:right w:w="0" w:type="dxa"/>
                </w:tblCellMar>
              </w:tblPrEx>
              <w:trPr>
                <w:jc w:val="center"/>
              </w:trPr>
              <w:tc>
                <w:tcPr>
                  <w:tcW w:w="289" w:type="pct"/>
                  <w:vMerge w:val="continue"/>
                  <w:tcMar>
                    <w:left w:w="0" w:type="dxa"/>
                    <w:right w:w="0" w:type="dxa"/>
                  </w:tcMar>
                  <w:vAlign w:val="center"/>
                </w:tcPr>
                <w:p>
                  <w:pPr>
                    <w:snapToGrid w:val="0"/>
                    <w:jc w:val="center"/>
                    <w:rPr>
                      <w:rFonts w:hint="default" w:ascii="Times New Roman" w:hAnsi="Times New Roman" w:eastAsia="宋体" w:cs="Times New Roman"/>
                      <w:color w:val="auto"/>
                      <w:sz w:val="18"/>
                      <w:szCs w:val="18"/>
                    </w:rPr>
                  </w:pPr>
                </w:p>
              </w:tc>
              <w:tc>
                <w:tcPr>
                  <w:tcW w:w="1138" w:type="pct"/>
                  <w:vAlign w:val="center"/>
                </w:tcPr>
                <w:p>
                  <w:pPr>
                    <w:pStyle w:val="44"/>
                    <w:spacing w:beforeLines="0" w:afterLines="0" w:line="240" w:lineRule="auto"/>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snapToGrid w:val="0"/>
                      <w:color w:val="auto"/>
                      <w:kern w:val="21"/>
                      <w:sz w:val="18"/>
                      <w:szCs w:val="18"/>
                    </w:rPr>
                    <w:t>COD</w:t>
                  </w:r>
                </w:p>
              </w:tc>
              <w:tc>
                <w:tcPr>
                  <w:tcW w:w="289" w:type="pct"/>
                  <w:vAlign w:val="center"/>
                </w:tcPr>
                <w:p>
                  <w:pPr>
                    <w:pStyle w:val="27"/>
                    <w:snapToGrid w:val="0"/>
                    <w:spacing w:line="240" w:lineRule="auto"/>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t/a</w:t>
                  </w:r>
                </w:p>
              </w:tc>
              <w:tc>
                <w:tcPr>
                  <w:tcW w:w="1000" w:type="pct"/>
                  <w:vAlign w:val="center"/>
                </w:tcPr>
                <w:p>
                  <w:pPr>
                    <w:widowControl/>
                    <w:jc w:val="center"/>
                    <w:textAlignment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kern w:val="0"/>
                      <w:sz w:val="18"/>
                      <w:szCs w:val="18"/>
                      <w:lang w:bidi="ar"/>
                    </w:rPr>
                    <w:t>7.033</w:t>
                  </w:r>
                </w:p>
              </w:tc>
              <w:tc>
                <w:tcPr>
                  <w:tcW w:w="716" w:type="pct"/>
                  <w:vAlign w:val="center"/>
                </w:tcPr>
                <w:p>
                  <w:pPr>
                    <w:pStyle w:val="32"/>
                    <w:snapToGrid w:val="0"/>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8.473</w:t>
                  </w:r>
                </w:p>
              </w:tc>
              <w:tc>
                <w:tcPr>
                  <w:tcW w:w="1566" w:type="pct"/>
                  <w:vAlign w:val="center"/>
                </w:tcPr>
                <w:p>
                  <w:pPr>
                    <w:pStyle w:val="32"/>
                    <w:snapToGrid w:val="0"/>
                    <w:jc w:val="center"/>
                    <w:rPr>
                      <w:rFonts w:hint="default" w:ascii="Times New Roman" w:hAnsi="Times New Roman" w:eastAsia="宋体"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0" w:type="dxa"/>
                  <w:bottom w:w="0" w:type="dxa"/>
                  <w:right w:w="0" w:type="dxa"/>
                </w:tblCellMar>
              </w:tblPrEx>
              <w:trPr>
                <w:jc w:val="center"/>
              </w:trPr>
              <w:tc>
                <w:tcPr>
                  <w:tcW w:w="289" w:type="pct"/>
                  <w:vMerge w:val="continue"/>
                  <w:tcMar>
                    <w:left w:w="0" w:type="dxa"/>
                    <w:right w:w="0" w:type="dxa"/>
                  </w:tcMar>
                  <w:vAlign w:val="center"/>
                </w:tcPr>
                <w:p>
                  <w:pPr>
                    <w:snapToGrid w:val="0"/>
                    <w:jc w:val="center"/>
                    <w:rPr>
                      <w:rFonts w:hint="default" w:ascii="Times New Roman" w:hAnsi="Times New Roman" w:eastAsia="宋体" w:cs="Times New Roman"/>
                      <w:color w:val="auto"/>
                      <w:sz w:val="18"/>
                      <w:szCs w:val="18"/>
                    </w:rPr>
                  </w:pPr>
                </w:p>
              </w:tc>
              <w:tc>
                <w:tcPr>
                  <w:tcW w:w="1138" w:type="pct"/>
                  <w:vAlign w:val="center"/>
                </w:tcPr>
                <w:p>
                  <w:pPr>
                    <w:pStyle w:val="44"/>
                    <w:spacing w:beforeLines="0" w:afterLines="0" w:line="240" w:lineRule="auto"/>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snapToGrid w:val="0"/>
                      <w:color w:val="auto"/>
                      <w:kern w:val="21"/>
                      <w:sz w:val="18"/>
                      <w:szCs w:val="18"/>
                    </w:rPr>
                    <w:t>BOD</w:t>
                  </w:r>
                  <w:r>
                    <w:rPr>
                      <w:rFonts w:hint="default" w:ascii="Times New Roman" w:hAnsi="Times New Roman" w:eastAsia="宋体" w:cs="Times New Roman"/>
                      <w:snapToGrid w:val="0"/>
                      <w:color w:val="auto"/>
                      <w:kern w:val="21"/>
                      <w:sz w:val="18"/>
                      <w:szCs w:val="18"/>
                      <w:vertAlign w:val="subscript"/>
                    </w:rPr>
                    <w:t>5</w:t>
                  </w:r>
                </w:p>
              </w:tc>
              <w:tc>
                <w:tcPr>
                  <w:tcW w:w="289" w:type="pct"/>
                  <w:vAlign w:val="center"/>
                </w:tcPr>
                <w:p>
                  <w:pPr>
                    <w:pStyle w:val="27"/>
                    <w:snapToGrid w:val="0"/>
                    <w:spacing w:line="240" w:lineRule="auto"/>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t/a</w:t>
                  </w:r>
                </w:p>
              </w:tc>
              <w:tc>
                <w:tcPr>
                  <w:tcW w:w="1000" w:type="pct"/>
                  <w:vAlign w:val="center"/>
                </w:tcPr>
                <w:p>
                  <w:pPr>
                    <w:widowControl/>
                    <w:jc w:val="center"/>
                    <w:textAlignment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kern w:val="0"/>
                      <w:sz w:val="18"/>
                      <w:szCs w:val="18"/>
                      <w:lang w:bidi="ar"/>
                    </w:rPr>
                    <w:t>4.054</w:t>
                  </w:r>
                </w:p>
              </w:tc>
              <w:tc>
                <w:tcPr>
                  <w:tcW w:w="716" w:type="pct"/>
                  <w:vAlign w:val="center"/>
                </w:tcPr>
                <w:p>
                  <w:pPr>
                    <w:snapToGrid w:val="0"/>
                    <w:jc w:val="center"/>
                    <w:rPr>
                      <w:rFonts w:hint="default" w:ascii="Times New Roman" w:hAnsi="Times New Roman" w:eastAsia="宋体" w:cs="Times New Roman"/>
                      <w:color w:val="auto"/>
                      <w:sz w:val="18"/>
                      <w:szCs w:val="18"/>
                    </w:rPr>
                  </w:pPr>
                  <w:r>
                    <w:rPr>
                      <w:rFonts w:hint="eastAsia" w:cs="Times New Roman"/>
                      <w:color w:val="auto"/>
                      <w:sz w:val="18"/>
                      <w:szCs w:val="18"/>
                      <w:lang w:val="en-US" w:eastAsia="zh-CN"/>
                    </w:rPr>
                    <w:t>/</w:t>
                  </w:r>
                </w:p>
              </w:tc>
              <w:tc>
                <w:tcPr>
                  <w:tcW w:w="1566" w:type="pct"/>
                  <w:vAlign w:val="center"/>
                </w:tcPr>
                <w:p>
                  <w:pPr>
                    <w:pStyle w:val="32"/>
                    <w:snapToGrid w:val="0"/>
                    <w:jc w:val="center"/>
                    <w:rPr>
                      <w:rFonts w:hint="default" w:ascii="Times New Roman" w:hAnsi="Times New Roman" w:eastAsia="宋体"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0" w:type="dxa"/>
                  <w:bottom w:w="0" w:type="dxa"/>
                  <w:right w:w="0" w:type="dxa"/>
                </w:tblCellMar>
              </w:tblPrEx>
              <w:trPr>
                <w:jc w:val="center"/>
              </w:trPr>
              <w:tc>
                <w:tcPr>
                  <w:tcW w:w="289" w:type="pct"/>
                  <w:vMerge w:val="continue"/>
                  <w:tcMar>
                    <w:left w:w="0" w:type="dxa"/>
                    <w:right w:w="0" w:type="dxa"/>
                  </w:tcMar>
                  <w:vAlign w:val="center"/>
                </w:tcPr>
                <w:p>
                  <w:pPr>
                    <w:snapToGrid w:val="0"/>
                    <w:jc w:val="center"/>
                    <w:rPr>
                      <w:rFonts w:hint="default" w:ascii="Times New Roman" w:hAnsi="Times New Roman" w:eastAsia="宋体" w:cs="Times New Roman"/>
                      <w:color w:val="auto"/>
                      <w:sz w:val="18"/>
                      <w:szCs w:val="18"/>
                    </w:rPr>
                  </w:pPr>
                </w:p>
              </w:tc>
              <w:tc>
                <w:tcPr>
                  <w:tcW w:w="1138" w:type="pct"/>
                  <w:vAlign w:val="center"/>
                </w:tcPr>
                <w:p>
                  <w:pPr>
                    <w:pStyle w:val="44"/>
                    <w:spacing w:beforeLines="0" w:afterLines="0" w:line="240" w:lineRule="auto"/>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snapToGrid w:val="0"/>
                      <w:color w:val="auto"/>
                      <w:kern w:val="21"/>
                      <w:sz w:val="18"/>
                      <w:szCs w:val="18"/>
                    </w:rPr>
                    <w:t>SS</w:t>
                  </w:r>
                </w:p>
              </w:tc>
              <w:tc>
                <w:tcPr>
                  <w:tcW w:w="289" w:type="pct"/>
                  <w:vAlign w:val="center"/>
                </w:tcPr>
                <w:p>
                  <w:pPr>
                    <w:pStyle w:val="27"/>
                    <w:snapToGrid w:val="0"/>
                    <w:spacing w:line="240" w:lineRule="auto"/>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t/a</w:t>
                  </w:r>
                </w:p>
              </w:tc>
              <w:tc>
                <w:tcPr>
                  <w:tcW w:w="1000" w:type="pct"/>
                  <w:vAlign w:val="center"/>
                </w:tcPr>
                <w:p>
                  <w:pPr>
                    <w:widowControl/>
                    <w:jc w:val="center"/>
                    <w:textAlignment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kern w:val="0"/>
                      <w:sz w:val="18"/>
                      <w:szCs w:val="18"/>
                      <w:lang w:bidi="ar"/>
                    </w:rPr>
                    <w:t>3.067</w:t>
                  </w:r>
                </w:p>
              </w:tc>
              <w:tc>
                <w:tcPr>
                  <w:tcW w:w="716" w:type="pct"/>
                  <w:vAlign w:val="center"/>
                </w:tcPr>
                <w:p>
                  <w:pPr>
                    <w:snapToGrid w:val="0"/>
                    <w:jc w:val="center"/>
                    <w:rPr>
                      <w:rFonts w:hint="default" w:ascii="Times New Roman" w:hAnsi="Times New Roman" w:eastAsia="宋体" w:cs="Times New Roman"/>
                      <w:color w:val="auto"/>
                      <w:sz w:val="18"/>
                      <w:szCs w:val="18"/>
                    </w:rPr>
                  </w:pPr>
                  <w:r>
                    <w:rPr>
                      <w:rFonts w:hint="eastAsia" w:cs="Times New Roman"/>
                      <w:color w:val="auto"/>
                      <w:sz w:val="18"/>
                      <w:szCs w:val="18"/>
                      <w:lang w:val="en-US" w:eastAsia="zh-CN"/>
                    </w:rPr>
                    <w:t>/</w:t>
                  </w:r>
                </w:p>
              </w:tc>
              <w:tc>
                <w:tcPr>
                  <w:tcW w:w="1566" w:type="pct"/>
                  <w:vAlign w:val="center"/>
                </w:tcPr>
                <w:p>
                  <w:pPr>
                    <w:pStyle w:val="32"/>
                    <w:snapToGrid w:val="0"/>
                    <w:jc w:val="center"/>
                    <w:rPr>
                      <w:rFonts w:hint="default" w:ascii="Times New Roman" w:hAnsi="Times New Roman" w:eastAsia="宋体"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0" w:type="dxa"/>
                  <w:bottom w:w="0" w:type="dxa"/>
                  <w:right w:w="0" w:type="dxa"/>
                </w:tblCellMar>
              </w:tblPrEx>
              <w:trPr>
                <w:jc w:val="center"/>
              </w:trPr>
              <w:tc>
                <w:tcPr>
                  <w:tcW w:w="289" w:type="pct"/>
                  <w:vMerge w:val="continue"/>
                  <w:tcMar>
                    <w:left w:w="0" w:type="dxa"/>
                    <w:right w:w="0" w:type="dxa"/>
                  </w:tcMar>
                  <w:vAlign w:val="center"/>
                </w:tcPr>
                <w:p>
                  <w:pPr>
                    <w:snapToGrid w:val="0"/>
                    <w:jc w:val="center"/>
                    <w:rPr>
                      <w:rFonts w:hint="default" w:ascii="Times New Roman" w:hAnsi="Times New Roman" w:eastAsia="宋体" w:cs="Times New Roman"/>
                      <w:color w:val="auto"/>
                      <w:sz w:val="18"/>
                      <w:szCs w:val="18"/>
                    </w:rPr>
                  </w:pPr>
                </w:p>
              </w:tc>
              <w:tc>
                <w:tcPr>
                  <w:tcW w:w="1138" w:type="pct"/>
                  <w:vAlign w:val="center"/>
                </w:tcPr>
                <w:p>
                  <w:pPr>
                    <w:pStyle w:val="44"/>
                    <w:spacing w:beforeLines="0" w:afterLines="0" w:line="240" w:lineRule="auto"/>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snapToGrid w:val="0"/>
                      <w:color w:val="auto"/>
                      <w:kern w:val="21"/>
                      <w:sz w:val="18"/>
                      <w:szCs w:val="18"/>
                    </w:rPr>
                    <w:t>氨氮</w:t>
                  </w:r>
                </w:p>
              </w:tc>
              <w:tc>
                <w:tcPr>
                  <w:tcW w:w="289" w:type="pct"/>
                  <w:vAlign w:val="center"/>
                </w:tcPr>
                <w:p>
                  <w:pPr>
                    <w:pStyle w:val="27"/>
                    <w:snapToGrid w:val="0"/>
                    <w:spacing w:line="240" w:lineRule="auto"/>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t/a</w:t>
                  </w:r>
                </w:p>
              </w:tc>
              <w:tc>
                <w:tcPr>
                  <w:tcW w:w="1000" w:type="pct"/>
                  <w:vAlign w:val="center"/>
                </w:tcPr>
                <w:p>
                  <w:pPr>
                    <w:widowControl/>
                    <w:jc w:val="center"/>
                    <w:textAlignment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kern w:val="0"/>
                      <w:sz w:val="18"/>
                      <w:szCs w:val="18"/>
                      <w:lang w:bidi="ar"/>
                    </w:rPr>
                    <w:t>0.393</w:t>
                  </w:r>
                </w:p>
              </w:tc>
              <w:tc>
                <w:tcPr>
                  <w:tcW w:w="716" w:type="pct"/>
                  <w:vAlign w:val="center"/>
                </w:tcPr>
                <w:p>
                  <w:pPr>
                    <w:pStyle w:val="32"/>
                    <w:snapToGrid w:val="0"/>
                    <w:jc w:val="center"/>
                    <w:rPr>
                      <w:rFonts w:hint="default" w:ascii="Times New Roman" w:hAnsi="Times New Roman" w:eastAsia="宋体" w:cs="Times New Roman"/>
                      <w:color w:val="auto"/>
                      <w:sz w:val="18"/>
                      <w:szCs w:val="18"/>
                      <w:highlight w:val="yellow"/>
                      <w:lang w:val="en-US" w:eastAsia="zh-CN"/>
                    </w:rPr>
                  </w:pPr>
                  <w:r>
                    <w:rPr>
                      <w:rFonts w:hint="default" w:ascii="Times New Roman" w:hAnsi="Times New Roman" w:eastAsia="宋体" w:cs="Times New Roman"/>
                      <w:color w:val="auto"/>
                      <w:sz w:val="18"/>
                      <w:szCs w:val="18"/>
                      <w:highlight w:val="none"/>
                      <w:lang w:val="en-US" w:eastAsia="zh-CN"/>
                    </w:rPr>
                    <w:t>0.452</w:t>
                  </w:r>
                </w:p>
              </w:tc>
              <w:tc>
                <w:tcPr>
                  <w:tcW w:w="1566" w:type="pct"/>
                  <w:vAlign w:val="center"/>
                </w:tcPr>
                <w:p>
                  <w:pPr>
                    <w:pStyle w:val="32"/>
                    <w:snapToGrid w:val="0"/>
                    <w:jc w:val="center"/>
                    <w:rPr>
                      <w:rFonts w:hint="default" w:ascii="Times New Roman" w:hAnsi="Times New Roman" w:eastAsia="宋体"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0" w:type="dxa"/>
                  <w:bottom w:w="0" w:type="dxa"/>
                  <w:right w:w="0" w:type="dxa"/>
                </w:tblCellMar>
              </w:tblPrEx>
              <w:trPr>
                <w:jc w:val="center"/>
              </w:trPr>
              <w:tc>
                <w:tcPr>
                  <w:tcW w:w="289" w:type="pct"/>
                  <w:vMerge w:val="continue"/>
                  <w:tcMar>
                    <w:left w:w="0" w:type="dxa"/>
                    <w:right w:w="0" w:type="dxa"/>
                  </w:tcMar>
                  <w:vAlign w:val="center"/>
                </w:tcPr>
                <w:p>
                  <w:pPr>
                    <w:snapToGrid w:val="0"/>
                    <w:jc w:val="center"/>
                    <w:rPr>
                      <w:rFonts w:hint="default" w:ascii="Times New Roman" w:hAnsi="Times New Roman" w:eastAsia="宋体" w:cs="Times New Roman"/>
                      <w:color w:val="auto"/>
                      <w:sz w:val="18"/>
                      <w:szCs w:val="18"/>
                    </w:rPr>
                  </w:pPr>
                </w:p>
              </w:tc>
              <w:tc>
                <w:tcPr>
                  <w:tcW w:w="1138" w:type="pct"/>
                  <w:vAlign w:val="center"/>
                </w:tcPr>
                <w:p>
                  <w:pPr>
                    <w:pStyle w:val="44"/>
                    <w:spacing w:beforeLines="0" w:afterLines="0" w:line="240" w:lineRule="auto"/>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snapToGrid w:val="0"/>
                      <w:color w:val="auto"/>
                      <w:kern w:val="21"/>
                      <w:sz w:val="18"/>
                      <w:szCs w:val="18"/>
                    </w:rPr>
                    <w:t>总磷</w:t>
                  </w:r>
                </w:p>
              </w:tc>
              <w:tc>
                <w:tcPr>
                  <w:tcW w:w="289" w:type="pct"/>
                  <w:vAlign w:val="center"/>
                </w:tcPr>
                <w:p>
                  <w:pPr>
                    <w:pStyle w:val="27"/>
                    <w:snapToGrid w:val="0"/>
                    <w:spacing w:line="240" w:lineRule="auto"/>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t/a</w:t>
                  </w:r>
                </w:p>
              </w:tc>
              <w:tc>
                <w:tcPr>
                  <w:tcW w:w="1000" w:type="pct"/>
                  <w:vAlign w:val="center"/>
                </w:tcPr>
                <w:p>
                  <w:pPr>
                    <w:widowControl/>
                    <w:jc w:val="center"/>
                    <w:textAlignment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kern w:val="0"/>
                      <w:sz w:val="18"/>
                      <w:szCs w:val="18"/>
                      <w:lang w:bidi="ar"/>
                    </w:rPr>
                    <w:t>0.261</w:t>
                  </w:r>
                </w:p>
              </w:tc>
              <w:tc>
                <w:tcPr>
                  <w:tcW w:w="716" w:type="pct"/>
                  <w:vAlign w:val="center"/>
                </w:tcPr>
                <w:p>
                  <w:pPr>
                    <w:snapToGrid w:val="0"/>
                    <w:jc w:val="center"/>
                    <w:rPr>
                      <w:rFonts w:hint="default" w:ascii="Times New Roman" w:hAnsi="Times New Roman" w:eastAsia="宋体" w:cs="Times New Roman"/>
                      <w:color w:val="auto"/>
                      <w:sz w:val="18"/>
                      <w:szCs w:val="18"/>
                    </w:rPr>
                  </w:pPr>
                  <w:r>
                    <w:rPr>
                      <w:rFonts w:hint="eastAsia" w:cs="Times New Roman"/>
                      <w:color w:val="auto"/>
                      <w:sz w:val="18"/>
                      <w:szCs w:val="18"/>
                      <w:lang w:val="en-US" w:eastAsia="zh-CN"/>
                    </w:rPr>
                    <w:t>/</w:t>
                  </w:r>
                </w:p>
              </w:tc>
              <w:tc>
                <w:tcPr>
                  <w:tcW w:w="1566" w:type="pct"/>
                  <w:vAlign w:val="center"/>
                </w:tcPr>
                <w:p>
                  <w:pPr>
                    <w:pStyle w:val="32"/>
                    <w:snapToGrid w:val="0"/>
                    <w:jc w:val="center"/>
                    <w:rPr>
                      <w:rFonts w:hint="default" w:ascii="Times New Roman" w:hAnsi="Times New Roman" w:eastAsia="宋体"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0" w:type="dxa"/>
                  <w:bottom w:w="0" w:type="dxa"/>
                  <w:right w:w="0" w:type="dxa"/>
                </w:tblCellMar>
              </w:tblPrEx>
              <w:trPr>
                <w:jc w:val="center"/>
              </w:trPr>
              <w:tc>
                <w:tcPr>
                  <w:tcW w:w="289" w:type="pct"/>
                  <w:vMerge w:val="continue"/>
                  <w:tcMar>
                    <w:left w:w="0" w:type="dxa"/>
                    <w:right w:w="0" w:type="dxa"/>
                  </w:tcMar>
                  <w:vAlign w:val="center"/>
                </w:tcPr>
                <w:p>
                  <w:pPr>
                    <w:snapToGrid w:val="0"/>
                    <w:jc w:val="center"/>
                    <w:rPr>
                      <w:rFonts w:hint="default" w:ascii="Times New Roman" w:hAnsi="Times New Roman" w:eastAsia="宋体" w:cs="Times New Roman"/>
                      <w:color w:val="auto"/>
                      <w:sz w:val="18"/>
                      <w:szCs w:val="18"/>
                    </w:rPr>
                  </w:pPr>
                </w:p>
              </w:tc>
              <w:tc>
                <w:tcPr>
                  <w:tcW w:w="1138" w:type="pct"/>
                  <w:vAlign w:val="center"/>
                </w:tcPr>
                <w:p>
                  <w:pPr>
                    <w:pStyle w:val="44"/>
                    <w:spacing w:beforeLines="0" w:afterLines="0" w:line="240" w:lineRule="auto"/>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snapToGrid w:val="0"/>
                      <w:color w:val="auto"/>
                      <w:kern w:val="21"/>
                      <w:sz w:val="18"/>
                      <w:szCs w:val="18"/>
                    </w:rPr>
                    <w:t>氟化物</w:t>
                  </w:r>
                </w:p>
              </w:tc>
              <w:tc>
                <w:tcPr>
                  <w:tcW w:w="289" w:type="pct"/>
                  <w:vAlign w:val="center"/>
                </w:tcPr>
                <w:p>
                  <w:pPr>
                    <w:pStyle w:val="27"/>
                    <w:snapToGrid w:val="0"/>
                    <w:spacing w:line="240" w:lineRule="auto"/>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t/a</w:t>
                  </w:r>
                </w:p>
              </w:tc>
              <w:tc>
                <w:tcPr>
                  <w:tcW w:w="1000" w:type="pct"/>
                  <w:vAlign w:val="center"/>
                </w:tcPr>
                <w:p>
                  <w:pPr>
                    <w:widowControl/>
                    <w:jc w:val="center"/>
                    <w:textAlignment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kern w:val="0"/>
                      <w:sz w:val="18"/>
                      <w:szCs w:val="18"/>
                      <w:lang w:bidi="ar"/>
                    </w:rPr>
                    <w:t>0.077</w:t>
                  </w:r>
                </w:p>
              </w:tc>
              <w:tc>
                <w:tcPr>
                  <w:tcW w:w="716" w:type="pct"/>
                  <w:vAlign w:val="center"/>
                </w:tcPr>
                <w:p>
                  <w:pPr>
                    <w:snapToGrid w:val="0"/>
                    <w:jc w:val="center"/>
                    <w:rPr>
                      <w:rFonts w:hint="default" w:ascii="Times New Roman" w:hAnsi="Times New Roman" w:eastAsia="宋体" w:cs="Times New Roman"/>
                      <w:color w:val="auto"/>
                      <w:sz w:val="18"/>
                      <w:szCs w:val="18"/>
                    </w:rPr>
                  </w:pPr>
                  <w:r>
                    <w:rPr>
                      <w:rFonts w:hint="eastAsia" w:cs="Times New Roman"/>
                      <w:color w:val="auto"/>
                      <w:sz w:val="18"/>
                      <w:szCs w:val="18"/>
                      <w:lang w:val="en-US" w:eastAsia="zh-CN"/>
                    </w:rPr>
                    <w:t>/</w:t>
                  </w:r>
                </w:p>
              </w:tc>
              <w:tc>
                <w:tcPr>
                  <w:tcW w:w="1566" w:type="pct"/>
                  <w:vAlign w:val="center"/>
                </w:tcPr>
                <w:p>
                  <w:pPr>
                    <w:pStyle w:val="32"/>
                    <w:snapToGrid w:val="0"/>
                    <w:jc w:val="center"/>
                    <w:rPr>
                      <w:rFonts w:hint="default" w:ascii="Times New Roman" w:hAnsi="Times New Roman" w:eastAsia="宋体"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0" w:type="dxa"/>
                  <w:bottom w:w="0" w:type="dxa"/>
                  <w:right w:w="0" w:type="dxa"/>
                </w:tblCellMar>
              </w:tblPrEx>
              <w:trPr>
                <w:jc w:val="center"/>
              </w:trPr>
              <w:tc>
                <w:tcPr>
                  <w:tcW w:w="289" w:type="pct"/>
                  <w:vMerge w:val="continue"/>
                  <w:tcMar>
                    <w:left w:w="0" w:type="dxa"/>
                    <w:right w:w="0" w:type="dxa"/>
                  </w:tcMar>
                  <w:vAlign w:val="center"/>
                </w:tcPr>
                <w:p>
                  <w:pPr>
                    <w:snapToGrid w:val="0"/>
                    <w:jc w:val="center"/>
                    <w:rPr>
                      <w:rFonts w:hint="default" w:ascii="Times New Roman" w:hAnsi="Times New Roman" w:eastAsia="宋体" w:cs="Times New Roman"/>
                      <w:color w:val="auto"/>
                      <w:sz w:val="18"/>
                      <w:szCs w:val="18"/>
                    </w:rPr>
                  </w:pPr>
                </w:p>
              </w:tc>
              <w:tc>
                <w:tcPr>
                  <w:tcW w:w="1138" w:type="pct"/>
                  <w:vAlign w:val="center"/>
                </w:tcPr>
                <w:p>
                  <w:pPr>
                    <w:pStyle w:val="44"/>
                    <w:spacing w:beforeLines="0" w:afterLines="0" w:line="240" w:lineRule="auto"/>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snapToGrid w:val="0"/>
                      <w:color w:val="auto"/>
                      <w:kern w:val="21"/>
                      <w:sz w:val="18"/>
                      <w:szCs w:val="18"/>
                    </w:rPr>
                    <w:t>挥发酚</w:t>
                  </w:r>
                </w:p>
              </w:tc>
              <w:tc>
                <w:tcPr>
                  <w:tcW w:w="289" w:type="pct"/>
                  <w:vAlign w:val="center"/>
                </w:tcPr>
                <w:p>
                  <w:pPr>
                    <w:pStyle w:val="27"/>
                    <w:snapToGrid w:val="0"/>
                    <w:spacing w:line="240" w:lineRule="auto"/>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t/a</w:t>
                  </w:r>
                </w:p>
              </w:tc>
              <w:tc>
                <w:tcPr>
                  <w:tcW w:w="1000" w:type="pct"/>
                  <w:vAlign w:val="center"/>
                </w:tcPr>
                <w:p>
                  <w:pPr>
                    <w:widowControl/>
                    <w:jc w:val="center"/>
                    <w:textAlignment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kern w:val="0"/>
                      <w:sz w:val="18"/>
                      <w:szCs w:val="18"/>
                      <w:lang w:bidi="ar"/>
                    </w:rPr>
                    <w:t>0.0064</w:t>
                  </w:r>
                </w:p>
              </w:tc>
              <w:tc>
                <w:tcPr>
                  <w:tcW w:w="716" w:type="pct"/>
                  <w:vAlign w:val="center"/>
                </w:tcPr>
                <w:p>
                  <w:pPr>
                    <w:snapToGrid w:val="0"/>
                    <w:jc w:val="center"/>
                    <w:rPr>
                      <w:rFonts w:hint="default" w:ascii="Times New Roman" w:hAnsi="Times New Roman" w:eastAsia="宋体" w:cs="Times New Roman"/>
                      <w:color w:val="auto"/>
                      <w:sz w:val="18"/>
                      <w:szCs w:val="18"/>
                    </w:rPr>
                  </w:pPr>
                  <w:r>
                    <w:rPr>
                      <w:rFonts w:hint="eastAsia" w:cs="Times New Roman"/>
                      <w:color w:val="auto"/>
                      <w:sz w:val="18"/>
                      <w:szCs w:val="18"/>
                      <w:lang w:val="en-US" w:eastAsia="zh-CN"/>
                    </w:rPr>
                    <w:t>/</w:t>
                  </w:r>
                </w:p>
              </w:tc>
              <w:tc>
                <w:tcPr>
                  <w:tcW w:w="1566" w:type="pct"/>
                  <w:vAlign w:val="center"/>
                </w:tcPr>
                <w:p>
                  <w:pPr>
                    <w:pStyle w:val="32"/>
                    <w:snapToGrid w:val="0"/>
                    <w:jc w:val="center"/>
                    <w:rPr>
                      <w:rFonts w:hint="default" w:ascii="Times New Roman" w:hAnsi="Times New Roman" w:eastAsia="宋体"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0" w:type="dxa"/>
                  <w:bottom w:w="0" w:type="dxa"/>
                  <w:right w:w="0" w:type="dxa"/>
                </w:tblCellMar>
              </w:tblPrEx>
              <w:trPr>
                <w:jc w:val="center"/>
              </w:trPr>
              <w:tc>
                <w:tcPr>
                  <w:tcW w:w="289" w:type="pct"/>
                  <w:vMerge w:val="continue"/>
                  <w:tcMar>
                    <w:left w:w="0" w:type="dxa"/>
                    <w:right w:w="0" w:type="dxa"/>
                  </w:tcMar>
                  <w:vAlign w:val="center"/>
                </w:tcPr>
                <w:p>
                  <w:pPr>
                    <w:snapToGrid w:val="0"/>
                    <w:jc w:val="center"/>
                    <w:rPr>
                      <w:rFonts w:hint="default" w:ascii="Times New Roman" w:hAnsi="Times New Roman" w:eastAsia="宋体" w:cs="Times New Roman"/>
                      <w:color w:val="auto"/>
                      <w:sz w:val="18"/>
                      <w:szCs w:val="18"/>
                    </w:rPr>
                  </w:pPr>
                </w:p>
              </w:tc>
              <w:tc>
                <w:tcPr>
                  <w:tcW w:w="1138" w:type="pct"/>
                  <w:vAlign w:val="center"/>
                </w:tcPr>
                <w:p>
                  <w:pPr>
                    <w:pStyle w:val="44"/>
                    <w:spacing w:beforeLines="0" w:afterLines="0" w:line="240" w:lineRule="auto"/>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snapToGrid w:val="0"/>
                      <w:color w:val="auto"/>
                      <w:kern w:val="21"/>
                      <w:sz w:val="18"/>
                      <w:szCs w:val="18"/>
                    </w:rPr>
                    <w:t>氯化物</w:t>
                  </w:r>
                </w:p>
              </w:tc>
              <w:tc>
                <w:tcPr>
                  <w:tcW w:w="289" w:type="pct"/>
                  <w:vAlign w:val="center"/>
                </w:tcPr>
                <w:p>
                  <w:pPr>
                    <w:pStyle w:val="27"/>
                    <w:snapToGrid w:val="0"/>
                    <w:spacing w:line="240" w:lineRule="auto"/>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t/a</w:t>
                  </w:r>
                </w:p>
              </w:tc>
              <w:tc>
                <w:tcPr>
                  <w:tcW w:w="1000" w:type="pct"/>
                  <w:vAlign w:val="center"/>
                </w:tcPr>
                <w:p>
                  <w:pPr>
                    <w:widowControl/>
                    <w:jc w:val="center"/>
                    <w:textAlignment w:val="center"/>
                    <w:rPr>
                      <w:rFonts w:hint="default" w:ascii="Times New Roman" w:hAnsi="Times New Roman" w:eastAsia="宋体" w:cs="Times New Roman"/>
                      <w:color w:val="auto"/>
                      <w:kern w:val="0"/>
                      <w:sz w:val="18"/>
                      <w:szCs w:val="18"/>
                      <w:lang w:bidi="ar"/>
                    </w:rPr>
                  </w:pPr>
                  <w:r>
                    <w:rPr>
                      <w:rFonts w:hint="default" w:ascii="Times New Roman" w:hAnsi="Times New Roman" w:eastAsia="宋体" w:cs="Times New Roman"/>
                      <w:color w:val="auto"/>
                      <w:kern w:val="0"/>
                      <w:sz w:val="18"/>
                      <w:szCs w:val="18"/>
                      <w:lang w:bidi="ar"/>
                    </w:rPr>
                    <w:t>26.407</w:t>
                  </w:r>
                </w:p>
              </w:tc>
              <w:tc>
                <w:tcPr>
                  <w:tcW w:w="716" w:type="pct"/>
                  <w:vAlign w:val="center"/>
                </w:tcPr>
                <w:p>
                  <w:pPr>
                    <w:snapToGrid w:val="0"/>
                    <w:jc w:val="center"/>
                    <w:rPr>
                      <w:rFonts w:hint="default" w:ascii="Times New Roman" w:hAnsi="Times New Roman" w:eastAsia="宋体" w:cs="Times New Roman"/>
                      <w:color w:val="auto"/>
                      <w:sz w:val="18"/>
                      <w:szCs w:val="18"/>
                    </w:rPr>
                  </w:pPr>
                  <w:r>
                    <w:rPr>
                      <w:rFonts w:hint="eastAsia" w:cs="Times New Roman"/>
                      <w:color w:val="auto"/>
                      <w:sz w:val="18"/>
                      <w:szCs w:val="18"/>
                      <w:lang w:val="en-US" w:eastAsia="zh-CN"/>
                    </w:rPr>
                    <w:t>/</w:t>
                  </w:r>
                </w:p>
              </w:tc>
              <w:tc>
                <w:tcPr>
                  <w:tcW w:w="1566" w:type="pct"/>
                  <w:vAlign w:val="center"/>
                </w:tcPr>
                <w:p>
                  <w:pPr>
                    <w:pStyle w:val="32"/>
                    <w:snapToGrid w:val="0"/>
                    <w:jc w:val="center"/>
                    <w:rPr>
                      <w:rFonts w:hint="default" w:ascii="Times New Roman" w:hAnsi="Times New Roman" w:eastAsia="宋体"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0" w:type="dxa"/>
                  <w:bottom w:w="0" w:type="dxa"/>
                  <w:right w:w="0" w:type="dxa"/>
                </w:tblCellMar>
              </w:tblPrEx>
              <w:trPr>
                <w:jc w:val="center"/>
              </w:trPr>
              <w:tc>
                <w:tcPr>
                  <w:tcW w:w="289" w:type="pct"/>
                  <w:vMerge w:val="continue"/>
                  <w:tcMar>
                    <w:left w:w="0" w:type="dxa"/>
                    <w:right w:w="0" w:type="dxa"/>
                  </w:tcMar>
                  <w:vAlign w:val="center"/>
                </w:tcPr>
                <w:p>
                  <w:pPr>
                    <w:snapToGrid w:val="0"/>
                    <w:jc w:val="center"/>
                    <w:rPr>
                      <w:rFonts w:hint="default" w:ascii="Times New Roman" w:hAnsi="Times New Roman" w:eastAsia="宋体" w:cs="Times New Roman"/>
                      <w:color w:val="auto"/>
                      <w:sz w:val="18"/>
                      <w:szCs w:val="18"/>
                    </w:rPr>
                  </w:pPr>
                </w:p>
              </w:tc>
              <w:tc>
                <w:tcPr>
                  <w:tcW w:w="1138" w:type="pct"/>
                  <w:vAlign w:val="center"/>
                </w:tcPr>
                <w:p>
                  <w:pPr>
                    <w:pStyle w:val="44"/>
                    <w:spacing w:beforeLines="0" w:afterLines="0" w:line="240" w:lineRule="auto"/>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snapToGrid w:val="0"/>
                      <w:color w:val="auto"/>
                      <w:kern w:val="21"/>
                      <w:sz w:val="18"/>
                      <w:szCs w:val="18"/>
                    </w:rPr>
                    <w:t>硫酸盐</w:t>
                  </w:r>
                </w:p>
              </w:tc>
              <w:tc>
                <w:tcPr>
                  <w:tcW w:w="289" w:type="pct"/>
                  <w:vAlign w:val="center"/>
                </w:tcPr>
                <w:p>
                  <w:pPr>
                    <w:pStyle w:val="27"/>
                    <w:snapToGrid w:val="0"/>
                    <w:spacing w:line="240" w:lineRule="auto"/>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t/a</w:t>
                  </w:r>
                </w:p>
              </w:tc>
              <w:tc>
                <w:tcPr>
                  <w:tcW w:w="1000" w:type="pct"/>
                  <w:vAlign w:val="center"/>
                </w:tcPr>
                <w:p>
                  <w:pPr>
                    <w:widowControl/>
                    <w:jc w:val="center"/>
                    <w:textAlignment w:val="center"/>
                    <w:rPr>
                      <w:rFonts w:hint="default" w:ascii="Times New Roman" w:hAnsi="Times New Roman" w:eastAsia="宋体" w:cs="Times New Roman"/>
                      <w:color w:val="auto"/>
                      <w:kern w:val="0"/>
                      <w:sz w:val="18"/>
                      <w:szCs w:val="18"/>
                      <w:lang w:bidi="ar"/>
                    </w:rPr>
                  </w:pPr>
                  <w:r>
                    <w:rPr>
                      <w:rFonts w:hint="default" w:ascii="Times New Roman" w:hAnsi="Times New Roman" w:eastAsia="宋体" w:cs="Times New Roman"/>
                      <w:color w:val="auto"/>
                      <w:kern w:val="0"/>
                      <w:sz w:val="18"/>
                      <w:szCs w:val="18"/>
                      <w:lang w:bidi="ar"/>
                    </w:rPr>
                    <w:t>19.808</w:t>
                  </w:r>
                </w:p>
              </w:tc>
              <w:tc>
                <w:tcPr>
                  <w:tcW w:w="716" w:type="pct"/>
                  <w:vAlign w:val="center"/>
                </w:tcPr>
                <w:p>
                  <w:pPr>
                    <w:snapToGrid w:val="0"/>
                    <w:jc w:val="center"/>
                    <w:rPr>
                      <w:rFonts w:hint="default" w:ascii="Times New Roman" w:hAnsi="Times New Roman" w:eastAsia="宋体" w:cs="Times New Roman"/>
                      <w:color w:val="auto"/>
                      <w:sz w:val="18"/>
                      <w:szCs w:val="18"/>
                    </w:rPr>
                  </w:pPr>
                  <w:r>
                    <w:rPr>
                      <w:rFonts w:hint="eastAsia" w:cs="Times New Roman"/>
                      <w:color w:val="auto"/>
                      <w:sz w:val="18"/>
                      <w:szCs w:val="18"/>
                      <w:lang w:val="en-US" w:eastAsia="zh-CN"/>
                    </w:rPr>
                    <w:t>/</w:t>
                  </w:r>
                </w:p>
              </w:tc>
              <w:tc>
                <w:tcPr>
                  <w:tcW w:w="1566" w:type="pct"/>
                  <w:vAlign w:val="center"/>
                </w:tcPr>
                <w:p>
                  <w:pPr>
                    <w:pStyle w:val="32"/>
                    <w:snapToGrid w:val="0"/>
                    <w:jc w:val="center"/>
                    <w:rPr>
                      <w:rFonts w:hint="default" w:ascii="Times New Roman" w:hAnsi="Times New Roman" w:eastAsia="宋体"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0" w:type="dxa"/>
                  <w:bottom w:w="0" w:type="dxa"/>
                  <w:right w:w="0" w:type="dxa"/>
                </w:tblCellMar>
              </w:tblPrEx>
              <w:trPr>
                <w:jc w:val="center"/>
              </w:trPr>
              <w:tc>
                <w:tcPr>
                  <w:tcW w:w="289" w:type="pct"/>
                  <w:vMerge w:val="continue"/>
                  <w:tcMar>
                    <w:left w:w="0" w:type="dxa"/>
                    <w:right w:w="0" w:type="dxa"/>
                  </w:tcMar>
                  <w:vAlign w:val="center"/>
                </w:tcPr>
                <w:p>
                  <w:pPr>
                    <w:snapToGrid w:val="0"/>
                    <w:jc w:val="center"/>
                    <w:rPr>
                      <w:rFonts w:hint="default" w:ascii="Times New Roman" w:hAnsi="Times New Roman" w:eastAsia="宋体" w:cs="Times New Roman"/>
                      <w:color w:val="auto"/>
                      <w:sz w:val="18"/>
                      <w:szCs w:val="18"/>
                    </w:rPr>
                  </w:pPr>
                </w:p>
              </w:tc>
              <w:tc>
                <w:tcPr>
                  <w:tcW w:w="1138" w:type="pct"/>
                  <w:vAlign w:val="center"/>
                </w:tcPr>
                <w:p>
                  <w:pPr>
                    <w:pStyle w:val="44"/>
                    <w:spacing w:beforeLines="0" w:afterLines="0" w:line="240" w:lineRule="auto"/>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snapToGrid w:val="0"/>
                      <w:color w:val="auto"/>
                      <w:kern w:val="21"/>
                      <w:sz w:val="18"/>
                      <w:szCs w:val="18"/>
                    </w:rPr>
                    <w:t>溶解性总固体</w:t>
                  </w:r>
                </w:p>
              </w:tc>
              <w:tc>
                <w:tcPr>
                  <w:tcW w:w="289" w:type="pct"/>
                  <w:vAlign w:val="center"/>
                </w:tcPr>
                <w:p>
                  <w:pPr>
                    <w:pStyle w:val="27"/>
                    <w:snapToGrid w:val="0"/>
                    <w:spacing w:line="240" w:lineRule="auto"/>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t/a</w:t>
                  </w:r>
                </w:p>
              </w:tc>
              <w:tc>
                <w:tcPr>
                  <w:tcW w:w="1000" w:type="pct"/>
                  <w:vAlign w:val="center"/>
                </w:tcPr>
                <w:p>
                  <w:pPr>
                    <w:widowControl/>
                    <w:jc w:val="center"/>
                    <w:textAlignment w:val="center"/>
                    <w:rPr>
                      <w:rFonts w:hint="default" w:ascii="Times New Roman" w:hAnsi="Times New Roman" w:eastAsia="宋体" w:cs="Times New Roman"/>
                      <w:color w:val="auto"/>
                      <w:kern w:val="0"/>
                      <w:sz w:val="18"/>
                      <w:szCs w:val="18"/>
                      <w:lang w:bidi="ar"/>
                    </w:rPr>
                  </w:pPr>
                  <w:r>
                    <w:rPr>
                      <w:rFonts w:hint="default" w:ascii="Times New Roman" w:hAnsi="Times New Roman" w:eastAsia="宋体" w:cs="Times New Roman"/>
                      <w:color w:val="auto"/>
                      <w:kern w:val="0"/>
                      <w:sz w:val="18"/>
                      <w:szCs w:val="18"/>
                      <w:lang w:bidi="ar"/>
                    </w:rPr>
                    <w:t>25.712</w:t>
                  </w:r>
                </w:p>
              </w:tc>
              <w:tc>
                <w:tcPr>
                  <w:tcW w:w="716" w:type="pct"/>
                  <w:vAlign w:val="center"/>
                </w:tcPr>
                <w:p>
                  <w:pPr>
                    <w:snapToGrid w:val="0"/>
                    <w:jc w:val="center"/>
                    <w:rPr>
                      <w:rFonts w:hint="default" w:ascii="Times New Roman" w:hAnsi="Times New Roman" w:eastAsia="宋体" w:cs="Times New Roman"/>
                      <w:color w:val="auto"/>
                      <w:sz w:val="18"/>
                      <w:szCs w:val="18"/>
                    </w:rPr>
                  </w:pPr>
                  <w:r>
                    <w:rPr>
                      <w:rFonts w:hint="eastAsia" w:cs="Times New Roman"/>
                      <w:color w:val="auto"/>
                      <w:sz w:val="18"/>
                      <w:szCs w:val="18"/>
                      <w:lang w:val="en-US" w:eastAsia="zh-CN"/>
                    </w:rPr>
                    <w:t>/</w:t>
                  </w:r>
                </w:p>
              </w:tc>
              <w:tc>
                <w:tcPr>
                  <w:tcW w:w="1566" w:type="pct"/>
                  <w:vAlign w:val="center"/>
                </w:tcPr>
                <w:p>
                  <w:pPr>
                    <w:pStyle w:val="32"/>
                    <w:snapToGrid w:val="0"/>
                    <w:jc w:val="center"/>
                    <w:rPr>
                      <w:rFonts w:hint="default" w:ascii="Times New Roman" w:hAnsi="Times New Roman" w:eastAsia="宋体"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0" w:type="dxa"/>
                  <w:bottom w:w="0" w:type="dxa"/>
                  <w:right w:w="0" w:type="dxa"/>
                </w:tblCellMar>
              </w:tblPrEx>
              <w:trPr>
                <w:jc w:val="center"/>
              </w:trPr>
              <w:tc>
                <w:tcPr>
                  <w:tcW w:w="289" w:type="pct"/>
                  <w:vMerge w:val="restart"/>
                  <w:tcMar>
                    <w:left w:w="0" w:type="dxa"/>
                    <w:right w:w="0" w:type="dxa"/>
                  </w:tcMar>
                  <w:vAlign w:val="center"/>
                </w:tcPr>
                <w:p>
                  <w:pPr>
                    <w:snapToGrid w:val="0"/>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废气</w:t>
                  </w:r>
                </w:p>
              </w:tc>
              <w:tc>
                <w:tcPr>
                  <w:tcW w:w="1138" w:type="pct"/>
                  <w:vAlign w:val="center"/>
                </w:tcPr>
                <w:p>
                  <w:pPr>
                    <w:pStyle w:val="62"/>
                    <w:snapToGrid w:val="0"/>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颗粒物</w:t>
                  </w:r>
                </w:p>
              </w:tc>
              <w:tc>
                <w:tcPr>
                  <w:tcW w:w="289" w:type="pct"/>
                  <w:vAlign w:val="center"/>
                </w:tcPr>
                <w:p>
                  <w:pPr>
                    <w:pStyle w:val="27"/>
                    <w:snapToGrid w:val="0"/>
                    <w:spacing w:line="240" w:lineRule="auto"/>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t/a</w:t>
                  </w:r>
                </w:p>
              </w:tc>
              <w:tc>
                <w:tcPr>
                  <w:tcW w:w="1000" w:type="pct"/>
                  <w:vAlign w:val="center"/>
                </w:tcPr>
                <w:p>
                  <w:pPr>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rPr>
                    <w:t>0.893</w:t>
                  </w:r>
                </w:p>
              </w:tc>
              <w:tc>
                <w:tcPr>
                  <w:tcW w:w="716" w:type="pct"/>
                  <w:vAlign w:val="center"/>
                </w:tcPr>
                <w:p>
                  <w:pPr>
                    <w:snapToGrid w:val="0"/>
                    <w:jc w:val="center"/>
                    <w:rPr>
                      <w:rFonts w:hint="default" w:ascii="Times New Roman" w:hAnsi="Times New Roman" w:eastAsia="宋体" w:cs="Times New Roman"/>
                      <w:color w:val="auto"/>
                      <w:sz w:val="18"/>
                      <w:szCs w:val="18"/>
                    </w:rPr>
                  </w:pPr>
                  <w:r>
                    <w:rPr>
                      <w:rFonts w:hint="eastAsia" w:cs="Times New Roman"/>
                      <w:color w:val="auto"/>
                      <w:sz w:val="18"/>
                      <w:szCs w:val="18"/>
                      <w:lang w:val="en-US" w:eastAsia="zh-CN"/>
                    </w:rPr>
                    <w:t>/</w:t>
                  </w:r>
                </w:p>
              </w:tc>
              <w:tc>
                <w:tcPr>
                  <w:tcW w:w="1566" w:type="pct"/>
                  <w:vAlign w:val="center"/>
                </w:tcPr>
                <w:p>
                  <w:pPr>
                    <w:pStyle w:val="32"/>
                    <w:snapToGrid w:val="0"/>
                    <w:jc w:val="center"/>
                    <w:rPr>
                      <w:rFonts w:hint="default" w:ascii="Times New Roman" w:hAnsi="Times New Roman" w:eastAsia="宋体" w:cs="Times New Roman"/>
                      <w:color w:val="auto"/>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0" w:type="dxa"/>
                  <w:bottom w:w="0" w:type="dxa"/>
                  <w:right w:w="0" w:type="dxa"/>
                </w:tblCellMar>
              </w:tblPrEx>
              <w:trPr>
                <w:jc w:val="center"/>
              </w:trPr>
              <w:tc>
                <w:tcPr>
                  <w:tcW w:w="289" w:type="pct"/>
                  <w:vMerge w:val="continue"/>
                  <w:tcMar>
                    <w:left w:w="0" w:type="dxa"/>
                    <w:right w:w="0" w:type="dxa"/>
                  </w:tcMar>
                  <w:vAlign w:val="center"/>
                </w:tcPr>
                <w:p>
                  <w:pPr>
                    <w:snapToGrid w:val="0"/>
                    <w:jc w:val="center"/>
                    <w:rPr>
                      <w:rFonts w:hint="default" w:ascii="Times New Roman" w:hAnsi="Times New Roman" w:eastAsia="宋体" w:cs="Times New Roman"/>
                      <w:color w:val="auto"/>
                      <w:sz w:val="18"/>
                      <w:szCs w:val="18"/>
                    </w:rPr>
                  </w:pPr>
                </w:p>
              </w:tc>
              <w:tc>
                <w:tcPr>
                  <w:tcW w:w="1138" w:type="pct"/>
                  <w:vAlign w:val="center"/>
                </w:tcPr>
                <w:p>
                  <w:pPr>
                    <w:autoSpaceDE w:val="0"/>
                    <w:autoSpaceDN w:val="0"/>
                    <w:adjustRightInd w:val="0"/>
                    <w:snapToGrid w:val="0"/>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二氧化硫</w:t>
                  </w:r>
                </w:p>
              </w:tc>
              <w:tc>
                <w:tcPr>
                  <w:tcW w:w="289" w:type="pct"/>
                  <w:vAlign w:val="center"/>
                </w:tcPr>
                <w:p>
                  <w:pPr>
                    <w:pStyle w:val="27"/>
                    <w:snapToGrid w:val="0"/>
                    <w:spacing w:line="240" w:lineRule="auto"/>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t/a</w:t>
                  </w:r>
                </w:p>
              </w:tc>
              <w:tc>
                <w:tcPr>
                  <w:tcW w:w="1000" w:type="pct"/>
                  <w:vAlign w:val="center"/>
                </w:tcPr>
                <w:p>
                  <w:pPr>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rPr>
                    <w:t>0.615</w:t>
                  </w:r>
                </w:p>
              </w:tc>
              <w:tc>
                <w:tcPr>
                  <w:tcW w:w="716" w:type="pct"/>
                  <w:vAlign w:val="center"/>
                </w:tcPr>
                <w:p>
                  <w:pPr>
                    <w:snapToGrid w:val="0"/>
                    <w:jc w:val="center"/>
                    <w:rPr>
                      <w:rFonts w:hint="default" w:ascii="Times New Roman" w:hAnsi="Times New Roman" w:eastAsia="宋体" w:cs="Times New Roman"/>
                      <w:color w:val="auto"/>
                      <w:sz w:val="18"/>
                      <w:szCs w:val="18"/>
                    </w:rPr>
                  </w:pPr>
                  <w:r>
                    <w:rPr>
                      <w:rFonts w:hint="eastAsia" w:cs="Times New Roman"/>
                      <w:color w:val="auto"/>
                      <w:sz w:val="18"/>
                      <w:szCs w:val="18"/>
                      <w:lang w:val="en-US" w:eastAsia="zh-CN"/>
                    </w:rPr>
                    <w:t>/</w:t>
                  </w:r>
                </w:p>
              </w:tc>
              <w:tc>
                <w:tcPr>
                  <w:tcW w:w="1566" w:type="pct"/>
                  <w:vAlign w:val="center"/>
                </w:tcPr>
                <w:p>
                  <w:pPr>
                    <w:pStyle w:val="32"/>
                    <w:snapToGrid w:val="0"/>
                    <w:jc w:val="center"/>
                    <w:rPr>
                      <w:rFonts w:hint="default" w:ascii="Times New Roman" w:hAnsi="Times New Roman" w:eastAsia="宋体"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0" w:type="dxa"/>
                  <w:bottom w:w="0" w:type="dxa"/>
                  <w:right w:w="0" w:type="dxa"/>
                </w:tblCellMar>
              </w:tblPrEx>
              <w:trPr>
                <w:jc w:val="center"/>
              </w:trPr>
              <w:tc>
                <w:tcPr>
                  <w:tcW w:w="289" w:type="pct"/>
                  <w:vMerge w:val="continue"/>
                  <w:tcMar>
                    <w:left w:w="0" w:type="dxa"/>
                    <w:right w:w="0" w:type="dxa"/>
                  </w:tcMar>
                  <w:vAlign w:val="center"/>
                </w:tcPr>
                <w:p>
                  <w:pPr>
                    <w:snapToGrid w:val="0"/>
                    <w:jc w:val="center"/>
                    <w:rPr>
                      <w:rFonts w:hint="default" w:ascii="Times New Roman" w:hAnsi="Times New Roman" w:eastAsia="宋体" w:cs="Times New Roman"/>
                      <w:color w:val="auto"/>
                      <w:sz w:val="18"/>
                      <w:szCs w:val="18"/>
                    </w:rPr>
                  </w:pPr>
                </w:p>
              </w:tc>
              <w:tc>
                <w:tcPr>
                  <w:tcW w:w="1138" w:type="pct"/>
                  <w:vAlign w:val="center"/>
                </w:tcPr>
                <w:p>
                  <w:pPr>
                    <w:autoSpaceDE w:val="0"/>
                    <w:autoSpaceDN w:val="0"/>
                    <w:adjustRightInd w:val="0"/>
                    <w:snapToGrid w:val="0"/>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氮氧化物</w:t>
                  </w:r>
                </w:p>
              </w:tc>
              <w:tc>
                <w:tcPr>
                  <w:tcW w:w="289" w:type="pct"/>
                  <w:vAlign w:val="center"/>
                </w:tcPr>
                <w:p>
                  <w:pPr>
                    <w:pStyle w:val="27"/>
                    <w:snapToGrid w:val="0"/>
                    <w:spacing w:line="240" w:lineRule="auto"/>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t/a</w:t>
                  </w:r>
                </w:p>
              </w:tc>
              <w:tc>
                <w:tcPr>
                  <w:tcW w:w="1000" w:type="pct"/>
                  <w:vAlign w:val="center"/>
                </w:tcPr>
                <w:p>
                  <w:pPr>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rPr>
                    <w:t>5.795</w:t>
                  </w:r>
                </w:p>
              </w:tc>
              <w:tc>
                <w:tcPr>
                  <w:tcW w:w="716" w:type="pct"/>
                  <w:vAlign w:val="center"/>
                </w:tcPr>
                <w:p>
                  <w:pPr>
                    <w:snapToGrid w:val="0"/>
                    <w:jc w:val="center"/>
                    <w:rPr>
                      <w:rFonts w:hint="default" w:ascii="Times New Roman" w:hAnsi="Times New Roman" w:eastAsia="宋体" w:cs="Times New Roman"/>
                      <w:color w:val="auto"/>
                      <w:sz w:val="18"/>
                      <w:szCs w:val="18"/>
                    </w:rPr>
                  </w:pPr>
                  <w:r>
                    <w:rPr>
                      <w:rFonts w:hint="eastAsia" w:cs="Times New Roman"/>
                      <w:color w:val="auto"/>
                      <w:sz w:val="18"/>
                      <w:szCs w:val="18"/>
                      <w:lang w:val="en-US" w:eastAsia="zh-CN"/>
                    </w:rPr>
                    <w:t>/</w:t>
                  </w:r>
                </w:p>
              </w:tc>
              <w:tc>
                <w:tcPr>
                  <w:tcW w:w="1566" w:type="pct"/>
                  <w:vAlign w:val="center"/>
                </w:tcPr>
                <w:p>
                  <w:pPr>
                    <w:pStyle w:val="32"/>
                    <w:snapToGrid w:val="0"/>
                    <w:jc w:val="center"/>
                    <w:rPr>
                      <w:rFonts w:hint="default" w:ascii="Times New Roman" w:hAnsi="Times New Roman" w:eastAsia="宋体"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0" w:type="dxa"/>
                  <w:bottom w:w="0" w:type="dxa"/>
                  <w:right w:w="0" w:type="dxa"/>
                </w:tblCellMar>
              </w:tblPrEx>
              <w:trPr>
                <w:jc w:val="center"/>
              </w:trPr>
              <w:tc>
                <w:tcPr>
                  <w:tcW w:w="289" w:type="pct"/>
                  <w:vMerge w:val="continue"/>
                  <w:tcMar>
                    <w:left w:w="0" w:type="dxa"/>
                    <w:right w:w="0" w:type="dxa"/>
                  </w:tcMar>
                  <w:vAlign w:val="center"/>
                </w:tcPr>
                <w:p>
                  <w:pPr>
                    <w:snapToGrid w:val="0"/>
                    <w:jc w:val="center"/>
                    <w:rPr>
                      <w:rFonts w:hint="default" w:ascii="Times New Roman" w:hAnsi="Times New Roman" w:eastAsia="宋体" w:cs="Times New Roman"/>
                      <w:color w:val="auto"/>
                      <w:sz w:val="18"/>
                      <w:szCs w:val="18"/>
                    </w:rPr>
                  </w:pPr>
                </w:p>
              </w:tc>
              <w:tc>
                <w:tcPr>
                  <w:tcW w:w="1138" w:type="pct"/>
                  <w:vAlign w:val="center"/>
                </w:tcPr>
                <w:p>
                  <w:pPr>
                    <w:autoSpaceDE w:val="0"/>
                    <w:autoSpaceDN w:val="0"/>
                    <w:adjustRightInd w:val="0"/>
                    <w:snapToGrid w:val="0"/>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HCl</w:t>
                  </w:r>
                </w:p>
              </w:tc>
              <w:tc>
                <w:tcPr>
                  <w:tcW w:w="289" w:type="pct"/>
                  <w:vAlign w:val="center"/>
                </w:tcPr>
                <w:p>
                  <w:pPr>
                    <w:pStyle w:val="27"/>
                    <w:snapToGrid w:val="0"/>
                    <w:spacing w:line="240" w:lineRule="auto"/>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t/a</w:t>
                  </w:r>
                </w:p>
              </w:tc>
              <w:tc>
                <w:tcPr>
                  <w:tcW w:w="1000" w:type="pct"/>
                  <w:vAlign w:val="center"/>
                </w:tcPr>
                <w:p>
                  <w:pPr>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0.736</w:t>
                  </w:r>
                </w:p>
              </w:tc>
              <w:tc>
                <w:tcPr>
                  <w:tcW w:w="716" w:type="pct"/>
                  <w:vAlign w:val="center"/>
                </w:tcPr>
                <w:p>
                  <w:pPr>
                    <w:snapToGrid w:val="0"/>
                    <w:jc w:val="center"/>
                    <w:rPr>
                      <w:rFonts w:hint="default" w:ascii="Times New Roman" w:hAnsi="Times New Roman" w:eastAsia="宋体" w:cs="Times New Roman"/>
                      <w:color w:val="auto"/>
                      <w:sz w:val="18"/>
                      <w:szCs w:val="18"/>
                    </w:rPr>
                  </w:pPr>
                  <w:r>
                    <w:rPr>
                      <w:rFonts w:hint="eastAsia" w:cs="Times New Roman"/>
                      <w:color w:val="auto"/>
                      <w:sz w:val="18"/>
                      <w:szCs w:val="18"/>
                      <w:lang w:val="en-US" w:eastAsia="zh-CN"/>
                    </w:rPr>
                    <w:t>/</w:t>
                  </w:r>
                </w:p>
              </w:tc>
              <w:tc>
                <w:tcPr>
                  <w:tcW w:w="1566" w:type="pct"/>
                  <w:vAlign w:val="center"/>
                </w:tcPr>
                <w:p>
                  <w:pPr>
                    <w:pStyle w:val="32"/>
                    <w:snapToGrid w:val="0"/>
                    <w:jc w:val="center"/>
                    <w:rPr>
                      <w:rFonts w:hint="default" w:ascii="Times New Roman" w:hAnsi="Times New Roman" w:eastAsia="宋体"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0" w:type="dxa"/>
                  <w:bottom w:w="0" w:type="dxa"/>
                  <w:right w:w="0" w:type="dxa"/>
                </w:tblCellMar>
              </w:tblPrEx>
              <w:trPr>
                <w:jc w:val="center"/>
              </w:trPr>
              <w:tc>
                <w:tcPr>
                  <w:tcW w:w="289" w:type="pct"/>
                  <w:vMerge w:val="continue"/>
                  <w:tcMar>
                    <w:left w:w="0" w:type="dxa"/>
                    <w:right w:w="0" w:type="dxa"/>
                  </w:tcMar>
                  <w:vAlign w:val="center"/>
                </w:tcPr>
                <w:p>
                  <w:pPr>
                    <w:snapToGrid w:val="0"/>
                    <w:jc w:val="center"/>
                    <w:rPr>
                      <w:rFonts w:hint="default" w:ascii="Times New Roman" w:hAnsi="Times New Roman" w:eastAsia="宋体" w:cs="Times New Roman"/>
                      <w:color w:val="auto"/>
                      <w:sz w:val="18"/>
                      <w:szCs w:val="18"/>
                    </w:rPr>
                  </w:pPr>
                </w:p>
              </w:tc>
              <w:tc>
                <w:tcPr>
                  <w:tcW w:w="1138" w:type="pct"/>
                  <w:vAlign w:val="center"/>
                </w:tcPr>
                <w:p>
                  <w:pPr>
                    <w:widowControl/>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kern w:val="0"/>
                      <w:sz w:val="18"/>
                      <w:szCs w:val="18"/>
                    </w:rPr>
                    <w:t>五氧化二磷</w:t>
                  </w:r>
                </w:p>
              </w:tc>
              <w:tc>
                <w:tcPr>
                  <w:tcW w:w="289" w:type="pct"/>
                  <w:vAlign w:val="center"/>
                </w:tcPr>
                <w:p>
                  <w:pPr>
                    <w:widowControl/>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t/a</w:t>
                  </w:r>
                </w:p>
              </w:tc>
              <w:tc>
                <w:tcPr>
                  <w:tcW w:w="1000" w:type="pct"/>
                  <w:vAlign w:val="center"/>
                </w:tcPr>
                <w:p>
                  <w:pPr>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kern w:val="0"/>
                      <w:sz w:val="18"/>
                      <w:szCs w:val="18"/>
                    </w:rPr>
                    <w:t>0.0005</w:t>
                  </w:r>
                </w:p>
              </w:tc>
              <w:tc>
                <w:tcPr>
                  <w:tcW w:w="716" w:type="pct"/>
                  <w:vAlign w:val="center"/>
                </w:tcPr>
                <w:p>
                  <w:pPr>
                    <w:snapToGrid w:val="0"/>
                    <w:jc w:val="center"/>
                    <w:rPr>
                      <w:rFonts w:hint="default" w:ascii="Times New Roman" w:hAnsi="Times New Roman" w:eastAsia="宋体" w:cs="Times New Roman"/>
                      <w:color w:val="auto"/>
                      <w:sz w:val="18"/>
                      <w:szCs w:val="18"/>
                    </w:rPr>
                  </w:pPr>
                  <w:r>
                    <w:rPr>
                      <w:rFonts w:hint="eastAsia" w:cs="Times New Roman"/>
                      <w:color w:val="auto"/>
                      <w:sz w:val="18"/>
                      <w:szCs w:val="18"/>
                      <w:lang w:val="en-US" w:eastAsia="zh-CN"/>
                    </w:rPr>
                    <w:t>/</w:t>
                  </w:r>
                </w:p>
              </w:tc>
              <w:tc>
                <w:tcPr>
                  <w:tcW w:w="1566" w:type="pct"/>
                  <w:vAlign w:val="center"/>
                </w:tcPr>
                <w:p>
                  <w:pPr>
                    <w:pStyle w:val="32"/>
                    <w:snapToGrid w:val="0"/>
                    <w:jc w:val="center"/>
                    <w:rPr>
                      <w:rFonts w:hint="default" w:ascii="Times New Roman" w:hAnsi="Times New Roman" w:eastAsia="宋体"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0" w:type="dxa"/>
                  <w:bottom w:w="0" w:type="dxa"/>
                  <w:right w:w="0" w:type="dxa"/>
                </w:tblCellMar>
              </w:tblPrEx>
              <w:trPr>
                <w:jc w:val="center"/>
              </w:trPr>
              <w:tc>
                <w:tcPr>
                  <w:tcW w:w="289" w:type="pct"/>
                  <w:vMerge w:val="continue"/>
                  <w:tcMar>
                    <w:left w:w="0" w:type="dxa"/>
                    <w:right w:w="0" w:type="dxa"/>
                  </w:tcMar>
                  <w:vAlign w:val="center"/>
                </w:tcPr>
                <w:p>
                  <w:pPr>
                    <w:snapToGrid w:val="0"/>
                    <w:jc w:val="center"/>
                    <w:rPr>
                      <w:rFonts w:hint="default" w:ascii="Times New Roman" w:hAnsi="Times New Roman" w:eastAsia="宋体" w:cs="Times New Roman"/>
                      <w:color w:val="auto"/>
                      <w:sz w:val="18"/>
                      <w:szCs w:val="18"/>
                    </w:rPr>
                  </w:pPr>
                </w:p>
              </w:tc>
              <w:tc>
                <w:tcPr>
                  <w:tcW w:w="1138" w:type="pct"/>
                  <w:vAlign w:val="center"/>
                </w:tcPr>
                <w:p>
                  <w:pPr>
                    <w:autoSpaceDE w:val="0"/>
                    <w:autoSpaceDN w:val="0"/>
                    <w:adjustRightInd w:val="0"/>
                    <w:snapToGrid w:val="0"/>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非甲烷总烃</w:t>
                  </w:r>
                </w:p>
              </w:tc>
              <w:tc>
                <w:tcPr>
                  <w:tcW w:w="289" w:type="pct"/>
                  <w:vAlign w:val="center"/>
                </w:tcPr>
                <w:p>
                  <w:pPr>
                    <w:pStyle w:val="27"/>
                    <w:snapToGrid w:val="0"/>
                    <w:spacing w:line="240" w:lineRule="auto"/>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t/a</w:t>
                  </w:r>
                </w:p>
              </w:tc>
              <w:tc>
                <w:tcPr>
                  <w:tcW w:w="1000" w:type="pct"/>
                  <w:vAlign w:val="center"/>
                </w:tcPr>
                <w:p>
                  <w:pPr>
                    <w:widowControl/>
                    <w:jc w:val="center"/>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3.4736</w:t>
                  </w:r>
                </w:p>
              </w:tc>
              <w:tc>
                <w:tcPr>
                  <w:tcW w:w="716" w:type="pct"/>
                  <w:vAlign w:val="center"/>
                </w:tcPr>
                <w:p>
                  <w:pPr>
                    <w:pStyle w:val="32"/>
                    <w:snapToGrid w:val="0"/>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lang w:val="en-US" w:eastAsia="zh-CN"/>
                    </w:rPr>
                    <w:t>3.4736</w:t>
                  </w:r>
                </w:p>
              </w:tc>
              <w:tc>
                <w:tcPr>
                  <w:tcW w:w="1566" w:type="pct"/>
                  <w:vAlign w:val="center"/>
                </w:tcPr>
                <w:p>
                  <w:pPr>
                    <w:pStyle w:val="32"/>
                    <w:snapToGrid w:val="0"/>
                    <w:jc w:val="center"/>
                    <w:rPr>
                      <w:rFonts w:hint="default" w:ascii="Times New Roman" w:hAnsi="Times New Roman" w:eastAsia="宋体"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0" w:type="dxa"/>
                  <w:bottom w:w="0" w:type="dxa"/>
                  <w:right w:w="0" w:type="dxa"/>
                </w:tblCellMar>
              </w:tblPrEx>
              <w:trPr>
                <w:jc w:val="center"/>
              </w:trPr>
              <w:tc>
                <w:tcPr>
                  <w:tcW w:w="289" w:type="pct"/>
                  <w:vMerge w:val="continue"/>
                  <w:tcMar>
                    <w:left w:w="0" w:type="dxa"/>
                    <w:right w:w="0" w:type="dxa"/>
                  </w:tcMar>
                  <w:vAlign w:val="center"/>
                </w:tcPr>
                <w:p>
                  <w:pPr>
                    <w:snapToGrid w:val="0"/>
                    <w:jc w:val="center"/>
                    <w:rPr>
                      <w:rFonts w:hint="default" w:ascii="Times New Roman" w:hAnsi="Times New Roman" w:eastAsia="宋体" w:cs="Times New Roman"/>
                      <w:color w:val="auto"/>
                      <w:sz w:val="18"/>
                      <w:szCs w:val="18"/>
                    </w:rPr>
                  </w:pPr>
                </w:p>
              </w:tc>
              <w:tc>
                <w:tcPr>
                  <w:tcW w:w="1138" w:type="pct"/>
                  <w:vAlign w:val="center"/>
                </w:tcPr>
                <w:p>
                  <w:pPr>
                    <w:autoSpaceDE w:val="0"/>
                    <w:autoSpaceDN w:val="0"/>
                    <w:adjustRightInd w:val="0"/>
                    <w:snapToGrid w:val="0"/>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乙二醇</w:t>
                  </w:r>
                </w:p>
              </w:tc>
              <w:tc>
                <w:tcPr>
                  <w:tcW w:w="289" w:type="pct"/>
                  <w:vAlign w:val="center"/>
                </w:tcPr>
                <w:p>
                  <w:pPr>
                    <w:pStyle w:val="27"/>
                    <w:snapToGrid w:val="0"/>
                    <w:spacing w:line="240" w:lineRule="auto"/>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t/a</w:t>
                  </w:r>
                </w:p>
              </w:tc>
              <w:tc>
                <w:tcPr>
                  <w:tcW w:w="1000" w:type="pct"/>
                  <w:vAlign w:val="center"/>
                </w:tcPr>
                <w:p>
                  <w:pPr>
                    <w:widowControl/>
                    <w:jc w:val="center"/>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0.1</w:t>
                  </w:r>
                </w:p>
              </w:tc>
              <w:tc>
                <w:tcPr>
                  <w:tcW w:w="716" w:type="pct"/>
                  <w:vAlign w:val="center"/>
                </w:tcPr>
                <w:p>
                  <w:pPr>
                    <w:snapToGrid w:val="0"/>
                    <w:jc w:val="center"/>
                    <w:rPr>
                      <w:rFonts w:hint="default" w:ascii="Times New Roman" w:hAnsi="Times New Roman" w:eastAsia="宋体" w:cs="Times New Roman"/>
                      <w:color w:val="auto"/>
                      <w:sz w:val="18"/>
                      <w:szCs w:val="18"/>
                      <w:lang w:val="en-US" w:eastAsia="zh-CN"/>
                    </w:rPr>
                  </w:pPr>
                  <w:r>
                    <w:rPr>
                      <w:rFonts w:hint="eastAsia" w:cs="Times New Roman"/>
                      <w:color w:val="auto"/>
                      <w:sz w:val="18"/>
                      <w:szCs w:val="18"/>
                      <w:lang w:val="en-US" w:eastAsia="zh-CN"/>
                    </w:rPr>
                    <w:t>/</w:t>
                  </w:r>
                </w:p>
              </w:tc>
              <w:tc>
                <w:tcPr>
                  <w:tcW w:w="1566" w:type="pct"/>
                  <w:vAlign w:val="center"/>
                </w:tcPr>
                <w:p>
                  <w:pPr>
                    <w:pStyle w:val="32"/>
                    <w:snapToGrid w:val="0"/>
                    <w:jc w:val="center"/>
                    <w:rPr>
                      <w:rFonts w:hint="default" w:ascii="Times New Roman" w:hAnsi="Times New Roman" w:eastAsia="宋体"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0" w:type="dxa"/>
                  <w:bottom w:w="0" w:type="dxa"/>
                  <w:right w:w="0" w:type="dxa"/>
                </w:tblCellMar>
              </w:tblPrEx>
              <w:trPr>
                <w:jc w:val="center"/>
              </w:trPr>
              <w:tc>
                <w:tcPr>
                  <w:tcW w:w="289" w:type="pct"/>
                  <w:vMerge w:val="continue"/>
                  <w:tcMar>
                    <w:left w:w="0" w:type="dxa"/>
                    <w:right w:w="0" w:type="dxa"/>
                  </w:tcMar>
                  <w:vAlign w:val="center"/>
                </w:tcPr>
                <w:p>
                  <w:pPr>
                    <w:snapToGrid w:val="0"/>
                    <w:jc w:val="center"/>
                    <w:rPr>
                      <w:rFonts w:hint="default" w:ascii="Times New Roman" w:hAnsi="Times New Roman" w:eastAsia="宋体" w:cs="Times New Roman"/>
                      <w:color w:val="auto"/>
                      <w:sz w:val="18"/>
                      <w:szCs w:val="18"/>
                    </w:rPr>
                  </w:pPr>
                </w:p>
              </w:tc>
              <w:tc>
                <w:tcPr>
                  <w:tcW w:w="1138" w:type="pct"/>
                  <w:vAlign w:val="center"/>
                </w:tcPr>
                <w:p>
                  <w:pPr>
                    <w:autoSpaceDE w:val="0"/>
                    <w:autoSpaceDN w:val="0"/>
                    <w:adjustRightInd w:val="0"/>
                    <w:snapToGrid w:val="0"/>
                    <w:jc w:val="center"/>
                    <w:rPr>
                      <w:rFonts w:hint="default" w:ascii="Times New Roman" w:hAnsi="Times New Roman" w:eastAsia="宋体" w:cs="Times New Roman"/>
                      <w:color w:val="auto"/>
                      <w:sz w:val="18"/>
                      <w:szCs w:val="18"/>
                      <w:lang w:val="en-US" w:eastAsia="zh-CN"/>
                    </w:rPr>
                  </w:pPr>
                  <w:r>
                    <w:rPr>
                      <w:rFonts w:hint="eastAsia" w:cs="Times New Roman"/>
                      <w:color w:val="auto"/>
                      <w:sz w:val="18"/>
                      <w:szCs w:val="18"/>
                      <w:lang w:val="en-US" w:eastAsia="zh-CN"/>
                    </w:rPr>
                    <w:t>氟化物</w:t>
                  </w:r>
                </w:p>
              </w:tc>
              <w:tc>
                <w:tcPr>
                  <w:tcW w:w="289" w:type="pct"/>
                  <w:vAlign w:val="center"/>
                </w:tcPr>
                <w:p>
                  <w:pPr>
                    <w:pStyle w:val="27"/>
                    <w:snapToGrid w:val="0"/>
                    <w:spacing w:line="240" w:lineRule="auto"/>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t/a</w:t>
                  </w:r>
                </w:p>
              </w:tc>
              <w:tc>
                <w:tcPr>
                  <w:tcW w:w="1000" w:type="pct"/>
                  <w:vAlign w:val="center"/>
                </w:tcPr>
                <w:p>
                  <w:pPr>
                    <w:widowControl/>
                    <w:jc w:val="center"/>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0.023</w:t>
                  </w:r>
                </w:p>
              </w:tc>
              <w:tc>
                <w:tcPr>
                  <w:tcW w:w="716" w:type="pct"/>
                  <w:vAlign w:val="center"/>
                </w:tcPr>
                <w:p>
                  <w:pPr>
                    <w:snapToGrid w:val="0"/>
                    <w:jc w:val="center"/>
                    <w:rPr>
                      <w:rFonts w:hint="default" w:ascii="Times New Roman" w:hAnsi="Times New Roman" w:eastAsia="宋体" w:cs="Times New Roman"/>
                      <w:color w:val="auto"/>
                      <w:sz w:val="18"/>
                      <w:szCs w:val="18"/>
                    </w:rPr>
                  </w:pPr>
                  <w:r>
                    <w:rPr>
                      <w:rFonts w:hint="eastAsia" w:cs="Times New Roman"/>
                      <w:color w:val="auto"/>
                      <w:sz w:val="18"/>
                      <w:szCs w:val="18"/>
                      <w:lang w:val="en-US" w:eastAsia="zh-CN"/>
                    </w:rPr>
                    <w:t>/</w:t>
                  </w:r>
                </w:p>
              </w:tc>
              <w:tc>
                <w:tcPr>
                  <w:tcW w:w="1566" w:type="pct"/>
                  <w:vAlign w:val="center"/>
                </w:tcPr>
                <w:p>
                  <w:pPr>
                    <w:pStyle w:val="32"/>
                    <w:snapToGrid w:val="0"/>
                    <w:jc w:val="center"/>
                    <w:rPr>
                      <w:rFonts w:hint="default" w:ascii="Times New Roman" w:hAnsi="Times New Roman" w:eastAsia="宋体"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0" w:type="dxa"/>
                  <w:bottom w:w="0" w:type="dxa"/>
                  <w:right w:w="0" w:type="dxa"/>
                </w:tblCellMar>
              </w:tblPrEx>
              <w:trPr>
                <w:jc w:val="center"/>
              </w:trPr>
              <w:tc>
                <w:tcPr>
                  <w:tcW w:w="289" w:type="pct"/>
                  <w:vMerge w:val="continue"/>
                  <w:tcMar>
                    <w:left w:w="0" w:type="dxa"/>
                    <w:right w:w="0" w:type="dxa"/>
                  </w:tcMar>
                  <w:vAlign w:val="center"/>
                </w:tcPr>
                <w:p>
                  <w:pPr>
                    <w:snapToGrid w:val="0"/>
                    <w:jc w:val="center"/>
                    <w:rPr>
                      <w:rFonts w:hint="default" w:ascii="Times New Roman" w:hAnsi="Times New Roman" w:eastAsia="宋体" w:cs="Times New Roman"/>
                      <w:color w:val="auto"/>
                      <w:sz w:val="18"/>
                      <w:szCs w:val="18"/>
                    </w:rPr>
                  </w:pPr>
                </w:p>
              </w:tc>
              <w:tc>
                <w:tcPr>
                  <w:tcW w:w="1138" w:type="pct"/>
                  <w:vAlign w:val="center"/>
                </w:tcPr>
                <w:p>
                  <w:pPr>
                    <w:autoSpaceDE w:val="0"/>
                    <w:autoSpaceDN w:val="0"/>
                    <w:adjustRightInd w:val="0"/>
                    <w:snapToGrid w:val="0"/>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硫化氢</w:t>
                  </w:r>
                </w:p>
              </w:tc>
              <w:tc>
                <w:tcPr>
                  <w:tcW w:w="289" w:type="pct"/>
                  <w:vAlign w:val="center"/>
                </w:tcPr>
                <w:p>
                  <w:pPr>
                    <w:pStyle w:val="27"/>
                    <w:snapToGrid w:val="0"/>
                    <w:spacing w:line="240" w:lineRule="auto"/>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t/a</w:t>
                  </w:r>
                </w:p>
              </w:tc>
              <w:tc>
                <w:tcPr>
                  <w:tcW w:w="1000" w:type="pct"/>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0.019</w:t>
                  </w:r>
                </w:p>
              </w:tc>
              <w:tc>
                <w:tcPr>
                  <w:tcW w:w="716" w:type="pct"/>
                  <w:vAlign w:val="center"/>
                </w:tcPr>
                <w:p>
                  <w:pPr>
                    <w:snapToGrid w:val="0"/>
                    <w:jc w:val="center"/>
                    <w:rPr>
                      <w:rFonts w:hint="default" w:ascii="Times New Roman" w:hAnsi="Times New Roman" w:eastAsia="宋体" w:cs="Times New Roman"/>
                      <w:color w:val="auto"/>
                      <w:sz w:val="18"/>
                      <w:szCs w:val="18"/>
                    </w:rPr>
                  </w:pPr>
                  <w:r>
                    <w:rPr>
                      <w:rFonts w:hint="eastAsia" w:cs="Times New Roman"/>
                      <w:color w:val="auto"/>
                      <w:sz w:val="18"/>
                      <w:szCs w:val="18"/>
                      <w:lang w:val="en-US" w:eastAsia="zh-CN"/>
                    </w:rPr>
                    <w:t>/</w:t>
                  </w:r>
                </w:p>
              </w:tc>
              <w:tc>
                <w:tcPr>
                  <w:tcW w:w="1566" w:type="pct"/>
                  <w:vAlign w:val="center"/>
                </w:tcPr>
                <w:p>
                  <w:pPr>
                    <w:pStyle w:val="32"/>
                    <w:snapToGrid w:val="0"/>
                    <w:jc w:val="center"/>
                    <w:rPr>
                      <w:rFonts w:hint="default" w:ascii="Times New Roman" w:hAnsi="Times New Roman" w:eastAsia="宋体"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0" w:type="dxa"/>
                  <w:bottom w:w="0" w:type="dxa"/>
                  <w:right w:w="0" w:type="dxa"/>
                </w:tblCellMar>
              </w:tblPrEx>
              <w:trPr>
                <w:jc w:val="center"/>
              </w:trPr>
              <w:tc>
                <w:tcPr>
                  <w:tcW w:w="289" w:type="pct"/>
                  <w:vMerge w:val="continue"/>
                  <w:tcMar>
                    <w:left w:w="0" w:type="dxa"/>
                    <w:right w:w="0" w:type="dxa"/>
                  </w:tcMar>
                  <w:vAlign w:val="center"/>
                </w:tcPr>
                <w:p>
                  <w:pPr>
                    <w:snapToGrid w:val="0"/>
                    <w:jc w:val="center"/>
                    <w:rPr>
                      <w:rFonts w:hint="default" w:ascii="Times New Roman" w:hAnsi="Times New Roman" w:eastAsia="宋体" w:cs="Times New Roman"/>
                      <w:color w:val="auto"/>
                      <w:sz w:val="18"/>
                      <w:szCs w:val="18"/>
                    </w:rPr>
                  </w:pPr>
                </w:p>
              </w:tc>
              <w:tc>
                <w:tcPr>
                  <w:tcW w:w="1138" w:type="pct"/>
                  <w:vAlign w:val="center"/>
                </w:tcPr>
                <w:p>
                  <w:pPr>
                    <w:autoSpaceDE w:val="0"/>
                    <w:autoSpaceDN w:val="0"/>
                    <w:adjustRightInd w:val="0"/>
                    <w:snapToGrid w:val="0"/>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氨</w:t>
                  </w:r>
                </w:p>
              </w:tc>
              <w:tc>
                <w:tcPr>
                  <w:tcW w:w="289" w:type="pct"/>
                  <w:vAlign w:val="center"/>
                </w:tcPr>
                <w:p>
                  <w:pPr>
                    <w:pStyle w:val="27"/>
                    <w:snapToGrid w:val="0"/>
                    <w:spacing w:line="240" w:lineRule="auto"/>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t/a</w:t>
                  </w:r>
                </w:p>
              </w:tc>
              <w:tc>
                <w:tcPr>
                  <w:tcW w:w="1000" w:type="pct"/>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0.0007</w:t>
                  </w:r>
                </w:p>
              </w:tc>
              <w:tc>
                <w:tcPr>
                  <w:tcW w:w="716" w:type="pct"/>
                  <w:vAlign w:val="center"/>
                </w:tcPr>
                <w:p>
                  <w:pPr>
                    <w:snapToGrid w:val="0"/>
                    <w:jc w:val="center"/>
                    <w:rPr>
                      <w:rFonts w:hint="default" w:ascii="Times New Roman" w:hAnsi="Times New Roman" w:eastAsia="宋体" w:cs="Times New Roman"/>
                      <w:color w:val="auto"/>
                      <w:sz w:val="18"/>
                      <w:szCs w:val="18"/>
                    </w:rPr>
                  </w:pPr>
                  <w:r>
                    <w:rPr>
                      <w:rFonts w:hint="eastAsia" w:cs="Times New Roman"/>
                      <w:color w:val="auto"/>
                      <w:sz w:val="18"/>
                      <w:szCs w:val="18"/>
                      <w:lang w:val="en-US" w:eastAsia="zh-CN"/>
                    </w:rPr>
                    <w:t>/</w:t>
                  </w:r>
                </w:p>
              </w:tc>
              <w:tc>
                <w:tcPr>
                  <w:tcW w:w="1566" w:type="pct"/>
                  <w:vAlign w:val="center"/>
                </w:tcPr>
                <w:p>
                  <w:pPr>
                    <w:pStyle w:val="32"/>
                    <w:snapToGrid w:val="0"/>
                    <w:jc w:val="center"/>
                    <w:rPr>
                      <w:rFonts w:hint="default" w:ascii="Times New Roman" w:hAnsi="Times New Roman" w:eastAsia="宋体"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0" w:type="dxa"/>
                  <w:bottom w:w="0" w:type="dxa"/>
                  <w:right w:w="0" w:type="dxa"/>
                </w:tblCellMar>
              </w:tblPrEx>
              <w:trPr>
                <w:jc w:val="center"/>
              </w:trPr>
              <w:tc>
                <w:tcPr>
                  <w:tcW w:w="289" w:type="pct"/>
                  <w:vMerge w:val="restart"/>
                  <w:tcMar>
                    <w:left w:w="0" w:type="dxa"/>
                    <w:right w:w="0" w:type="dxa"/>
                  </w:tcMar>
                  <w:vAlign w:val="center"/>
                </w:tcPr>
                <w:p>
                  <w:pPr>
                    <w:snapToGrid w:val="0"/>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固废</w:t>
                  </w:r>
                </w:p>
              </w:tc>
              <w:tc>
                <w:tcPr>
                  <w:tcW w:w="1138" w:type="pct"/>
                  <w:vAlign w:val="center"/>
                </w:tcPr>
                <w:p>
                  <w:pPr>
                    <w:pStyle w:val="32"/>
                    <w:snapToGrid w:val="0"/>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一般工业固体废物</w:t>
                  </w:r>
                </w:p>
              </w:tc>
              <w:tc>
                <w:tcPr>
                  <w:tcW w:w="289" w:type="pct"/>
                  <w:vAlign w:val="center"/>
                </w:tcPr>
                <w:p>
                  <w:pPr>
                    <w:pStyle w:val="27"/>
                    <w:snapToGrid w:val="0"/>
                    <w:spacing w:line="240" w:lineRule="auto"/>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t/a</w:t>
                  </w:r>
                </w:p>
              </w:tc>
              <w:tc>
                <w:tcPr>
                  <w:tcW w:w="1000" w:type="pct"/>
                  <w:vAlign w:val="center"/>
                </w:tcPr>
                <w:p>
                  <w:pPr>
                    <w:widowControl/>
                    <w:jc w:val="center"/>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1</w:t>
                  </w:r>
                </w:p>
              </w:tc>
              <w:tc>
                <w:tcPr>
                  <w:tcW w:w="716" w:type="pct"/>
                  <w:vAlign w:val="center"/>
                </w:tcPr>
                <w:p>
                  <w:pPr>
                    <w:snapToGrid w:val="0"/>
                    <w:jc w:val="center"/>
                    <w:rPr>
                      <w:rFonts w:hint="default" w:ascii="Times New Roman" w:hAnsi="Times New Roman" w:eastAsia="宋体" w:cs="Times New Roman"/>
                      <w:color w:val="auto"/>
                      <w:sz w:val="18"/>
                      <w:szCs w:val="18"/>
                    </w:rPr>
                  </w:pPr>
                  <w:r>
                    <w:rPr>
                      <w:rFonts w:hint="eastAsia" w:cs="Times New Roman"/>
                      <w:color w:val="auto"/>
                      <w:sz w:val="18"/>
                      <w:szCs w:val="18"/>
                      <w:lang w:val="en-US" w:eastAsia="zh-CN"/>
                    </w:rPr>
                    <w:t>/</w:t>
                  </w:r>
                </w:p>
              </w:tc>
              <w:tc>
                <w:tcPr>
                  <w:tcW w:w="1566" w:type="pct"/>
                  <w:vAlign w:val="center"/>
                </w:tcPr>
                <w:p>
                  <w:pPr>
                    <w:pStyle w:val="32"/>
                    <w:snapToGrid w:val="0"/>
                    <w:jc w:val="center"/>
                    <w:rPr>
                      <w:rFonts w:hint="default" w:ascii="Times New Roman" w:hAnsi="Times New Roman" w:eastAsia="宋体"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0" w:type="dxa"/>
                  <w:bottom w:w="0" w:type="dxa"/>
                  <w:right w:w="0" w:type="dxa"/>
                </w:tblCellMar>
              </w:tblPrEx>
              <w:trPr>
                <w:jc w:val="center"/>
              </w:trPr>
              <w:tc>
                <w:tcPr>
                  <w:tcW w:w="289" w:type="pct"/>
                  <w:vMerge w:val="continue"/>
                  <w:tcMar>
                    <w:left w:w="0" w:type="dxa"/>
                    <w:right w:w="0" w:type="dxa"/>
                  </w:tcMar>
                  <w:vAlign w:val="center"/>
                </w:tcPr>
                <w:p>
                  <w:pPr>
                    <w:snapToGrid w:val="0"/>
                    <w:jc w:val="center"/>
                    <w:rPr>
                      <w:rFonts w:hint="default" w:ascii="Times New Roman" w:hAnsi="Times New Roman" w:eastAsia="宋体" w:cs="Times New Roman"/>
                      <w:color w:val="auto"/>
                      <w:sz w:val="18"/>
                      <w:szCs w:val="18"/>
                    </w:rPr>
                  </w:pPr>
                </w:p>
              </w:tc>
              <w:tc>
                <w:tcPr>
                  <w:tcW w:w="1138" w:type="pct"/>
                  <w:vAlign w:val="center"/>
                </w:tcPr>
                <w:p>
                  <w:pPr>
                    <w:pStyle w:val="32"/>
                    <w:snapToGrid w:val="0"/>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危险废物</w:t>
                  </w:r>
                </w:p>
              </w:tc>
              <w:tc>
                <w:tcPr>
                  <w:tcW w:w="289" w:type="pct"/>
                  <w:vAlign w:val="center"/>
                </w:tcPr>
                <w:p>
                  <w:pPr>
                    <w:pStyle w:val="27"/>
                    <w:snapToGrid w:val="0"/>
                    <w:spacing w:line="240" w:lineRule="auto"/>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t/a</w:t>
                  </w:r>
                </w:p>
              </w:tc>
              <w:tc>
                <w:tcPr>
                  <w:tcW w:w="1000" w:type="pct"/>
                  <w:shd w:val="clear" w:color="auto" w:fill="auto"/>
                  <w:vAlign w:val="center"/>
                </w:tcPr>
                <w:p>
                  <w:pPr>
                    <w:widowControl/>
                    <w:jc w:val="center"/>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606</w:t>
                  </w:r>
                </w:p>
              </w:tc>
              <w:tc>
                <w:tcPr>
                  <w:tcW w:w="716" w:type="pct"/>
                  <w:vAlign w:val="center"/>
                </w:tcPr>
                <w:p>
                  <w:pPr>
                    <w:snapToGrid w:val="0"/>
                    <w:jc w:val="center"/>
                    <w:rPr>
                      <w:rFonts w:hint="default" w:ascii="Times New Roman" w:hAnsi="Times New Roman" w:eastAsia="宋体" w:cs="Times New Roman"/>
                      <w:color w:val="auto"/>
                      <w:sz w:val="18"/>
                      <w:szCs w:val="18"/>
                    </w:rPr>
                  </w:pPr>
                  <w:r>
                    <w:rPr>
                      <w:rFonts w:hint="eastAsia" w:cs="Times New Roman"/>
                      <w:color w:val="auto"/>
                      <w:sz w:val="18"/>
                      <w:szCs w:val="18"/>
                      <w:lang w:val="en-US" w:eastAsia="zh-CN"/>
                    </w:rPr>
                    <w:t>/</w:t>
                  </w:r>
                </w:p>
              </w:tc>
              <w:tc>
                <w:tcPr>
                  <w:tcW w:w="1566" w:type="pct"/>
                  <w:vAlign w:val="center"/>
                </w:tcPr>
                <w:p>
                  <w:pPr>
                    <w:pStyle w:val="32"/>
                    <w:snapToGrid w:val="0"/>
                    <w:jc w:val="center"/>
                    <w:rPr>
                      <w:rFonts w:hint="default" w:ascii="Times New Roman" w:hAnsi="Times New Roman" w:eastAsia="宋体" w:cs="Times New Roman"/>
                      <w:color w:val="auto"/>
                      <w:sz w:val="18"/>
                      <w:szCs w:val="18"/>
                    </w:rPr>
                  </w:pPr>
                </w:p>
              </w:tc>
            </w:tr>
          </w:tbl>
          <w:p>
            <w:pPr>
              <w:ind w:firstLine="360" w:firstLineChars="200"/>
              <w:rPr>
                <w:color w:val="auto"/>
                <w:sz w:val="18"/>
                <w:szCs w:val="18"/>
              </w:rPr>
            </w:pPr>
            <w:r>
              <w:rPr>
                <w:rFonts w:hint="eastAsia"/>
                <w:color w:val="auto"/>
                <w:sz w:val="18"/>
                <w:szCs w:val="18"/>
              </w:rPr>
              <w:t>注：1、许可排放量栏填写已取得的许可排放量</w:t>
            </w:r>
            <w:r>
              <w:rPr>
                <w:color w:val="auto"/>
                <w:sz w:val="18"/>
                <w:szCs w:val="18"/>
              </w:rPr>
              <w:t>；</w:t>
            </w:r>
            <w:r>
              <w:rPr>
                <w:rFonts w:hint="eastAsia"/>
                <w:color w:val="auto"/>
                <w:sz w:val="18"/>
                <w:szCs w:val="18"/>
              </w:rPr>
              <w:t>2</w:t>
            </w:r>
            <w:r>
              <w:rPr>
                <w:color w:val="auto"/>
                <w:sz w:val="18"/>
                <w:szCs w:val="18"/>
              </w:rPr>
              <w:t>、固体废物填写产生量</w:t>
            </w:r>
            <w:r>
              <w:rPr>
                <w:rFonts w:hint="eastAsia"/>
                <w:color w:val="auto"/>
                <w:sz w:val="18"/>
                <w:szCs w:val="18"/>
              </w:rPr>
              <w:t>；3、不统计填写生活垃圾。</w:t>
            </w:r>
          </w:p>
          <w:p>
            <w:pPr>
              <w:pStyle w:val="24"/>
              <w:spacing w:line="360" w:lineRule="auto"/>
              <w:ind w:firstLine="420"/>
              <w:rPr>
                <w:rFonts w:hint="eastAsia" w:ascii="Times New Roman" w:hAnsi="Times New Roman" w:eastAsia="宋体" w:cs="Times New Roman"/>
                <w:color w:val="auto"/>
                <w:sz w:val="21"/>
                <w:szCs w:val="21"/>
                <w:lang w:eastAsia="zh-CN"/>
              </w:rPr>
            </w:pPr>
            <w:r>
              <w:rPr>
                <w:rFonts w:hint="eastAsia"/>
                <w:color w:val="auto"/>
                <w:sz w:val="21"/>
                <w:szCs w:val="21"/>
              </w:rPr>
              <w:t>（5）与项目有关的主要环境问题与整改措施</w:t>
            </w:r>
          </w:p>
          <w:p>
            <w:pPr>
              <w:pStyle w:val="24"/>
              <w:spacing w:line="360" w:lineRule="auto"/>
              <w:ind w:firstLine="420" w:firstLineChars="200"/>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经现场踏勘，已建工程存在以下问题：</w:t>
            </w:r>
          </w:p>
          <w:p>
            <w:pPr>
              <w:pStyle w:val="24"/>
              <w:spacing w:line="360" w:lineRule="auto"/>
              <w:ind w:firstLine="420" w:firstLineChars="200"/>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1、一厂五车间塑料降膜区域围堰破损；</w:t>
            </w:r>
          </w:p>
          <w:p>
            <w:pPr>
              <w:pStyle w:val="24"/>
              <w:spacing w:line="360" w:lineRule="auto"/>
              <w:ind w:firstLine="420" w:firstLineChars="20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2、一厂实验固废未及时入库；</w:t>
            </w:r>
          </w:p>
          <w:p>
            <w:pPr>
              <w:pStyle w:val="24"/>
              <w:spacing w:line="360" w:lineRule="auto"/>
              <w:ind w:firstLine="420" w:firstLineChars="20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3、一厂三车间物料滴漏至地面。</w:t>
            </w:r>
          </w:p>
          <w:p>
            <w:pPr>
              <w:pStyle w:val="24"/>
              <w:spacing w:line="360" w:lineRule="auto"/>
              <w:ind w:firstLine="420" w:firstLineChars="200"/>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现针对发现问题提出</w:t>
            </w:r>
            <w:r>
              <w:rPr>
                <w:rFonts w:hint="eastAsia" w:cs="Times New Roman"/>
                <w:color w:val="auto"/>
                <w:sz w:val="21"/>
                <w:szCs w:val="21"/>
                <w:lang w:val="en-US" w:eastAsia="zh-CN"/>
              </w:rPr>
              <w:t>以下</w:t>
            </w:r>
            <w:r>
              <w:rPr>
                <w:rFonts w:hint="eastAsia" w:ascii="Times New Roman" w:hAnsi="Times New Roman" w:eastAsia="宋体" w:cs="Times New Roman"/>
                <w:color w:val="auto"/>
                <w:sz w:val="21"/>
                <w:szCs w:val="21"/>
                <w:lang w:val="en-US" w:eastAsia="zh-CN"/>
              </w:rPr>
              <w:t>整改措施：</w:t>
            </w:r>
          </w:p>
          <w:p>
            <w:pPr>
              <w:pStyle w:val="24"/>
              <w:spacing w:line="360" w:lineRule="auto"/>
              <w:ind w:firstLine="420" w:firstLineChars="200"/>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1、修复一厂五车间塑料降膜区域围堰；</w:t>
            </w:r>
          </w:p>
          <w:p>
            <w:pPr>
              <w:pStyle w:val="24"/>
              <w:spacing w:line="360" w:lineRule="auto"/>
              <w:ind w:firstLine="420" w:firstLineChars="20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2、建立一厂实验固废专用台账，安排专人及时入库；</w:t>
            </w:r>
          </w:p>
          <w:p>
            <w:pPr>
              <w:pStyle w:val="24"/>
              <w:spacing w:line="360" w:lineRule="auto"/>
              <w:ind w:firstLine="420" w:firstLineChars="20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3、修复三车间相关物料滴漏装置。</w:t>
            </w:r>
          </w:p>
          <w:p>
            <w:pPr>
              <w:pStyle w:val="24"/>
              <w:spacing w:line="360" w:lineRule="auto"/>
              <w:ind w:firstLine="420" w:firstLineChars="200"/>
              <w:rPr>
                <w:rFonts w:hint="default"/>
                <w:color w:val="auto"/>
                <w:sz w:val="21"/>
                <w:szCs w:val="21"/>
                <w:lang w:val="en-US" w:eastAsia="zh-CN"/>
              </w:rPr>
            </w:pPr>
            <w:r>
              <w:rPr>
                <w:rFonts w:hint="eastAsia" w:ascii="Times New Roman" w:hAnsi="Times New Roman" w:eastAsia="宋体" w:cs="Times New Roman"/>
                <w:color w:val="auto"/>
                <w:sz w:val="21"/>
                <w:szCs w:val="21"/>
              </w:rPr>
              <w:t>建设单位</w:t>
            </w:r>
            <w:r>
              <w:rPr>
                <w:rFonts w:hint="eastAsia" w:ascii="Times New Roman" w:hAnsi="Times New Roman" w:eastAsia="宋体" w:cs="Times New Roman"/>
                <w:color w:val="auto"/>
                <w:sz w:val="21"/>
                <w:szCs w:val="21"/>
                <w:lang w:val="en-US" w:eastAsia="zh-CN"/>
              </w:rPr>
              <w:t>在完成以上整改后，</w:t>
            </w:r>
            <w:r>
              <w:rPr>
                <w:rFonts w:hint="eastAsia" w:ascii="Times New Roman" w:hAnsi="Times New Roman" w:eastAsia="宋体" w:cs="Times New Roman"/>
                <w:color w:val="auto"/>
                <w:sz w:val="21"/>
                <w:szCs w:val="21"/>
              </w:rPr>
              <w:t>应</w:t>
            </w:r>
            <w:r>
              <w:rPr>
                <w:rFonts w:hint="eastAsia" w:ascii="Times New Roman" w:hAnsi="Times New Roman" w:eastAsia="宋体" w:cs="Times New Roman"/>
                <w:color w:val="auto"/>
                <w:sz w:val="21"/>
                <w:szCs w:val="21"/>
                <w:lang w:val="en-US" w:eastAsia="zh-CN"/>
              </w:rPr>
              <w:t>继续</w:t>
            </w:r>
            <w:r>
              <w:rPr>
                <w:rFonts w:hint="eastAsia" w:ascii="Times New Roman" w:hAnsi="Times New Roman" w:eastAsia="宋体" w:cs="Times New Roman"/>
                <w:color w:val="auto"/>
                <w:sz w:val="21"/>
                <w:szCs w:val="21"/>
              </w:rPr>
              <w:t>做好环保设施的运行台账，在日常工作中加强员工环保意识，确保污染物能达标排放。</w:t>
            </w:r>
          </w:p>
          <w:p>
            <w:pPr>
              <w:pStyle w:val="24"/>
              <w:ind w:firstLine="422" w:firstLineChars="200"/>
              <w:rPr>
                <w:rFonts w:hint="eastAsia" w:ascii="Times New Roman" w:hAnsi="Times New Roman" w:eastAsia="宋体" w:cs="Times New Roman"/>
                <w:b/>
                <w:bCs/>
                <w:color w:val="auto"/>
                <w:sz w:val="21"/>
                <w:szCs w:val="20"/>
                <w:vertAlign w:val="baseline"/>
                <w:lang w:eastAsia="zh-CN"/>
              </w:rPr>
            </w:pPr>
          </w:p>
          <w:p>
            <w:pPr>
              <w:pStyle w:val="24"/>
              <w:ind w:firstLine="422" w:firstLineChars="200"/>
              <w:rPr>
                <w:rFonts w:hint="eastAsia" w:ascii="Times New Roman" w:hAnsi="Times New Roman" w:eastAsia="宋体" w:cs="Times New Roman"/>
                <w:b/>
                <w:bCs/>
                <w:color w:val="auto"/>
                <w:sz w:val="21"/>
                <w:szCs w:val="20"/>
                <w:vertAlign w:val="baseline"/>
                <w:lang w:eastAsia="zh-CN"/>
              </w:rPr>
            </w:pPr>
          </w:p>
          <w:p>
            <w:pPr>
              <w:pStyle w:val="24"/>
              <w:ind w:firstLine="422" w:firstLineChars="200"/>
              <w:rPr>
                <w:rFonts w:hint="eastAsia" w:ascii="Times New Roman" w:hAnsi="Times New Roman" w:eastAsia="宋体" w:cs="Times New Roman"/>
                <w:b/>
                <w:bCs/>
                <w:color w:val="auto"/>
                <w:sz w:val="21"/>
                <w:szCs w:val="20"/>
                <w:vertAlign w:val="baseline"/>
                <w:lang w:eastAsia="zh-CN"/>
              </w:rPr>
            </w:pPr>
          </w:p>
          <w:p>
            <w:pPr>
              <w:pStyle w:val="24"/>
              <w:ind w:left="0" w:leftChars="0" w:firstLine="0" w:firstLineChars="0"/>
              <w:rPr>
                <w:rFonts w:hint="eastAsia" w:ascii="Times New Roman" w:hAnsi="Times New Roman" w:eastAsia="宋体" w:cs="Times New Roman"/>
                <w:b/>
                <w:bCs/>
                <w:color w:val="auto"/>
                <w:sz w:val="21"/>
                <w:szCs w:val="20"/>
                <w:vertAlign w:val="baseline"/>
                <w:lang w:eastAsia="zh-CN"/>
              </w:rPr>
            </w:pPr>
          </w:p>
        </w:tc>
      </w:tr>
    </w:tbl>
    <w:p>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15"/>
        <w:jc w:val="center"/>
        <w:outlineLvl w:val="0"/>
        <w:rPr>
          <w:rFonts w:ascii="Times New Roman" w:hAnsi="Times New Roman" w:eastAsia="黑体"/>
          <w:snapToGrid w:val="0"/>
          <w:sz w:val="30"/>
          <w:szCs w:val="30"/>
        </w:rPr>
      </w:pPr>
      <w:bookmarkStart w:id="37" w:name="_Toc13143"/>
      <w:r>
        <w:rPr>
          <w:rFonts w:ascii="Times New Roman" w:hAnsi="Times New Roman" w:eastAsia="黑体"/>
          <w:snapToGrid w:val="0"/>
          <w:sz w:val="30"/>
          <w:szCs w:val="30"/>
        </w:rPr>
        <w:t>三、区域环境质量现状、环境保护目标及评价标准</w:t>
      </w:r>
      <w:bookmarkEnd w:id="37"/>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
        <w:gridCol w:w="80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439" w:type="dxa"/>
            <w:vAlign w:val="center"/>
          </w:tcPr>
          <w:p>
            <w:pPr>
              <w:jc w:val="center"/>
              <w:outlineLvl w:val="1"/>
              <w:rPr>
                <w:color w:val="auto"/>
                <w:sz w:val="24"/>
              </w:rPr>
            </w:pPr>
            <w:bookmarkStart w:id="38" w:name="_Toc22600"/>
            <w:bookmarkStart w:id="39" w:name="_Toc12021"/>
            <w:bookmarkStart w:id="40" w:name="_Toc4728"/>
            <w:bookmarkStart w:id="41" w:name="_Toc9408"/>
            <w:bookmarkStart w:id="42" w:name="_Toc29210"/>
            <w:bookmarkStart w:id="43" w:name="_Toc10690"/>
            <w:r>
              <w:rPr>
                <w:color w:val="auto"/>
                <w:szCs w:val="21"/>
              </w:rPr>
              <w:t>区域环境质量现状</w:t>
            </w:r>
            <w:bookmarkEnd w:id="38"/>
            <w:bookmarkEnd w:id="39"/>
            <w:bookmarkEnd w:id="40"/>
            <w:bookmarkEnd w:id="41"/>
            <w:bookmarkEnd w:id="42"/>
            <w:bookmarkEnd w:id="43"/>
          </w:p>
        </w:tc>
        <w:tc>
          <w:tcPr>
            <w:tcW w:w="8083" w:type="dxa"/>
          </w:tcPr>
          <w:p>
            <w:pPr>
              <w:widowControl/>
              <w:spacing w:line="360" w:lineRule="auto"/>
              <w:jc w:val="left"/>
              <w:rPr>
                <w:b/>
                <w:bCs/>
                <w:color w:val="auto"/>
              </w:rPr>
            </w:pPr>
            <w:r>
              <w:rPr>
                <w:b/>
                <w:bCs/>
                <w:color w:val="auto"/>
              </w:rPr>
              <w:t>3.1大气环境</w:t>
            </w:r>
          </w:p>
          <w:p>
            <w:pPr>
              <w:adjustRightInd w:val="0"/>
              <w:snapToGrid w:val="0"/>
              <w:spacing w:line="360" w:lineRule="auto"/>
              <w:ind w:firstLine="420" w:firstLineChars="200"/>
              <w:rPr>
                <w:color w:val="auto"/>
              </w:rPr>
            </w:pPr>
            <w:r>
              <w:rPr>
                <w:rFonts w:hint="eastAsia"/>
                <w:color w:val="auto"/>
              </w:rPr>
              <w:t>（1）环境空气质量标准</w:t>
            </w:r>
          </w:p>
          <w:p>
            <w:pPr>
              <w:adjustRightInd w:val="0"/>
              <w:snapToGrid w:val="0"/>
              <w:spacing w:line="360" w:lineRule="auto"/>
              <w:ind w:firstLine="420" w:firstLineChars="200"/>
              <w:rPr>
                <w:color w:val="auto"/>
              </w:rPr>
            </w:pPr>
            <w:r>
              <w:rPr>
                <w:rFonts w:hint="eastAsia"/>
                <w:color w:val="auto"/>
              </w:rPr>
              <w:t>项目所在区域为二类环境空气功能区，NO</w:t>
            </w:r>
            <w:r>
              <w:rPr>
                <w:rFonts w:hint="eastAsia"/>
                <w:color w:val="auto"/>
                <w:vertAlign w:val="subscript"/>
              </w:rPr>
              <w:t>2</w:t>
            </w:r>
            <w:r>
              <w:rPr>
                <w:rFonts w:hint="eastAsia"/>
                <w:color w:val="auto"/>
              </w:rPr>
              <w:t>、SO</w:t>
            </w:r>
            <w:r>
              <w:rPr>
                <w:rFonts w:hint="eastAsia"/>
                <w:color w:val="auto"/>
                <w:vertAlign w:val="subscript"/>
              </w:rPr>
              <w:t>2</w:t>
            </w:r>
            <w:r>
              <w:rPr>
                <w:rFonts w:hint="eastAsia"/>
                <w:color w:val="auto"/>
              </w:rPr>
              <w:t>、PM</w:t>
            </w:r>
            <w:r>
              <w:rPr>
                <w:rFonts w:hint="eastAsia"/>
                <w:color w:val="auto"/>
                <w:vertAlign w:val="subscript"/>
              </w:rPr>
              <w:t>10</w:t>
            </w:r>
            <w:r>
              <w:rPr>
                <w:rFonts w:hint="eastAsia"/>
                <w:color w:val="auto"/>
              </w:rPr>
              <w:t>、PM</w:t>
            </w:r>
            <w:r>
              <w:rPr>
                <w:rFonts w:hint="eastAsia"/>
                <w:color w:val="auto"/>
                <w:vertAlign w:val="subscript"/>
              </w:rPr>
              <w:t>2.5</w:t>
            </w:r>
            <w:r>
              <w:rPr>
                <w:rFonts w:hint="eastAsia"/>
                <w:color w:val="auto"/>
              </w:rPr>
              <w:t>、CO、O</w:t>
            </w:r>
            <w:r>
              <w:rPr>
                <w:rFonts w:hint="eastAsia"/>
                <w:color w:val="auto"/>
                <w:vertAlign w:val="subscript"/>
              </w:rPr>
              <w:t>3</w:t>
            </w:r>
            <w:r>
              <w:rPr>
                <w:rFonts w:hint="eastAsia"/>
                <w:color w:val="auto"/>
              </w:rPr>
              <w:t>环境空气质量执行《环境空气质量标准》（GB3095-2026）中基本项目过渡阶段浓度限值的二级标准，2031年后执行《环境空气质量标准》（GB3095-2026）中基本项目浓度限值的二级标准，TSP环境空气质量执行《环境空气质量标准》（GB3095-2026）中其他项目浓度限值二级标准，非甲烷总烃环境空气质量执行《大气污染物综合排放标准》（GB16297-1996），具体标准值见下表。</w:t>
            </w:r>
          </w:p>
          <w:p>
            <w:pPr>
              <w:spacing w:before="194" w:beforeLines="50"/>
              <w:jc w:val="center"/>
              <w:outlineLvl w:val="5"/>
              <w:rPr>
                <w:rFonts w:hint="eastAsia" w:eastAsia="宋体" w:cs="Times New Roman"/>
                <w:b/>
                <w:color w:val="auto"/>
                <w:spacing w:val="0"/>
                <w:sz w:val="21"/>
                <w:szCs w:val="21"/>
                <w:lang w:val="en-US" w:eastAsia="zh-CN"/>
              </w:rPr>
            </w:pPr>
            <w:r>
              <w:rPr>
                <w:rFonts w:hint="default" w:eastAsia="宋体" w:cs="Times New Roman"/>
                <w:b/>
                <w:color w:val="auto"/>
                <w:spacing w:val="0"/>
                <w:sz w:val="21"/>
                <w:szCs w:val="21"/>
                <w:lang w:val="en-US" w:eastAsia="zh-CN"/>
              </w:rPr>
              <w:t>表3-1环境空气质量标准</w:t>
            </w:r>
          </w:p>
          <w:tbl>
            <w:tblPr>
              <w:tblStyle w:val="19"/>
              <w:tblW w:w="4998"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326"/>
              <w:gridCol w:w="992"/>
              <w:gridCol w:w="612"/>
              <w:gridCol w:w="1220"/>
              <w:gridCol w:w="712"/>
              <w:gridCol w:w="299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0" w:hRule="atLeast"/>
                <w:tblHeader/>
                <w:jc w:val="center"/>
              </w:trPr>
              <w:tc>
                <w:tcPr>
                  <w:tcW w:w="843"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污染物名称</w:t>
                  </w:r>
                </w:p>
              </w:tc>
              <w:tc>
                <w:tcPr>
                  <w:tcW w:w="631"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取值时间</w:t>
                  </w:r>
                </w:p>
              </w:tc>
              <w:tc>
                <w:tcPr>
                  <w:tcW w:w="389"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单位</w:t>
                  </w:r>
                </w:p>
              </w:tc>
              <w:tc>
                <w:tcPr>
                  <w:tcW w:w="776"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color w:val="auto"/>
                      <w:sz w:val="18"/>
                      <w:szCs w:val="18"/>
                    </w:rPr>
                  </w:pPr>
                  <w:r>
                    <w:rPr>
                      <w:rFonts w:hint="default" w:ascii="Times New Roman" w:hAnsi="Times New Roman" w:cs="Times New Roman"/>
                      <w:b/>
                      <w:color w:val="auto"/>
                      <w:sz w:val="18"/>
                      <w:szCs w:val="18"/>
                      <w:lang w:val="en-US" w:eastAsia="zh-CN"/>
                    </w:rPr>
                    <w:t>2026-2031过渡阶段</w:t>
                  </w:r>
                  <w:r>
                    <w:rPr>
                      <w:rFonts w:hint="default" w:ascii="Times New Roman" w:hAnsi="Times New Roman" w:cs="Times New Roman"/>
                      <w:b/>
                      <w:color w:val="auto"/>
                      <w:sz w:val="18"/>
                      <w:szCs w:val="18"/>
                    </w:rPr>
                    <w:t>浓度限值</w:t>
                  </w:r>
                </w:p>
              </w:tc>
              <w:tc>
                <w:tcPr>
                  <w:tcW w:w="453"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eastAsiaTheme="minorEastAsia"/>
                      <w:b/>
                      <w:color w:val="auto"/>
                      <w:sz w:val="18"/>
                      <w:szCs w:val="18"/>
                      <w:lang w:val="en-US" w:eastAsia="zh-CN"/>
                    </w:rPr>
                  </w:pPr>
                  <w:r>
                    <w:rPr>
                      <w:rFonts w:hint="default" w:ascii="Times New Roman" w:hAnsi="Times New Roman" w:cs="Times New Roman"/>
                      <w:b/>
                      <w:color w:val="auto"/>
                      <w:sz w:val="18"/>
                      <w:szCs w:val="18"/>
                      <w:lang w:val="en-US" w:eastAsia="zh-CN"/>
                    </w:rPr>
                    <w:t>2031年后浓度限值</w:t>
                  </w:r>
                </w:p>
              </w:tc>
              <w:tc>
                <w:tcPr>
                  <w:tcW w:w="1906"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标准来源</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0" w:hRule="atLeast"/>
                <w:jc w:val="center"/>
              </w:trPr>
              <w:tc>
                <w:tcPr>
                  <w:tcW w:w="843" w:type="pct"/>
                  <w:vMerge w:val="restar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二氧化硫(SO</w:t>
                  </w:r>
                  <w:r>
                    <w:rPr>
                      <w:rFonts w:hint="default" w:ascii="Times New Roman" w:hAnsi="Times New Roman" w:cs="Times New Roman"/>
                      <w:b w:val="0"/>
                      <w:bCs/>
                      <w:color w:val="auto"/>
                      <w:sz w:val="18"/>
                      <w:szCs w:val="18"/>
                      <w:vertAlign w:val="subscript"/>
                    </w:rPr>
                    <w:t>2</w:t>
                  </w:r>
                  <w:r>
                    <w:rPr>
                      <w:rFonts w:hint="default" w:ascii="Times New Roman" w:hAnsi="Times New Roman" w:cs="Times New Roman"/>
                      <w:b w:val="0"/>
                      <w:bCs/>
                      <w:color w:val="auto"/>
                      <w:sz w:val="18"/>
                      <w:szCs w:val="18"/>
                    </w:rPr>
                    <w:t>)</w:t>
                  </w:r>
                </w:p>
              </w:tc>
              <w:tc>
                <w:tcPr>
                  <w:tcW w:w="631"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年平均</w:t>
                  </w:r>
                </w:p>
              </w:tc>
              <w:tc>
                <w:tcPr>
                  <w:tcW w:w="389"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μg/m</w:t>
                  </w:r>
                  <w:r>
                    <w:rPr>
                      <w:rFonts w:hint="default" w:ascii="Times New Roman" w:hAnsi="Times New Roman" w:cs="Times New Roman"/>
                      <w:b w:val="0"/>
                      <w:bCs/>
                      <w:color w:val="auto"/>
                      <w:sz w:val="18"/>
                      <w:szCs w:val="18"/>
                      <w:vertAlign w:val="superscript"/>
                    </w:rPr>
                    <w:t>3</w:t>
                  </w:r>
                </w:p>
              </w:tc>
              <w:tc>
                <w:tcPr>
                  <w:tcW w:w="776"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60</w:t>
                  </w:r>
                </w:p>
              </w:tc>
              <w:tc>
                <w:tcPr>
                  <w:tcW w:w="453"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eastAsiaTheme="minorEastAsia"/>
                      <w:b w:val="0"/>
                      <w:bCs/>
                      <w:color w:val="auto"/>
                      <w:sz w:val="18"/>
                      <w:szCs w:val="18"/>
                      <w:lang w:val="en-US" w:eastAsia="zh-CN"/>
                    </w:rPr>
                  </w:pPr>
                  <w:r>
                    <w:rPr>
                      <w:rFonts w:hint="default" w:ascii="Times New Roman" w:hAnsi="Times New Roman" w:cs="Times New Roman"/>
                      <w:b w:val="0"/>
                      <w:bCs/>
                      <w:color w:val="auto"/>
                      <w:sz w:val="18"/>
                      <w:szCs w:val="18"/>
                      <w:lang w:val="en-US" w:eastAsia="zh-CN"/>
                    </w:rPr>
                    <w:t>20</w:t>
                  </w:r>
                </w:p>
              </w:tc>
              <w:tc>
                <w:tcPr>
                  <w:tcW w:w="1906" w:type="pct"/>
                  <w:vMerge w:val="restar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eastAsiaTheme="minorEastAsia"/>
                      <w:b w:val="0"/>
                      <w:bCs/>
                      <w:color w:val="auto"/>
                      <w:sz w:val="18"/>
                      <w:szCs w:val="18"/>
                      <w:lang w:val="en-US" w:eastAsia="zh-CN"/>
                    </w:rPr>
                  </w:pPr>
                  <w:r>
                    <w:rPr>
                      <w:rFonts w:hint="default" w:ascii="Times New Roman" w:hAnsi="Times New Roman" w:cs="Times New Roman"/>
                      <w:b w:val="0"/>
                      <w:bCs/>
                      <w:color w:val="auto"/>
                      <w:sz w:val="18"/>
                      <w:szCs w:val="18"/>
                    </w:rPr>
                    <w:t>《环境空气质量标准》（GB3095-2026）表1中过渡阶段浓度限值二级标准</w:t>
                  </w:r>
                  <w:r>
                    <w:rPr>
                      <w:rFonts w:hint="default" w:ascii="Times New Roman" w:hAnsi="Times New Roman" w:cs="Times New Roman"/>
                      <w:b w:val="0"/>
                      <w:bCs/>
                      <w:color w:val="auto"/>
                      <w:sz w:val="18"/>
                      <w:szCs w:val="18"/>
                      <w:lang w:eastAsia="zh-CN"/>
                    </w:rPr>
                    <w:t>、</w:t>
                  </w:r>
                  <w:r>
                    <w:rPr>
                      <w:rFonts w:hint="default" w:ascii="Times New Roman" w:hAnsi="Times New Roman" w:cs="Times New Roman"/>
                      <w:b w:val="0"/>
                      <w:bCs/>
                      <w:color w:val="auto"/>
                      <w:sz w:val="18"/>
                      <w:szCs w:val="18"/>
                      <w:lang w:val="en-US" w:eastAsia="zh-CN"/>
                    </w:rPr>
                    <w:t>浓度限值</w:t>
                  </w:r>
                  <w:r>
                    <w:rPr>
                      <w:rFonts w:hint="default" w:ascii="Times New Roman" w:hAnsi="Times New Roman" w:cs="Times New Roman"/>
                      <w:b w:val="0"/>
                      <w:bCs/>
                      <w:color w:val="auto"/>
                      <w:sz w:val="18"/>
                      <w:szCs w:val="18"/>
                    </w:rPr>
                    <w:t>二级标准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0" w:hRule="atLeast"/>
                <w:jc w:val="center"/>
              </w:trPr>
              <w:tc>
                <w:tcPr>
                  <w:tcW w:w="843" w:type="pct"/>
                  <w:vMerge w:val="continue"/>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p>
              </w:tc>
              <w:tc>
                <w:tcPr>
                  <w:tcW w:w="631"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日平均</w:t>
                  </w:r>
                </w:p>
              </w:tc>
              <w:tc>
                <w:tcPr>
                  <w:tcW w:w="389"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μg/m</w:t>
                  </w:r>
                  <w:r>
                    <w:rPr>
                      <w:rFonts w:hint="default" w:ascii="Times New Roman" w:hAnsi="Times New Roman" w:cs="Times New Roman"/>
                      <w:b w:val="0"/>
                      <w:bCs/>
                      <w:color w:val="auto"/>
                      <w:sz w:val="18"/>
                      <w:szCs w:val="18"/>
                      <w:vertAlign w:val="superscript"/>
                    </w:rPr>
                    <w:t>3</w:t>
                  </w:r>
                </w:p>
              </w:tc>
              <w:tc>
                <w:tcPr>
                  <w:tcW w:w="776"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150</w:t>
                  </w:r>
                </w:p>
              </w:tc>
              <w:tc>
                <w:tcPr>
                  <w:tcW w:w="453"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eastAsiaTheme="minorEastAsia"/>
                      <w:b w:val="0"/>
                      <w:bCs/>
                      <w:color w:val="auto"/>
                      <w:sz w:val="18"/>
                      <w:szCs w:val="18"/>
                      <w:lang w:val="en-US" w:eastAsia="zh-CN"/>
                    </w:rPr>
                  </w:pPr>
                  <w:r>
                    <w:rPr>
                      <w:rFonts w:hint="default" w:ascii="Times New Roman" w:hAnsi="Times New Roman" w:cs="Times New Roman"/>
                      <w:b w:val="0"/>
                      <w:bCs/>
                      <w:color w:val="auto"/>
                      <w:sz w:val="18"/>
                      <w:szCs w:val="18"/>
                      <w:lang w:val="en-US" w:eastAsia="zh-CN"/>
                    </w:rPr>
                    <w:t>50</w:t>
                  </w:r>
                </w:p>
              </w:tc>
              <w:tc>
                <w:tcPr>
                  <w:tcW w:w="1906" w:type="pct"/>
                  <w:vMerge w:val="continue"/>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0" w:hRule="atLeast"/>
                <w:jc w:val="center"/>
              </w:trPr>
              <w:tc>
                <w:tcPr>
                  <w:tcW w:w="843" w:type="pct"/>
                  <w:vMerge w:val="continue"/>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p>
              </w:tc>
              <w:tc>
                <w:tcPr>
                  <w:tcW w:w="631"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1小时平均</w:t>
                  </w:r>
                </w:p>
              </w:tc>
              <w:tc>
                <w:tcPr>
                  <w:tcW w:w="389"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μg/m</w:t>
                  </w:r>
                  <w:r>
                    <w:rPr>
                      <w:rFonts w:hint="default" w:ascii="Times New Roman" w:hAnsi="Times New Roman" w:cs="Times New Roman"/>
                      <w:b w:val="0"/>
                      <w:bCs/>
                      <w:color w:val="auto"/>
                      <w:sz w:val="18"/>
                      <w:szCs w:val="18"/>
                      <w:vertAlign w:val="superscript"/>
                    </w:rPr>
                    <w:t>3</w:t>
                  </w:r>
                </w:p>
              </w:tc>
              <w:tc>
                <w:tcPr>
                  <w:tcW w:w="776"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500</w:t>
                  </w:r>
                </w:p>
              </w:tc>
              <w:tc>
                <w:tcPr>
                  <w:tcW w:w="453"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eastAsiaTheme="minorEastAsia"/>
                      <w:b w:val="0"/>
                      <w:bCs/>
                      <w:color w:val="auto"/>
                      <w:sz w:val="18"/>
                      <w:szCs w:val="18"/>
                      <w:lang w:val="en-US" w:eastAsia="zh-CN"/>
                    </w:rPr>
                  </w:pPr>
                  <w:r>
                    <w:rPr>
                      <w:rFonts w:hint="default" w:ascii="Times New Roman" w:hAnsi="Times New Roman" w:cs="Times New Roman"/>
                      <w:b w:val="0"/>
                      <w:bCs/>
                      <w:color w:val="auto"/>
                      <w:sz w:val="18"/>
                      <w:szCs w:val="18"/>
                      <w:lang w:val="en-US" w:eastAsia="zh-CN"/>
                    </w:rPr>
                    <w:t>150</w:t>
                  </w:r>
                </w:p>
              </w:tc>
              <w:tc>
                <w:tcPr>
                  <w:tcW w:w="1906" w:type="pct"/>
                  <w:vMerge w:val="continue"/>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0" w:hRule="atLeast"/>
                <w:jc w:val="center"/>
              </w:trPr>
              <w:tc>
                <w:tcPr>
                  <w:tcW w:w="843" w:type="pct"/>
                  <w:vMerge w:val="restar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二氧化氮(NO</w:t>
                  </w:r>
                  <w:r>
                    <w:rPr>
                      <w:rFonts w:hint="default" w:ascii="Times New Roman" w:hAnsi="Times New Roman" w:cs="Times New Roman"/>
                      <w:b w:val="0"/>
                      <w:bCs/>
                      <w:color w:val="auto"/>
                      <w:sz w:val="18"/>
                      <w:szCs w:val="18"/>
                      <w:vertAlign w:val="subscript"/>
                    </w:rPr>
                    <w:t>2</w:t>
                  </w:r>
                  <w:r>
                    <w:rPr>
                      <w:rFonts w:hint="default" w:ascii="Times New Roman" w:hAnsi="Times New Roman" w:cs="Times New Roman"/>
                      <w:b w:val="0"/>
                      <w:bCs/>
                      <w:color w:val="auto"/>
                      <w:sz w:val="18"/>
                      <w:szCs w:val="18"/>
                    </w:rPr>
                    <w:t>)</w:t>
                  </w:r>
                </w:p>
              </w:tc>
              <w:tc>
                <w:tcPr>
                  <w:tcW w:w="631"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年平均</w:t>
                  </w:r>
                </w:p>
              </w:tc>
              <w:tc>
                <w:tcPr>
                  <w:tcW w:w="389"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μg/m</w:t>
                  </w:r>
                  <w:r>
                    <w:rPr>
                      <w:rFonts w:hint="default" w:ascii="Times New Roman" w:hAnsi="Times New Roman" w:cs="Times New Roman"/>
                      <w:b w:val="0"/>
                      <w:bCs/>
                      <w:color w:val="auto"/>
                      <w:sz w:val="18"/>
                      <w:szCs w:val="18"/>
                      <w:vertAlign w:val="superscript"/>
                    </w:rPr>
                    <w:t>3</w:t>
                  </w:r>
                </w:p>
              </w:tc>
              <w:tc>
                <w:tcPr>
                  <w:tcW w:w="776"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40</w:t>
                  </w:r>
                </w:p>
              </w:tc>
              <w:tc>
                <w:tcPr>
                  <w:tcW w:w="453"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eastAsiaTheme="minorEastAsia"/>
                      <w:b w:val="0"/>
                      <w:bCs/>
                      <w:color w:val="auto"/>
                      <w:sz w:val="18"/>
                      <w:szCs w:val="18"/>
                      <w:lang w:val="en-US" w:eastAsia="zh-CN"/>
                    </w:rPr>
                  </w:pPr>
                  <w:r>
                    <w:rPr>
                      <w:rFonts w:hint="default" w:ascii="Times New Roman" w:hAnsi="Times New Roman" w:cs="Times New Roman"/>
                      <w:b w:val="0"/>
                      <w:bCs/>
                      <w:color w:val="auto"/>
                      <w:sz w:val="18"/>
                      <w:szCs w:val="18"/>
                      <w:lang w:val="en-US" w:eastAsia="zh-CN"/>
                    </w:rPr>
                    <w:t>30</w:t>
                  </w:r>
                </w:p>
              </w:tc>
              <w:tc>
                <w:tcPr>
                  <w:tcW w:w="1906" w:type="pct"/>
                  <w:vMerge w:val="continue"/>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0" w:hRule="atLeast"/>
                <w:jc w:val="center"/>
              </w:trPr>
              <w:tc>
                <w:tcPr>
                  <w:tcW w:w="843" w:type="pct"/>
                  <w:vMerge w:val="continue"/>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p>
              </w:tc>
              <w:tc>
                <w:tcPr>
                  <w:tcW w:w="631"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日平均</w:t>
                  </w:r>
                </w:p>
              </w:tc>
              <w:tc>
                <w:tcPr>
                  <w:tcW w:w="389"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μg/m</w:t>
                  </w:r>
                  <w:r>
                    <w:rPr>
                      <w:rFonts w:hint="default" w:ascii="Times New Roman" w:hAnsi="Times New Roman" w:cs="Times New Roman"/>
                      <w:b w:val="0"/>
                      <w:bCs/>
                      <w:color w:val="auto"/>
                      <w:sz w:val="18"/>
                      <w:szCs w:val="18"/>
                      <w:vertAlign w:val="superscript"/>
                    </w:rPr>
                    <w:t>3</w:t>
                  </w:r>
                </w:p>
              </w:tc>
              <w:tc>
                <w:tcPr>
                  <w:tcW w:w="776"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80</w:t>
                  </w:r>
                </w:p>
              </w:tc>
              <w:tc>
                <w:tcPr>
                  <w:tcW w:w="453"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eastAsiaTheme="minorEastAsia"/>
                      <w:b w:val="0"/>
                      <w:bCs/>
                      <w:color w:val="auto"/>
                      <w:sz w:val="18"/>
                      <w:szCs w:val="18"/>
                      <w:lang w:val="en-US" w:eastAsia="zh-CN"/>
                    </w:rPr>
                  </w:pPr>
                  <w:r>
                    <w:rPr>
                      <w:rFonts w:hint="default" w:ascii="Times New Roman" w:hAnsi="Times New Roman" w:cs="Times New Roman"/>
                      <w:b w:val="0"/>
                      <w:bCs/>
                      <w:color w:val="auto"/>
                      <w:sz w:val="18"/>
                      <w:szCs w:val="18"/>
                      <w:lang w:val="en-US" w:eastAsia="zh-CN"/>
                    </w:rPr>
                    <w:t>50</w:t>
                  </w:r>
                </w:p>
              </w:tc>
              <w:tc>
                <w:tcPr>
                  <w:tcW w:w="1906" w:type="pct"/>
                  <w:vMerge w:val="continue"/>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0" w:hRule="atLeast"/>
                <w:jc w:val="center"/>
              </w:trPr>
              <w:tc>
                <w:tcPr>
                  <w:tcW w:w="843" w:type="pct"/>
                  <w:vMerge w:val="continue"/>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p>
              </w:tc>
              <w:tc>
                <w:tcPr>
                  <w:tcW w:w="631"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1小时平均</w:t>
                  </w:r>
                </w:p>
              </w:tc>
              <w:tc>
                <w:tcPr>
                  <w:tcW w:w="389"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μg/m</w:t>
                  </w:r>
                  <w:r>
                    <w:rPr>
                      <w:rFonts w:hint="default" w:ascii="Times New Roman" w:hAnsi="Times New Roman" w:cs="Times New Roman"/>
                      <w:b w:val="0"/>
                      <w:bCs/>
                      <w:color w:val="auto"/>
                      <w:sz w:val="18"/>
                      <w:szCs w:val="18"/>
                      <w:vertAlign w:val="superscript"/>
                    </w:rPr>
                    <w:t>3</w:t>
                  </w:r>
                </w:p>
              </w:tc>
              <w:tc>
                <w:tcPr>
                  <w:tcW w:w="776"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200</w:t>
                  </w:r>
                </w:p>
              </w:tc>
              <w:tc>
                <w:tcPr>
                  <w:tcW w:w="453"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eastAsiaTheme="minorEastAsia"/>
                      <w:b w:val="0"/>
                      <w:bCs/>
                      <w:color w:val="auto"/>
                      <w:sz w:val="18"/>
                      <w:szCs w:val="18"/>
                      <w:lang w:val="en-US" w:eastAsia="zh-CN"/>
                    </w:rPr>
                  </w:pPr>
                  <w:r>
                    <w:rPr>
                      <w:rFonts w:hint="default" w:ascii="Times New Roman" w:hAnsi="Times New Roman" w:cs="Times New Roman"/>
                      <w:b w:val="0"/>
                      <w:bCs/>
                      <w:color w:val="auto"/>
                      <w:sz w:val="18"/>
                      <w:szCs w:val="18"/>
                      <w:lang w:val="en-US" w:eastAsia="zh-CN"/>
                    </w:rPr>
                    <w:t>200</w:t>
                  </w:r>
                </w:p>
              </w:tc>
              <w:tc>
                <w:tcPr>
                  <w:tcW w:w="1906" w:type="pct"/>
                  <w:vMerge w:val="continue"/>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0" w:hRule="atLeast"/>
                <w:jc w:val="center"/>
              </w:trPr>
              <w:tc>
                <w:tcPr>
                  <w:tcW w:w="843" w:type="pct"/>
                  <w:vMerge w:val="restar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一氧化碳(CO)</w:t>
                  </w:r>
                </w:p>
              </w:tc>
              <w:tc>
                <w:tcPr>
                  <w:tcW w:w="631"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日平均</w:t>
                  </w:r>
                </w:p>
              </w:tc>
              <w:tc>
                <w:tcPr>
                  <w:tcW w:w="389"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mg/m</w:t>
                  </w:r>
                  <w:r>
                    <w:rPr>
                      <w:rFonts w:hint="default" w:ascii="Times New Roman" w:hAnsi="Times New Roman" w:cs="Times New Roman"/>
                      <w:b w:val="0"/>
                      <w:bCs/>
                      <w:color w:val="auto"/>
                      <w:sz w:val="18"/>
                      <w:szCs w:val="18"/>
                      <w:vertAlign w:val="superscript"/>
                    </w:rPr>
                    <w:t>3</w:t>
                  </w:r>
                </w:p>
              </w:tc>
              <w:tc>
                <w:tcPr>
                  <w:tcW w:w="776"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4</w:t>
                  </w:r>
                </w:p>
              </w:tc>
              <w:tc>
                <w:tcPr>
                  <w:tcW w:w="453"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eastAsiaTheme="minorEastAsia"/>
                      <w:b w:val="0"/>
                      <w:bCs/>
                      <w:color w:val="auto"/>
                      <w:sz w:val="18"/>
                      <w:szCs w:val="18"/>
                      <w:lang w:val="en-US" w:eastAsia="zh-CN"/>
                    </w:rPr>
                  </w:pPr>
                  <w:r>
                    <w:rPr>
                      <w:rFonts w:hint="default" w:ascii="Times New Roman" w:hAnsi="Times New Roman" w:cs="Times New Roman"/>
                      <w:b w:val="0"/>
                      <w:bCs/>
                      <w:color w:val="auto"/>
                      <w:sz w:val="18"/>
                      <w:szCs w:val="18"/>
                      <w:lang w:val="en-US" w:eastAsia="zh-CN"/>
                    </w:rPr>
                    <w:t>4</w:t>
                  </w:r>
                </w:p>
              </w:tc>
              <w:tc>
                <w:tcPr>
                  <w:tcW w:w="1906" w:type="pct"/>
                  <w:vMerge w:val="continue"/>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0" w:hRule="atLeast"/>
                <w:jc w:val="center"/>
              </w:trPr>
              <w:tc>
                <w:tcPr>
                  <w:tcW w:w="843" w:type="pct"/>
                  <w:vMerge w:val="continue"/>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p>
              </w:tc>
              <w:tc>
                <w:tcPr>
                  <w:tcW w:w="631"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1小时平均</w:t>
                  </w:r>
                </w:p>
              </w:tc>
              <w:tc>
                <w:tcPr>
                  <w:tcW w:w="389"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mg/m</w:t>
                  </w:r>
                  <w:r>
                    <w:rPr>
                      <w:rFonts w:hint="default" w:ascii="Times New Roman" w:hAnsi="Times New Roman" w:cs="Times New Roman"/>
                      <w:b w:val="0"/>
                      <w:bCs/>
                      <w:color w:val="auto"/>
                      <w:sz w:val="18"/>
                      <w:szCs w:val="18"/>
                      <w:vertAlign w:val="superscript"/>
                    </w:rPr>
                    <w:t>3</w:t>
                  </w:r>
                </w:p>
              </w:tc>
              <w:tc>
                <w:tcPr>
                  <w:tcW w:w="776"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10</w:t>
                  </w:r>
                </w:p>
              </w:tc>
              <w:tc>
                <w:tcPr>
                  <w:tcW w:w="453"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eastAsiaTheme="minorEastAsia"/>
                      <w:b w:val="0"/>
                      <w:bCs/>
                      <w:color w:val="auto"/>
                      <w:sz w:val="18"/>
                      <w:szCs w:val="18"/>
                      <w:lang w:val="en-US" w:eastAsia="zh-CN"/>
                    </w:rPr>
                  </w:pPr>
                  <w:r>
                    <w:rPr>
                      <w:rFonts w:hint="default" w:ascii="Times New Roman" w:hAnsi="Times New Roman" w:cs="Times New Roman"/>
                      <w:b w:val="0"/>
                      <w:bCs/>
                      <w:color w:val="auto"/>
                      <w:sz w:val="18"/>
                      <w:szCs w:val="18"/>
                      <w:lang w:val="en-US" w:eastAsia="zh-CN"/>
                    </w:rPr>
                    <w:t>10</w:t>
                  </w:r>
                </w:p>
              </w:tc>
              <w:tc>
                <w:tcPr>
                  <w:tcW w:w="1906" w:type="pct"/>
                  <w:vMerge w:val="continue"/>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0" w:hRule="atLeast"/>
                <w:jc w:val="center"/>
              </w:trPr>
              <w:tc>
                <w:tcPr>
                  <w:tcW w:w="843" w:type="pct"/>
                  <w:vMerge w:val="restar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臭氧(O</w:t>
                  </w:r>
                  <w:r>
                    <w:rPr>
                      <w:rFonts w:hint="default" w:ascii="Times New Roman" w:hAnsi="Times New Roman" w:cs="Times New Roman"/>
                      <w:b w:val="0"/>
                      <w:bCs/>
                      <w:color w:val="auto"/>
                      <w:sz w:val="18"/>
                      <w:szCs w:val="18"/>
                      <w:vertAlign w:val="subscript"/>
                    </w:rPr>
                    <w:t>3</w:t>
                  </w:r>
                  <w:r>
                    <w:rPr>
                      <w:rFonts w:hint="default" w:ascii="Times New Roman" w:hAnsi="Times New Roman" w:cs="Times New Roman"/>
                      <w:b w:val="0"/>
                      <w:bCs/>
                      <w:color w:val="auto"/>
                      <w:sz w:val="18"/>
                      <w:szCs w:val="18"/>
                    </w:rPr>
                    <w:t>)</w:t>
                  </w:r>
                </w:p>
              </w:tc>
              <w:tc>
                <w:tcPr>
                  <w:tcW w:w="631"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日最大8小时平均</w:t>
                  </w:r>
                </w:p>
              </w:tc>
              <w:tc>
                <w:tcPr>
                  <w:tcW w:w="389"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μg/m</w:t>
                  </w:r>
                  <w:r>
                    <w:rPr>
                      <w:rFonts w:hint="default" w:ascii="Times New Roman" w:hAnsi="Times New Roman" w:cs="Times New Roman"/>
                      <w:b w:val="0"/>
                      <w:bCs/>
                      <w:color w:val="auto"/>
                      <w:sz w:val="18"/>
                      <w:szCs w:val="18"/>
                      <w:vertAlign w:val="superscript"/>
                    </w:rPr>
                    <w:t>3</w:t>
                  </w:r>
                </w:p>
              </w:tc>
              <w:tc>
                <w:tcPr>
                  <w:tcW w:w="776"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160</w:t>
                  </w:r>
                </w:p>
              </w:tc>
              <w:tc>
                <w:tcPr>
                  <w:tcW w:w="453"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eastAsiaTheme="minorEastAsia"/>
                      <w:b w:val="0"/>
                      <w:bCs/>
                      <w:color w:val="auto"/>
                      <w:sz w:val="18"/>
                      <w:szCs w:val="18"/>
                      <w:lang w:val="en-US" w:eastAsia="zh-CN"/>
                    </w:rPr>
                  </w:pPr>
                  <w:r>
                    <w:rPr>
                      <w:rFonts w:hint="default" w:ascii="Times New Roman" w:hAnsi="Times New Roman" w:cs="Times New Roman"/>
                      <w:b w:val="0"/>
                      <w:bCs/>
                      <w:color w:val="auto"/>
                      <w:sz w:val="18"/>
                      <w:szCs w:val="18"/>
                      <w:lang w:val="en-US" w:eastAsia="zh-CN"/>
                    </w:rPr>
                    <w:t>160</w:t>
                  </w:r>
                </w:p>
              </w:tc>
              <w:tc>
                <w:tcPr>
                  <w:tcW w:w="1906" w:type="pct"/>
                  <w:vMerge w:val="continue"/>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0" w:hRule="atLeast"/>
                <w:jc w:val="center"/>
              </w:trPr>
              <w:tc>
                <w:tcPr>
                  <w:tcW w:w="843" w:type="pct"/>
                  <w:vMerge w:val="continue"/>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p>
              </w:tc>
              <w:tc>
                <w:tcPr>
                  <w:tcW w:w="631"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1小时平均</w:t>
                  </w:r>
                </w:p>
              </w:tc>
              <w:tc>
                <w:tcPr>
                  <w:tcW w:w="389"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μg/m</w:t>
                  </w:r>
                  <w:r>
                    <w:rPr>
                      <w:rFonts w:hint="default" w:ascii="Times New Roman" w:hAnsi="Times New Roman" w:cs="Times New Roman"/>
                      <w:b w:val="0"/>
                      <w:bCs/>
                      <w:color w:val="auto"/>
                      <w:sz w:val="18"/>
                      <w:szCs w:val="18"/>
                      <w:vertAlign w:val="superscript"/>
                    </w:rPr>
                    <w:t>3</w:t>
                  </w:r>
                </w:p>
              </w:tc>
              <w:tc>
                <w:tcPr>
                  <w:tcW w:w="776"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200</w:t>
                  </w:r>
                </w:p>
              </w:tc>
              <w:tc>
                <w:tcPr>
                  <w:tcW w:w="453"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eastAsiaTheme="minorEastAsia"/>
                      <w:b w:val="0"/>
                      <w:bCs/>
                      <w:color w:val="auto"/>
                      <w:sz w:val="18"/>
                      <w:szCs w:val="18"/>
                      <w:lang w:val="en-US" w:eastAsia="zh-CN"/>
                    </w:rPr>
                  </w:pPr>
                  <w:r>
                    <w:rPr>
                      <w:rFonts w:hint="default" w:ascii="Times New Roman" w:hAnsi="Times New Roman" w:cs="Times New Roman"/>
                      <w:b w:val="0"/>
                      <w:bCs/>
                      <w:color w:val="auto"/>
                      <w:sz w:val="18"/>
                      <w:szCs w:val="18"/>
                      <w:lang w:val="en-US" w:eastAsia="zh-CN"/>
                    </w:rPr>
                    <w:t>200</w:t>
                  </w:r>
                </w:p>
              </w:tc>
              <w:tc>
                <w:tcPr>
                  <w:tcW w:w="1906" w:type="pct"/>
                  <w:vMerge w:val="continue"/>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0" w:hRule="atLeast"/>
                <w:jc w:val="center"/>
              </w:trPr>
              <w:tc>
                <w:tcPr>
                  <w:tcW w:w="843" w:type="pct"/>
                  <w:vMerge w:val="restar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颗粒物(粒径小于等于10μm，PM</w:t>
                  </w:r>
                  <w:r>
                    <w:rPr>
                      <w:rFonts w:hint="default" w:ascii="Times New Roman" w:hAnsi="Times New Roman" w:cs="Times New Roman"/>
                      <w:b w:val="0"/>
                      <w:bCs/>
                      <w:color w:val="auto"/>
                      <w:sz w:val="18"/>
                      <w:szCs w:val="18"/>
                      <w:vertAlign w:val="subscript"/>
                    </w:rPr>
                    <w:t>10</w:t>
                  </w:r>
                  <w:r>
                    <w:rPr>
                      <w:rFonts w:hint="default" w:ascii="Times New Roman" w:hAnsi="Times New Roman" w:cs="Times New Roman"/>
                      <w:b w:val="0"/>
                      <w:bCs/>
                      <w:color w:val="auto"/>
                      <w:sz w:val="18"/>
                      <w:szCs w:val="18"/>
                    </w:rPr>
                    <w:t>)</w:t>
                  </w:r>
                </w:p>
              </w:tc>
              <w:tc>
                <w:tcPr>
                  <w:tcW w:w="631"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年平均</w:t>
                  </w:r>
                </w:p>
              </w:tc>
              <w:tc>
                <w:tcPr>
                  <w:tcW w:w="389"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μg/m</w:t>
                  </w:r>
                  <w:r>
                    <w:rPr>
                      <w:rFonts w:hint="default" w:ascii="Times New Roman" w:hAnsi="Times New Roman" w:cs="Times New Roman"/>
                      <w:b w:val="0"/>
                      <w:bCs/>
                      <w:color w:val="auto"/>
                      <w:sz w:val="18"/>
                      <w:szCs w:val="18"/>
                      <w:vertAlign w:val="superscript"/>
                    </w:rPr>
                    <w:t>3</w:t>
                  </w:r>
                </w:p>
              </w:tc>
              <w:tc>
                <w:tcPr>
                  <w:tcW w:w="776"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60</w:t>
                  </w:r>
                </w:p>
              </w:tc>
              <w:tc>
                <w:tcPr>
                  <w:tcW w:w="453"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eastAsiaTheme="minorEastAsia"/>
                      <w:b w:val="0"/>
                      <w:bCs/>
                      <w:color w:val="auto"/>
                      <w:sz w:val="18"/>
                      <w:szCs w:val="18"/>
                      <w:lang w:val="en-US" w:eastAsia="zh-CN"/>
                    </w:rPr>
                  </w:pPr>
                  <w:r>
                    <w:rPr>
                      <w:rFonts w:hint="default" w:ascii="Times New Roman" w:hAnsi="Times New Roman" w:cs="Times New Roman"/>
                      <w:b w:val="0"/>
                      <w:bCs/>
                      <w:color w:val="auto"/>
                      <w:sz w:val="18"/>
                      <w:szCs w:val="18"/>
                      <w:lang w:val="en-US" w:eastAsia="zh-CN"/>
                    </w:rPr>
                    <w:t>50</w:t>
                  </w:r>
                </w:p>
              </w:tc>
              <w:tc>
                <w:tcPr>
                  <w:tcW w:w="1906" w:type="pct"/>
                  <w:vMerge w:val="continue"/>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0" w:hRule="atLeast"/>
                <w:jc w:val="center"/>
              </w:trPr>
              <w:tc>
                <w:tcPr>
                  <w:tcW w:w="843" w:type="pct"/>
                  <w:vMerge w:val="continue"/>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p>
              </w:tc>
              <w:tc>
                <w:tcPr>
                  <w:tcW w:w="631"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日平均</w:t>
                  </w:r>
                </w:p>
              </w:tc>
              <w:tc>
                <w:tcPr>
                  <w:tcW w:w="389"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μg/m</w:t>
                  </w:r>
                  <w:r>
                    <w:rPr>
                      <w:rFonts w:hint="default" w:ascii="Times New Roman" w:hAnsi="Times New Roman" w:cs="Times New Roman"/>
                      <w:b w:val="0"/>
                      <w:bCs/>
                      <w:color w:val="auto"/>
                      <w:sz w:val="18"/>
                      <w:szCs w:val="18"/>
                      <w:vertAlign w:val="superscript"/>
                    </w:rPr>
                    <w:t>3</w:t>
                  </w:r>
                </w:p>
              </w:tc>
              <w:tc>
                <w:tcPr>
                  <w:tcW w:w="776"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120</w:t>
                  </w:r>
                </w:p>
              </w:tc>
              <w:tc>
                <w:tcPr>
                  <w:tcW w:w="453"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eastAsiaTheme="minorEastAsia"/>
                      <w:b w:val="0"/>
                      <w:bCs/>
                      <w:color w:val="auto"/>
                      <w:sz w:val="18"/>
                      <w:szCs w:val="18"/>
                      <w:lang w:val="en-US" w:eastAsia="zh-CN"/>
                    </w:rPr>
                  </w:pPr>
                  <w:r>
                    <w:rPr>
                      <w:rFonts w:hint="default" w:ascii="Times New Roman" w:hAnsi="Times New Roman" w:cs="Times New Roman"/>
                      <w:b w:val="0"/>
                      <w:bCs/>
                      <w:color w:val="auto"/>
                      <w:sz w:val="18"/>
                      <w:szCs w:val="18"/>
                      <w:lang w:val="en-US" w:eastAsia="zh-CN"/>
                    </w:rPr>
                    <w:t>100</w:t>
                  </w:r>
                </w:p>
              </w:tc>
              <w:tc>
                <w:tcPr>
                  <w:tcW w:w="1906" w:type="pct"/>
                  <w:vMerge w:val="continue"/>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0" w:hRule="atLeast"/>
                <w:jc w:val="center"/>
              </w:trPr>
              <w:tc>
                <w:tcPr>
                  <w:tcW w:w="843" w:type="pct"/>
                  <w:vMerge w:val="restar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颗粒物(粒径小于等于2.5μm，PM</w:t>
                  </w:r>
                  <w:r>
                    <w:rPr>
                      <w:rFonts w:hint="default" w:ascii="Times New Roman" w:hAnsi="Times New Roman" w:cs="Times New Roman"/>
                      <w:b w:val="0"/>
                      <w:bCs/>
                      <w:color w:val="auto"/>
                      <w:sz w:val="18"/>
                      <w:szCs w:val="18"/>
                      <w:vertAlign w:val="subscript"/>
                    </w:rPr>
                    <w:t>2.5</w:t>
                  </w:r>
                  <w:r>
                    <w:rPr>
                      <w:rFonts w:hint="default" w:ascii="Times New Roman" w:hAnsi="Times New Roman" w:cs="Times New Roman"/>
                      <w:b w:val="0"/>
                      <w:bCs/>
                      <w:color w:val="auto"/>
                      <w:sz w:val="18"/>
                      <w:szCs w:val="18"/>
                    </w:rPr>
                    <w:t>)</w:t>
                  </w:r>
                </w:p>
              </w:tc>
              <w:tc>
                <w:tcPr>
                  <w:tcW w:w="631"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年平均</w:t>
                  </w:r>
                </w:p>
              </w:tc>
              <w:tc>
                <w:tcPr>
                  <w:tcW w:w="389"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μg/m</w:t>
                  </w:r>
                  <w:r>
                    <w:rPr>
                      <w:rFonts w:hint="default" w:ascii="Times New Roman" w:hAnsi="Times New Roman" w:cs="Times New Roman"/>
                      <w:b w:val="0"/>
                      <w:bCs/>
                      <w:color w:val="auto"/>
                      <w:sz w:val="18"/>
                      <w:szCs w:val="18"/>
                      <w:vertAlign w:val="superscript"/>
                    </w:rPr>
                    <w:t>3</w:t>
                  </w:r>
                </w:p>
              </w:tc>
              <w:tc>
                <w:tcPr>
                  <w:tcW w:w="776"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30</w:t>
                  </w:r>
                </w:p>
              </w:tc>
              <w:tc>
                <w:tcPr>
                  <w:tcW w:w="453"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eastAsiaTheme="minorEastAsia"/>
                      <w:b w:val="0"/>
                      <w:bCs/>
                      <w:color w:val="auto"/>
                      <w:sz w:val="18"/>
                      <w:szCs w:val="18"/>
                      <w:lang w:val="en-US" w:eastAsia="zh-CN"/>
                    </w:rPr>
                  </w:pPr>
                  <w:r>
                    <w:rPr>
                      <w:rFonts w:hint="default" w:ascii="Times New Roman" w:hAnsi="Times New Roman" w:cs="Times New Roman"/>
                      <w:b w:val="0"/>
                      <w:bCs/>
                      <w:color w:val="auto"/>
                      <w:sz w:val="18"/>
                      <w:szCs w:val="18"/>
                      <w:lang w:val="en-US" w:eastAsia="zh-CN"/>
                    </w:rPr>
                    <w:t>25</w:t>
                  </w:r>
                </w:p>
              </w:tc>
              <w:tc>
                <w:tcPr>
                  <w:tcW w:w="1906" w:type="pct"/>
                  <w:vMerge w:val="continue"/>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0" w:hRule="atLeast"/>
                <w:jc w:val="center"/>
              </w:trPr>
              <w:tc>
                <w:tcPr>
                  <w:tcW w:w="843" w:type="pct"/>
                  <w:vMerge w:val="continue"/>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p>
              </w:tc>
              <w:tc>
                <w:tcPr>
                  <w:tcW w:w="631"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日平均</w:t>
                  </w:r>
                </w:p>
              </w:tc>
              <w:tc>
                <w:tcPr>
                  <w:tcW w:w="389"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μg/m</w:t>
                  </w:r>
                  <w:r>
                    <w:rPr>
                      <w:rFonts w:hint="default" w:ascii="Times New Roman" w:hAnsi="Times New Roman" w:cs="Times New Roman"/>
                      <w:b w:val="0"/>
                      <w:bCs/>
                      <w:color w:val="auto"/>
                      <w:sz w:val="18"/>
                      <w:szCs w:val="18"/>
                      <w:vertAlign w:val="superscript"/>
                    </w:rPr>
                    <w:t>3</w:t>
                  </w:r>
                </w:p>
              </w:tc>
              <w:tc>
                <w:tcPr>
                  <w:tcW w:w="776"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60</w:t>
                  </w:r>
                </w:p>
              </w:tc>
              <w:tc>
                <w:tcPr>
                  <w:tcW w:w="453"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eastAsiaTheme="minorEastAsia"/>
                      <w:b w:val="0"/>
                      <w:bCs/>
                      <w:color w:val="auto"/>
                      <w:sz w:val="18"/>
                      <w:szCs w:val="18"/>
                      <w:lang w:val="en-US" w:eastAsia="zh-CN"/>
                    </w:rPr>
                  </w:pPr>
                  <w:r>
                    <w:rPr>
                      <w:rFonts w:hint="default" w:ascii="Times New Roman" w:hAnsi="Times New Roman" w:cs="Times New Roman"/>
                      <w:b w:val="0"/>
                      <w:bCs/>
                      <w:color w:val="auto"/>
                      <w:sz w:val="18"/>
                      <w:szCs w:val="18"/>
                      <w:lang w:val="en-US" w:eastAsia="zh-CN"/>
                    </w:rPr>
                    <w:t>50</w:t>
                  </w:r>
                </w:p>
              </w:tc>
              <w:tc>
                <w:tcPr>
                  <w:tcW w:w="1906" w:type="pct"/>
                  <w:vMerge w:val="continue"/>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0" w:hRule="atLeast"/>
                <w:jc w:val="center"/>
              </w:trPr>
              <w:tc>
                <w:tcPr>
                  <w:tcW w:w="843" w:type="pct"/>
                  <w:vMerge w:val="restar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总悬浮颗粒物(TSP)</w:t>
                  </w:r>
                </w:p>
              </w:tc>
              <w:tc>
                <w:tcPr>
                  <w:tcW w:w="631"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年平均</w:t>
                  </w:r>
                </w:p>
              </w:tc>
              <w:tc>
                <w:tcPr>
                  <w:tcW w:w="389"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μg/m</w:t>
                  </w:r>
                  <w:r>
                    <w:rPr>
                      <w:rFonts w:hint="default" w:ascii="Times New Roman" w:hAnsi="Times New Roman" w:cs="Times New Roman"/>
                      <w:b w:val="0"/>
                      <w:bCs/>
                      <w:color w:val="auto"/>
                      <w:sz w:val="18"/>
                      <w:szCs w:val="18"/>
                      <w:vertAlign w:val="superscript"/>
                    </w:rPr>
                    <w:t>3</w:t>
                  </w:r>
                </w:p>
              </w:tc>
              <w:tc>
                <w:tcPr>
                  <w:tcW w:w="1229" w:type="pct"/>
                  <w:gridSpan w:val="2"/>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200</w:t>
                  </w:r>
                </w:p>
              </w:tc>
              <w:tc>
                <w:tcPr>
                  <w:tcW w:w="1906" w:type="pct"/>
                  <w:vMerge w:val="restar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《环境空气质量标准》（GB3095-2026）表2中浓度限值二级标准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0" w:hRule="atLeast"/>
                <w:jc w:val="center"/>
              </w:trPr>
              <w:tc>
                <w:tcPr>
                  <w:tcW w:w="843" w:type="pct"/>
                  <w:vMerge w:val="continue"/>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p>
              </w:tc>
              <w:tc>
                <w:tcPr>
                  <w:tcW w:w="631"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24小时平均</w:t>
                  </w:r>
                </w:p>
              </w:tc>
              <w:tc>
                <w:tcPr>
                  <w:tcW w:w="389"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μg/m</w:t>
                  </w:r>
                  <w:r>
                    <w:rPr>
                      <w:rFonts w:hint="default" w:ascii="Times New Roman" w:hAnsi="Times New Roman" w:cs="Times New Roman"/>
                      <w:b w:val="0"/>
                      <w:bCs/>
                      <w:color w:val="auto"/>
                      <w:sz w:val="18"/>
                      <w:szCs w:val="18"/>
                      <w:vertAlign w:val="superscript"/>
                    </w:rPr>
                    <w:t>3</w:t>
                  </w:r>
                </w:p>
              </w:tc>
              <w:tc>
                <w:tcPr>
                  <w:tcW w:w="1229" w:type="pct"/>
                  <w:gridSpan w:val="2"/>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300</w:t>
                  </w:r>
                </w:p>
              </w:tc>
              <w:tc>
                <w:tcPr>
                  <w:tcW w:w="1906" w:type="pct"/>
                  <w:vMerge w:val="continue"/>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0" w:hRule="atLeast"/>
                <w:jc w:val="center"/>
              </w:trPr>
              <w:tc>
                <w:tcPr>
                  <w:tcW w:w="843"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pacing w:val="-10"/>
                      <w:sz w:val="18"/>
                      <w:szCs w:val="18"/>
                    </w:rPr>
                  </w:pPr>
                  <w:r>
                    <w:rPr>
                      <w:rFonts w:hint="default" w:ascii="Times New Roman" w:hAnsi="Times New Roman" w:cs="Times New Roman"/>
                      <w:b w:val="0"/>
                      <w:bCs/>
                      <w:color w:val="auto"/>
                      <w:sz w:val="18"/>
                      <w:szCs w:val="18"/>
                    </w:rPr>
                    <w:t>非甲烷总烃</w:t>
                  </w:r>
                </w:p>
              </w:tc>
              <w:tc>
                <w:tcPr>
                  <w:tcW w:w="631"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1小时平均</w:t>
                  </w:r>
                </w:p>
              </w:tc>
              <w:tc>
                <w:tcPr>
                  <w:tcW w:w="389" w:type="pct"/>
                  <w:tcMar>
                    <w:left w:w="0" w:type="dxa"/>
                    <w:right w:w="0" w:type="dxa"/>
                  </w:tcMar>
                  <w:vAlign w:val="center"/>
                </w:tcPr>
                <w:p>
                  <w:pPr>
                    <w:snapToGrid w:val="0"/>
                    <w:ind w:left="0" w:leftChars="0" w:right="0" w:rightChars="0" w:firstLine="0" w:firstLineChars="0"/>
                    <w:jc w:val="center"/>
                    <w:textAlignment w:val="center"/>
                    <w:rPr>
                      <w:rFonts w:hint="default" w:ascii="Times New Roman" w:hAnsi="Times New Roman" w:cs="Times New Roman"/>
                      <w:b w:val="0"/>
                      <w:bCs/>
                      <w:color w:val="auto"/>
                      <w:spacing w:val="-10"/>
                      <w:sz w:val="18"/>
                      <w:szCs w:val="18"/>
                    </w:rPr>
                  </w:pPr>
                  <w:r>
                    <w:rPr>
                      <w:rFonts w:hint="default" w:ascii="Times New Roman" w:hAnsi="Times New Roman" w:cs="Times New Roman"/>
                      <w:b w:val="0"/>
                      <w:bCs/>
                      <w:color w:val="auto"/>
                      <w:spacing w:val="-10"/>
                      <w:sz w:val="18"/>
                      <w:szCs w:val="18"/>
                    </w:rPr>
                    <w:t>mg/m</w:t>
                  </w:r>
                  <w:r>
                    <w:rPr>
                      <w:rFonts w:hint="default" w:ascii="Times New Roman" w:hAnsi="Times New Roman" w:cs="Times New Roman"/>
                      <w:b w:val="0"/>
                      <w:bCs/>
                      <w:color w:val="auto"/>
                      <w:spacing w:val="-10"/>
                      <w:sz w:val="18"/>
                      <w:szCs w:val="18"/>
                      <w:vertAlign w:val="superscript"/>
                    </w:rPr>
                    <w:t>3</w:t>
                  </w:r>
                </w:p>
              </w:tc>
              <w:tc>
                <w:tcPr>
                  <w:tcW w:w="1229" w:type="pct"/>
                  <w:gridSpan w:val="2"/>
                  <w:tcMar>
                    <w:left w:w="0" w:type="dxa"/>
                    <w:right w:w="0" w:type="dxa"/>
                  </w:tcMar>
                  <w:vAlign w:val="center"/>
                </w:tcPr>
                <w:p>
                  <w:pPr>
                    <w:pStyle w:val="27"/>
                    <w:snapToGrid w:val="0"/>
                    <w:spacing w:line="240" w:lineRule="auto"/>
                    <w:ind w:left="0" w:leftChars="0" w:right="0" w:rightChars="0" w:firstLine="0" w:firstLineChars="0"/>
                    <w:jc w:val="center"/>
                    <w:textAlignment w:val="center"/>
                    <w:rPr>
                      <w:rFonts w:hint="default" w:ascii="Times New Roman" w:hAnsi="Times New Roman" w:cs="Times New Roman"/>
                      <w:b w:val="0"/>
                      <w:bCs/>
                      <w:color w:val="auto"/>
                      <w:spacing w:val="-10"/>
                      <w:sz w:val="18"/>
                      <w:szCs w:val="18"/>
                    </w:rPr>
                  </w:pPr>
                  <w:r>
                    <w:rPr>
                      <w:rFonts w:hint="default" w:ascii="Times New Roman" w:hAnsi="Times New Roman" w:cs="Times New Roman"/>
                      <w:b w:val="0"/>
                      <w:bCs/>
                      <w:color w:val="auto"/>
                      <w:spacing w:val="-10"/>
                      <w:sz w:val="18"/>
                      <w:szCs w:val="18"/>
                    </w:rPr>
                    <w:t>2.0</w:t>
                  </w:r>
                </w:p>
              </w:tc>
              <w:tc>
                <w:tcPr>
                  <w:tcW w:w="1906" w:type="pct"/>
                  <w:tcMar>
                    <w:left w:w="0" w:type="dxa"/>
                    <w:right w:w="0" w:type="dxa"/>
                  </w:tcMar>
                  <w:vAlign w:val="center"/>
                </w:tcPr>
                <w:p>
                  <w:pPr>
                    <w:pStyle w:val="27"/>
                    <w:snapToGrid w:val="0"/>
                    <w:spacing w:line="240" w:lineRule="auto"/>
                    <w:ind w:left="0" w:leftChars="0" w:right="0" w:rightChars="0" w:firstLine="0" w:firstLineChars="0"/>
                    <w:jc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sz w:val="18"/>
                      <w:szCs w:val="18"/>
                    </w:rPr>
                    <w:t>《大气污染物综合排放标准》（GB16297-1996）</w:t>
                  </w:r>
                </w:p>
              </w:tc>
            </w:tr>
          </w:tbl>
          <w:p>
            <w:pPr>
              <w:adjustRightInd w:val="0"/>
              <w:snapToGrid w:val="0"/>
              <w:spacing w:line="360" w:lineRule="auto"/>
              <w:ind w:firstLine="420" w:firstLineChars="200"/>
              <w:rPr>
                <w:color w:val="auto"/>
              </w:rPr>
            </w:pPr>
            <w:r>
              <w:rPr>
                <w:rFonts w:hint="eastAsia"/>
                <w:color w:val="auto"/>
              </w:rPr>
              <w:t>（2）大气环境质量现状</w:t>
            </w:r>
          </w:p>
          <w:p>
            <w:pPr>
              <w:pStyle w:val="24"/>
              <w:spacing w:line="360" w:lineRule="auto"/>
              <w:ind w:firstLine="420"/>
              <w:rPr>
                <w:color w:val="auto"/>
                <w:sz w:val="21"/>
                <w:szCs w:val="21"/>
              </w:rPr>
            </w:pPr>
            <w:r>
              <w:rPr>
                <w:rFonts w:hint="eastAsia"/>
                <w:color w:val="auto"/>
                <w:sz w:val="21"/>
                <w:szCs w:val="21"/>
              </w:rPr>
              <w:t>①常规六项基本项环境空气质量现状</w:t>
            </w:r>
          </w:p>
          <w:p>
            <w:pPr>
              <w:pStyle w:val="24"/>
              <w:spacing w:line="360" w:lineRule="auto"/>
              <w:ind w:firstLine="420"/>
              <w:rPr>
                <w:color w:val="auto"/>
                <w:sz w:val="21"/>
                <w:szCs w:val="21"/>
              </w:rPr>
            </w:pPr>
            <w:r>
              <w:rPr>
                <w:rFonts w:hint="eastAsia"/>
                <w:color w:val="auto"/>
                <w:sz w:val="21"/>
                <w:szCs w:val="21"/>
              </w:rPr>
              <w:t>根据2025年发布的《2024年三明市生态环境状况公报》，10个县（市）的环境空气质量年均值均达到或优于二级标准，项目位于三明市明溪县，所在区域PM</w:t>
            </w:r>
            <w:r>
              <w:rPr>
                <w:rFonts w:hint="eastAsia"/>
                <w:color w:val="auto"/>
                <w:sz w:val="21"/>
                <w:szCs w:val="21"/>
                <w:vertAlign w:val="subscript"/>
              </w:rPr>
              <w:t>10</w:t>
            </w:r>
            <w:r>
              <w:rPr>
                <w:rFonts w:hint="eastAsia"/>
                <w:color w:val="auto"/>
                <w:sz w:val="21"/>
                <w:szCs w:val="21"/>
              </w:rPr>
              <w:t>、PM</w:t>
            </w:r>
            <w:r>
              <w:rPr>
                <w:rFonts w:hint="eastAsia"/>
                <w:color w:val="auto"/>
                <w:sz w:val="21"/>
                <w:szCs w:val="21"/>
                <w:vertAlign w:val="subscript"/>
              </w:rPr>
              <w:t>2.5</w:t>
            </w:r>
            <w:r>
              <w:rPr>
                <w:rFonts w:hint="eastAsia"/>
                <w:color w:val="auto"/>
                <w:sz w:val="21"/>
                <w:szCs w:val="21"/>
              </w:rPr>
              <w:t>、SO</w:t>
            </w:r>
            <w:r>
              <w:rPr>
                <w:rFonts w:hint="eastAsia"/>
                <w:color w:val="auto"/>
                <w:sz w:val="21"/>
                <w:szCs w:val="21"/>
                <w:vertAlign w:val="subscript"/>
              </w:rPr>
              <w:t>2</w:t>
            </w:r>
            <w:r>
              <w:rPr>
                <w:rFonts w:hint="eastAsia"/>
                <w:color w:val="auto"/>
                <w:sz w:val="21"/>
                <w:szCs w:val="21"/>
              </w:rPr>
              <w:t>、NO</w:t>
            </w:r>
            <w:r>
              <w:rPr>
                <w:rFonts w:hint="eastAsia"/>
                <w:color w:val="auto"/>
                <w:sz w:val="21"/>
                <w:szCs w:val="21"/>
                <w:vertAlign w:val="subscript"/>
              </w:rPr>
              <w:t>2</w:t>
            </w:r>
            <w:r>
              <w:rPr>
                <w:rFonts w:hint="eastAsia"/>
                <w:color w:val="auto"/>
                <w:sz w:val="21"/>
                <w:szCs w:val="21"/>
              </w:rPr>
              <w:t>、CO、O</w:t>
            </w:r>
            <w:r>
              <w:rPr>
                <w:rFonts w:hint="eastAsia"/>
                <w:color w:val="auto"/>
                <w:sz w:val="21"/>
                <w:szCs w:val="21"/>
                <w:vertAlign w:val="subscript"/>
              </w:rPr>
              <w:t>3</w:t>
            </w:r>
            <w:r>
              <w:rPr>
                <w:rFonts w:hint="eastAsia"/>
                <w:color w:val="auto"/>
                <w:sz w:val="21"/>
                <w:szCs w:val="21"/>
              </w:rPr>
              <w:t>等6个基本污染物均优于《环境空气质量标准》（GB3095-2026）中过渡阶段浓度限值二级标准，可判定为达标区，区域大气环境质量现状较好，见下图。</w:t>
            </w:r>
          </w:p>
          <w:p>
            <w:pPr>
              <w:pStyle w:val="24"/>
              <w:ind w:firstLine="0" w:firstLineChars="0"/>
              <w:jc w:val="center"/>
              <w:rPr>
                <w:color w:val="auto"/>
                <w:sz w:val="21"/>
                <w:szCs w:val="21"/>
              </w:rPr>
            </w:pPr>
            <w:r>
              <w:rPr>
                <w:color w:val="auto"/>
              </w:rPr>
              <w:drawing>
                <wp:inline distT="0" distB="0" distL="114300" distR="114300">
                  <wp:extent cx="4300220" cy="5631815"/>
                  <wp:effectExtent l="0" t="0" r="5080" b="698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0"/>
                          <a:stretch>
                            <a:fillRect/>
                          </a:stretch>
                        </pic:blipFill>
                        <pic:spPr>
                          <a:xfrm>
                            <a:off x="0" y="0"/>
                            <a:ext cx="4300220" cy="5631815"/>
                          </a:xfrm>
                          <a:prstGeom prst="rect">
                            <a:avLst/>
                          </a:prstGeom>
                          <a:noFill/>
                          <a:ln>
                            <a:noFill/>
                          </a:ln>
                        </pic:spPr>
                      </pic:pic>
                    </a:graphicData>
                  </a:graphic>
                </wp:inline>
              </w:drawing>
            </w:r>
          </w:p>
          <w:p>
            <w:pPr>
              <w:spacing w:before="194" w:beforeLines="50"/>
              <w:jc w:val="center"/>
              <w:outlineLvl w:val="5"/>
              <w:rPr>
                <w:rFonts w:hint="default"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图3-1区域大气环境质量现状</w:t>
            </w:r>
          </w:p>
          <w:p>
            <w:pPr>
              <w:pStyle w:val="24"/>
              <w:spacing w:line="360" w:lineRule="auto"/>
              <w:ind w:firstLine="420"/>
              <w:rPr>
                <w:rFonts w:hint="eastAsia"/>
                <w:color w:val="auto"/>
                <w:sz w:val="21"/>
                <w:szCs w:val="21"/>
                <w:lang w:val="en-US" w:eastAsia="zh-CN"/>
              </w:rPr>
            </w:pPr>
            <w:r>
              <w:rPr>
                <w:rFonts w:hint="eastAsia"/>
                <w:color w:val="auto"/>
                <w:sz w:val="21"/>
                <w:szCs w:val="21"/>
                <w:lang w:val="en-US" w:eastAsia="zh-CN"/>
              </w:rPr>
              <w:t>本项目位于明溪县，根据收集的2025年度三明县区空气质量情况，所在区域PM</w:t>
            </w:r>
            <w:r>
              <w:rPr>
                <w:rFonts w:hint="eastAsia"/>
                <w:color w:val="auto"/>
                <w:sz w:val="21"/>
                <w:szCs w:val="21"/>
                <w:vertAlign w:val="subscript"/>
                <w:lang w:val="en-US" w:eastAsia="zh-CN"/>
              </w:rPr>
              <w:t>10</w:t>
            </w:r>
            <w:r>
              <w:rPr>
                <w:rFonts w:hint="eastAsia"/>
                <w:color w:val="auto"/>
                <w:sz w:val="21"/>
                <w:szCs w:val="21"/>
                <w:lang w:val="en-US" w:eastAsia="zh-CN"/>
              </w:rPr>
              <w:t>、PM</w:t>
            </w:r>
            <w:r>
              <w:rPr>
                <w:rFonts w:hint="eastAsia"/>
                <w:color w:val="auto"/>
                <w:sz w:val="21"/>
                <w:szCs w:val="21"/>
                <w:vertAlign w:val="subscript"/>
                <w:lang w:val="en-US" w:eastAsia="zh-CN"/>
              </w:rPr>
              <w:t>2.5</w:t>
            </w:r>
            <w:r>
              <w:rPr>
                <w:rFonts w:hint="eastAsia"/>
                <w:color w:val="auto"/>
                <w:sz w:val="21"/>
                <w:szCs w:val="21"/>
                <w:lang w:val="en-US" w:eastAsia="zh-CN"/>
              </w:rPr>
              <w:t>、SO</w:t>
            </w:r>
            <w:r>
              <w:rPr>
                <w:rFonts w:hint="eastAsia"/>
                <w:color w:val="auto"/>
                <w:sz w:val="21"/>
                <w:szCs w:val="21"/>
                <w:vertAlign w:val="subscript"/>
                <w:lang w:val="en-US" w:eastAsia="zh-CN"/>
              </w:rPr>
              <w:t>2</w:t>
            </w:r>
            <w:r>
              <w:rPr>
                <w:rFonts w:hint="eastAsia"/>
                <w:color w:val="auto"/>
                <w:sz w:val="21"/>
                <w:szCs w:val="21"/>
                <w:lang w:val="en-US" w:eastAsia="zh-CN"/>
              </w:rPr>
              <w:t>、NO</w:t>
            </w:r>
            <w:r>
              <w:rPr>
                <w:rFonts w:hint="eastAsia"/>
                <w:color w:val="auto"/>
                <w:sz w:val="21"/>
                <w:szCs w:val="21"/>
                <w:vertAlign w:val="subscript"/>
                <w:lang w:val="en-US" w:eastAsia="zh-CN"/>
              </w:rPr>
              <w:t>2</w:t>
            </w:r>
            <w:r>
              <w:rPr>
                <w:rFonts w:hint="eastAsia"/>
                <w:color w:val="auto"/>
                <w:sz w:val="21"/>
                <w:szCs w:val="21"/>
                <w:lang w:val="en-US" w:eastAsia="zh-CN"/>
              </w:rPr>
              <w:t>、CO、O</w:t>
            </w:r>
            <w:r>
              <w:rPr>
                <w:rFonts w:hint="eastAsia"/>
                <w:color w:val="auto"/>
                <w:sz w:val="21"/>
                <w:szCs w:val="21"/>
                <w:vertAlign w:val="subscript"/>
                <w:lang w:val="en-US" w:eastAsia="zh-CN"/>
              </w:rPr>
              <w:t>3</w:t>
            </w:r>
            <w:r>
              <w:rPr>
                <w:rFonts w:hint="eastAsia"/>
                <w:color w:val="auto"/>
                <w:sz w:val="21"/>
                <w:szCs w:val="21"/>
                <w:lang w:val="en-US" w:eastAsia="zh-CN"/>
              </w:rPr>
              <w:t>等6个基本污染物均优于《环境空气质量标准》（GB3095-2026）表1中浓度限值二级标准，可判定为达标区，区域大气环境质量现状较好，2025年明溪县的基本污染物年均浓度详见下表。</w:t>
            </w:r>
          </w:p>
          <w:p>
            <w:pPr>
              <w:spacing w:before="194" w:beforeLines="50"/>
              <w:jc w:val="center"/>
              <w:outlineLvl w:val="5"/>
              <w:rPr>
                <w:rFonts w:hint="eastAsia" w:eastAsia="宋体" w:cs="Times New Roman"/>
                <w:b/>
                <w:color w:val="auto"/>
                <w:spacing w:val="0"/>
                <w:sz w:val="21"/>
                <w:szCs w:val="21"/>
                <w:lang w:val="en-US" w:eastAsia="zh-CN"/>
              </w:rPr>
            </w:pPr>
            <w:bookmarkStart w:id="44" w:name="_Ref193361689"/>
            <w:r>
              <w:rPr>
                <w:rFonts w:hint="default" w:eastAsia="宋体" w:cs="Times New Roman"/>
                <w:b/>
                <w:color w:val="auto"/>
                <w:spacing w:val="0"/>
                <w:sz w:val="21"/>
                <w:szCs w:val="21"/>
                <w:lang w:val="en-US" w:eastAsia="zh-CN"/>
              </w:rPr>
              <w:t>表</w:t>
            </w:r>
            <w:r>
              <w:rPr>
                <w:rFonts w:hint="eastAsia" w:cs="Times New Roman"/>
                <w:b/>
                <w:color w:val="auto"/>
                <w:spacing w:val="0"/>
                <w:sz w:val="21"/>
                <w:szCs w:val="21"/>
                <w:lang w:val="en-US" w:eastAsia="zh-CN"/>
              </w:rPr>
              <w:t>3</w:t>
            </w:r>
            <w:r>
              <w:rPr>
                <w:rFonts w:hint="default" w:eastAsia="宋体" w:cs="Times New Roman"/>
                <w:b/>
                <w:color w:val="auto"/>
                <w:spacing w:val="0"/>
                <w:sz w:val="21"/>
                <w:szCs w:val="21"/>
                <w:lang w:val="en-US" w:eastAsia="zh-CN"/>
              </w:rPr>
              <w:noBreakHyphen/>
            </w:r>
            <w:bookmarkEnd w:id="44"/>
            <w:r>
              <w:rPr>
                <w:rFonts w:hint="eastAsia" w:cs="Times New Roman"/>
                <w:b/>
                <w:color w:val="auto"/>
                <w:spacing w:val="0"/>
                <w:sz w:val="21"/>
                <w:szCs w:val="21"/>
                <w:lang w:val="en-US" w:eastAsia="zh-CN"/>
              </w:rPr>
              <w:t>2</w:t>
            </w:r>
            <w:r>
              <w:rPr>
                <w:rFonts w:hint="default" w:eastAsia="宋体" w:cs="Times New Roman"/>
                <w:b/>
                <w:color w:val="auto"/>
                <w:spacing w:val="0"/>
                <w:sz w:val="21"/>
                <w:szCs w:val="21"/>
                <w:lang w:val="en-US" w:eastAsia="zh-CN"/>
              </w:rPr>
              <w:t xml:space="preserve">  明溪县大气环境质量基本情况(20</w:t>
            </w:r>
            <w:r>
              <w:rPr>
                <w:rFonts w:hint="eastAsia" w:eastAsia="宋体" w:cs="Times New Roman"/>
                <w:b/>
                <w:color w:val="auto"/>
                <w:spacing w:val="0"/>
                <w:sz w:val="21"/>
                <w:szCs w:val="21"/>
                <w:lang w:val="en-US" w:eastAsia="zh-CN"/>
              </w:rPr>
              <w:t>20~2024</w:t>
            </w:r>
            <w:r>
              <w:rPr>
                <w:rFonts w:hint="default" w:eastAsia="宋体" w:cs="Times New Roman"/>
                <w:b/>
                <w:color w:val="auto"/>
                <w:spacing w:val="0"/>
                <w:sz w:val="21"/>
                <w:szCs w:val="21"/>
                <w:lang w:val="en-US" w:eastAsia="zh-CN"/>
              </w:rPr>
              <w:t>年)</w:t>
            </w:r>
          </w:p>
          <w:tbl>
            <w:tblPr>
              <w:tblStyle w:val="20"/>
              <w:tblW w:w="78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2"/>
              <w:gridCol w:w="1675"/>
              <w:gridCol w:w="1149"/>
              <w:gridCol w:w="1446"/>
              <w:gridCol w:w="1157"/>
              <w:gridCol w:w="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682" w:type="dxa"/>
                  <w:vMerge w:val="restart"/>
                  <w:vAlign w:val="center"/>
                </w:tcPr>
                <w:p>
                  <w:pPr>
                    <w:jc w:val="center"/>
                    <w:rPr>
                      <w:b/>
                      <w:bCs/>
                      <w:color w:val="auto"/>
                      <w:sz w:val="18"/>
                      <w:szCs w:val="18"/>
                    </w:rPr>
                  </w:pPr>
                  <w:r>
                    <w:rPr>
                      <w:b/>
                      <w:bCs/>
                      <w:color w:val="auto"/>
                      <w:sz w:val="18"/>
                      <w:szCs w:val="18"/>
                    </w:rPr>
                    <w:t>污染物</w:t>
                  </w:r>
                </w:p>
              </w:tc>
              <w:tc>
                <w:tcPr>
                  <w:tcW w:w="1675" w:type="dxa"/>
                  <w:vMerge w:val="restart"/>
                  <w:vAlign w:val="center"/>
                </w:tcPr>
                <w:p>
                  <w:pPr>
                    <w:jc w:val="center"/>
                    <w:rPr>
                      <w:b/>
                      <w:bCs/>
                      <w:color w:val="auto"/>
                      <w:sz w:val="18"/>
                      <w:szCs w:val="18"/>
                    </w:rPr>
                  </w:pPr>
                  <w:r>
                    <w:rPr>
                      <w:b/>
                      <w:bCs/>
                      <w:color w:val="auto"/>
                      <w:sz w:val="18"/>
                      <w:szCs w:val="18"/>
                    </w:rPr>
                    <w:t>评价指标</w:t>
                  </w:r>
                </w:p>
              </w:tc>
              <w:tc>
                <w:tcPr>
                  <w:tcW w:w="1149" w:type="dxa"/>
                  <w:vMerge w:val="restart"/>
                  <w:vAlign w:val="center"/>
                </w:tcPr>
                <w:p>
                  <w:pPr>
                    <w:jc w:val="center"/>
                    <w:rPr>
                      <w:b/>
                      <w:bCs/>
                      <w:color w:val="auto"/>
                      <w:sz w:val="18"/>
                      <w:szCs w:val="18"/>
                    </w:rPr>
                  </w:pPr>
                  <w:r>
                    <w:rPr>
                      <w:b/>
                      <w:bCs/>
                      <w:color w:val="auto"/>
                      <w:sz w:val="18"/>
                      <w:szCs w:val="18"/>
                    </w:rPr>
                    <w:t>现状浓度</w:t>
                  </w:r>
                </w:p>
                <w:p>
                  <w:pPr>
                    <w:jc w:val="center"/>
                    <w:rPr>
                      <w:b/>
                      <w:bCs/>
                      <w:color w:val="auto"/>
                      <w:sz w:val="18"/>
                      <w:szCs w:val="18"/>
                    </w:rPr>
                  </w:pPr>
                  <w:r>
                    <w:rPr>
                      <w:b/>
                      <w:bCs/>
                      <w:color w:val="auto"/>
                      <w:sz w:val="18"/>
                      <w:szCs w:val="18"/>
                    </w:rPr>
                    <w:t>（</w:t>
                  </w:r>
                  <w:r>
                    <w:rPr>
                      <w:rFonts w:eastAsia="微软雅黑"/>
                      <w:b/>
                      <w:bCs/>
                      <w:color w:val="auto"/>
                      <w:sz w:val="18"/>
                      <w:szCs w:val="18"/>
                    </w:rPr>
                    <w:t>μg/m</w:t>
                  </w:r>
                  <w:r>
                    <w:rPr>
                      <w:rFonts w:eastAsia="微软雅黑"/>
                      <w:b/>
                      <w:bCs/>
                      <w:color w:val="auto"/>
                      <w:sz w:val="18"/>
                      <w:szCs w:val="18"/>
                      <w:vertAlign w:val="superscript"/>
                    </w:rPr>
                    <w:t>3</w:t>
                  </w:r>
                  <w:r>
                    <w:rPr>
                      <w:b/>
                      <w:bCs/>
                      <w:color w:val="auto"/>
                      <w:sz w:val="18"/>
                      <w:szCs w:val="18"/>
                    </w:rPr>
                    <w:t>）</w:t>
                  </w:r>
                </w:p>
              </w:tc>
              <w:tc>
                <w:tcPr>
                  <w:tcW w:w="2603" w:type="dxa"/>
                  <w:gridSpan w:val="2"/>
                  <w:vAlign w:val="center"/>
                </w:tcPr>
                <w:p>
                  <w:pPr>
                    <w:jc w:val="center"/>
                    <w:rPr>
                      <w:b/>
                      <w:bCs/>
                      <w:color w:val="auto"/>
                      <w:sz w:val="18"/>
                      <w:szCs w:val="18"/>
                    </w:rPr>
                  </w:pPr>
                  <w:r>
                    <w:rPr>
                      <w:b/>
                      <w:bCs/>
                      <w:color w:val="auto"/>
                      <w:sz w:val="18"/>
                      <w:szCs w:val="18"/>
                    </w:rPr>
                    <w:t>标准值（</w:t>
                  </w:r>
                  <w:r>
                    <w:rPr>
                      <w:rFonts w:eastAsia="微软雅黑"/>
                      <w:b/>
                      <w:bCs/>
                      <w:color w:val="auto"/>
                      <w:sz w:val="18"/>
                      <w:szCs w:val="18"/>
                    </w:rPr>
                    <w:t>μg/m</w:t>
                  </w:r>
                  <w:r>
                    <w:rPr>
                      <w:rFonts w:eastAsia="微软雅黑"/>
                      <w:b/>
                      <w:bCs/>
                      <w:color w:val="auto"/>
                      <w:sz w:val="18"/>
                      <w:szCs w:val="18"/>
                      <w:vertAlign w:val="superscript"/>
                    </w:rPr>
                    <w:t>3</w:t>
                  </w:r>
                  <w:r>
                    <w:rPr>
                      <w:b/>
                      <w:bCs/>
                      <w:color w:val="auto"/>
                      <w:sz w:val="18"/>
                      <w:szCs w:val="18"/>
                    </w:rPr>
                    <w:t>）</w:t>
                  </w:r>
                </w:p>
              </w:tc>
              <w:tc>
                <w:tcPr>
                  <w:tcW w:w="735" w:type="dxa"/>
                  <w:vMerge w:val="restart"/>
                  <w:vAlign w:val="center"/>
                </w:tcPr>
                <w:p>
                  <w:pPr>
                    <w:jc w:val="center"/>
                    <w:rPr>
                      <w:b/>
                      <w:bCs/>
                      <w:color w:val="auto"/>
                      <w:sz w:val="18"/>
                      <w:szCs w:val="18"/>
                    </w:rPr>
                  </w:pPr>
                  <w:r>
                    <w:rPr>
                      <w:rFonts w:hint="eastAsia"/>
                      <w:b/>
                      <w:bCs/>
                      <w:color w:val="auto"/>
                      <w:sz w:val="18"/>
                      <w:szCs w:val="18"/>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682" w:type="dxa"/>
                  <w:vMerge w:val="continue"/>
                  <w:vAlign w:val="center"/>
                </w:tcPr>
                <w:p>
                  <w:pPr>
                    <w:jc w:val="center"/>
                    <w:rPr>
                      <w:b/>
                      <w:bCs/>
                      <w:color w:val="auto"/>
                    </w:rPr>
                  </w:pPr>
                </w:p>
              </w:tc>
              <w:tc>
                <w:tcPr>
                  <w:tcW w:w="1675" w:type="dxa"/>
                  <w:vMerge w:val="continue"/>
                  <w:vAlign w:val="center"/>
                </w:tcPr>
                <w:p>
                  <w:pPr>
                    <w:jc w:val="center"/>
                    <w:rPr>
                      <w:b/>
                      <w:bCs/>
                      <w:color w:val="auto"/>
                    </w:rPr>
                  </w:pPr>
                </w:p>
              </w:tc>
              <w:tc>
                <w:tcPr>
                  <w:tcW w:w="1149" w:type="dxa"/>
                  <w:vMerge w:val="continue"/>
                  <w:vAlign w:val="center"/>
                </w:tcPr>
                <w:p>
                  <w:pPr>
                    <w:jc w:val="center"/>
                    <w:rPr>
                      <w:b/>
                      <w:bCs/>
                      <w:color w:val="auto"/>
                    </w:rPr>
                  </w:pPr>
                </w:p>
              </w:tc>
              <w:tc>
                <w:tcPr>
                  <w:tcW w:w="1446" w:type="dxa"/>
                  <w:vAlign w:val="center"/>
                </w:tcPr>
                <w:p>
                  <w:pPr>
                    <w:pStyle w:val="27"/>
                    <w:snapToGrid w:val="0"/>
                    <w:spacing w:line="240" w:lineRule="auto"/>
                    <w:rPr>
                      <w:b/>
                      <w:bCs/>
                      <w:color w:val="auto"/>
                      <w:sz w:val="18"/>
                      <w:szCs w:val="18"/>
                    </w:rPr>
                  </w:pPr>
                  <w:r>
                    <w:rPr>
                      <w:b/>
                      <w:bCs/>
                      <w:color w:val="auto"/>
                      <w:sz w:val="18"/>
                      <w:szCs w:val="18"/>
                    </w:rPr>
                    <w:t>2026-2031过渡阶段浓度限值</w:t>
                  </w:r>
                </w:p>
              </w:tc>
              <w:tc>
                <w:tcPr>
                  <w:tcW w:w="1157" w:type="dxa"/>
                  <w:vAlign w:val="center"/>
                </w:tcPr>
                <w:p>
                  <w:pPr>
                    <w:pStyle w:val="27"/>
                    <w:snapToGrid w:val="0"/>
                    <w:spacing w:line="240" w:lineRule="auto"/>
                    <w:rPr>
                      <w:b/>
                      <w:bCs/>
                      <w:color w:val="auto"/>
                      <w:sz w:val="18"/>
                      <w:szCs w:val="18"/>
                    </w:rPr>
                  </w:pPr>
                  <w:r>
                    <w:rPr>
                      <w:b/>
                      <w:bCs/>
                      <w:color w:val="auto"/>
                      <w:sz w:val="18"/>
                      <w:szCs w:val="18"/>
                    </w:rPr>
                    <w:t>2031年后浓度限值</w:t>
                  </w:r>
                </w:p>
              </w:tc>
              <w:tc>
                <w:tcPr>
                  <w:tcW w:w="735" w:type="dxa"/>
                  <w:vMerge w:val="continue"/>
                  <w:vAlign w:val="center"/>
                </w:tcPr>
                <w:p>
                  <w:pPr>
                    <w:jc w:val="center"/>
                    <w:rPr>
                      <w:b/>
                      <w:bCs/>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82" w:type="dxa"/>
                  <w:vAlign w:val="center"/>
                </w:tcPr>
                <w:p>
                  <w:pPr>
                    <w:pStyle w:val="27"/>
                    <w:snapToGrid w:val="0"/>
                    <w:spacing w:line="240" w:lineRule="auto"/>
                    <w:rPr>
                      <w:color w:val="auto"/>
                      <w:sz w:val="18"/>
                      <w:szCs w:val="18"/>
                    </w:rPr>
                  </w:pPr>
                  <w:r>
                    <w:rPr>
                      <w:bCs/>
                      <w:color w:val="auto"/>
                      <w:sz w:val="18"/>
                      <w:szCs w:val="18"/>
                    </w:rPr>
                    <w:t>二氧化硫(SO</w:t>
                  </w:r>
                  <w:r>
                    <w:rPr>
                      <w:bCs/>
                      <w:color w:val="auto"/>
                      <w:sz w:val="18"/>
                      <w:szCs w:val="18"/>
                      <w:vertAlign w:val="subscript"/>
                    </w:rPr>
                    <w:t>2</w:t>
                  </w:r>
                  <w:r>
                    <w:rPr>
                      <w:bCs/>
                      <w:color w:val="auto"/>
                      <w:sz w:val="18"/>
                      <w:szCs w:val="18"/>
                    </w:rPr>
                    <w:t>)</w:t>
                  </w:r>
                </w:p>
              </w:tc>
              <w:tc>
                <w:tcPr>
                  <w:tcW w:w="1675" w:type="dxa"/>
                  <w:vAlign w:val="center"/>
                </w:tcPr>
                <w:p>
                  <w:pPr>
                    <w:jc w:val="center"/>
                    <w:rPr>
                      <w:color w:val="auto"/>
                      <w:sz w:val="18"/>
                      <w:szCs w:val="18"/>
                    </w:rPr>
                  </w:pPr>
                  <w:r>
                    <w:rPr>
                      <w:color w:val="auto"/>
                      <w:sz w:val="18"/>
                      <w:szCs w:val="18"/>
                    </w:rPr>
                    <w:t>年均质量浓度</w:t>
                  </w:r>
                </w:p>
              </w:tc>
              <w:tc>
                <w:tcPr>
                  <w:tcW w:w="1149" w:type="dxa"/>
                  <w:vAlign w:val="center"/>
                </w:tcPr>
                <w:p>
                  <w:pPr>
                    <w:jc w:val="center"/>
                    <w:rPr>
                      <w:rFonts w:hint="eastAsia" w:eastAsia="宋体"/>
                      <w:color w:val="auto"/>
                      <w:sz w:val="18"/>
                      <w:szCs w:val="18"/>
                      <w:lang w:eastAsia="zh-CN"/>
                    </w:rPr>
                  </w:pPr>
                  <w:r>
                    <w:rPr>
                      <w:rFonts w:hint="eastAsia"/>
                      <w:color w:val="auto"/>
                      <w:sz w:val="18"/>
                      <w:szCs w:val="18"/>
                      <w:lang w:val="en-US" w:eastAsia="zh-CN"/>
                    </w:rPr>
                    <w:t>4</w:t>
                  </w:r>
                </w:p>
              </w:tc>
              <w:tc>
                <w:tcPr>
                  <w:tcW w:w="1446" w:type="dxa"/>
                  <w:vAlign w:val="center"/>
                </w:tcPr>
                <w:p>
                  <w:pPr>
                    <w:jc w:val="center"/>
                    <w:rPr>
                      <w:color w:val="auto"/>
                      <w:sz w:val="18"/>
                      <w:szCs w:val="18"/>
                    </w:rPr>
                  </w:pPr>
                  <w:r>
                    <w:rPr>
                      <w:rFonts w:hint="eastAsia"/>
                      <w:color w:val="auto"/>
                      <w:sz w:val="18"/>
                      <w:szCs w:val="18"/>
                    </w:rPr>
                    <w:t>60</w:t>
                  </w:r>
                </w:p>
              </w:tc>
              <w:tc>
                <w:tcPr>
                  <w:tcW w:w="1157" w:type="dxa"/>
                  <w:vAlign w:val="center"/>
                </w:tcPr>
                <w:p>
                  <w:pPr>
                    <w:jc w:val="center"/>
                    <w:rPr>
                      <w:color w:val="auto"/>
                      <w:sz w:val="18"/>
                      <w:szCs w:val="18"/>
                    </w:rPr>
                  </w:pPr>
                  <w:r>
                    <w:rPr>
                      <w:rFonts w:hint="eastAsia"/>
                      <w:color w:val="auto"/>
                      <w:sz w:val="18"/>
                      <w:szCs w:val="18"/>
                    </w:rPr>
                    <w:t>20</w:t>
                  </w:r>
                </w:p>
              </w:tc>
              <w:tc>
                <w:tcPr>
                  <w:tcW w:w="735" w:type="dxa"/>
                  <w:vAlign w:val="center"/>
                </w:tcPr>
                <w:p>
                  <w:pPr>
                    <w:jc w:val="center"/>
                    <w:rPr>
                      <w:color w:val="auto"/>
                      <w:sz w:val="18"/>
                      <w:szCs w:val="18"/>
                    </w:rPr>
                  </w:pPr>
                  <w:r>
                    <w:rPr>
                      <w:rFonts w:hint="eastAsia"/>
                      <w:color w:val="auto"/>
                      <w:sz w:val="18"/>
                      <w:szCs w:val="18"/>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2" w:type="dxa"/>
                  <w:vAlign w:val="center"/>
                </w:tcPr>
                <w:p>
                  <w:pPr>
                    <w:pStyle w:val="27"/>
                    <w:snapToGrid w:val="0"/>
                    <w:spacing w:line="240" w:lineRule="auto"/>
                    <w:rPr>
                      <w:color w:val="auto"/>
                      <w:sz w:val="18"/>
                      <w:szCs w:val="18"/>
                    </w:rPr>
                  </w:pPr>
                  <w:r>
                    <w:rPr>
                      <w:bCs/>
                      <w:color w:val="auto"/>
                      <w:sz w:val="18"/>
                      <w:szCs w:val="18"/>
                    </w:rPr>
                    <w:t>二氧化氮(NO</w:t>
                  </w:r>
                  <w:r>
                    <w:rPr>
                      <w:bCs/>
                      <w:color w:val="auto"/>
                      <w:sz w:val="18"/>
                      <w:szCs w:val="18"/>
                      <w:vertAlign w:val="subscript"/>
                    </w:rPr>
                    <w:t>2</w:t>
                  </w:r>
                  <w:r>
                    <w:rPr>
                      <w:bCs/>
                      <w:color w:val="auto"/>
                      <w:sz w:val="18"/>
                      <w:szCs w:val="18"/>
                    </w:rPr>
                    <w:t>)</w:t>
                  </w:r>
                </w:p>
              </w:tc>
              <w:tc>
                <w:tcPr>
                  <w:tcW w:w="1675" w:type="dxa"/>
                  <w:vAlign w:val="center"/>
                </w:tcPr>
                <w:p>
                  <w:pPr>
                    <w:jc w:val="center"/>
                    <w:rPr>
                      <w:color w:val="auto"/>
                      <w:sz w:val="18"/>
                      <w:szCs w:val="18"/>
                    </w:rPr>
                  </w:pPr>
                  <w:r>
                    <w:rPr>
                      <w:color w:val="auto"/>
                      <w:sz w:val="18"/>
                      <w:szCs w:val="18"/>
                    </w:rPr>
                    <w:t>年均质量浓度</w:t>
                  </w:r>
                </w:p>
              </w:tc>
              <w:tc>
                <w:tcPr>
                  <w:tcW w:w="1149" w:type="dxa"/>
                  <w:vAlign w:val="center"/>
                </w:tcPr>
                <w:p>
                  <w:pPr>
                    <w:jc w:val="center"/>
                    <w:rPr>
                      <w:rFonts w:hint="eastAsia" w:eastAsia="宋体"/>
                      <w:color w:val="auto"/>
                      <w:sz w:val="18"/>
                      <w:szCs w:val="18"/>
                      <w:lang w:eastAsia="zh-CN"/>
                    </w:rPr>
                  </w:pPr>
                  <w:r>
                    <w:rPr>
                      <w:rFonts w:hint="eastAsia" w:eastAsia="宋体"/>
                      <w:color w:val="auto"/>
                      <w:sz w:val="18"/>
                      <w:szCs w:val="18"/>
                      <w:lang w:val="en-US" w:eastAsia="zh-CN"/>
                    </w:rPr>
                    <w:t>5</w:t>
                  </w:r>
                </w:p>
              </w:tc>
              <w:tc>
                <w:tcPr>
                  <w:tcW w:w="1446" w:type="dxa"/>
                  <w:vAlign w:val="center"/>
                </w:tcPr>
                <w:p>
                  <w:pPr>
                    <w:pStyle w:val="27"/>
                    <w:snapToGrid w:val="0"/>
                    <w:spacing w:line="240" w:lineRule="auto"/>
                    <w:rPr>
                      <w:color w:val="auto"/>
                      <w:sz w:val="18"/>
                      <w:szCs w:val="18"/>
                    </w:rPr>
                  </w:pPr>
                  <w:r>
                    <w:rPr>
                      <w:bCs/>
                      <w:color w:val="auto"/>
                      <w:sz w:val="18"/>
                      <w:szCs w:val="18"/>
                    </w:rPr>
                    <w:t>40</w:t>
                  </w:r>
                </w:p>
              </w:tc>
              <w:tc>
                <w:tcPr>
                  <w:tcW w:w="1157" w:type="dxa"/>
                  <w:vAlign w:val="center"/>
                </w:tcPr>
                <w:p>
                  <w:pPr>
                    <w:pStyle w:val="27"/>
                    <w:snapToGrid w:val="0"/>
                    <w:spacing w:line="240" w:lineRule="auto"/>
                    <w:rPr>
                      <w:color w:val="auto"/>
                      <w:sz w:val="18"/>
                      <w:szCs w:val="18"/>
                    </w:rPr>
                  </w:pPr>
                  <w:r>
                    <w:rPr>
                      <w:bCs/>
                      <w:color w:val="auto"/>
                      <w:sz w:val="18"/>
                      <w:szCs w:val="18"/>
                    </w:rPr>
                    <w:t>30</w:t>
                  </w:r>
                </w:p>
              </w:tc>
              <w:tc>
                <w:tcPr>
                  <w:tcW w:w="735" w:type="dxa"/>
                  <w:vAlign w:val="center"/>
                </w:tcPr>
                <w:p>
                  <w:pPr>
                    <w:jc w:val="center"/>
                    <w:rPr>
                      <w:color w:val="auto"/>
                      <w:sz w:val="18"/>
                      <w:szCs w:val="18"/>
                    </w:rPr>
                  </w:pPr>
                  <w:r>
                    <w:rPr>
                      <w:rFonts w:hint="eastAsia"/>
                      <w:color w:val="auto"/>
                      <w:sz w:val="18"/>
                      <w:szCs w:val="18"/>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2" w:type="dxa"/>
                  <w:shd w:val="clear" w:color="auto" w:fill="auto"/>
                  <w:vAlign w:val="center"/>
                </w:tcPr>
                <w:p>
                  <w:pPr>
                    <w:pStyle w:val="27"/>
                    <w:snapToGrid w:val="0"/>
                    <w:spacing w:line="240" w:lineRule="auto"/>
                    <w:rPr>
                      <w:color w:val="auto"/>
                      <w:sz w:val="18"/>
                      <w:szCs w:val="18"/>
                    </w:rPr>
                  </w:pPr>
                  <w:r>
                    <w:rPr>
                      <w:bCs/>
                      <w:color w:val="auto"/>
                      <w:sz w:val="18"/>
                      <w:szCs w:val="18"/>
                    </w:rPr>
                    <w:t>颗粒物(粒径小于等于10μm，PM</w:t>
                  </w:r>
                  <w:r>
                    <w:rPr>
                      <w:bCs/>
                      <w:color w:val="auto"/>
                      <w:sz w:val="18"/>
                      <w:szCs w:val="18"/>
                      <w:vertAlign w:val="subscript"/>
                    </w:rPr>
                    <w:t>10</w:t>
                  </w:r>
                  <w:r>
                    <w:rPr>
                      <w:bCs/>
                      <w:color w:val="auto"/>
                      <w:sz w:val="18"/>
                      <w:szCs w:val="18"/>
                    </w:rPr>
                    <w:t>)</w:t>
                  </w:r>
                </w:p>
              </w:tc>
              <w:tc>
                <w:tcPr>
                  <w:tcW w:w="1675" w:type="dxa"/>
                  <w:vAlign w:val="center"/>
                </w:tcPr>
                <w:p>
                  <w:pPr>
                    <w:jc w:val="center"/>
                    <w:rPr>
                      <w:color w:val="auto"/>
                      <w:sz w:val="18"/>
                      <w:szCs w:val="18"/>
                    </w:rPr>
                  </w:pPr>
                  <w:r>
                    <w:rPr>
                      <w:color w:val="auto"/>
                      <w:sz w:val="18"/>
                      <w:szCs w:val="18"/>
                    </w:rPr>
                    <w:t>年均质量浓度</w:t>
                  </w:r>
                </w:p>
              </w:tc>
              <w:tc>
                <w:tcPr>
                  <w:tcW w:w="1149" w:type="dxa"/>
                  <w:vAlign w:val="center"/>
                </w:tcPr>
                <w:p>
                  <w:pPr>
                    <w:jc w:val="center"/>
                    <w:rPr>
                      <w:rFonts w:hint="default" w:eastAsia="宋体"/>
                      <w:color w:val="auto"/>
                      <w:sz w:val="18"/>
                      <w:szCs w:val="18"/>
                      <w:lang w:val="en-US" w:eastAsia="zh-CN"/>
                    </w:rPr>
                  </w:pPr>
                  <w:r>
                    <w:rPr>
                      <w:rFonts w:hint="eastAsia" w:eastAsia="宋体"/>
                      <w:color w:val="auto"/>
                      <w:sz w:val="18"/>
                      <w:szCs w:val="18"/>
                      <w:lang w:val="en-US" w:eastAsia="zh-CN"/>
                    </w:rPr>
                    <w:t>17</w:t>
                  </w:r>
                </w:p>
              </w:tc>
              <w:tc>
                <w:tcPr>
                  <w:tcW w:w="1446" w:type="dxa"/>
                  <w:vAlign w:val="center"/>
                </w:tcPr>
                <w:p>
                  <w:pPr>
                    <w:pStyle w:val="27"/>
                    <w:snapToGrid w:val="0"/>
                    <w:spacing w:line="240" w:lineRule="auto"/>
                    <w:rPr>
                      <w:color w:val="auto"/>
                      <w:sz w:val="18"/>
                      <w:szCs w:val="18"/>
                    </w:rPr>
                  </w:pPr>
                  <w:r>
                    <w:rPr>
                      <w:bCs/>
                      <w:color w:val="auto"/>
                      <w:sz w:val="18"/>
                      <w:szCs w:val="18"/>
                    </w:rPr>
                    <w:t>60</w:t>
                  </w:r>
                </w:p>
              </w:tc>
              <w:tc>
                <w:tcPr>
                  <w:tcW w:w="1157" w:type="dxa"/>
                  <w:vAlign w:val="center"/>
                </w:tcPr>
                <w:p>
                  <w:pPr>
                    <w:pStyle w:val="27"/>
                    <w:snapToGrid w:val="0"/>
                    <w:spacing w:line="240" w:lineRule="auto"/>
                    <w:rPr>
                      <w:color w:val="auto"/>
                      <w:sz w:val="18"/>
                      <w:szCs w:val="18"/>
                    </w:rPr>
                  </w:pPr>
                  <w:r>
                    <w:rPr>
                      <w:bCs/>
                      <w:color w:val="auto"/>
                      <w:sz w:val="18"/>
                      <w:szCs w:val="18"/>
                    </w:rPr>
                    <w:t>50</w:t>
                  </w:r>
                </w:p>
              </w:tc>
              <w:tc>
                <w:tcPr>
                  <w:tcW w:w="735" w:type="dxa"/>
                  <w:vAlign w:val="center"/>
                </w:tcPr>
                <w:p>
                  <w:pPr>
                    <w:jc w:val="center"/>
                    <w:rPr>
                      <w:color w:val="auto"/>
                      <w:sz w:val="18"/>
                      <w:szCs w:val="18"/>
                    </w:rPr>
                  </w:pPr>
                  <w:r>
                    <w:rPr>
                      <w:rFonts w:hint="eastAsia"/>
                      <w:color w:val="auto"/>
                      <w:sz w:val="18"/>
                      <w:szCs w:val="18"/>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82" w:type="dxa"/>
                  <w:shd w:val="clear" w:color="auto" w:fill="auto"/>
                  <w:vAlign w:val="center"/>
                </w:tcPr>
                <w:p>
                  <w:pPr>
                    <w:pStyle w:val="27"/>
                    <w:snapToGrid w:val="0"/>
                    <w:spacing w:line="240" w:lineRule="auto"/>
                    <w:rPr>
                      <w:color w:val="auto"/>
                      <w:sz w:val="18"/>
                      <w:szCs w:val="18"/>
                    </w:rPr>
                  </w:pPr>
                  <w:r>
                    <w:rPr>
                      <w:bCs/>
                      <w:color w:val="auto"/>
                      <w:sz w:val="18"/>
                      <w:szCs w:val="18"/>
                    </w:rPr>
                    <w:t>颗粒物(粒径小于等于2.5μm，PM</w:t>
                  </w:r>
                  <w:r>
                    <w:rPr>
                      <w:bCs/>
                      <w:color w:val="auto"/>
                      <w:sz w:val="18"/>
                      <w:szCs w:val="18"/>
                      <w:vertAlign w:val="subscript"/>
                    </w:rPr>
                    <w:t>2.5</w:t>
                  </w:r>
                  <w:r>
                    <w:rPr>
                      <w:bCs/>
                      <w:color w:val="auto"/>
                      <w:sz w:val="18"/>
                      <w:szCs w:val="18"/>
                    </w:rPr>
                    <w:t>)</w:t>
                  </w:r>
                </w:p>
              </w:tc>
              <w:tc>
                <w:tcPr>
                  <w:tcW w:w="1675" w:type="dxa"/>
                  <w:vAlign w:val="center"/>
                </w:tcPr>
                <w:p>
                  <w:pPr>
                    <w:jc w:val="center"/>
                    <w:rPr>
                      <w:color w:val="auto"/>
                      <w:sz w:val="18"/>
                      <w:szCs w:val="18"/>
                    </w:rPr>
                  </w:pPr>
                  <w:r>
                    <w:rPr>
                      <w:color w:val="auto"/>
                      <w:sz w:val="18"/>
                      <w:szCs w:val="18"/>
                    </w:rPr>
                    <w:t>年均质量浓度</w:t>
                  </w:r>
                </w:p>
              </w:tc>
              <w:tc>
                <w:tcPr>
                  <w:tcW w:w="1149" w:type="dxa"/>
                  <w:vAlign w:val="center"/>
                </w:tcPr>
                <w:p>
                  <w:pPr>
                    <w:jc w:val="center"/>
                    <w:rPr>
                      <w:rFonts w:hint="default" w:eastAsia="宋体"/>
                      <w:color w:val="auto"/>
                      <w:sz w:val="18"/>
                      <w:szCs w:val="18"/>
                      <w:lang w:val="en-US" w:eastAsia="zh-CN"/>
                    </w:rPr>
                  </w:pPr>
                  <w:r>
                    <w:rPr>
                      <w:rFonts w:hint="eastAsia"/>
                      <w:color w:val="auto"/>
                      <w:sz w:val="18"/>
                      <w:szCs w:val="18"/>
                      <w:lang w:val="en-US" w:eastAsia="zh-CN"/>
                    </w:rPr>
                    <w:t>10</w:t>
                  </w:r>
                </w:p>
              </w:tc>
              <w:tc>
                <w:tcPr>
                  <w:tcW w:w="1446" w:type="dxa"/>
                  <w:vAlign w:val="center"/>
                </w:tcPr>
                <w:p>
                  <w:pPr>
                    <w:pStyle w:val="27"/>
                    <w:snapToGrid w:val="0"/>
                    <w:spacing w:line="240" w:lineRule="auto"/>
                    <w:rPr>
                      <w:color w:val="auto"/>
                      <w:sz w:val="18"/>
                      <w:szCs w:val="18"/>
                    </w:rPr>
                  </w:pPr>
                  <w:r>
                    <w:rPr>
                      <w:bCs/>
                      <w:color w:val="auto"/>
                      <w:sz w:val="18"/>
                      <w:szCs w:val="18"/>
                    </w:rPr>
                    <w:t>30</w:t>
                  </w:r>
                </w:p>
              </w:tc>
              <w:tc>
                <w:tcPr>
                  <w:tcW w:w="1157" w:type="dxa"/>
                  <w:vAlign w:val="center"/>
                </w:tcPr>
                <w:p>
                  <w:pPr>
                    <w:pStyle w:val="27"/>
                    <w:snapToGrid w:val="0"/>
                    <w:spacing w:line="240" w:lineRule="auto"/>
                    <w:rPr>
                      <w:color w:val="auto"/>
                      <w:sz w:val="18"/>
                      <w:szCs w:val="18"/>
                    </w:rPr>
                  </w:pPr>
                  <w:r>
                    <w:rPr>
                      <w:bCs/>
                      <w:color w:val="auto"/>
                      <w:sz w:val="18"/>
                      <w:szCs w:val="18"/>
                    </w:rPr>
                    <w:t>25</w:t>
                  </w:r>
                </w:p>
              </w:tc>
              <w:tc>
                <w:tcPr>
                  <w:tcW w:w="735" w:type="dxa"/>
                  <w:vAlign w:val="center"/>
                </w:tcPr>
                <w:p>
                  <w:pPr>
                    <w:jc w:val="center"/>
                    <w:rPr>
                      <w:color w:val="auto"/>
                      <w:sz w:val="18"/>
                      <w:szCs w:val="18"/>
                    </w:rPr>
                  </w:pPr>
                  <w:r>
                    <w:rPr>
                      <w:rFonts w:hint="eastAsia"/>
                      <w:color w:val="auto"/>
                      <w:sz w:val="18"/>
                      <w:szCs w:val="18"/>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2" w:type="dxa"/>
                  <w:shd w:val="clear" w:color="auto" w:fill="auto"/>
                  <w:vAlign w:val="center"/>
                </w:tcPr>
                <w:p>
                  <w:pPr>
                    <w:pStyle w:val="27"/>
                    <w:snapToGrid w:val="0"/>
                    <w:spacing w:line="240" w:lineRule="auto"/>
                    <w:rPr>
                      <w:color w:val="auto"/>
                      <w:sz w:val="18"/>
                      <w:szCs w:val="18"/>
                    </w:rPr>
                  </w:pPr>
                  <w:r>
                    <w:rPr>
                      <w:bCs/>
                      <w:color w:val="auto"/>
                      <w:sz w:val="18"/>
                      <w:szCs w:val="18"/>
                    </w:rPr>
                    <w:t>一氧化碳(CO)</w:t>
                  </w:r>
                </w:p>
              </w:tc>
              <w:tc>
                <w:tcPr>
                  <w:tcW w:w="1675" w:type="dxa"/>
                  <w:shd w:val="clear" w:color="auto" w:fill="auto"/>
                  <w:vAlign w:val="center"/>
                </w:tcPr>
                <w:p>
                  <w:pPr>
                    <w:jc w:val="center"/>
                    <w:rPr>
                      <w:color w:val="auto"/>
                      <w:sz w:val="18"/>
                      <w:szCs w:val="18"/>
                    </w:rPr>
                  </w:pPr>
                  <w:r>
                    <w:rPr>
                      <w:color w:val="auto"/>
                      <w:sz w:val="18"/>
                      <w:szCs w:val="18"/>
                    </w:rPr>
                    <w:t>24小时平均第95百分位数</w:t>
                  </w:r>
                </w:p>
              </w:tc>
              <w:tc>
                <w:tcPr>
                  <w:tcW w:w="1149" w:type="dxa"/>
                  <w:vAlign w:val="center"/>
                </w:tcPr>
                <w:p>
                  <w:pPr>
                    <w:jc w:val="center"/>
                    <w:rPr>
                      <w:rFonts w:hint="default" w:eastAsia="宋体"/>
                      <w:color w:val="auto"/>
                      <w:sz w:val="18"/>
                      <w:szCs w:val="18"/>
                      <w:lang w:val="en-US" w:eastAsia="zh-CN"/>
                    </w:rPr>
                  </w:pPr>
                  <w:r>
                    <w:rPr>
                      <w:rFonts w:hint="eastAsia" w:eastAsia="宋体"/>
                      <w:color w:val="auto"/>
                      <w:sz w:val="18"/>
                      <w:szCs w:val="18"/>
                      <w:lang w:val="en-US" w:eastAsia="zh-CN"/>
                    </w:rPr>
                    <w:t>800</w:t>
                  </w:r>
                </w:p>
              </w:tc>
              <w:tc>
                <w:tcPr>
                  <w:tcW w:w="1446" w:type="dxa"/>
                  <w:vAlign w:val="center"/>
                </w:tcPr>
                <w:p>
                  <w:pPr>
                    <w:jc w:val="center"/>
                    <w:rPr>
                      <w:color w:val="auto"/>
                      <w:sz w:val="18"/>
                      <w:szCs w:val="18"/>
                    </w:rPr>
                  </w:pPr>
                  <w:r>
                    <w:rPr>
                      <w:rFonts w:hint="eastAsia"/>
                      <w:color w:val="auto"/>
                      <w:sz w:val="18"/>
                      <w:szCs w:val="18"/>
                    </w:rPr>
                    <w:t>4000</w:t>
                  </w:r>
                </w:p>
              </w:tc>
              <w:tc>
                <w:tcPr>
                  <w:tcW w:w="1157" w:type="dxa"/>
                  <w:vAlign w:val="center"/>
                </w:tcPr>
                <w:p>
                  <w:pPr>
                    <w:jc w:val="center"/>
                    <w:rPr>
                      <w:color w:val="auto"/>
                      <w:sz w:val="18"/>
                      <w:szCs w:val="18"/>
                    </w:rPr>
                  </w:pPr>
                  <w:r>
                    <w:rPr>
                      <w:rFonts w:hint="eastAsia"/>
                      <w:color w:val="auto"/>
                      <w:sz w:val="18"/>
                      <w:szCs w:val="18"/>
                    </w:rPr>
                    <w:t>4000</w:t>
                  </w:r>
                </w:p>
              </w:tc>
              <w:tc>
                <w:tcPr>
                  <w:tcW w:w="735" w:type="dxa"/>
                  <w:vAlign w:val="center"/>
                </w:tcPr>
                <w:p>
                  <w:pPr>
                    <w:jc w:val="center"/>
                    <w:rPr>
                      <w:color w:val="auto"/>
                      <w:sz w:val="18"/>
                      <w:szCs w:val="18"/>
                    </w:rPr>
                  </w:pPr>
                  <w:r>
                    <w:rPr>
                      <w:rFonts w:hint="eastAsia"/>
                      <w:color w:val="auto"/>
                      <w:sz w:val="18"/>
                      <w:szCs w:val="18"/>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2" w:type="dxa"/>
                  <w:shd w:val="clear" w:color="auto" w:fill="auto"/>
                  <w:vAlign w:val="center"/>
                </w:tcPr>
                <w:p>
                  <w:pPr>
                    <w:pStyle w:val="27"/>
                    <w:snapToGrid w:val="0"/>
                    <w:spacing w:line="240" w:lineRule="auto"/>
                    <w:rPr>
                      <w:color w:val="auto"/>
                      <w:sz w:val="18"/>
                      <w:szCs w:val="18"/>
                    </w:rPr>
                  </w:pPr>
                  <w:r>
                    <w:rPr>
                      <w:bCs/>
                      <w:color w:val="auto"/>
                      <w:sz w:val="18"/>
                      <w:szCs w:val="18"/>
                    </w:rPr>
                    <w:t>臭氧(O</w:t>
                  </w:r>
                  <w:r>
                    <w:rPr>
                      <w:bCs/>
                      <w:color w:val="auto"/>
                      <w:sz w:val="18"/>
                      <w:szCs w:val="18"/>
                      <w:vertAlign w:val="subscript"/>
                    </w:rPr>
                    <w:t>3</w:t>
                  </w:r>
                  <w:r>
                    <w:rPr>
                      <w:bCs/>
                      <w:color w:val="auto"/>
                      <w:sz w:val="18"/>
                      <w:szCs w:val="18"/>
                    </w:rPr>
                    <w:t>)</w:t>
                  </w:r>
                </w:p>
              </w:tc>
              <w:tc>
                <w:tcPr>
                  <w:tcW w:w="1675" w:type="dxa"/>
                  <w:shd w:val="clear" w:color="auto" w:fill="auto"/>
                  <w:vAlign w:val="center"/>
                </w:tcPr>
                <w:p>
                  <w:pPr>
                    <w:jc w:val="center"/>
                    <w:rPr>
                      <w:color w:val="auto"/>
                      <w:sz w:val="18"/>
                      <w:szCs w:val="18"/>
                    </w:rPr>
                  </w:pPr>
                  <w:r>
                    <w:rPr>
                      <w:color w:val="auto"/>
                      <w:sz w:val="18"/>
                      <w:szCs w:val="18"/>
                    </w:rPr>
                    <w:t>日最大8小时滑动平均值的第90百分位数</w:t>
                  </w:r>
                </w:p>
              </w:tc>
              <w:tc>
                <w:tcPr>
                  <w:tcW w:w="1149" w:type="dxa"/>
                  <w:vAlign w:val="center"/>
                </w:tcPr>
                <w:p>
                  <w:pPr>
                    <w:jc w:val="center"/>
                    <w:rPr>
                      <w:rFonts w:hint="default" w:eastAsia="宋体"/>
                      <w:color w:val="auto"/>
                      <w:sz w:val="18"/>
                      <w:szCs w:val="18"/>
                      <w:lang w:val="en-US" w:eastAsia="zh-CN"/>
                    </w:rPr>
                  </w:pPr>
                  <w:r>
                    <w:rPr>
                      <w:rFonts w:hint="eastAsia"/>
                      <w:color w:val="auto"/>
                      <w:sz w:val="18"/>
                      <w:szCs w:val="18"/>
                      <w:lang w:val="en-US" w:eastAsia="zh-CN"/>
                    </w:rPr>
                    <w:t>74</w:t>
                  </w:r>
                </w:p>
              </w:tc>
              <w:tc>
                <w:tcPr>
                  <w:tcW w:w="1446" w:type="dxa"/>
                  <w:vAlign w:val="center"/>
                </w:tcPr>
                <w:p>
                  <w:pPr>
                    <w:pStyle w:val="27"/>
                    <w:snapToGrid w:val="0"/>
                    <w:spacing w:line="240" w:lineRule="auto"/>
                    <w:rPr>
                      <w:color w:val="auto"/>
                      <w:sz w:val="18"/>
                      <w:szCs w:val="18"/>
                    </w:rPr>
                  </w:pPr>
                  <w:r>
                    <w:rPr>
                      <w:bCs/>
                      <w:color w:val="auto"/>
                      <w:sz w:val="18"/>
                      <w:szCs w:val="18"/>
                    </w:rPr>
                    <w:t>160</w:t>
                  </w:r>
                </w:p>
              </w:tc>
              <w:tc>
                <w:tcPr>
                  <w:tcW w:w="1157" w:type="dxa"/>
                  <w:vAlign w:val="center"/>
                </w:tcPr>
                <w:p>
                  <w:pPr>
                    <w:pStyle w:val="27"/>
                    <w:snapToGrid w:val="0"/>
                    <w:spacing w:line="240" w:lineRule="auto"/>
                    <w:rPr>
                      <w:color w:val="auto"/>
                      <w:sz w:val="18"/>
                      <w:szCs w:val="18"/>
                    </w:rPr>
                  </w:pPr>
                  <w:r>
                    <w:rPr>
                      <w:bCs/>
                      <w:color w:val="auto"/>
                      <w:sz w:val="18"/>
                      <w:szCs w:val="18"/>
                    </w:rPr>
                    <w:t>160</w:t>
                  </w:r>
                </w:p>
              </w:tc>
              <w:tc>
                <w:tcPr>
                  <w:tcW w:w="735" w:type="dxa"/>
                  <w:vAlign w:val="center"/>
                </w:tcPr>
                <w:p>
                  <w:pPr>
                    <w:jc w:val="center"/>
                    <w:rPr>
                      <w:color w:val="auto"/>
                      <w:sz w:val="18"/>
                      <w:szCs w:val="18"/>
                    </w:rPr>
                  </w:pPr>
                  <w:r>
                    <w:rPr>
                      <w:rFonts w:hint="eastAsia"/>
                      <w:color w:val="auto"/>
                      <w:sz w:val="18"/>
                      <w:szCs w:val="18"/>
                    </w:rPr>
                    <w:t>达标</w:t>
                  </w:r>
                </w:p>
              </w:tc>
            </w:tr>
          </w:tbl>
          <w:p>
            <w:pPr>
              <w:pStyle w:val="24"/>
              <w:spacing w:line="360" w:lineRule="auto"/>
              <w:ind w:firstLine="420"/>
              <w:rPr>
                <w:color w:val="auto"/>
                <w:sz w:val="21"/>
                <w:szCs w:val="21"/>
              </w:rPr>
            </w:pPr>
            <w:r>
              <w:rPr>
                <w:rFonts w:hint="eastAsia"/>
                <w:color w:val="auto"/>
                <w:sz w:val="21"/>
                <w:szCs w:val="21"/>
              </w:rPr>
              <w:t>综上所述，区域环境空气质量属达标区。</w:t>
            </w:r>
          </w:p>
          <w:p>
            <w:pPr>
              <w:pStyle w:val="24"/>
              <w:spacing w:line="360" w:lineRule="auto"/>
              <w:ind w:firstLine="420"/>
              <w:rPr>
                <w:color w:val="auto"/>
                <w:sz w:val="21"/>
                <w:szCs w:val="21"/>
              </w:rPr>
            </w:pPr>
            <w:r>
              <w:rPr>
                <w:rFonts w:hint="eastAsia"/>
                <w:color w:val="auto"/>
                <w:sz w:val="21"/>
                <w:szCs w:val="21"/>
              </w:rPr>
              <w:t>②特征污染物环境空气质量现状</w:t>
            </w:r>
          </w:p>
          <w:p>
            <w:pPr>
              <w:pStyle w:val="24"/>
              <w:spacing w:line="360" w:lineRule="auto"/>
              <w:ind w:firstLine="420"/>
              <w:rPr>
                <w:color w:val="auto"/>
                <w:sz w:val="21"/>
                <w:szCs w:val="21"/>
              </w:rPr>
            </w:pPr>
            <w:r>
              <w:rPr>
                <w:rFonts w:hint="eastAsia"/>
                <w:color w:val="auto"/>
                <w:sz w:val="21"/>
                <w:szCs w:val="21"/>
              </w:rPr>
              <w:t>本次评价非甲烷总烃特征污染物大气环境质量现状引用《三明市海斯福化工有限责任公司全氟聚醚等氟材料产品技术改造项目环境影响报告书》（2025年2月）中的监测数据，监测时间为2025年1月3日-2025年1月9日，监测点位距本项目2700m，检测单位：福建省格瑞恩检测科技有限公司，满足建设项目环境影响报告表编制技术指南（污染影响类）中“引用建设项目周边5千米范围内近3年的现有监测数据”的要求。监测数据表明，项目特征污染物非甲烷总烃可达本次评价提出的环境质量控制限值要求，具体见下表：</w:t>
            </w:r>
          </w:p>
          <w:p>
            <w:pPr>
              <w:spacing w:before="194" w:beforeLines="50"/>
              <w:jc w:val="center"/>
              <w:outlineLvl w:val="5"/>
              <w:rPr>
                <w:rFonts w:eastAsia="宋体" w:cs="Times New Roman"/>
                <w:b/>
                <w:bCs/>
                <w:color w:val="auto"/>
                <w:sz w:val="21"/>
                <w:szCs w:val="21"/>
              </w:rPr>
            </w:pPr>
            <w:r>
              <w:rPr>
                <w:rFonts w:hint="default" w:eastAsia="宋体" w:cs="Times New Roman"/>
                <w:b/>
                <w:color w:val="auto"/>
                <w:spacing w:val="0"/>
                <w:sz w:val="21"/>
                <w:szCs w:val="21"/>
                <w:lang w:val="en-US" w:eastAsia="zh-CN"/>
              </w:rPr>
              <w:t>表3-</w:t>
            </w:r>
            <w:r>
              <w:rPr>
                <w:rFonts w:hint="eastAsia" w:cs="Times New Roman"/>
                <w:b/>
                <w:color w:val="auto"/>
                <w:spacing w:val="0"/>
                <w:sz w:val="21"/>
                <w:szCs w:val="21"/>
                <w:lang w:val="en-US" w:eastAsia="zh-CN"/>
              </w:rPr>
              <w:t xml:space="preserve">3  </w:t>
            </w:r>
            <w:r>
              <w:rPr>
                <w:rFonts w:hint="default" w:eastAsia="宋体" w:cs="Times New Roman"/>
                <w:b/>
                <w:color w:val="auto"/>
                <w:spacing w:val="0"/>
                <w:sz w:val="21"/>
                <w:szCs w:val="21"/>
                <w:lang w:val="en-US" w:eastAsia="zh-CN"/>
              </w:rPr>
              <w:t>特征污染物大气环境质量评价结果一览表</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55"/>
              <w:gridCol w:w="1031"/>
              <w:gridCol w:w="2166"/>
              <w:gridCol w:w="1287"/>
              <w:gridCol w:w="1267"/>
              <w:gridCol w:w="12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0" w:hRule="atLeast"/>
                <w:jc w:val="center"/>
              </w:trPr>
              <w:tc>
                <w:tcPr>
                  <w:tcW w:w="544" w:type="pct"/>
                  <w:vMerge w:val="restart"/>
                  <w:shd w:val="clear" w:color="auto" w:fill="auto"/>
                  <w:vAlign w:val="center"/>
                </w:tcPr>
                <w:p>
                  <w:pPr>
                    <w:widowControl/>
                    <w:adjustRightInd w:val="0"/>
                    <w:snapToGrid w:val="0"/>
                    <w:jc w:val="center"/>
                    <w:textAlignment w:val="center"/>
                    <w:rPr>
                      <w:b/>
                      <w:bCs/>
                      <w:color w:val="auto"/>
                      <w:kern w:val="0"/>
                      <w:sz w:val="18"/>
                      <w:szCs w:val="18"/>
                    </w:rPr>
                  </w:pPr>
                  <w:r>
                    <w:rPr>
                      <w:b/>
                      <w:bCs/>
                      <w:color w:val="auto"/>
                      <w:kern w:val="0"/>
                      <w:sz w:val="18"/>
                      <w:szCs w:val="18"/>
                    </w:rPr>
                    <w:t>监测地点</w:t>
                  </w:r>
                </w:p>
              </w:tc>
              <w:tc>
                <w:tcPr>
                  <w:tcW w:w="656" w:type="pct"/>
                  <w:vMerge w:val="restart"/>
                  <w:shd w:val="clear" w:color="auto" w:fill="auto"/>
                  <w:vAlign w:val="center"/>
                </w:tcPr>
                <w:p>
                  <w:pPr>
                    <w:widowControl/>
                    <w:adjustRightInd w:val="0"/>
                    <w:snapToGrid w:val="0"/>
                    <w:jc w:val="center"/>
                    <w:textAlignment w:val="center"/>
                    <w:rPr>
                      <w:b/>
                      <w:bCs/>
                      <w:color w:val="auto"/>
                      <w:kern w:val="0"/>
                      <w:sz w:val="18"/>
                      <w:szCs w:val="18"/>
                    </w:rPr>
                  </w:pPr>
                  <w:r>
                    <w:rPr>
                      <w:b/>
                      <w:bCs/>
                      <w:color w:val="auto"/>
                      <w:kern w:val="0"/>
                      <w:sz w:val="18"/>
                      <w:szCs w:val="18"/>
                    </w:rPr>
                    <w:t>监测因子</w:t>
                  </w:r>
                </w:p>
              </w:tc>
              <w:tc>
                <w:tcPr>
                  <w:tcW w:w="3798" w:type="pct"/>
                  <w:gridSpan w:val="4"/>
                  <w:shd w:val="clear" w:color="auto" w:fill="auto"/>
                  <w:vAlign w:val="center"/>
                </w:tcPr>
                <w:p>
                  <w:pPr>
                    <w:widowControl/>
                    <w:adjustRightInd w:val="0"/>
                    <w:snapToGrid w:val="0"/>
                    <w:jc w:val="center"/>
                    <w:textAlignment w:val="center"/>
                    <w:rPr>
                      <w:b/>
                      <w:bCs/>
                      <w:color w:val="auto"/>
                      <w:kern w:val="0"/>
                      <w:sz w:val="18"/>
                      <w:szCs w:val="18"/>
                    </w:rPr>
                  </w:pPr>
                  <w:r>
                    <w:rPr>
                      <w:b/>
                      <w:bCs/>
                      <w:color w:val="auto"/>
                      <w:kern w:val="0"/>
                      <w:sz w:val="18"/>
                      <w:szCs w:val="18"/>
                    </w:rPr>
                    <w:t>1小时均值/一次值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5" w:hRule="atLeast"/>
                <w:jc w:val="center"/>
              </w:trPr>
              <w:tc>
                <w:tcPr>
                  <w:tcW w:w="544" w:type="pct"/>
                  <w:vMerge w:val="continue"/>
                  <w:shd w:val="clear" w:color="auto" w:fill="auto"/>
                  <w:vAlign w:val="center"/>
                </w:tcPr>
                <w:p>
                  <w:pPr>
                    <w:widowControl/>
                    <w:adjustRightInd w:val="0"/>
                    <w:snapToGrid w:val="0"/>
                    <w:jc w:val="center"/>
                    <w:textAlignment w:val="center"/>
                    <w:rPr>
                      <w:b/>
                      <w:bCs/>
                      <w:color w:val="auto"/>
                      <w:kern w:val="0"/>
                      <w:sz w:val="18"/>
                      <w:szCs w:val="18"/>
                    </w:rPr>
                  </w:pPr>
                </w:p>
              </w:tc>
              <w:tc>
                <w:tcPr>
                  <w:tcW w:w="656" w:type="pct"/>
                  <w:vMerge w:val="continue"/>
                  <w:shd w:val="clear" w:color="auto" w:fill="auto"/>
                  <w:vAlign w:val="center"/>
                </w:tcPr>
                <w:p>
                  <w:pPr>
                    <w:widowControl/>
                    <w:adjustRightInd w:val="0"/>
                    <w:snapToGrid w:val="0"/>
                    <w:jc w:val="center"/>
                    <w:textAlignment w:val="center"/>
                    <w:rPr>
                      <w:b/>
                      <w:bCs/>
                      <w:color w:val="auto"/>
                      <w:kern w:val="0"/>
                      <w:sz w:val="18"/>
                      <w:szCs w:val="18"/>
                    </w:rPr>
                  </w:pPr>
                </w:p>
              </w:tc>
              <w:tc>
                <w:tcPr>
                  <w:tcW w:w="1378" w:type="pct"/>
                  <w:shd w:val="clear" w:color="auto" w:fill="auto"/>
                  <w:vAlign w:val="center"/>
                </w:tcPr>
                <w:p>
                  <w:pPr>
                    <w:widowControl/>
                    <w:adjustRightInd w:val="0"/>
                    <w:snapToGrid w:val="0"/>
                    <w:jc w:val="center"/>
                    <w:textAlignment w:val="center"/>
                    <w:rPr>
                      <w:b/>
                      <w:bCs/>
                      <w:color w:val="auto"/>
                      <w:kern w:val="0"/>
                      <w:sz w:val="18"/>
                      <w:szCs w:val="18"/>
                    </w:rPr>
                  </w:pPr>
                  <w:r>
                    <w:rPr>
                      <w:b/>
                      <w:bCs/>
                      <w:color w:val="auto"/>
                      <w:kern w:val="0"/>
                      <w:sz w:val="18"/>
                      <w:szCs w:val="18"/>
                    </w:rPr>
                    <w:t>浓度范围mg/m</w:t>
                  </w:r>
                  <w:r>
                    <w:rPr>
                      <w:b/>
                      <w:bCs/>
                      <w:color w:val="auto"/>
                      <w:kern w:val="0"/>
                      <w:sz w:val="18"/>
                      <w:szCs w:val="18"/>
                      <w:vertAlign w:val="superscript"/>
                    </w:rPr>
                    <w:t>3</w:t>
                  </w:r>
                </w:p>
              </w:tc>
              <w:tc>
                <w:tcPr>
                  <w:tcW w:w="819" w:type="pct"/>
                  <w:shd w:val="clear" w:color="auto" w:fill="auto"/>
                  <w:vAlign w:val="center"/>
                </w:tcPr>
                <w:p>
                  <w:pPr>
                    <w:widowControl/>
                    <w:adjustRightInd w:val="0"/>
                    <w:snapToGrid w:val="0"/>
                    <w:jc w:val="center"/>
                    <w:textAlignment w:val="center"/>
                    <w:rPr>
                      <w:b/>
                      <w:bCs/>
                      <w:color w:val="auto"/>
                      <w:kern w:val="0"/>
                      <w:sz w:val="18"/>
                      <w:szCs w:val="18"/>
                    </w:rPr>
                  </w:pPr>
                  <w:r>
                    <w:rPr>
                      <w:b/>
                      <w:bCs/>
                      <w:color w:val="auto"/>
                      <w:kern w:val="0"/>
                      <w:sz w:val="18"/>
                      <w:szCs w:val="18"/>
                    </w:rPr>
                    <w:t>最大标准指数</w:t>
                  </w:r>
                </w:p>
              </w:tc>
              <w:tc>
                <w:tcPr>
                  <w:tcW w:w="806" w:type="pct"/>
                  <w:shd w:val="clear" w:color="auto" w:fill="auto"/>
                  <w:vAlign w:val="center"/>
                </w:tcPr>
                <w:p>
                  <w:pPr>
                    <w:widowControl/>
                    <w:adjustRightInd w:val="0"/>
                    <w:snapToGrid w:val="0"/>
                    <w:jc w:val="center"/>
                    <w:textAlignment w:val="center"/>
                    <w:rPr>
                      <w:b/>
                      <w:bCs/>
                      <w:color w:val="auto"/>
                      <w:kern w:val="0"/>
                      <w:sz w:val="18"/>
                      <w:szCs w:val="18"/>
                    </w:rPr>
                  </w:pPr>
                  <w:r>
                    <w:rPr>
                      <w:b/>
                      <w:bCs/>
                      <w:color w:val="auto"/>
                      <w:kern w:val="0"/>
                      <w:sz w:val="18"/>
                      <w:szCs w:val="18"/>
                    </w:rPr>
                    <w:t>标准值mg/m</w:t>
                  </w:r>
                  <w:r>
                    <w:rPr>
                      <w:b/>
                      <w:bCs/>
                      <w:color w:val="auto"/>
                      <w:kern w:val="0"/>
                      <w:sz w:val="18"/>
                      <w:szCs w:val="18"/>
                      <w:vertAlign w:val="superscript"/>
                    </w:rPr>
                    <w:t>3</w:t>
                  </w:r>
                </w:p>
              </w:tc>
              <w:tc>
                <w:tcPr>
                  <w:tcW w:w="795" w:type="pct"/>
                  <w:shd w:val="clear" w:color="auto" w:fill="auto"/>
                  <w:vAlign w:val="center"/>
                </w:tcPr>
                <w:p>
                  <w:pPr>
                    <w:widowControl/>
                    <w:adjustRightInd w:val="0"/>
                    <w:snapToGrid w:val="0"/>
                    <w:jc w:val="center"/>
                    <w:textAlignment w:val="center"/>
                    <w:rPr>
                      <w:b/>
                      <w:bCs/>
                      <w:color w:val="auto"/>
                      <w:kern w:val="0"/>
                      <w:sz w:val="18"/>
                      <w:szCs w:val="18"/>
                    </w:rPr>
                  </w:pPr>
                  <w:r>
                    <w:rPr>
                      <w:b/>
                      <w:bCs/>
                      <w:color w:val="auto"/>
                      <w:kern w:val="0"/>
                      <w:sz w:val="18"/>
                      <w:szCs w:val="18"/>
                    </w:rPr>
                    <w:t>超标率（%）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7" w:hRule="atLeast"/>
                <w:jc w:val="center"/>
              </w:trPr>
              <w:tc>
                <w:tcPr>
                  <w:tcW w:w="544" w:type="pct"/>
                  <w:shd w:val="clear" w:color="auto" w:fill="auto"/>
                  <w:vAlign w:val="center"/>
                </w:tcPr>
                <w:p>
                  <w:pPr>
                    <w:widowControl/>
                    <w:adjustRightInd w:val="0"/>
                    <w:snapToGrid w:val="0"/>
                    <w:jc w:val="center"/>
                    <w:textAlignment w:val="center"/>
                    <w:rPr>
                      <w:color w:val="auto"/>
                      <w:kern w:val="0"/>
                      <w:sz w:val="18"/>
                      <w:szCs w:val="18"/>
                    </w:rPr>
                  </w:pPr>
                  <w:r>
                    <w:rPr>
                      <w:color w:val="auto"/>
                      <w:kern w:val="0"/>
                      <w:sz w:val="18"/>
                      <w:szCs w:val="18"/>
                    </w:rPr>
                    <w:t>G1石珩村</w:t>
                  </w:r>
                </w:p>
              </w:tc>
              <w:tc>
                <w:tcPr>
                  <w:tcW w:w="656" w:type="pct"/>
                  <w:shd w:val="clear" w:color="auto" w:fill="auto"/>
                  <w:vAlign w:val="center"/>
                </w:tcPr>
                <w:p>
                  <w:pPr>
                    <w:widowControl/>
                    <w:adjustRightInd w:val="0"/>
                    <w:snapToGrid w:val="0"/>
                    <w:jc w:val="center"/>
                    <w:textAlignment w:val="center"/>
                    <w:rPr>
                      <w:color w:val="auto"/>
                      <w:sz w:val="18"/>
                      <w:szCs w:val="18"/>
                    </w:rPr>
                  </w:pPr>
                  <w:r>
                    <w:rPr>
                      <w:color w:val="auto"/>
                      <w:sz w:val="18"/>
                      <w:szCs w:val="18"/>
                    </w:rPr>
                    <w:t>非甲烷总烃</w:t>
                  </w:r>
                </w:p>
              </w:tc>
              <w:tc>
                <w:tcPr>
                  <w:tcW w:w="1378" w:type="pct"/>
                  <w:shd w:val="clear" w:color="auto" w:fill="auto"/>
                  <w:vAlign w:val="center"/>
                </w:tcPr>
                <w:p>
                  <w:pPr>
                    <w:jc w:val="center"/>
                    <w:rPr>
                      <w:color w:val="auto"/>
                      <w:sz w:val="18"/>
                      <w:szCs w:val="18"/>
                    </w:rPr>
                  </w:pPr>
                  <w:r>
                    <w:rPr>
                      <w:color w:val="auto"/>
                      <w:sz w:val="18"/>
                      <w:szCs w:val="18"/>
                    </w:rPr>
                    <w:t>0.16 ~ 0.48</w:t>
                  </w:r>
                </w:p>
              </w:tc>
              <w:tc>
                <w:tcPr>
                  <w:tcW w:w="819" w:type="pct"/>
                  <w:shd w:val="clear" w:color="auto" w:fill="auto"/>
                  <w:vAlign w:val="center"/>
                </w:tcPr>
                <w:p>
                  <w:pPr>
                    <w:jc w:val="center"/>
                    <w:rPr>
                      <w:color w:val="auto"/>
                      <w:sz w:val="18"/>
                      <w:szCs w:val="18"/>
                    </w:rPr>
                  </w:pPr>
                  <w:r>
                    <w:rPr>
                      <w:color w:val="auto"/>
                      <w:sz w:val="18"/>
                      <w:szCs w:val="18"/>
                    </w:rPr>
                    <w:t>0.24</w:t>
                  </w:r>
                </w:p>
              </w:tc>
              <w:tc>
                <w:tcPr>
                  <w:tcW w:w="806" w:type="pct"/>
                  <w:shd w:val="clear" w:color="auto" w:fill="auto"/>
                  <w:vAlign w:val="center"/>
                </w:tcPr>
                <w:p>
                  <w:pPr>
                    <w:jc w:val="center"/>
                    <w:rPr>
                      <w:color w:val="auto"/>
                      <w:sz w:val="18"/>
                      <w:szCs w:val="18"/>
                    </w:rPr>
                  </w:pPr>
                  <w:r>
                    <w:rPr>
                      <w:color w:val="auto"/>
                      <w:sz w:val="18"/>
                      <w:szCs w:val="18"/>
                    </w:rPr>
                    <w:t>2.0</w:t>
                  </w:r>
                </w:p>
              </w:tc>
              <w:tc>
                <w:tcPr>
                  <w:tcW w:w="795" w:type="pct"/>
                  <w:shd w:val="clear" w:color="auto" w:fill="auto"/>
                  <w:vAlign w:val="center"/>
                </w:tcPr>
                <w:p>
                  <w:pPr>
                    <w:jc w:val="center"/>
                    <w:rPr>
                      <w:color w:val="auto"/>
                      <w:sz w:val="18"/>
                      <w:szCs w:val="18"/>
                    </w:rPr>
                  </w:pPr>
                  <w:r>
                    <w:rPr>
                      <w:color w:val="auto"/>
                      <w:kern w:val="0"/>
                      <w:sz w:val="18"/>
                      <w:szCs w:val="18"/>
                    </w:rPr>
                    <w:t>0</w:t>
                  </w:r>
                </w:p>
              </w:tc>
            </w:tr>
          </w:tbl>
          <w:p>
            <w:pPr>
              <w:widowControl/>
              <w:spacing w:line="360" w:lineRule="auto"/>
              <w:jc w:val="left"/>
              <w:rPr>
                <w:b/>
                <w:bCs/>
                <w:color w:val="auto"/>
              </w:rPr>
            </w:pPr>
            <w:r>
              <w:rPr>
                <w:b/>
                <w:bCs/>
                <w:color w:val="auto"/>
              </w:rPr>
              <w:t>3.2地表水环境</w:t>
            </w:r>
          </w:p>
          <w:p>
            <w:pPr>
              <w:pStyle w:val="24"/>
              <w:spacing w:line="360" w:lineRule="auto"/>
              <w:ind w:firstLine="420"/>
              <w:rPr>
                <w:color w:val="auto"/>
                <w:sz w:val="21"/>
                <w:szCs w:val="21"/>
              </w:rPr>
            </w:pPr>
            <w:r>
              <w:rPr>
                <w:rFonts w:hint="eastAsia"/>
                <w:color w:val="auto"/>
                <w:sz w:val="21"/>
                <w:szCs w:val="21"/>
              </w:rPr>
              <w:t>（1）水环境质量标准</w:t>
            </w:r>
          </w:p>
          <w:p>
            <w:pPr>
              <w:pStyle w:val="24"/>
              <w:spacing w:line="360" w:lineRule="auto"/>
              <w:ind w:firstLine="420"/>
              <w:rPr>
                <w:color w:val="auto"/>
                <w:sz w:val="21"/>
                <w:szCs w:val="21"/>
              </w:rPr>
            </w:pPr>
            <w:r>
              <w:rPr>
                <w:color w:val="auto"/>
                <w:sz w:val="21"/>
                <w:szCs w:val="21"/>
              </w:rPr>
              <w:t>项目周边水域为渔塘溪，属沙溪支流。根据《福建省水(环境)功能区划》和《明溪县环境功能区划》，渔塘溪主要功能为一般工业用水、农业用水、一般景观用水，功能区类别划分为《地表水环境质量标准》（GB3838-2002）规定的Ⅲ类水体，水质执行《地表水环境质量标准》（GB3838-2002）Ⅲ类水质标准，标准值见下表。</w:t>
            </w:r>
          </w:p>
          <w:p>
            <w:pPr>
              <w:spacing w:before="194" w:beforeLines="50"/>
              <w:jc w:val="center"/>
              <w:outlineLvl w:val="5"/>
              <w:rPr>
                <w:rFonts w:hint="default" w:eastAsia="宋体" w:cs="Times New Roman"/>
                <w:b/>
                <w:color w:val="auto"/>
                <w:spacing w:val="0"/>
                <w:sz w:val="21"/>
                <w:szCs w:val="21"/>
                <w:lang w:val="en-US" w:eastAsia="zh-CN"/>
              </w:rPr>
            </w:pPr>
            <w:r>
              <w:rPr>
                <w:rFonts w:hint="default" w:eastAsia="宋体" w:cs="Times New Roman"/>
                <w:b/>
                <w:color w:val="auto"/>
                <w:spacing w:val="0"/>
                <w:sz w:val="21"/>
                <w:szCs w:val="21"/>
                <w:lang w:val="en-US" w:eastAsia="zh-CN"/>
              </w:rPr>
              <w:t>表3-</w:t>
            </w:r>
            <w:r>
              <w:rPr>
                <w:rFonts w:hint="eastAsia" w:cs="Times New Roman"/>
                <w:b/>
                <w:color w:val="auto"/>
                <w:spacing w:val="0"/>
                <w:sz w:val="21"/>
                <w:szCs w:val="21"/>
                <w:lang w:val="en-US" w:eastAsia="zh-CN"/>
              </w:rPr>
              <w:t>4</w:t>
            </w:r>
            <w:r>
              <w:rPr>
                <w:rFonts w:hint="default" w:eastAsia="宋体" w:cs="Times New Roman"/>
                <w:b/>
                <w:color w:val="auto"/>
                <w:spacing w:val="0"/>
                <w:sz w:val="21"/>
                <w:szCs w:val="21"/>
                <w:lang w:val="en-US" w:eastAsia="zh-CN"/>
              </w:rPr>
              <w:t>地表水环境质量执行标准</w:t>
            </w:r>
          </w:p>
          <w:tbl>
            <w:tblPr>
              <w:tblStyle w:val="19"/>
              <w:tblW w:w="4998"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422"/>
              <w:gridCol w:w="654"/>
              <w:gridCol w:w="871"/>
              <w:gridCol w:w="4911"/>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12" w:hRule="atLeast"/>
                <w:jc w:val="center"/>
              </w:trPr>
              <w:tc>
                <w:tcPr>
                  <w:tcW w:w="904" w:type="pct"/>
                  <w:tcMar>
                    <w:left w:w="0" w:type="dxa"/>
                    <w:right w:w="0" w:type="dxa"/>
                  </w:tcMar>
                  <w:vAlign w:val="center"/>
                </w:tcPr>
                <w:p>
                  <w:pPr>
                    <w:pStyle w:val="27"/>
                    <w:rPr>
                      <w:b/>
                      <w:bCs/>
                      <w:color w:val="auto"/>
                      <w:sz w:val="18"/>
                      <w:szCs w:val="18"/>
                    </w:rPr>
                  </w:pPr>
                  <w:r>
                    <w:rPr>
                      <w:b/>
                      <w:bCs/>
                      <w:color w:val="auto"/>
                      <w:sz w:val="18"/>
                      <w:szCs w:val="18"/>
                    </w:rPr>
                    <w:t>污染物名称</w:t>
                  </w:r>
                </w:p>
              </w:tc>
              <w:tc>
                <w:tcPr>
                  <w:tcW w:w="416" w:type="pct"/>
                  <w:tcMar>
                    <w:left w:w="0" w:type="dxa"/>
                    <w:right w:w="0" w:type="dxa"/>
                  </w:tcMar>
                  <w:vAlign w:val="center"/>
                </w:tcPr>
                <w:p>
                  <w:pPr>
                    <w:pStyle w:val="27"/>
                    <w:rPr>
                      <w:b/>
                      <w:bCs/>
                      <w:color w:val="auto"/>
                      <w:sz w:val="18"/>
                      <w:szCs w:val="18"/>
                    </w:rPr>
                  </w:pPr>
                  <w:r>
                    <w:rPr>
                      <w:b/>
                      <w:bCs/>
                      <w:color w:val="auto"/>
                      <w:sz w:val="18"/>
                      <w:szCs w:val="18"/>
                    </w:rPr>
                    <w:t>单位</w:t>
                  </w:r>
                </w:p>
              </w:tc>
              <w:tc>
                <w:tcPr>
                  <w:tcW w:w="554" w:type="pct"/>
                  <w:tcMar>
                    <w:left w:w="0" w:type="dxa"/>
                    <w:right w:w="0" w:type="dxa"/>
                  </w:tcMar>
                  <w:vAlign w:val="center"/>
                </w:tcPr>
                <w:p>
                  <w:pPr>
                    <w:pStyle w:val="27"/>
                    <w:rPr>
                      <w:b/>
                      <w:bCs/>
                      <w:color w:val="auto"/>
                      <w:sz w:val="18"/>
                      <w:szCs w:val="18"/>
                    </w:rPr>
                  </w:pPr>
                  <w:r>
                    <w:rPr>
                      <w:b/>
                      <w:bCs/>
                      <w:color w:val="auto"/>
                      <w:sz w:val="18"/>
                      <w:szCs w:val="18"/>
                    </w:rPr>
                    <w:t>浓度限值</w:t>
                  </w:r>
                </w:p>
              </w:tc>
              <w:tc>
                <w:tcPr>
                  <w:tcW w:w="3123" w:type="pct"/>
                  <w:tcMar>
                    <w:left w:w="0" w:type="dxa"/>
                    <w:right w:w="0" w:type="dxa"/>
                  </w:tcMar>
                  <w:vAlign w:val="center"/>
                </w:tcPr>
                <w:p>
                  <w:pPr>
                    <w:pStyle w:val="27"/>
                    <w:rPr>
                      <w:b/>
                      <w:bCs/>
                      <w:color w:val="auto"/>
                      <w:sz w:val="18"/>
                      <w:szCs w:val="18"/>
                    </w:rPr>
                  </w:pPr>
                  <w:r>
                    <w:rPr>
                      <w:b/>
                      <w:bCs/>
                      <w:color w:val="auto"/>
                      <w:sz w:val="18"/>
                      <w:szCs w:val="18"/>
                    </w:rPr>
                    <w:t>标准来源</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12" w:hRule="atLeast"/>
                <w:jc w:val="center"/>
              </w:trPr>
              <w:tc>
                <w:tcPr>
                  <w:tcW w:w="904" w:type="pct"/>
                  <w:tcMar>
                    <w:left w:w="0" w:type="dxa"/>
                    <w:right w:w="0" w:type="dxa"/>
                  </w:tcMar>
                  <w:vAlign w:val="center"/>
                </w:tcPr>
                <w:p>
                  <w:pPr>
                    <w:pStyle w:val="27"/>
                    <w:rPr>
                      <w:color w:val="auto"/>
                      <w:sz w:val="18"/>
                      <w:szCs w:val="18"/>
                    </w:rPr>
                  </w:pPr>
                  <w:r>
                    <w:rPr>
                      <w:color w:val="auto"/>
                      <w:sz w:val="18"/>
                      <w:szCs w:val="18"/>
                    </w:rPr>
                    <w:t>pH</w:t>
                  </w:r>
                </w:p>
              </w:tc>
              <w:tc>
                <w:tcPr>
                  <w:tcW w:w="416" w:type="pct"/>
                  <w:tcMar>
                    <w:left w:w="0" w:type="dxa"/>
                    <w:right w:w="0" w:type="dxa"/>
                  </w:tcMar>
                  <w:vAlign w:val="center"/>
                </w:tcPr>
                <w:p>
                  <w:pPr>
                    <w:pStyle w:val="27"/>
                    <w:rPr>
                      <w:color w:val="auto"/>
                      <w:sz w:val="18"/>
                      <w:szCs w:val="18"/>
                    </w:rPr>
                  </w:pPr>
                  <w:r>
                    <w:rPr>
                      <w:color w:val="auto"/>
                      <w:sz w:val="18"/>
                      <w:szCs w:val="18"/>
                    </w:rPr>
                    <w:t>无量纲</w:t>
                  </w:r>
                </w:p>
              </w:tc>
              <w:tc>
                <w:tcPr>
                  <w:tcW w:w="554" w:type="pct"/>
                  <w:tcMar>
                    <w:left w:w="0" w:type="dxa"/>
                    <w:right w:w="0" w:type="dxa"/>
                  </w:tcMar>
                  <w:vAlign w:val="center"/>
                </w:tcPr>
                <w:p>
                  <w:pPr>
                    <w:pStyle w:val="27"/>
                    <w:rPr>
                      <w:color w:val="auto"/>
                      <w:sz w:val="18"/>
                      <w:szCs w:val="18"/>
                    </w:rPr>
                  </w:pPr>
                  <w:r>
                    <w:rPr>
                      <w:color w:val="auto"/>
                      <w:sz w:val="18"/>
                      <w:szCs w:val="18"/>
                    </w:rPr>
                    <w:t>6-9</w:t>
                  </w:r>
                </w:p>
              </w:tc>
              <w:tc>
                <w:tcPr>
                  <w:tcW w:w="3123" w:type="pct"/>
                  <w:vMerge w:val="restart"/>
                  <w:tcMar>
                    <w:left w:w="0" w:type="dxa"/>
                    <w:right w:w="0" w:type="dxa"/>
                  </w:tcMar>
                  <w:vAlign w:val="center"/>
                </w:tcPr>
                <w:p>
                  <w:pPr>
                    <w:pStyle w:val="27"/>
                    <w:rPr>
                      <w:color w:val="auto"/>
                      <w:sz w:val="18"/>
                      <w:szCs w:val="18"/>
                    </w:rPr>
                  </w:pPr>
                  <w:r>
                    <w:rPr>
                      <w:color w:val="auto"/>
                      <w:sz w:val="18"/>
                      <w:szCs w:val="18"/>
                    </w:rPr>
                    <w:t>《地表水环境质量标准》（GB3838-2002）Ⅲ类标准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12" w:hRule="atLeast"/>
                <w:jc w:val="center"/>
              </w:trPr>
              <w:tc>
                <w:tcPr>
                  <w:tcW w:w="904" w:type="pct"/>
                  <w:tcMar>
                    <w:left w:w="0" w:type="dxa"/>
                    <w:right w:w="0" w:type="dxa"/>
                  </w:tcMar>
                  <w:vAlign w:val="center"/>
                </w:tcPr>
                <w:p>
                  <w:pPr>
                    <w:pStyle w:val="27"/>
                    <w:rPr>
                      <w:color w:val="auto"/>
                      <w:sz w:val="18"/>
                      <w:szCs w:val="18"/>
                    </w:rPr>
                  </w:pPr>
                  <w:r>
                    <w:rPr>
                      <w:color w:val="auto"/>
                      <w:sz w:val="18"/>
                      <w:szCs w:val="18"/>
                    </w:rPr>
                    <w:t>COD≤</w:t>
                  </w:r>
                </w:p>
              </w:tc>
              <w:tc>
                <w:tcPr>
                  <w:tcW w:w="416" w:type="pct"/>
                  <w:tcMar>
                    <w:left w:w="0" w:type="dxa"/>
                    <w:right w:w="0" w:type="dxa"/>
                  </w:tcMar>
                  <w:vAlign w:val="center"/>
                </w:tcPr>
                <w:p>
                  <w:pPr>
                    <w:pStyle w:val="27"/>
                    <w:rPr>
                      <w:color w:val="auto"/>
                      <w:sz w:val="18"/>
                      <w:szCs w:val="18"/>
                    </w:rPr>
                  </w:pPr>
                  <w:r>
                    <w:rPr>
                      <w:color w:val="auto"/>
                      <w:sz w:val="18"/>
                      <w:szCs w:val="18"/>
                    </w:rPr>
                    <w:t>mg/L</w:t>
                  </w:r>
                </w:p>
              </w:tc>
              <w:tc>
                <w:tcPr>
                  <w:tcW w:w="554" w:type="pct"/>
                  <w:tcMar>
                    <w:left w:w="0" w:type="dxa"/>
                    <w:right w:w="0" w:type="dxa"/>
                  </w:tcMar>
                  <w:vAlign w:val="center"/>
                </w:tcPr>
                <w:p>
                  <w:pPr>
                    <w:pStyle w:val="27"/>
                    <w:rPr>
                      <w:color w:val="auto"/>
                      <w:sz w:val="18"/>
                      <w:szCs w:val="18"/>
                    </w:rPr>
                  </w:pPr>
                  <w:r>
                    <w:rPr>
                      <w:color w:val="auto"/>
                      <w:sz w:val="18"/>
                      <w:szCs w:val="18"/>
                    </w:rPr>
                    <w:t>20</w:t>
                  </w:r>
                </w:p>
              </w:tc>
              <w:tc>
                <w:tcPr>
                  <w:tcW w:w="3123" w:type="pct"/>
                  <w:vMerge w:val="continue"/>
                  <w:tcMar>
                    <w:left w:w="0" w:type="dxa"/>
                    <w:right w:w="0" w:type="dxa"/>
                  </w:tcMar>
                  <w:vAlign w:val="center"/>
                </w:tcPr>
                <w:p>
                  <w:pPr>
                    <w:pStyle w:val="27"/>
                    <w:rPr>
                      <w:color w:val="auto"/>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12" w:hRule="atLeast"/>
                <w:jc w:val="center"/>
              </w:trPr>
              <w:tc>
                <w:tcPr>
                  <w:tcW w:w="904" w:type="pct"/>
                  <w:tcMar>
                    <w:left w:w="0" w:type="dxa"/>
                    <w:right w:w="0" w:type="dxa"/>
                  </w:tcMar>
                  <w:vAlign w:val="center"/>
                </w:tcPr>
                <w:p>
                  <w:pPr>
                    <w:pStyle w:val="27"/>
                    <w:rPr>
                      <w:color w:val="auto"/>
                      <w:sz w:val="18"/>
                      <w:szCs w:val="18"/>
                    </w:rPr>
                  </w:pPr>
                  <w:r>
                    <w:rPr>
                      <w:color w:val="auto"/>
                      <w:sz w:val="18"/>
                      <w:szCs w:val="18"/>
                    </w:rPr>
                    <w:t>BOD</w:t>
                  </w:r>
                  <w:r>
                    <w:rPr>
                      <w:color w:val="auto"/>
                      <w:sz w:val="18"/>
                      <w:szCs w:val="18"/>
                      <w:vertAlign w:val="subscript"/>
                    </w:rPr>
                    <w:t>5</w:t>
                  </w:r>
                  <w:r>
                    <w:rPr>
                      <w:color w:val="auto"/>
                      <w:sz w:val="18"/>
                      <w:szCs w:val="18"/>
                    </w:rPr>
                    <w:t>≤</w:t>
                  </w:r>
                </w:p>
              </w:tc>
              <w:tc>
                <w:tcPr>
                  <w:tcW w:w="416" w:type="pct"/>
                  <w:tcMar>
                    <w:left w:w="0" w:type="dxa"/>
                    <w:right w:w="0" w:type="dxa"/>
                  </w:tcMar>
                  <w:vAlign w:val="center"/>
                </w:tcPr>
                <w:p>
                  <w:pPr>
                    <w:pStyle w:val="27"/>
                    <w:rPr>
                      <w:color w:val="auto"/>
                      <w:sz w:val="18"/>
                      <w:szCs w:val="18"/>
                    </w:rPr>
                  </w:pPr>
                  <w:r>
                    <w:rPr>
                      <w:color w:val="auto"/>
                      <w:sz w:val="18"/>
                      <w:szCs w:val="18"/>
                    </w:rPr>
                    <w:t>mg/L</w:t>
                  </w:r>
                </w:p>
              </w:tc>
              <w:tc>
                <w:tcPr>
                  <w:tcW w:w="554" w:type="pct"/>
                  <w:tcMar>
                    <w:left w:w="0" w:type="dxa"/>
                    <w:right w:w="0" w:type="dxa"/>
                  </w:tcMar>
                  <w:vAlign w:val="center"/>
                </w:tcPr>
                <w:p>
                  <w:pPr>
                    <w:pStyle w:val="27"/>
                    <w:rPr>
                      <w:color w:val="auto"/>
                      <w:sz w:val="18"/>
                      <w:szCs w:val="18"/>
                    </w:rPr>
                  </w:pPr>
                  <w:r>
                    <w:rPr>
                      <w:color w:val="auto"/>
                      <w:sz w:val="18"/>
                      <w:szCs w:val="18"/>
                    </w:rPr>
                    <w:t>4</w:t>
                  </w:r>
                </w:p>
              </w:tc>
              <w:tc>
                <w:tcPr>
                  <w:tcW w:w="3123" w:type="pct"/>
                  <w:vMerge w:val="continue"/>
                  <w:tcMar>
                    <w:left w:w="0" w:type="dxa"/>
                    <w:right w:w="0" w:type="dxa"/>
                  </w:tcMar>
                  <w:vAlign w:val="center"/>
                </w:tcPr>
                <w:p>
                  <w:pPr>
                    <w:pStyle w:val="27"/>
                    <w:rPr>
                      <w:color w:val="auto"/>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12" w:hRule="atLeast"/>
                <w:jc w:val="center"/>
              </w:trPr>
              <w:tc>
                <w:tcPr>
                  <w:tcW w:w="904" w:type="pct"/>
                  <w:tcMar>
                    <w:left w:w="0" w:type="dxa"/>
                    <w:right w:w="0" w:type="dxa"/>
                  </w:tcMar>
                  <w:vAlign w:val="center"/>
                </w:tcPr>
                <w:p>
                  <w:pPr>
                    <w:pStyle w:val="27"/>
                    <w:rPr>
                      <w:color w:val="auto"/>
                      <w:sz w:val="18"/>
                      <w:szCs w:val="18"/>
                    </w:rPr>
                  </w:pPr>
                  <w:r>
                    <w:rPr>
                      <w:color w:val="auto"/>
                      <w:sz w:val="18"/>
                      <w:szCs w:val="18"/>
                    </w:rPr>
                    <w:t>高锰酸盐指数≤</w:t>
                  </w:r>
                </w:p>
              </w:tc>
              <w:tc>
                <w:tcPr>
                  <w:tcW w:w="416" w:type="pct"/>
                  <w:tcMar>
                    <w:left w:w="0" w:type="dxa"/>
                    <w:right w:w="0" w:type="dxa"/>
                  </w:tcMar>
                  <w:vAlign w:val="center"/>
                </w:tcPr>
                <w:p>
                  <w:pPr>
                    <w:pStyle w:val="27"/>
                    <w:rPr>
                      <w:color w:val="auto"/>
                      <w:sz w:val="18"/>
                      <w:szCs w:val="18"/>
                    </w:rPr>
                  </w:pPr>
                  <w:r>
                    <w:rPr>
                      <w:color w:val="auto"/>
                      <w:sz w:val="18"/>
                      <w:szCs w:val="18"/>
                    </w:rPr>
                    <w:t>mg/L</w:t>
                  </w:r>
                </w:p>
              </w:tc>
              <w:tc>
                <w:tcPr>
                  <w:tcW w:w="554" w:type="pct"/>
                  <w:tcMar>
                    <w:left w:w="0" w:type="dxa"/>
                    <w:right w:w="0" w:type="dxa"/>
                  </w:tcMar>
                  <w:vAlign w:val="center"/>
                </w:tcPr>
                <w:p>
                  <w:pPr>
                    <w:pStyle w:val="27"/>
                    <w:rPr>
                      <w:color w:val="auto"/>
                      <w:sz w:val="18"/>
                      <w:szCs w:val="18"/>
                    </w:rPr>
                  </w:pPr>
                  <w:r>
                    <w:rPr>
                      <w:color w:val="auto"/>
                      <w:sz w:val="18"/>
                      <w:szCs w:val="18"/>
                    </w:rPr>
                    <w:t>6</w:t>
                  </w:r>
                </w:p>
              </w:tc>
              <w:tc>
                <w:tcPr>
                  <w:tcW w:w="3123" w:type="pct"/>
                  <w:vMerge w:val="continue"/>
                  <w:tcMar>
                    <w:left w:w="0" w:type="dxa"/>
                    <w:right w:w="0" w:type="dxa"/>
                  </w:tcMar>
                  <w:vAlign w:val="center"/>
                </w:tcPr>
                <w:p>
                  <w:pPr>
                    <w:pStyle w:val="27"/>
                    <w:rPr>
                      <w:color w:val="auto"/>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12" w:hRule="atLeast"/>
                <w:jc w:val="center"/>
              </w:trPr>
              <w:tc>
                <w:tcPr>
                  <w:tcW w:w="904" w:type="pct"/>
                  <w:tcMar>
                    <w:left w:w="0" w:type="dxa"/>
                    <w:right w:w="0" w:type="dxa"/>
                  </w:tcMar>
                  <w:vAlign w:val="center"/>
                </w:tcPr>
                <w:p>
                  <w:pPr>
                    <w:pStyle w:val="27"/>
                    <w:rPr>
                      <w:color w:val="auto"/>
                      <w:sz w:val="18"/>
                      <w:szCs w:val="18"/>
                    </w:rPr>
                  </w:pPr>
                  <w:r>
                    <w:rPr>
                      <w:color w:val="auto"/>
                      <w:sz w:val="18"/>
                      <w:szCs w:val="18"/>
                    </w:rPr>
                    <w:t>溶解氧≥</w:t>
                  </w:r>
                </w:p>
              </w:tc>
              <w:tc>
                <w:tcPr>
                  <w:tcW w:w="416" w:type="pct"/>
                  <w:tcMar>
                    <w:left w:w="0" w:type="dxa"/>
                    <w:right w:w="0" w:type="dxa"/>
                  </w:tcMar>
                  <w:vAlign w:val="center"/>
                </w:tcPr>
                <w:p>
                  <w:pPr>
                    <w:pStyle w:val="27"/>
                    <w:rPr>
                      <w:color w:val="auto"/>
                      <w:sz w:val="18"/>
                      <w:szCs w:val="18"/>
                    </w:rPr>
                  </w:pPr>
                  <w:r>
                    <w:rPr>
                      <w:color w:val="auto"/>
                      <w:sz w:val="18"/>
                      <w:szCs w:val="18"/>
                    </w:rPr>
                    <w:t>mg/L</w:t>
                  </w:r>
                </w:p>
              </w:tc>
              <w:tc>
                <w:tcPr>
                  <w:tcW w:w="554" w:type="pct"/>
                  <w:tcMar>
                    <w:left w:w="0" w:type="dxa"/>
                    <w:right w:w="0" w:type="dxa"/>
                  </w:tcMar>
                  <w:vAlign w:val="center"/>
                </w:tcPr>
                <w:p>
                  <w:pPr>
                    <w:pStyle w:val="27"/>
                    <w:rPr>
                      <w:color w:val="auto"/>
                      <w:sz w:val="18"/>
                      <w:szCs w:val="18"/>
                    </w:rPr>
                  </w:pPr>
                  <w:r>
                    <w:rPr>
                      <w:color w:val="auto"/>
                      <w:sz w:val="18"/>
                      <w:szCs w:val="18"/>
                    </w:rPr>
                    <w:t>5</w:t>
                  </w:r>
                </w:p>
              </w:tc>
              <w:tc>
                <w:tcPr>
                  <w:tcW w:w="3123" w:type="pct"/>
                  <w:vMerge w:val="continue"/>
                  <w:tcMar>
                    <w:left w:w="0" w:type="dxa"/>
                    <w:right w:w="0" w:type="dxa"/>
                  </w:tcMar>
                  <w:vAlign w:val="center"/>
                </w:tcPr>
                <w:p>
                  <w:pPr>
                    <w:pStyle w:val="27"/>
                    <w:rPr>
                      <w:color w:val="auto"/>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12" w:hRule="atLeast"/>
                <w:jc w:val="center"/>
              </w:trPr>
              <w:tc>
                <w:tcPr>
                  <w:tcW w:w="904" w:type="pct"/>
                  <w:tcMar>
                    <w:left w:w="0" w:type="dxa"/>
                    <w:right w:w="0" w:type="dxa"/>
                  </w:tcMar>
                  <w:vAlign w:val="center"/>
                </w:tcPr>
                <w:p>
                  <w:pPr>
                    <w:pStyle w:val="27"/>
                    <w:rPr>
                      <w:color w:val="auto"/>
                      <w:sz w:val="18"/>
                      <w:szCs w:val="18"/>
                    </w:rPr>
                  </w:pPr>
                  <w:r>
                    <w:rPr>
                      <w:color w:val="auto"/>
                      <w:sz w:val="18"/>
                      <w:szCs w:val="18"/>
                    </w:rPr>
                    <w:t>氨氮≤</w:t>
                  </w:r>
                </w:p>
              </w:tc>
              <w:tc>
                <w:tcPr>
                  <w:tcW w:w="416" w:type="pct"/>
                  <w:tcMar>
                    <w:left w:w="0" w:type="dxa"/>
                    <w:right w:w="0" w:type="dxa"/>
                  </w:tcMar>
                  <w:vAlign w:val="center"/>
                </w:tcPr>
                <w:p>
                  <w:pPr>
                    <w:pStyle w:val="27"/>
                    <w:rPr>
                      <w:color w:val="auto"/>
                      <w:sz w:val="18"/>
                      <w:szCs w:val="18"/>
                    </w:rPr>
                  </w:pPr>
                  <w:r>
                    <w:rPr>
                      <w:color w:val="auto"/>
                      <w:sz w:val="18"/>
                      <w:szCs w:val="18"/>
                    </w:rPr>
                    <w:t>mg/L</w:t>
                  </w:r>
                </w:p>
              </w:tc>
              <w:tc>
                <w:tcPr>
                  <w:tcW w:w="554" w:type="pct"/>
                  <w:tcMar>
                    <w:left w:w="0" w:type="dxa"/>
                    <w:right w:w="0" w:type="dxa"/>
                  </w:tcMar>
                  <w:vAlign w:val="center"/>
                </w:tcPr>
                <w:p>
                  <w:pPr>
                    <w:pStyle w:val="27"/>
                    <w:rPr>
                      <w:color w:val="auto"/>
                      <w:sz w:val="18"/>
                      <w:szCs w:val="18"/>
                    </w:rPr>
                  </w:pPr>
                  <w:r>
                    <w:rPr>
                      <w:color w:val="auto"/>
                      <w:sz w:val="18"/>
                      <w:szCs w:val="18"/>
                    </w:rPr>
                    <w:t>1.0</w:t>
                  </w:r>
                </w:p>
              </w:tc>
              <w:tc>
                <w:tcPr>
                  <w:tcW w:w="3123" w:type="pct"/>
                  <w:vMerge w:val="continue"/>
                  <w:tcMar>
                    <w:left w:w="0" w:type="dxa"/>
                    <w:right w:w="0" w:type="dxa"/>
                  </w:tcMar>
                  <w:vAlign w:val="center"/>
                </w:tcPr>
                <w:p>
                  <w:pPr>
                    <w:pStyle w:val="27"/>
                    <w:rPr>
                      <w:color w:val="auto"/>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12" w:hRule="atLeast"/>
                <w:jc w:val="center"/>
              </w:trPr>
              <w:tc>
                <w:tcPr>
                  <w:tcW w:w="904" w:type="pct"/>
                  <w:tcMar>
                    <w:left w:w="0" w:type="dxa"/>
                    <w:right w:w="0" w:type="dxa"/>
                  </w:tcMar>
                  <w:vAlign w:val="center"/>
                </w:tcPr>
                <w:p>
                  <w:pPr>
                    <w:pStyle w:val="27"/>
                    <w:rPr>
                      <w:color w:val="auto"/>
                      <w:sz w:val="18"/>
                      <w:szCs w:val="18"/>
                    </w:rPr>
                  </w:pPr>
                  <w:r>
                    <w:rPr>
                      <w:color w:val="auto"/>
                      <w:sz w:val="18"/>
                      <w:szCs w:val="18"/>
                    </w:rPr>
                    <w:t>石油类≤</w:t>
                  </w:r>
                </w:p>
              </w:tc>
              <w:tc>
                <w:tcPr>
                  <w:tcW w:w="416" w:type="pct"/>
                  <w:tcMar>
                    <w:left w:w="0" w:type="dxa"/>
                    <w:right w:w="0" w:type="dxa"/>
                  </w:tcMar>
                  <w:vAlign w:val="center"/>
                </w:tcPr>
                <w:p>
                  <w:pPr>
                    <w:pStyle w:val="27"/>
                    <w:rPr>
                      <w:color w:val="auto"/>
                      <w:sz w:val="18"/>
                      <w:szCs w:val="18"/>
                    </w:rPr>
                  </w:pPr>
                  <w:r>
                    <w:rPr>
                      <w:color w:val="auto"/>
                      <w:sz w:val="18"/>
                      <w:szCs w:val="18"/>
                    </w:rPr>
                    <w:t>mg/L</w:t>
                  </w:r>
                </w:p>
              </w:tc>
              <w:tc>
                <w:tcPr>
                  <w:tcW w:w="554" w:type="pct"/>
                  <w:tcMar>
                    <w:left w:w="0" w:type="dxa"/>
                    <w:right w:w="0" w:type="dxa"/>
                  </w:tcMar>
                  <w:vAlign w:val="center"/>
                </w:tcPr>
                <w:p>
                  <w:pPr>
                    <w:pStyle w:val="27"/>
                    <w:rPr>
                      <w:color w:val="auto"/>
                      <w:sz w:val="18"/>
                      <w:szCs w:val="18"/>
                    </w:rPr>
                  </w:pPr>
                  <w:r>
                    <w:rPr>
                      <w:color w:val="auto"/>
                      <w:sz w:val="18"/>
                      <w:szCs w:val="18"/>
                    </w:rPr>
                    <w:t>0.05</w:t>
                  </w:r>
                </w:p>
              </w:tc>
              <w:tc>
                <w:tcPr>
                  <w:tcW w:w="3123" w:type="pct"/>
                  <w:vMerge w:val="continue"/>
                  <w:tcMar>
                    <w:left w:w="0" w:type="dxa"/>
                    <w:right w:w="0" w:type="dxa"/>
                  </w:tcMar>
                  <w:vAlign w:val="center"/>
                </w:tcPr>
                <w:p>
                  <w:pPr>
                    <w:pStyle w:val="27"/>
                    <w:rPr>
                      <w:color w:val="auto"/>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12" w:hRule="atLeast"/>
                <w:jc w:val="center"/>
              </w:trPr>
              <w:tc>
                <w:tcPr>
                  <w:tcW w:w="904" w:type="pct"/>
                  <w:tcMar>
                    <w:left w:w="0" w:type="dxa"/>
                    <w:right w:w="0" w:type="dxa"/>
                  </w:tcMar>
                  <w:vAlign w:val="center"/>
                </w:tcPr>
                <w:p>
                  <w:pPr>
                    <w:pStyle w:val="27"/>
                    <w:rPr>
                      <w:color w:val="auto"/>
                      <w:sz w:val="18"/>
                      <w:szCs w:val="18"/>
                    </w:rPr>
                  </w:pPr>
                  <w:r>
                    <w:rPr>
                      <w:color w:val="auto"/>
                      <w:sz w:val="18"/>
                      <w:szCs w:val="18"/>
                    </w:rPr>
                    <w:t>氟化物≤</w:t>
                  </w:r>
                </w:p>
              </w:tc>
              <w:tc>
                <w:tcPr>
                  <w:tcW w:w="416" w:type="pct"/>
                  <w:tcMar>
                    <w:left w:w="0" w:type="dxa"/>
                    <w:right w:w="0" w:type="dxa"/>
                  </w:tcMar>
                  <w:vAlign w:val="center"/>
                </w:tcPr>
                <w:p>
                  <w:pPr>
                    <w:pStyle w:val="27"/>
                    <w:rPr>
                      <w:color w:val="auto"/>
                      <w:sz w:val="18"/>
                      <w:szCs w:val="18"/>
                    </w:rPr>
                  </w:pPr>
                  <w:r>
                    <w:rPr>
                      <w:color w:val="auto"/>
                      <w:sz w:val="18"/>
                      <w:szCs w:val="18"/>
                    </w:rPr>
                    <w:t>mg/L</w:t>
                  </w:r>
                </w:p>
              </w:tc>
              <w:tc>
                <w:tcPr>
                  <w:tcW w:w="554" w:type="pct"/>
                  <w:tcMar>
                    <w:left w:w="0" w:type="dxa"/>
                    <w:right w:w="0" w:type="dxa"/>
                  </w:tcMar>
                  <w:vAlign w:val="center"/>
                </w:tcPr>
                <w:p>
                  <w:pPr>
                    <w:pStyle w:val="27"/>
                    <w:rPr>
                      <w:color w:val="auto"/>
                      <w:sz w:val="18"/>
                      <w:szCs w:val="18"/>
                    </w:rPr>
                  </w:pPr>
                  <w:r>
                    <w:rPr>
                      <w:color w:val="auto"/>
                      <w:sz w:val="18"/>
                      <w:szCs w:val="18"/>
                    </w:rPr>
                    <w:t>1.0</w:t>
                  </w:r>
                </w:p>
              </w:tc>
              <w:tc>
                <w:tcPr>
                  <w:tcW w:w="3123" w:type="pct"/>
                  <w:vMerge w:val="continue"/>
                  <w:tcMar>
                    <w:left w:w="0" w:type="dxa"/>
                    <w:right w:w="0" w:type="dxa"/>
                  </w:tcMar>
                  <w:vAlign w:val="center"/>
                </w:tcPr>
                <w:p>
                  <w:pPr>
                    <w:pStyle w:val="27"/>
                    <w:rPr>
                      <w:color w:val="auto"/>
                      <w:sz w:val="18"/>
                      <w:szCs w:val="18"/>
                    </w:rPr>
                  </w:pPr>
                </w:p>
              </w:tc>
            </w:tr>
          </w:tbl>
          <w:p>
            <w:pPr>
              <w:pStyle w:val="24"/>
              <w:spacing w:line="360" w:lineRule="auto"/>
              <w:ind w:firstLine="420"/>
              <w:rPr>
                <w:color w:val="auto"/>
                <w:sz w:val="21"/>
                <w:szCs w:val="21"/>
              </w:rPr>
            </w:pPr>
            <w:r>
              <w:rPr>
                <w:rFonts w:hint="eastAsia"/>
                <w:color w:val="auto"/>
                <w:sz w:val="21"/>
                <w:szCs w:val="21"/>
              </w:rPr>
              <w:t>（2）水环境质量现状</w:t>
            </w:r>
          </w:p>
          <w:p>
            <w:pPr>
              <w:pStyle w:val="24"/>
              <w:spacing w:line="360" w:lineRule="auto"/>
              <w:ind w:firstLine="420"/>
              <w:rPr>
                <w:color w:val="auto"/>
                <w:sz w:val="21"/>
                <w:szCs w:val="21"/>
              </w:rPr>
            </w:pPr>
            <w:r>
              <w:rPr>
                <w:rFonts w:hint="default" w:ascii="Times New Roman" w:hAnsi="Times New Roman" w:cs="Times New Roman"/>
                <w:color w:val="auto"/>
                <w:sz w:val="21"/>
                <w:szCs w:val="21"/>
              </w:rPr>
              <w:t>查找收集了</w:t>
            </w:r>
            <w:r>
              <w:rPr>
                <w:rFonts w:hint="eastAsia" w:ascii="Times New Roman" w:hAnsi="Times New Roman" w:cs="Times New Roman"/>
                <w:color w:val="auto"/>
                <w:sz w:val="21"/>
                <w:szCs w:val="21"/>
                <w:lang w:val="en-US" w:eastAsia="zh-CN"/>
              </w:rPr>
              <w:t>渔塘溪</w:t>
            </w:r>
            <w:r>
              <w:rPr>
                <w:rFonts w:hint="default" w:ascii="Times New Roman" w:hAnsi="Times New Roman" w:cs="Times New Roman"/>
                <w:color w:val="auto"/>
                <w:sz w:val="21"/>
                <w:szCs w:val="21"/>
              </w:rPr>
              <w:t>相关断面水质数据，结果显示</w:t>
            </w:r>
            <w:r>
              <w:rPr>
                <w:rFonts w:hint="eastAsia" w:ascii="Times New Roman" w:hAnsi="Times New Roman" w:cs="Times New Roman"/>
                <w:color w:val="auto"/>
                <w:sz w:val="21"/>
                <w:szCs w:val="21"/>
                <w:lang w:val="en-US" w:eastAsia="zh-CN"/>
              </w:rPr>
              <w:t>渔塘溪瀚仙省</w:t>
            </w:r>
            <w:r>
              <w:rPr>
                <w:rFonts w:hint="default" w:ascii="Times New Roman" w:hAnsi="Times New Roman" w:cs="Times New Roman"/>
                <w:color w:val="auto"/>
                <w:sz w:val="21"/>
                <w:szCs w:val="21"/>
              </w:rPr>
              <w:t>控断面在2025年</w:t>
            </w:r>
            <w:r>
              <w:rPr>
                <w:rFonts w:hint="eastAsia" w:ascii="Times New Roman" w:hAnsi="Times New Roman" w:cs="Times New Roman"/>
                <w:color w:val="auto"/>
                <w:sz w:val="21"/>
                <w:szCs w:val="21"/>
                <w:lang w:val="en-US" w:eastAsia="zh-CN"/>
              </w:rPr>
              <w:t>11</w:t>
            </w:r>
            <w:r>
              <w:rPr>
                <w:rFonts w:hint="default" w:ascii="Times New Roman" w:hAnsi="Times New Roman" w:cs="Times New Roman"/>
                <w:color w:val="auto"/>
                <w:sz w:val="21"/>
                <w:szCs w:val="21"/>
              </w:rPr>
              <w:t>月</w:t>
            </w:r>
            <w:r>
              <w:rPr>
                <w:rFonts w:hint="eastAsia" w:ascii="Times New Roman" w:hAnsi="Times New Roman" w:cs="Times New Roman"/>
                <w:color w:val="auto"/>
                <w:sz w:val="21"/>
                <w:szCs w:val="21"/>
                <w:lang w:val="en-US" w:eastAsia="zh-CN"/>
              </w:rPr>
              <w:t>4</w:t>
            </w:r>
            <w:r>
              <w:rPr>
                <w:rFonts w:hint="default" w:ascii="Times New Roman" w:hAnsi="Times New Roman" w:cs="Times New Roman"/>
                <w:color w:val="auto"/>
                <w:sz w:val="21"/>
                <w:szCs w:val="21"/>
              </w:rPr>
              <w:t>号的水质类别为Ⅱ类水质，因此，地表水环境现状符合《地表水环境质量标准》(GB3838-2002)</w:t>
            </w:r>
            <w:r>
              <w:rPr>
                <w:color w:val="auto"/>
                <w:sz w:val="21"/>
                <w:szCs w:val="21"/>
              </w:rPr>
              <w:t>Ⅲ</w:t>
            </w:r>
            <w:r>
              <w:rPr>
                <w:rFonts w:hint="default" w:ascii="Times New Roman" w:hAnsi="Times New Roman" w:cs="Times New Roman"/>
                <w:color w:val="auto"/>
                <w:sz w:val="21"/>
                <w:szCs w:val="21"/>
              </w:rPr>
              <w:t>类及以上水质标准。</w:t>
            </w:r>
          </w:p>
          <w:p>
            <w:pPr>
              <w:widowControl/>
              <w:spacing w:line="360" w:lineRule="auto"/>
              <w:jc w:val="left"/>
              <w:rPr>
                <w:b/>
                <w:bCs/>
                <w:color w:val="auto"/>
              </w:rPr>
            </w:pPr>
            <w:r>
              <w:rPr>
                <w:b/>
                <w:bCs/>
                <w:color w:val="auto"/>
              </w:rPr>
              <w:t>3.3</w:t>
            </w:r>
            <w:r>
              <w:rPr>
                <w:rFonts w:hint="eastAsia"/>
                <w:b/>
                <w:bCs/>
                <w:color w:val="auto"/>
              </w:rPr>
              <w:t>声环境</w:t>
            </w:r>
          </w:p>
          <w:p>
            <w:pPr>
              <w:pStyle w:val="24"/>
              <w:spacing w:line="360" w:lineRule="auto"/>
              <w:ind w:firstLine="420"/>
              <w:rPr>
                <w:color w:val="auto"/>
                <w:sz w:val="21"/>
                <w:szCs w:val="21"/>
              </w:rPr>
            </w:pPr>
            <w:r>
              <w:rPr>
                <w:rFonts w:hint="eastAsia"/>
                <w:color w:val="auto"/>
                <w:sz w:val="21"/>
                <w:szCs w:val="21"/>
              </w:rPr>
              <w:t>（1）声环境质量标准</w:t>
            </w:r>
          </w:p>
          <w:p>
            <w:pPr>
              <w:pStyle w:val="24"/>
              <w:spacing w:line="360" w:lineRule="auto"/>
              <w:ind w:firstLine="420"/>
              <w:rPr>
                <w:color w:val="auto"/>
                <w:sz w:val="21"/>
                <w:szCs w:val="21"/>
              </w:rPr>
            </w:pPr>
            <w:r>
              <w:rPr>
                <w:rFonts w:hint="eastAsia"/>
                <w:color w:val="auto"/>
                <w:sz w:val="21"/>
                <w:szCs w:val="21"/>
              </w:rPr>
              <w:t>项目所在区域为工业区，噪声功能区划属3类区，声环境质量执行GB3096-2008《声环境质量标准》中的3类区标准，项目厂界外周边50m范围内不存在声环境保护目标。</w:t>
            </w:r>
          </w:p>
          <w:p>
            <w:pPr>
              <w:spacing w:before="194" w:beforeLines="50"/>
              <w:jc w:val="center"/>
              <w:outlineLvl w:val="5"/>
              <w:rPr>
                <w:rFonts w:hint="default" w:eastAsia="宋体" w:cs="Times New Roman"/>
                <w:b/>
                <w:color w:val="auto"/>
                <w:spacing w:val="0"/>
                <w:sz w:val="21"/>
                <w:szCs w:val="21"/>
                <w:lang w:val="en-US" w:eastAsia="zh-CN"/>
              </w:rPr>
            </w:pPr>
            <w:r>
              <w:rPr>
                <w:rFonts w:hint="default" w:eastAsia="宋体" w:cs="Times New Roman"/>
                <w:b/>
                <w:color w:val="auto"/>
                <w:spacing w:val="0"/>
                <w:sz w:val="21"/>
                <w:szCs w:val="21"/>
                <w:lang w:val="en-US" w:eastAsia="zh-CN"/>
              </w:rPr>
              <w:t>表3-</w:t>
            </w:r>
            <w:r>
              <w:rPr>
                <w:rFonts w:hint="eastAsia" w:cs="Times New Roman"/>
                <w:b/>
                <w:color w:val="auto"/>
                <w:spacing w:val="0"/>
                <w:sz w:val="21"/>
                <w:szCs w:val="21"/>
                <w:lang w:val="en-US" w:eastAsia="zh-CN"/>
              </w:rPr>
              <w:t>5</w:t>
            </w:r>
            <w:r>
              <w:rPr>
                <w:rFonts w:hint="default" w:eastAsia="宋体" w:cs="Times New Roman"/>
                <w:b/>
                <w:color w:val="auto"/>
                <w:spacing w:val="0"/>
                <w:sz w:val="21"/>
                <w:szCs w:val="21"/>
                <w:lang w:val="en-US" w:eastAsia="zh-CN"/>
              </w:rPr>
              <w:t>声</w:t>
            </w:r>
            <w:r>
              <w:rPr>
                <w:rFonts w:hint="eastAsia" w:eastAsia="宋体" w:cs="Times New Roman"/>
                <w:b/>
                <w:color w:val="auto"/>
                <w:spacing w:val="0"/>
                <w:sz w:val="21"/>
                <w:szCs w:val="21"/>
                <w:lang w:val="en-US" w:eastAsia="zh-CN"/>
              </w:rPr>
              <w:t>环境质量执行标准</w:t>
            </w:r>
          </w:p>
          <w:tbl>
            <w:tblPr>
              <w:tblStyle w:val="19"/>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11"/>
              <w:gridCol w:w="1311"/>
              <w:gridCol w:w="2621"/>
              <w:gridCol w:w="262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666" w:type="pct"/>
                  <w:gridSpan w:val="2"/>
                  <w:tcBorders>
                    <w:top w:val="single" w:color="auto" w:sz="4" w:space="0"/>
                    <w:left w:val="single" w:color="auto" w:sz="4" w:space="0"/>
                  </w:tcBorders>
                </w:tcPr>
                <w:p>
                  <w:pPr>
                    <w:pStyle w:val="40"/>
                    <w:ind w:firstLine="0" w:firstLineChars="0"/>
                    <w:jc w:val="center"/>
                    <w:rPr>
                      <w:rFonts w:eastAsia="宋体" w:cs="Times New Roman"/>
                      <w:b/>
                      <w:bCs/>
                      <w:color w:val="auto"/>
                      <w:sz w:val="18"/>
                      <w:szCs w:val="18"/>
                    </w:rPr>
                  </w:pPr>
                  <w:r>
                    <w:rPr>
                      <w:rFonts w:eastAsia="宋体" w:cs="Times New Roman"/>
                      <w:b/>
                      <w:bCs/>
                      <w:color w:val="auto"/>
                      <w:sz w:val="18"/>
                      <w:szCs w:val="18"/>
                    </w:rPr>
                    <w:t>类别</w:t>
                  </w:r>
                </w:p>
              </w:tc>
              <w:tc>
                <w:tcPr>
                  <w:tcW w:w="1666" w:type="pct"/>
                  <w:tcBorders>
                    <w:top w:val="single" w:color="auto" w:sz="4" w:space="0"/>
                  </w:tcBorders>
                </w:tcPr>
                <w:p>
                  <w:pPr>
                    <w:pStyle w:val="40"/>
                    <w:ind w:firstLine="0" w:firstLineChars="0"/>
                    <w:jc w:val="center"/>
                    <w:rPr>
                      <w:rFonts w:eastAsia="宋体" w:cs="Times New Roman"/>
                      <w:b/>
                      <w:bCs/>
                      <w:color w:val="auto"/>
                      <w:sz w:val="18"/>
                      <w:szCs w:val="18"/>
                    </w:rPr>
                  </w:pPr>
                  <w:r>
                    <w:rPr>
                      <w:rFonts w:eastAsia="宋体" w:cs="Times New Roman"/>
                      <w:b/>
                      <w:bCs/>
                      <w:color w:val="auto"/>
                      <w:sz w:val="18"/>
                      <w:szCs w:val="18"/>
                    </w:rPr>
                    <w:t>昼间dB（A）</w:t>
                  </w:r>
                </w:p>
              </w:tc>
              <w:tc>
                <w:tcPr>
                  <w:tcW w:w="1666" w:type="pct"/>
                  <w:tcBorders>
                    <w:top w:val="single" w:color="auto" w:sz="4" w:space="0"/>
                    <w:right w:val="single" w:color="auto" w:sz="4" w:space="0"/>
                  </w:tcBorders>
                </w:tcPr>
                <w:p>
                  <w:pPr>
                    <w:pStyle w:val="40"/>
                    <w:ind w:firstLine="0" w:firstLineChars="0"/>
                    <w:jc w:val="center"/>
                    <w:rPr>
                      <w:rFonts w:eastAsia="宋体" w:cs="Times New Roman"/>
                      <w:b/>
                      <w:bCs/>
                      <w:color w:val="auto"/>
                      <w:sz w:val="18"/>
                      <w:szCs w:val="18"/>
                    </w:rPr>
                  </w:pPr>
                  <w:r>
                    <w:rPr>
                      <w:rFonts w:eastAsia="宋体" w:cs="Times New Roman"/>
                      <w:b/>
                      <w:bCs/>
                      <w:color w:val="auto"/>
                      <w:sz w:val="18"/>
                      <w:szCs w:val="18"/>
                    </w:rPr>
                    <w:t>夜间dB（A）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666" w:type="pct"/>
                  <w:gridSpan w:val="2"/>
                  <w:tcBorders>
                    <w:left w:val="single" w:color="auto" w:sz="4" w:space="0"/>
                  </w:tcBorders>
                </w:tcPr>
                <w:p>
                  <w:pPr>
                    <w:pStyle w:val="40"/>
                    <w:ind w:firstLine="0" w:firstLineChars="0"/>
                    <w:jc w:val="center"/>
                    <w:rPr>
                      <w:rFonts w:eastAsia="宋体" w:cs="Times New Roman"/>
                      <w:color w:val="auto"/>
                      <w:sz w:val="18"/>
                      <w:szCs w:val="18"/>
                    </w:rPr>
                  </w:pPr>
                  <w:r>
                    <w:rPr>
                      <w:rFonts w:eastAsia="宋体" w:cs="Times New Roman"/>
                      <w:color w:val="auto"/>
                      <w:sz w:val="18"/>
                      <w:szCs w:val="18"/>
                    </w:rPr>
                    <w:t>0类</w:t>
                  </w:r>
                </w:p>
              </w:tc>
              <w:tc>
                <w:tcPr>
                  <w:tcW w:w="1666" w:type="pct"/>
                </w:tcPr>
                <w:p>
                  <w:pPr>
                    <w:pStyle w:val="40"/>
                    <w:ind w:firstLine="0" w:firstLineChars="0"/>
                    <w:jc w:val="center"/>
                    <w:rPr>
                      <w:rFonts w:eastAsia="宋体" w:cs="Times New Roman"/>
                      <w:color w:val="auto"/>
                      <w:sz w:val="18"/>
                      <w:szCs w:val="18"/>
                    </w:rPr>
                  </w:pPr>
                  <w:r>
                    <w:rPr>
                      <w:rFonts w:eastAsia="宋体" w:cs="Times New Roman"/>
                      <w:color w:val="auto"/>
                      <w:sz w:val="18"/>
                      <w:szCs w:val="18"/>
                    </w:rPr>
                    <w:t>50</w:t>
                  </w:r>
                </w:p>
              </w:tc>
              <w:tc>
                <w:tcPr>
                  <w:tcW w:w="1666" w:type="pct"/>
                  <w:tcBorders>
                    <w:right w:val="single" w:color="auto" w:sz="4" w:space="0"/>
                  </w:tcBorders>
                </w:tcPr>
                <w:p>
                  <w:pPr>
                    <w:pStyle w:val="40"/>
                    <w:ind w:firstLine="0" w:firstLineChars="0"/>
                    <w:jc w:val="center"/>
                    <w:rPr>
                      <w:rFonts w:eastAsia="宋体" w:cs="Times New Roman"/>
                      <w:color w:val="auto"/>
                      <w:sz w:val="18"/>
                      <w:szCs w:val="18"/>
                    </w:rPr>
                  </w:pPr>
                  <w:r>
                    <w:rPr>
                      <w:rFonts w:eastAsia="宋体" w:cs="Times New Roman"/>
                      <w:color w:val="auto"/>
                      <w:sz w:val="18"/>
                      <w:szCs w:val="18"/>
                    </w:rPr>
                    <w:t>40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666" w:type="pct"/>
                  <w:gridSpan w:val="2"/>
                  <w:tcBorders>
                    <w:left w:val="single" w:color="auto" w:sz="4" w:space="0"/>
                  </w:tcBorders>
                </w:tcPr>
                <w:p>
                  <w:pPr>
                    <w:pStyle w:val="40"/>
                    <w:ind w:firstLine="0" w:firstLineChars="0"/>
                    <w:jc w:val="center"/>
                    <w:rPr>
                      <w:rFonts w:eastAsia="宋体" w:cs="Times New Roman"/>
                      <w:color w:val="auto"/>
                      <w:sz w:val="18"/>
                      <w:szCs w:val="18"/>
                    </w:rPr>
                  </w:pPr>
                  <w:r>
                    <w:rPr>
                      <w:rFonts w:eastAsia="宋体" w:cs="Times New Roman"/>
                      <w:color w:val="auto"/>
                      <w:sz w:val="18"/>
                      <w:szCs w:val="18"/>
                    </w:rPr>
                    <w:t>1类</w:t>
                  </w:r>
                </w:p>
              </w:tc>
              <w:tc>
                <w:tcPr>
                  <w:tcW w:w="1666" w:type="pct"/>
                </w:tcPr>
                <w:p>
                  <w:pPr>
                    <w:pStyle w:val="40"/>
                    <w:ind w:firstLine="0" w:firstLineChars="0"/>
                    <w:jc w:val="center"/>
                    <w:rPr>
                      <w:rFonts w:eastAsia="宋体" w:cs="Times New Roman"/>
                      <w:color w:val="auto"/>
                      <w:sz w:val="18"/>
                      <w:szCs w:val="18"/>
                    </w:rPr>
                  </w:pPr>
                  <w:r>
                    <w:rPr>
                      <w:rFonts w:eastAsia="宋体" w:cs="Times New Roman"/>
                      <w:color w:val="auto"/>
                      <w:sz w:val="18"/>
                      <w:szCs w:val="18"/>
                    </w:rPr>
                    <w:t>55</w:t>
                  </w:r>
                </w:p>
              </w:tc>
              <w:tc>
                <w:tcPr>
                  <w:tcW w:w="1666" w:type="pct"/>
                  <w:tcBorders>
                    <w:right w:val="single" w:color="auto" w:sz="4" w:space="0"/>
                  </w:tcBorders>
                </w:tcPr>
                <w:p>
                  <w:pPr>
                    <w:pStyle w:val="40"/>
                    <w:ind w:firstLine="0" w:firstLineChars="0"/>
                    <w:jc w:val="center"/>
                    <w:rPr>
                      <w:rFonts w:eastAsia="宋体" w:cs="Times New Roman"/>
                      <w:color w:val="auto"/>
                      <w:sz w:val="18"/>
                      <w:szCs w:val="18"/>
                    </w:rPr>
                  </w:pPr>
                  <w:r>
                    <w:rPr>
                      <w:rFonts w:eastAsia="宋体" w:cs="Times New Roman"/>
                      <w:color w:val="auto"/>
                      <w:sz w:val="18"/>
                      <w:szCs w:val="18"/>
                    </w:rPr>
                    <w:t>45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666" w:type="pct"/>
                  <w:gridSpan w:val="2"/>
                  <w:tcBorders>
                    <w:left w:val="single" w:color="auto" w:sz="4" w:space="0"/>
                  </w:tcBorders>
                </w:tcPr>
                <w:p>
                  <w:pPr>
                    <w:pStyle w:val="40"/>
                    <w:ind w:firstLine="0" w:firstLineChars="0"/>
                    <w:jc w:val="center"/>
                    <w:rPr>
                      <w:rFonts w:eastAsia="宋体" w:cs="Times New Roman"/>
                      <w:color w:val="auto"/>
                      <w:sz w:val="18"/>
                      <w:szCs w:val="18"/>
                    </w:rPr>
                  </w:pPr>
                  <w:r>
                    <w:rPr>
                      <w:rFonts w:eastAsia="宋体" w:cs="Times New Roman"/>
                      <w:color w:val="auto"/>
                      <w:sz w:val="18"/>
                      <w:szCs w:val="18"/>
                    </w:rPr>
                    <w:t>2类</w:t>
                  </w:r>
                </w:p>
              </w:tc>
              <w:tc>
                <w:tcPr>
                  <w:tcW w:w="1666" w:type="pct"/>
                </w:tcPr>
                <w:p>
                  <w:pPr>
                    <w:pStyle w:val="40"/>
                    <w:ind w:firstLine="0" w:firstLineChars="0"/>
                    <w:jc w:val="center"/>
                    <w:rPr>
                      <w:rFonts w:eastAsia="宋体" w:cs="Times New Roman"/>
                      <w:color w:val="auto"/>
                      <w:sz w:val="18"/>
                      <w:szCs w:val="18"/>
                    </w:rPr>
                  </w:pPr>
                  <w:r>
                    <w:rPr>
                      <w:rFonts w:eastAsia="宋体" w:cs="Times New Roman"/>
                      <w:color w:val="auto"/>
                      <w:sz w:val="18"/>
                      <w:szCs w:val="18"/>
                    </w:rPr>
                    <w:t>60</w:t>
                  </w:r>
                </w:p>
              </w:tc>
              <w:tc>
                <w:tcPr>
                  <w:tcW w:w="1666" w:type="pct"/>
                  <w:tcBorders>
                    <w:right w:val="single" w:color="auto" w:sz="4" w:space="0"/>
                  </w:tcBorders>
                </w:tcPr>
                <w:p>
                  <w:pPr>
                    <w:pStyle w:val="40"/>
                    <w:ind w:firstLine="0" w:firstLineChars="0"/>
                    <w:jc w:val="center"/>
                    <w:rPr>
                      <w:rFonts w:eastAsia="宋体" w:cs="Times New Roman"/>
                      <w:color w:val="auto"/>
                      <w:sz w:val="18"/>
                      <w:szCs w:val="18"/>
                    </w:rPr>
                  </w:pPr>
                  <w:r>
                    <w:rPr>
                      <w:rFonts w:eastAsia="宋体" w:cs="Times New Roman"/>
                      <w:color w:val="auto"/>
                      <w:sz w:val="18"/>
                      <w:szCs w:val="18"/>
                    </w:rPr>
                    <w:t>50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666" w:type="pct"/>
                  <w:gridSpan w:val="2"/>
                  <w:tcBorders>
                    <w:left w:val="single" w:color="auto" w:sz="4" w:space="0"/>
                  </w:tcBorders>
                  <w:shd w:val="clear" w:color="auto" w:fill="A4A4A4" w:themeFill="background1" w:themeFillShade="A5"/>
                </w:tcPr>
                <w:p>
                  <w:pPr>
                    <w:pStyle w:val="40"/>
                    <w:ind w:firstLine="0" w:firstLineChars="0"/>
                    <w:jc w:val="center"/>
                    <w:rPr>
                      <w:rFonts w:eastAsia="宋体" w:cs="Times New Roman"/>
                      <w:b/>
                      <w:bCs/>
                      <w:color w:val="auto"/>
                      <w:sz w:val="18"/>
                      <w:szCs w:val="18"/>
                    </w:rPr>
                  </w:pPr>
                  <w:r>
                    <w:rPr>
                      <w:rFonts w:eastAsia="宋体" w:cs="Times New Roman"/>
                      <w:b/>
                      <w:bCs/>
                      <w:color w:val="auto"/>
                      <w:sz w:val="18"/>
                      <w:szCs w:val="18"/>
                    </w:rPr>
                    <w:t>3类</w:t>
                  </w:r>
                </w:p>
              </w:tc>
              <w:tc>
                <w:tcPr>
                  <w:tcW w:w="1666" w:type="pct"/>
                  <w:shd w:val="clear" w:color="auto" w:fill="A4A4A4" w:themeFill="background1" w:themeFillShade="A5"/>
                </w:tcPr>
                <w:p>
                  <w:pPr>
                    <w:pStyle w:val="40"/>
                    <w:ind w:firstLine="0" w:firstLineChars="0"/>
                    <w:jc w:val="center"/>
                    <w:rPr>
                      <w:rFonts w:eastAsia="宋体" w:cs="Times New Roman"/>
                      <w:b/>
                      <w:bCs/>
                      <w:color w:val="auto"/>
                      <w:sz w:val="18"/>
                      <w:szCs w:val="18"/>
                    </w:rPr>
                  </w:pPr>
                  <w:r>
                    <w:rPr>
                      <w:rFonts w:eastAsia="宋体" w:cs="Times New Roman"/>
                      <w:b/>
                      <w:bCs/>
                      <w:color w:val="auto"/>
                      <w:sz w:val="18"/>
                      <w:szCs w:val="18"/>
                    </w:rPr>
                    <w:t>65</w:t>
                  </w:r>
                </w:p>
              </w:tc>
              <w:tc>
                <w:tcPr>
                  <w:tcW w:w="1666" w:type="pct"/>
                  <w:tcBorders>
                    <w:right w:val="single" w:color="auto" w:sz="4" w:space="0"/>
                  </w:tcBorders>
                  <w:shd w:val="clear" w:color="auto" w:fill="A4A4A4" w:themeFill="background1" w:themeFillShade="A5"/>
                </w:tcPr>
                <w:p>
                  <w:pPr>
                    <w:pStyle w:val="40"/>
                    <w:ind w:firstLine="0" w:firstLineChars="0"/>
                    <w:jc w:val="center"/>
                    <w:rPr>
                      <w:rFonts w:eastAsia="宋体" w:cs="Times New Roman"/>
                      <w:b/>
                      <w:bCs/>
                      <w:color w:val="auto"/>
                      <w:sz w:val="18"/>
                      <w:szCs w:val="18"/>
                    </w:rPr>
                  </w:pPr>
                  <w:r>
                    <w:rPr>
                      <w:rFonts w:eastAsia="宋体" w:cs="Times New Roman"/>
                      <w:b/>
                      <w:bCs/>
                      <w:color w:val="auto"/>
                      <w:sz w:val="18"/>
                      <w:szCs w:val="18"/>
                    </w:rPr>
                    <w:t>55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33" w:type="pct"/>
                  <w:vMerge w:val="restart"/>
                  <w:tcBorders>
                    <w:left w:val="single" w:color="auto" w:sz="4" w:space="0"/>
                  </w:tcBorders>
                  <w:vAlign w:val="center"/>
                </w:tcPr>
                <w:p>
                  <w:pPr>
                    <w:pStyle w:val="40"/>
                    <w:ind w:firstLine="0" w:firstLineChars="0"/>
                    <w:jc w:val="center"/>
                    <w:rPr>
                      <w:rFonts w:eastAsia="宋体" w:cs="Times New Roman"/>
                      <w:color w:val="auto"/>
                      <w:sz w:val="18"/>
                      <w:szCs w:val="18"/>
                    </w:rPr>
                  </w:pPr>
                  <w:r>
                    <w:rPr>
                      <w:rFonts w:eastAsia="宋体" w:cs="Times New Roman"/>
                      <w:color w:val="auto"/>
                      <w:sz w:val="18"/>
                      <w:szCs w:val="18"/>
                    </w:rPr>
                    <w:t>4类</w:t>
                  </w:r>
                </w:p>
              </w:tc>
              <w:tc>
                <w:tcPr>
                  <w:tcW w:w="833" w:type="pct"/>
                </w:tcPr>
                <w:p>
                  <w:pPr>
                    <w:pStyle w:val="40"/>
                    <w:ind w:firstLine="0" w:firstLineChars="0"/>
                    <w:jc w:val="center"/>
                    <w:rPr>
                      <w:rFonts w:eastAsia="宋体" w:cs="Times New Roman"/>
                      <w:color w:val="auto"/>
                      <w:sz w:val="18"/>
                      <w:szCs w:val="18"/>
                    </w:rPr>
                  </w:pPr>
                  <w:r>
                    <w:rPr>
                      <w:rFonts w:eastAsia="宋体" w:cs="Times New Roman"/>
                      <w:color w:val="auto"/>
                      <w:sz w:val="18"/>
                      <w:szCs w:val="18"/>
                    </w:rPr>
                    <w:t>4a类</w:t>
                  </w:r>
                </w:p>
              </w:tc>
              <w:tc>
                <w:tcPr>
                  <w:tcW w:w="1666" w:type="pct"/>
                </w:tcPr>
                <w:p>
                  <w:pPr>
                    <w:pStyle w:val="40"/>
                    <w:ind w:firstLine="0" w:firstLineChars="0"/>
                    <w:jc w:val="center"/>
                    <w:rPr>
                      <w:rFonts w:eastAsia="宋体" w:cs="Times New Roman"/>
                      <w:color w:val="auto"/>
                      <w:sz w:val="18"/>
                      <w:szCs w:val="18"/>
                    </w:rPr>
                  </w:pPr>
                  <w:r>
                    <w:rPr>
                      <w:rFonts w:eastAsia="宋体" w:cs="Times New Roman"/>
                      <w:color w:val="auto"/>
                      <w:sz w:val="18"/>
                      <w:szCs w:val="18"/>
                    </w:rPr>
                    <w:t>70</w:t>
                  </w:r>
                </w:p>
              </w:tc>
              <w:tc>
                <w:tcPr>
                  <w:tcW w:w="1666" w:type="pct"/>
                  <w:tcBorders>
                    <w:right w:val="single" w:color="auto" w:sz="4" w:space="0"/>
                  </w:tcBorders>
                </w:tcPr>
                <w:p>
                  <w:pPr>
                    <w:pStyle w:val="40"/>
                    <w:ind w:firstLine="0" w:firstLineChars="0"/>
                    <w:jc w:val="center"/>
                    <w:rPr>
                      <w:rFonts w:eastAsia="宋体" w:cs="Times New Roman"/>
                      <w:color w:val="auto"/>
                      <w:sz w:val="18"/>
                      <w:szCs w:val="18"/>
                    </w:rPr>
                  </w:pPr>
                  <w:r>
                    <w:rPr>
                      <w:rFonts w:eastAsia="宋体" w:cs="Times New Roman"/>
                      <w:color w:val="auto"/>
                      <w:sz w:val="18"/>
                      <w:szCs w:val="18"/>
                    </w:rPr>
                    <w:t>55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33" w:type="pct"/>
                  <w:vMerge w:val="continue"/>
                  <w:tcBorders>
                    <w:left w:val="single" w:color="auto" w:sz="4" w:space="0"/>
                    <w:bottom w:val="single" w:color="auto" w:sz="4" w:space="0"/>
                  </w:tcBorders>
                </w:tcPr>
                <w:p>
                  <w:pPr>
                    <w:pStyle w:val="40"/>
                    <w:ind w:firstLine="0" w:firstLineChars="0"/>
                    <w:jc w:val="center"/>
                    <w:rPr>
                      <w:rFonts w:eastAsia="宋体" w:cs="Times New Roman"/>
                      <w:color w:val="auto"/>
                      <w:sz w:val="18"/>
                      <w:szCs w:val="18"/>
                    </w:rPr>
                  </w:pPr>
                </w:p>
              </w:tc>
              <w:tc>
                <w:tcPr>
                  <w:tcW w:w="833" w:type="pct"/>
                  <w:tcBorders>
                    <w:bottom w:val="single" w:color="auto" w:sz="4" w:space="0"/>
                  </w:tcBorders>
                </w:tcPr>
                <w:p>
                  <w:pPr>
                    <w:pStyle w:val="40"/>
                    <w:ind w:firstLine="0" w:firstLineChars="0"/>
                    <w:jc w:val="center"/>
                    <w:rPr>
                      <w:rFonts w:eastAsia="宋体" w:cs="Times New Roman"/>
                      <w:color w:val="auto"/>
                      <w:sz w:val="18"/>
                      <w:szCs w:val="18"/>
                    </w:rPr>
                  </w:pPr>
                  <w:r>
                    <w:rPr>
                      <w:rFonts w:eastAsia="宋体" w:cs="Times New Roman"/>
                      <w:color w:val="auto"/>
                      <w:sz w:val="18"/>
                      <w:szCs w:val="18"/>
                    </w:rPr>
                    <w:t>4b类</w:t>
                  </w:r>
                </w:p>
              </w:tc>
              <w:tc>
                <w:tcPr>
                  <w:tcW w:w="1666" w:type="pct"/>
                  <w:tcBorders>
                    <w:bottom w:val="single" w:color="auto" w:sz="4" w:space="0"/>
                  </w:tcBorders>
                </w:tcPr>
                <w:p>
                  <w:pPr>
                    <w:pStyle w:val="40"/>
                    <w:ind w:firstLine="0" w:firstLineChars="0"/>
                    <w:jc w:val="center"/>
                    <w:rPr>
                      <w:rFonts w:eastAsia="宋体" w:cs="Times New Roman"/>
                      <w:color w:val="auto"/>
                      <w:sz w:val="18"/>
                      <w:szCs w:val="18"/>
                    </w:rPr>
                  </w:pPr>
                  <w:r>
                    <w:rPr>
                      <w:rFonts w:eastAsia="宋体" w:cs="Times New Roman"/>
                      <w:color w:val="auto"/>
                      <w:sz w:val="18"/>
                      <w:szCs w:val="18"/>
                    </w:rPr>
                    <w:t>70</w:t>
                  </w:r>
                </w:p>
              </w:tc>
              <w:tc>
                <w:tcPr>
                  <w:tcW w:w="1666" w:type="pct"/>
                  <w:tcBorders>
                    <w:bottom w:val="single" w:color="auto" w:sz="4" w:space="0"/>
                    <w:right w:val="single" w:color="auto" w:sz="4" w:space="0"/>
                  </w:tcBorders>
                </w:tcPr>
                <w:p>
                  <w:pPr>
                    <w:pStyle w:val="40"/>
                    <w:ind w:firstLine="0" w:firstLineChars="0"/>
                    <w:jc w:val="center"/>
                    <w:rPr>
                      <w:rFonts w:eastAsia="宋体" w:cs="Times New Roman"/>
                      <w:color w:val="auto"/>
                      <w:sz w:val="18"/>
                      <w:szCs w:val="18"/>
                    </w:rPr>
                  </w:pPr>
                  <w:r>
                    <w:rPr>
                      <w:rFonts w:eastAsia="宋体" w:cs="Times New Roman"/>
                      <w:color w:val="auto"/>
                      <w:sz w:val="18"/>
                      <w:szCs w:val="18"/>
                    </w:rPr>
                    <w:t>60</w:t>
                  </w:r>
                </w:p>
              </w:tc>
            </w:tr>
          </w:tbl>
          <w:p>
            <w:pPr>
              <w:pStyle w:val="24"/>
              <w:ind w:firstLine="420"/>
              <w:rPr>
                <w:color w:val="auto"/>
                <w:sz w:val="21"/>
                <w:szCs w:val="21"/>
              </w:rPr>
            </w:pPr>
            <w:r>
              <w:rPr>
                <w:rFonts w:hint="eastAsia"/>
                <w:color w:val="auto"/>
                <w:sz w:val="21"/>
                <w:szCs w:val="21"/>
              </w:rPr>
              <w:t>（2）声环境质量标准</w:t>
            </w:r>
          </w:p>
          <w:p>
            <w:pPr>
              <w:pStyle w:val="24"/>
              <w:spacing w:line="360" w:lineRule="auto"/>
              <w:ind w:firstLine="420"/>
              <w:rPr>
                <w:rFonts w:hint="eastAsia"/>
                <w:color w:val="auto"/>
                <w:sz w:val="21"/>
                <w:szCs w:val="21"/>
                <w:highlight w:val="none"/>
              </w:rPr>
            </w:pPr>
            <w:r>
              <w:rPr>
                <w:rFonts w:hint="eastAsia"/>
                <w:color w:val="auto"/>
                <w:sz w:val="21"/>
                <w:szCs w:val="21"/>
                <w:highlight w:val="none"/>
              </w:rPr>
              <w:t>为了解项目声环境质量现状，委托福建省厚德检测技术有限公司于</w:t>
            </w:r>
            <w:r>
              <w:rPr>
                <w:rFonts w:hint="eastAsia"/>
                <w:color w:val="auto"/>
                <w:sz w:val="21"/>
                <w:szCs w:val="21"/>
                <w:highlight w:val="none"/>
                <w:lang w:val="en-US" w:eastAsia="zh-CN"/>
              </w:rPr>
              <w:t>2026</w:t>
            </w:r>
            <w:r>
              <w:rPr>
                <w:rFonts w:hint="eastAsia"/>
                <w:color w:val="auto"/>
                <w:sz w:val="21"/>
                <w:szCs w:val="21"/>
                <w:highlight w:val="none"/>
              </w:rPr>
              <w:t>年</w:t>
            </w:r>
            <w:r>
              <w:rPr>
                <w:rFonts w:hint="eastAsia"/>
                <w:color w:val="auto"/>
                <w:sz w:val="21"/>
                <w:szCs w:val="21"/>
                <w:highlight w:val="none"/>
                <w:lang w:val="en-US" w:eastAsia="zh-CN"/>
              </w:rPr>
              <w:t>5</w:t>
            </w:r>
            <w:r>
              <w:rPr>
                <w:rFonts w:hint="eastAsia"/>
                <w:color w:val="auto"/>
                <w:sz w:val="21"/>
                <w:szCs w:val="21"/>
                <w:highlight w:val="none"/>
              </w:rPr>
              <w:t>月</w:t>
            </w:r>
            <w:r>
              <w:rPr>
                <w:rFonts w:hint="eastAsia"/>
                <w:color w:val="auto"/>
                <w:sz w:val="21"/>
                <w:szCs w:val="21"/>
                <w:highlight w:val="none"/>
                <w:lang w:val="en-US" w:eastAsia="zh-CN"/>
              </w:rPr>
              <w:t>19</w:t>
            </w:r>
            <w:r>
              <w:rPr>
                <w:rFonts w:hint="eastAsia"/>
                <w:color w:val="auto"/>
                <w:sz w:val="21"/>
                <w:szCs w:val="21"/>
                <w:highlight w:val="none"/>
              </w:rPr>
              <w:t>日对厂界四周声环境进行监测，监测点位见附图</w:t>
            </w:r>
            <w:r>
              <w:rPr>
                <w:rFonts w:hint="eastAsia"/>
                <w:color w:val="auto"/>
                <w:sz w:val="21"/>
                <w:szCs w:val="21"/>
                <w:highlight w:val="none"/>
                <w:lang w:val="en-US" w:eastAsia="zh-CN"/>
              </w:rPr>
              <w:t>5</w:t>
            </w:r>
            <w:r>
              <w:rPr>
                <w:rFonts w:hint="eastAsia"/>
                <w:color w:val="auto"/>
                <w:sz w:val="21"/>
                <w:szCs w:val="21"/>
                <w:highlight w:val="none"/>
              </w:rPr>
              <w:t>，监测情况如下。</w:t>
            </w:r>
          </w:p>
          <w:p>
            <w:pPr>
              <w:spacing w:before="194" w:beforeLines="50"/>
              <w:jc w:val="center"/>
              <w:outlineLvl w:val="5"/>
              <w:rPr>
                <w:rFonts w:hint="default" w:eastAsia="宋体" w:cs="Times New Roman"/>
                <w:b/>
                <w:color w:val="auto"/>
                <w:spacing w:val="0"/>
                <w:sz w:val="21"/>
                <w:szCs w:val="21"/>
                <w:lang w:val="en-US" w:eastAsia="zh-CN"/>
              </w:rPr>
            </w:pPr>
            <w:r>
              <w:rPr>
                <w:rFonts w:hint="default" w:eastAsia="宋体" w:cs="Times New Roman"/>
                <w:b/>
                <w:color w:val="auto"/>
                <w:spacing w:val="0"/>
                <w:sz w:val="21"/>
                <w:szCs w:val="21"/>
                <w:lang w:val="en-US" w:eastAsia="zh-CN"/>
              </w:rPr>
              <w:t>表3-</w:t>
            </w:r>
            <w:r>
              <w:rPr>
                <w:rFonts w:hint="eastAsia" w:cs="Times New Roman"/>
                <w:b/>
                <w:color w:val="auto"/>
                <w:spacing w:val="0"/>
                <w:sz w:val="21"/>
                <w:szCs w:val="21"/>
                <w:lang w:val="en-US" w:eastAsia="zh-CN"/>
              </w:rPr>
              <w:t>6</w:t>
            </w:r>
            <w:r>
              <w:rPr>
                <w:rFonts w:hint="default" w:eastAsia="宋体" w:cs="Times New Roman"/>
                <w:b/>
                <w:color w:val="auto"/>
                <w:spacing w:val="0"/>
                <w:sz w:val="21"/>
                <w:szCs w:val="21"/>
                <w:lang w:val="en-US" w:eastAsia="zh-CN"/>
              </w:rPr>
              <w:t>声环境质量监测现状</w:t>
            </w:r>
          </w:p>
          <w:tbl>
            <w:tblPr>
              <w:tblStyle w:val="2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1"/>
              <w:gridCol w:w="1570"/>
              <w:gridCol w:w="1571"/>
              <w:gridCol w:w="1570"/>
              <w:gridCol w:w="15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1000" w:type="pct"/>
                  <w:vMerge w:val="restart"/>
                  <w:vAlign w:val="center"/>
                </w:tcPr>
                <w:p>
                  <w:pPr>
                    <w:pStyle w:val="24"/>
                    <w:keepNext w:val="0"/>
                    <w:keepLines w:val="0"/>
                    <w:pageBreakBefore w:val="0"/>
                    <w:widowControl w:val="0"/>
                    <w:kinsoku/>
                    <w:wordWrap/>
                    <w:overflowPunct/>
                    <w:topLinePunct w:val="0"/>
                    <w:autoSpaceDE/>
                    <w:autoSpaceDN/>
                    <w:bidi w:val="0"/>
                    <w:snapToGrid/>
                    <w:spacing w:line="240" w:lineRule="auto"/>
                    <w:ind w:left="0" w:leftChars="0" w:firstLine="0" w:firstLineChars="0"/>
                    <w:jc w:val="center"/>
                    <w:textAlignment w:val="auto"/>
                    <w:rPr>
                      <w:rFonts w:hint="default" w:eastAsia="宋体"/>
                      <w:b/>
                      <w:bCs/>
                      <w:color w:val="auto"/>
                      <w:sz w:val="18"/>
                      <w:szCs w:val="18"/>
                      <w:highlight w:val="none"/>
                      <w:vertAlign w:val="baseline"/>
                      <w:lang w:val="en-US" w:eastAsia="zh-CN"/>
                    </w:rPr>
                  </w:pPr>
                  <w:r>
                    <w:rPr>
                      <w:rFonts w:hint="eastAsia"/>
                      <w:b/>
                      <w:bCs/>
                      <w:color w:val="auto"/>
                      <w:sz w:val="18"/>
                      <w:szCs w:val="18"/>
                      <w:highlight w:val="none"/>
                      <w:vertAlign w:val="baseline"/>
                      <w:lang w:val="en-US" w:eastAsia="zh-CN"/>
                    </w:rPr>
                    <w:t>点位编号</w:t>
                  </w:r>
                </w:p>
              </w:tc>
              <w:tc>
                <w:tcPr>
                  <w:tcW w:w="1999" w:type="pct"/>
                  <w:gridSpan w:val="2"/>
                  <w:vAlign w:val="center"/>
                </w:tcPr>
                <w:p>
                  <w:pPr>
                    <w:pStyle w:val="24"/>
                    <w:keepNext w:val="0"/>
                    <w:keepLines w:val="0"/>
                    <w:pageBreakBefore w:val="0"/>
                    <w:widowControl w:val="0"/>
                    <w:kinsoku/>
                    <w:wordWrap/>
                    <w:overflowPunct/>
                    <w:topLinePunct w:val="0"/>
                    <w:autoSpaceDE/>
                    <w:autoSpaceDN/>
                    <w:bidi w:val="0"/>
                    <w:snapToGrid/>
                    <w:spacing w:line="240" w:lineRule="auto"/>
                    <w:ind w:left="0" w:leftChars="0" w:firstLine="0" w:firstLineChars="0"/>
                    <w:jc w:val="center"/>
                    <w:textAlignment w:val="auto"/>
                    <w:rPr>
                      <w:rFonts w:hint="default" w:eastAsia="宋体"/>
                      <w:b/>
                      <w:bCs/>
                      <w:color w:val="auto"/>
                      <w:sz w:val="18"/>
                      <w:szCs w:val="18"/>
                      <w:highlight w:val="none"/>
                      <w:vertAlign w:val="baseline"/>
                      <w:lang w:val="en-US" w:eastAsia="zh-CN"/>
                    </w:rPr>
                  </w:pPr>
                  <w:r>
                    <w:rPr>
                      <w:rFonts w:hint="eastAsia"/>
                      <w:b/>
                      <w:bCs/>
                      <w:color w:val="auto"/>
                      <w:sz w:val="18"/>
                      <w:szCs w:val="18"/>
                      <w:highlight w:val="none"/>
                      <w:vertAlign w:val="baseline"/>
                      <w:lang w:val="en-US" w:eastAsia="zh-CN"/>
                    </w:rPr>
                    <w:t>昼间Leq（dB）</w:t>
                  </w:r>
                </w:p>
              </w:tc>
              <w:tc>
                <w:tcPr>
                  <w:tcW w:w="2000" w:type="pct"/>
                  <w:gridSpan w:val="2"/>
                  <w:vAlign w:val="center"/>
                </w:tcPr>
                <w:p>
                  <w:pPr>
                    <w:pStyle w:val="24"/>
                    <w:keepNext w:val="0"/>
                    <w:keepLines w:val="0"/>
                    <w:pageBreakBefore w:val="0"/>
                    <w:widowControl w:val="0"/>
                    <w:kinsoku/>
                    <w:wordWrap/>
                    <w:overflowPunct/>
                    <w:topLinePunct w:val="0"/>
                    <w:autoSpaceDE/>
                    <w:autoSpaceDN/>
                    <w:bidi w:val="0"/>
                    <w:snapToGrid/>
                    <w:spacing w:line="240" w:lineRule="auto"/>
                    <w:ind w:firstLine="0" w:firstLineChars="0"/>
                    <w:jc w:val="center"/>
                    <w:textAlignment w:val="auto"/>
                    <w:rPr>
                      <w:rFonts w:hint="eastAsia"/>
                      <w:b/>
                      <w:bCs/>
                      <w:color w:val="auto"/>
                      <w:sz w:val="18"/>
                      <w:szCs w:val="18"/>
                      <w:highlight w:val="none"/>
                      <w:vertAlign w:val="baseline"/>
                    </w:rPr>
                  </w:pPr>
                  <w:r>
                    <w:rPr>
                      <w:rFonts w:hint="eastAsia"/>
                      <w:b/>
                      <w:bCs/>
                      <w:color w:val="auto"/>
                      <w:sz w:val="18"/>
                      <w:szCs w:val="18"/>
                      <w:highlight w:val="none"/>
                      <w:vertAlign w:val="baseline"/>
                      <w:lang w:val="en-US" w:eastAsia="zh-CN"/>
                    </w:rPr>
                    <w:t>夜间Leq（dB）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1000" w:type="pct"/>
                  <w:vMerge w:val="continue"/>
                  <w:vAlign w:val="center"/>
                </w:tcPr>
                <w:p>
                  <w:pPr>
                    <w:pStyle w:val="24"/>
                    <w:keepNext w:val="0"/>
                    <w:keepLines w:val="0"/>
                    <w:pageBreakBefore w:val="0"/>
                    <w:widowControl w:val="0"/>
                    <w:kinsoku/>
                    <w:wordWrap/>
                    <w:overflowPunct/>
                    <w:topLinePunct w:val="0"/>
                    <w:autoSpaceDE/>
                    <w:autoSpaceDN/>
                    <w:bidi w:val="0"/>
                    <w:snapToGrid/>
                    <w:spacing w:line="240" w:lineRule="auto"/>
                    <w:ind w:firstLine="0" w:firstLineChars="0"/>
                    <w:jc w:val="center"/>
                    <w:textAlignment w:val="auto"/>
                    <w:rPr>
                      <w:b/>
                      <w:bCs/>
                      <w:color w:val="auto"/>
                      <w:sz w:val="18"/>
                      <w:szCs w:val="18"/>
                      <w:highlight w:val="none"/>
                    </w:rPr>
                  </w:pPr>
                </w:p>
              </w:tc>
              <w:tc>
                <w:tcPr>
                  <w:tcW w:w="999" w:type="pct"/>
                  <w:vAlign w:val="center"/>
                </w:tcPr>
                <w:p>
                  <w:pPr>
                    <w:pStyle w:val="24"/>
                    <w:keepNext w:val="0"/>
                    <w:keepLines w:val="0"/>
                    <w:pageBreakBefore w:val="0"/>
                    <w:widowControl w:val="0"/>
                    <w:kinsoku/>
                    <w:wordWrap/>
                    <w:overflowPunct/>
                    <w:topLinePunct w:val="0"/>
                    <w:autoSpaceDE/>
                    <w:autoSpaceDN/>
                    <w:bidi w:val="0"/>
                    <w:snapToGrid/>
                    <w:spacing w:line="240" w:lineRule="auto"/>
                    <w:ind w:firstLine="0" w:firstLineChars="0"/>
                    <w:jc w:val="center"/>
                    <w:textAlignment w:val="auto"/>
                    <w:rPr>
                      <w:rFonts w:hint="default" w:eastAsia="宋体"/>
                      <w:b/>
                      <w:bCs/>
                      <w:color w:val="auto"/>
                      <w:sz w:val="18"/>
                      <w:szCs w:val="18"/>
                      <w:highlight w:val="none"/>
                      <w:vertAlign w:val="baseline"/>
                      <w:lang w:val="en-US" w:eastAsia="zh-CN"/>
                    </w:rPr>
                  </w:pPr>
                  <w:r>
                    <w:rPr>
                      <w:rFonts w:hint="eastAsia"/>
                      <w:b/>
                      <w:bCs/>
                      <w:color w:val="auto"/>
                      <w:sz w:val="18"/>
                      <w:szCs w:val="18"/>
                      <w:highlight w:val="none"/>
                      <w:vertAlign w:val="baseline"/>
                      <w:lang w:val="en-US" w:eastAsia="zh-CN"/>
                    </w:rPr>
                    <w:t>测量值</w:t>
                  </w:r>
                </w:p>
              </w:tc>
              <w:tc>
                <w:tcPr>
                  <w:tcW w:w="1000" w:type="pct"/>
                  <w:vAlign w:val="center"/>
                </w:tcPr>
                <w:p>
                  <w:pPr>
                    <w:pStyle w:val="24"/>
                    <w:keepNext w:val="0"/>
                    <w:keepLines w:val="0"/>
                    <w:pageBreakBefore w:val="0"/>
                    <w:widowControl w:val="0"/>
                    <w:kinsoku/>
                    <w:wordWrap/>
                    <w:overflowPunct/>
                    <w:topLinePunct w:val="0"/>
                    <w:autoSpaceDE/>
                    <w:autoSpaceDN/>
                    <w:bidi w:val="0"/>
                    <w:snapToGrid/>
                    <w:spacing w:line="240" w:lineRule="auto"/>
                    <w:ind w:left="0" w:leftChars="0" w:firstLine="0" w:firstLineChars="0"/>
                    <w:jc w:val="center"/>
                    <w:textAlignment w:val="auto"/>
                    <w:rPr>
                      <w:rFonts w:hint="default" w:eastAsia="宋体"/>
                      <w:b/>
                      <w:bCs/>
                      <w:color w:val="auto"/>
                      <w:sz w:val="18"/>
                      <w:szCs w:val="18"/>
                      <w:highlight w:val="none"/>
                      <w:vertAlign w:val="baseline"/>
                      <w:lang w:val="en-US" w:eastAsia="zh-CN"/>
                    </w:rPr>
                  </w:pPr>
                  <w:r>
                    <w:rPr>
                      <w:rFonts w:hint="eastAsia"/>
                      <w:b/>
                      <w:bCs/>
                      <w:color w:val="auto"/>
                      <w:sz w:val="18"/>
                      <w:szCs w:val="18"/>
                      <w:highlight w:val="none"/>
                      <w:vertAlign w:val="baseline"/>
                      <w:lang w:val="en-US" w:eastAsia="zh-CN"/>
                    </w:rPr>
                    <w:t>排放限值</w:t>
                  </w:r>
                </w:p>
              </w:tc>
              <w:tc>
                <w:tcPr>
                  <w:tcW w:w="999" w:type="pct"/>
                  <w:vAlign w:val="center"/>
                </w:tcPr>
                <w:p>
                  <w:pPr>
                    <w:pStyle w:val="24"/>
                    <w:keepNext w:val="0"/>
                    <w:keepLines w:val="0"/>
                    <w:pageBreakBefore w:val="0"/>
                    <w:widowControl w:val="0"/>
                    <w:kinsoku/>
                    <w:wordWrap/>
                    <w:overflowPunct/>
                    <w:topLinePunct w:val="0"/>
                    <w:autoSpaceDE/>
                    <w:autoSpaceDN/>
                    <w:bidi w:val="0"/>
                    <w:snapToGrid/>
                    <w:spacing w:line="240" w:lineRule="auto"/>
                    <w:ind w:firstLine="0" w:firstLineChars="0"/>
                    <w:jc w:val="center"/>
                    <w:textAlignment w:val="auto"/>
                    <w:rPr>
                      <w:rFonts w:hint="eastAsia"/>
                      <w:b/>
                      <w:bCs/>
                      <w:color w:val="auto"/>
                      <w:sz w:val="18"/>
                      <w:szCs w:val="18"/>
                      <w:highlight w:val="none"/>
                      <w:vertAlign w:val="baseline"/>
                    </w:rPr>
                  </w:pPr>
                  <w:r>
                    <w:rPr>
                      <w:rFonts w:hint="eastAsia"/>
                      <w:b/>
                      <w:bCs/>
                      <w:color w:val="auto"/>
                      <w:sz w:val="18"/>
                      <w:szCs w:val="18"/>
                      <w:highlight w:val="none"/>
                      <w:vertAlign w:val="baseline"/>
                      <w:lang w:val="en-US" w:eastAsia="zh-CN"/>
                    </w:rPr>
                    <w:t>测量值</w:t>
                  </w:r>
                </w:p>
              </w:tc>
              <w:tc>
                <w:tcPr>
                  <w:tcW w:w="1000" w:type="pct"/>
                  <w:vAlign w:val="center"/>
                </w:tcPr>
                <w:p>
                  <w:pPr>
                    <w:pStyle w:val="24"/>
                    <w:keepNext w:val="0"/>
                    <w:keepLines w:val="0"/>
                    <w:pageBreakBefore w:val="0"/>
                    <w:widowControl w:val="0"/>
                    <w:kinsoku/>
                    <w:wordWrap/>
                    <w:overflowPunct/>
                    <w:topLinePunct w:val="0"/>
                    <w:autoSpaceDE/>
                    <w:autoSpaceDN/>
                    <w:bidi w:val="0"/>
                    <w:snapToGrid/>
                    <w:spacing w:line="240" w:lineRule="auto"/>
                    <w:ind w:left="0" w:leftChars="0" w:firstLine="0" w:firstLineChars="0"/>
                    <w:jc w:val="center"/>
                    <w:textAlignment w:val="auto"/>
                    <w:rPr>
                      <w:rFonts w:hint="eastAsia"/>
                      <w:b/>
                      <w:bCs/>
                      <w:color w:val="auto"/>
                      <w:sz w:val="18"/>
                      <w:szCs w:val="18"/>
                      <w:highlight w:val="none"/>
                      <w:vertAlign w:val="baseline"/>
                    </w:rPr>
                  </w:pPr>
                  <w:r>
                    <w:rPr>
                      <w:rFonts w:hint="eastAsia"/>
                      <w:b/>
                      <w:bCs/>
                      <w:color w:val="auto"/>
                      <w:sz w:val="18"/>
                      <w:szCs w:val="18"/>
                      <w:highlight w:val="none"/>
                      <w:vertAlign w:val="baseline"/>
                      <w:lang w:val="en-US" w:eastAsia="zh-CN"/>
                    </w:rPr>
                    <w:t>排放限值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vAlign w:val="center"/>
                </w:tcPr>
                <w:p>
                  <w:pPr>
                    <w:pStyle w:val="24"/>
                    <w:keepNext w:val="0"/>
                    <w:keepLines w:val="0"/>
                    <w:pageBreakBefore w:val="0"/>
                    <w:widowControl w:val="0"/>
                    <w:kinsoku/>
                    <w:wordWrap/>
                    <w:overflowPunct/>
                    <w:topLinePunct w:val="0"/>
                    <w:autoSpaceDE/>
                    <w:autoSpaceDN/>
                    <w:bidi w:val="0"/>
                    <w:snapToGrid/>
                    <w:spacing w:line="240" w:lineRule="auto"/>
                    <w:ind w:firstLine="0" w:firstLineChars="0"/>
                    <w:jc w:val="center"/>
                    <w:textAlignment w:val="auto"/>
                    <w:rPr>
                      <w:rFonts w:hint="default" w:eastAsia="宋体"/>
                      <w:color w:val="auto"/>
                      <w:sz w:val="18"/>
                      <w:szCs w:val="18"/>
                      <w:highlight w:val="none"/>
                      <w:vertAlign w:val="baseline"/>
                      <w:lang w:val="en-US" w:eastAsia="zh-CN"/>
                    </w:rPr>
                  </w:pPr>
                  <w:r>
                    <w:rPr>
                      <w:rFonts w:hint="eastAsia"/>
                      <w:color w:val="auto"/>
                      <w:sz w:val="18"/>
                      <w:szCs w:val="18"/>
                      <w:highlight w:val="none"/>
                      <w:vertAlign w:val="baseline"/>
                      <w:lang w:val="en-US" w:eastAsia="zh-CN"/>
                    </w:rPr>
                    <w:t>N1</w:t>
                  </w:r>
                </w:p>
              </w:tc>
              <w:tc>
                <w:tcPr>
                  <w:tcW w:w="999" w:type="pct"/>
                  <w:vAlign w:val="center"/>
                </w:tcPr>
                <w:p>
                  <w:pPr>
                    <w:pStyle w:val="24"/>
                    <w:keepNext w:val="0"/>
                    <w:keepLines w:val="0"/>
                    <w:pageBreakBefore w:val="0"/>
                    <w:widowControl w:val="0"/>
                    <w:kinsoku/>
                    <w:wordWrap/>
                    <w:overflowPunct/>
                    <w:topLinePunct w:val="0"/>
                    <w:autoSpaceDE/>
                    <w:autoSpaceDN/>
                    <w:bidi w:val="0"/>
                    <w:snapToGrid/>
                    <w:spacing w:line="240" w:lineRule="auto"/>
                    <w:ind w:firstLine="0" w:firstLineChars="0"/>
                    <w:jc w:val="center"/>
                    <w:textAlignment w:val="auto"/>
                    <w:rPr>
                      <w:rFonts w:hint="default" w:eastAsia="宋体"/>
                      <w:color w:val="auto"/>
                      <w:sz w:val="18"/>
                      <w:szCs w:val="18"/>
                      <w:highlight w:val="none"/>
                      <w:vertAlign w:val="baseline"/>
                      <w:lang w:val="en-US" w:eastAsia="zh-CN"/>
                    </w:rPr>
                  </w:pPr>
                  <w:r>
                    <w:rPr>
                      <w:rFonts w:hint="eastAsia"/>
                      <w:color w:val="auto"/>
                      <w:sz w:val="18"/>
                      <w:szCs w:val="18"/>
                      <w:highlight w:val="none"/>
                      <w:vertAlign w:val="baseline"/>
                      <w:lang w:val="en-US" w:eastAsia="zh-CN"/>
                    </w:rPr>
                    <w:t>51.0</w:t>
                  </w:r>
                </w:p>
              </w:tc>
              <w:tc>
                <w:tcPr>
                  <w:tcW w:w="1000" w:type="pct"/>
                  <w:vAlign w:val="center"/>
                </w:tcPr>
                <w:p>
                  <w:pPr>
                    <w:pStyle w:val="24"/>
                    <w:keepNext w:val="0"/>
                    <w:keepLines w:val="0"/>
                    <w:pageBreakBefore w:val="0"/>
                    <w:widowControl w:val="0"/>
                    <w:kinsoku/>
                    <w:wordWrap/>
                    <w:overflowPunct/>
                    <w:topLinePunct w:val="0"/>
                    <w:autoSpaceDE/>
                    <w:autoSpaceDN/>
                    <w:bidi w:val="0"/>
                    <w:snapToGrid/>
                    <w:spacing w:line="240" w:lineRule="auto"/>
                    <w:ind w:firstLine="0" w:firstLineChars="0"/>
                    <w:jc w:val="center"/>
                    <w:textAlignment w:val="auto"/>
                    <w:rPr>
                      <w:rFonts w:hint="default" w:eastAsia="宋体"/>
                      <w:color w:val="auto"/>
                      <w:sz w:val="18"/>
                      <w:szCs w:val="18"/>
                      <w:highlight w:val="none"/>
                      <w:vertAlign w:val="baseline"/>
                      <w:lang w:val="en-US" w:eastAsia="zh-CN"/>
                    </w:rPr>
                  </w:pPr>
                  <w:r>
                    <w:rPr>
                      <w:rFonts w:hint="eastAsia"/>
                      <w:color w:val="auto"/>
                      <w:sz w:val="18"/>
                      <w:szCs w:val="18"/>
                      <w:highlight w:val="none"/>
                      <w:vertAlign w:val="baseline"/>
                      <w:lang w:val="en-US" w:eastAsia="zh-CN"/>
                    </w:rPr>
                    <w:t>65</w:t>
                  </w:r>
                </w:p>
              </w:tc>
              <w:tc>
                <w:tcPr>
                  <w:tcW w:w="999" w:type="pct"/>
                  <w:vAlign w:val="center"/>
                </w:tcPr>
                <w:p>
                  <w:pPr>
                    <w:pStyle w:val="24"/>
                    <w:keepNext w:val="0"/>
                    <w:keepLines w:val="0"/>
                    <w:pageBreakBefore w:val="0"/>
                    <w:widowControl w:val="0"/>
                    <w:kinsoku/>
                    <w:wordWrap/>
                    <w:overflowPunct/>
                    <w:topLinePunct w:val="0"/>
                    <w:autoSpaceDE/>
                    <w:autoSpaceDN/>
                    <w:bidi w:val="0"/>
                    <w:snapToGrid/>
                    <w:spacing w:line="240" w:lineRule="auto"/>
                    <w:ind w:firstLine="0" w:firstLineChars="0"/>
                    <w:jc w:val="center"/>
                    <w:textAlignment w:val="auto"/>
                    <w:rPr>
                      <w:rFonts w:hint="default" w:eastAsia="宋体"/>
                      <w:color w:val="auto"/>
                      <w:sz w:val="18"/>
                      <w:szCs w:val="18"/>
                      <w:highlight w:val="none"/>
                      <w:vertAlign w:val="baseline"/>
                      <w:lang w:val="en-US" w:eastAsia="zh-CN"/>
                    </w:rPr>
                  </w:pPr>
                  <w:r>
                    <w:rPr>
                      <w:rFonts w:hint="eastAsia"/>
                      <w:color w:val="auto"/>
                      <w:sz w:val="18"/>
                      <w:szCs w:val="18"/>
                      <w:highlight w:val="none"/>
                      <w:vertAlign w:val="baseline"/>
                      <w:lang w:val="en-US" w:eastAsia="zh-CN"/>
                    </w:rPr>
                    <w:t>42.4</w:t>
                  </w:r>
                </w:p>
              </w:tc>
              <w:tc>
                <w:tcPr>
                  <w:tcW w:w="1000" w:type="pct"/>
                  <w:vAlign w:val="center"/>
                </w:tcPr>
                <w:p>
                  <w:pPr>
                    <w:pStyle w:val="24"/>
                    <w:keepNext w:val="0"/>
                    <w:keepLines w:val="0"/>
                    <w:pageBreakBefore w:val="0"/>
                    <w:widowControl w:val="0"/>
                    <w:kinsoku/>
                    <w:wordWrap/>
                    <w:overflowPunct/>
                    <w:topLinePunct w:val="0"/>
                    <w:autoSpaceDE/>
                    <w:autoSpaceDN/>
                    <w:bidi w:val="0"/>
                    <w:snapToGrid/>
                    <w:spacing w:line="240" w:lineRule="auto"/>
                    <w:ind w:firstLine="0" w:firstLineChars="0"/>
                    <w:jc w:val="center"/>
                    <w:textAlignment w:val="auto"/>
                    <w:rPr>
                      <w:rFonts w:hint="default" w:eastAsia="宋体"/>
                      <w:color w:val="auto"/>
                      <w:sz w:val="18"/>
                      <w:szCs w:val="18"/>
                      <w:highlight w:val="none"/>
                      <w:vertAlign w:val="baseline"/>
                      <w:lang w:val="en-US" w:eastAsia="zh-CN"/>
                    </w:rPr>
                  </w:pPr>
                  <w:r>
                    <w:rPr>
                      <w:rFonts w:hint="eastAsia"/>
                      <w:color w:val="auto"/>
                      <w:sz w:val="18"/>
                      <w:szCs w:val="18"/>
                      <w:highlight w:val="none"/>
                      <w:vertAlign w:val="baseline"/>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vAlign w:val="center"/>
                </w:tcPr>
                <w:p>
                  <w:pPr>
                    <w:pStyle w:val="24"/>
                    <w:keepNext w:val="0"/>
                    <w:keepLines w:val="0"/>
                    <w:pageBreakBefore w:val="0"/>
                    <w:widowControl w:val="0"/>
                    <w:kinsoku/>
                    <w:wordWrap/>
                    <w:overflowPunct/>
                    <w:topLinePunct w:val="0"/>
                    <w:autoSpaceDE/>
                    <w:autoSpaceDN/>
                    <w:bidi w:val="0"/>
                    <w:snapToGrid/>
                    <w:spacing w:line="240" w:lineRule="auto"/>
                    <w:ind w:firstLine="0" w:firstLineChars="0"/>
                    <w:jc w:val="center"/>
                    <w:textAlignment w:val="auto"/>
                    <w:rPr>
                      <w:rFonts w:hint="default" w:eastAsia="宋体"/>
                      <w:color w:val="auto"/>
                      <w:sz w:val="18"/>
                      <w:szCs w:val="18"/>
                      <w:highlight w:val="none"/>
                      <w:vertAlign w:val="baseline"/>
                      <w:lang w:val="en-US" w:eastAsia="zh-CN"/>
                    </w:rPr>
                  </w:pPr>
                  <w:r>
                    <w:rPr>
                      <w:rFonts w:hint="eastAsia"/>
                      <w:color w:val="auto"/>
                      <w:sz w:val="18"/>
                      <w:szCs w:val="18"/>
                      <w:highlight w:val="none"/>
                      <w:vertAlign w:val="baseline"/>
                      <w:lang w:val="en-US" w:eastAsia="zh-CN"/>
                    </w:rPr>
                    <w:t>N2</w:t>
                  </w:r>
                </w:p>
              </w:tc>
              <w:tc>
                <w:tcPr>
                  <w:tcW w:w="999" w:type="pct"/>
                  <w:vAlign w:val="center"/>
                </w:tcPr>
                <w:p>
                  <w:pPr>
                    <w:pStyle w:val="24"/>
                    <w:keepNext w:val="0"/>
                    <w:keepLines w:val="0"/>
                    <w:pageBreakBefore w:val="0"/>
                    <w:widowControl w:val="0"/>
                    <w:kinsoku/>
                    <w:wordWrap/>
                    <w:overflowPunct/>
                    <w:topLinePunct w:val="0"/>
                    <w:autoSpaceDE/>
                    <w:autoSpaceDN/>
                    <w:bidi w:val="0"/>
                    <w:snapToGrid/>
                    <w:spacing w:line="240" w:lineRule="auto"/>
                    <w:ind w:firstLine="0" w:firstLineChars="0"/>
                    <w:jc w:val="center"/>
                    <w:textAlignment w:val="auto"/>
                    <w:rPr>
                      <w:rFonts w:hint="default" w:eastAsia="宋体"/>
                      <w:color w:val="auto"/>
                      <w:sz w:val="18"/>
                      <w:szCs w:val="18"/>
                      <w:highlight w:val="none"/>
                      <w:vertAlign w:val="baseline"/>
                      <w:lang w:val="en-US" w:eastAsia="zh-CN"/>
                    </w:rPr>
                  </w:pPr>
                  <w:r>
                    <w:rPr>
                      <w:rFonts w:hint="eastAsia"/>
                      <w:color w:val="auto"/>
                      <w:sz w:val="18"/>
                      <w:szCs w:val="18"/>
                      <w:highlight w:val="none"/>
                      <w:vertAlign w:val="baseline"/>
                      <w:lang w:val="en-US" w:eastAsia="zh-CN"/>
                    </w:rPr>
                    <w:t>56.7</w:t>
                  </w:r>
                </w:p>
              </w:tc>
              <w:tc>
                <w:tcPr>
                  <w:tcW w:w="1000" w:type="pct"/>
                  <w:vAlign w:val="center"/>
                </w:tcPr>
                <w:p>
                  <w:pPr>
                    <w:keepNext w:val="0"/>
                    <w:keepLines w:val="0"/>
                    <w:pageBreakBefore w:val="0"/>
                    <w:widowControl w:val="0"/>
                    <w:kinsoku/>
                    <w:wordWrap/>
                    <w:overflowPunct/>
                    <w:topLinePunct w:val="0"/>
                    <w:autoSpaceDE/>
                    <w:autoSpaceDN/>
                    <w:bidi w:val="0"/>
                    <w:snapToGrid/>
                    <w:spacing w:line="240" w:lineRule="auto"/>
                    <w:ind w:firstLine="0" w:firstLineChars="0"/>
                    <w:jc w:val="center"/>
                    <w:textAlignment w:val="auto"/>
                    <w:rPr>
                      <w:rFonts w:hint="eastAsia"/>
                      <w:color w:val="auto"/>
                      <w:sz w:val="18"/>
                      <w:szCs w:val="18"/>
                      <w:highlight w:val="none"/>
                      <w:vertAlign w:val="baseline"/>
                    </w:rPr>
                  </w:pPr>
                  <w:r>
                    <w:rPr>
                      <w:rFonts w:hint="eastAsia"/>
                      <w:color w:val="auto"/>
                      <w:sz w:val="18"/>
                      <w:szCs w:val="18"/>
                      <w:highlight w:val="none"/>
                      <w:vertAlign w:val="baseline"/>
                      <w:lang w:val="en-US" w:eastAsia="zh-CN"/>
                    </w:rPr>
                    <w:t>65</w:t>
                  </w:r>
                </w:p>
              </w:tc>
              <w:tc>
                <w:tcPr>
                  <w:tcW w:w="999" w:type="pct"/>
                  <w:vAlign w:val="center"/>
                </w:tcPr>
                <w:p>
                  <w:pPr>
                    <w:pStyle w:val="24"/>
                    <w:keepNext w:val="0"/>
                    <w:keepLines w:val="0"/>
                    <w:pageBreakBefore w:val="0"/>
                    <w:widowControl w:val="0"/>
                    <w:kinsoku/>
                    <w:wordWrap/>
                    <w:overflowPunct/>
                    <w:topLinePunct w:val="0"/>
                    <w:autoSpaceDE/>
                    <w:autoSpaceDN/>
                    <w:bidi w:val="0"/>
                    <w:snapToGrid/>
                    <w:spacing w:line="240" w:lineRule="auto"/>
                    <w:ind w:firstLine="0" w:firstLineChars="0"/>
                    <w:jc w:val="center"/>
                    <w:textAlignment w:val="auto"/>
                    <w:rPr>
                      <w:rFonts w:hint="default" w:eastAsia="宋体"/>
                      <w:color w:val="auto"/>
                      <w:sz w:val="18"/>
                      <w:szCs w:val="18"/>
                      <w:highlight w:val="none"/>
                      <w:vertAlign w:val="baseline"/>
                      <w:lang w:val="en-US" w:eastAsia="zh-CN"/>
                    </w:rPr>
                  </w:pPr>
                  <w:r>
                    <w:rPr>
                      <w:rFonts w:hint="eastAsia"/>
                      <w:color w:val="auto"/>
                      <w:sz w:val="18"/>
                      <w:szCs w:val="18"/>
                      <w:highlight w:val="none"/>
                      <w:vertAlign w:val="baseline"/>
                      <w:lang w:val="en-US" w:eastAsia="zh-CN"/>
                    </w:rPr>
                    <w:t>46.0</w:t>
                  </w:r>
                </w:p>
              </w:tc>
              <w:tc>
                <w:tcPr>
                  <w:tcW w:w="1000" w:type="pct"/>
                  <w:vAlign w:val="center"/>
                </w:tcPr>
                <w:p>
                  <w:pPr>
                    <w:pStyle w:val="24"/>
                    <w:keepNext w:val="0"/>
                    <w:keepLines w:val="0"/>
                    <w:pageBreakBefore w:val="0"/>
                    <w:widowControl w:val="0"/>
                    <w:kinsoku/>
                    <w:wordWrap/>
                    <w:overflowPunct/>
                    <w:topLinePunct w:val="0"/>
                    <w:autoSpaceDE/>
                    <w:autoSpaceDN/>
                    <w:bidi w:val="0"/>
                    <w:snapToGrid/>
                    <w:spacing w:line="240" w:lineRule="auto"/>
                    <w:ind w:firstLine="0" w:firstLineChars="0"/>
                    <w:jc w:val="center"/>
                    <w:textAlignment w:val="auto"/>
                    <w:rPr>
                      <w:rFonts w:hint="eastAsia"/>
                      <w:color w:val="auto"/>
                      <w:sz w:val="18"/>
                      <w:szCs w:val="18"/>
                      <w:highlight w:val="none"/>
                      <w:vertAlign w:val="baseline"/>
                    </w:rPr>
                  </w:pPr>
                  <w:r>
                    <w:rPr>
                      <w:rFonts w:hint="eastAsia"/>
                      <w:color w:val="auto"/>
                      <w:sz w:val="18"/>
                      <w:szCs w:val="18"/>
                      <w:highlight w:val="none"/>
                      <w:vertAlign w:val="baseline"/>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vAlign w:val="center"/>
                </w:tcPr>
                <w:p>
                  <w:pPr>
                    <w:pStyle w:val="24"/>
                    <w:keepNext w:val="0"/>
                    <w:keepLines w:val="0"/>
                    <w:pageBreakBefore w:val="0"/>
                    <w:widowControl w:val="0"/>
                    <w:kinsoku/>
                    <w:wordWrap/>
                    <w:overflowPunct/>
                    <w:topLinePunct w:val="0"/>
                    <w:autoSpaceDE/>
                    <w:autoSpaceDN/>
                    <w:bidi w:val="0"/>
                    <w:snapToGrid/>
                    <w:spacing w:line="240" w:lineRule="auto"/>
                    <w:ind w:firstLine="0" w:firstLineChars="0"/>
                    <w:jc w:val="center"/>
                    <w:textAlignment w:val="auto"/>
                    <w:rPr>
                      <w:rFonts w:hint="default" w:eastAsia="宋体"/>
                      <w:color w:val="auto"/>
                      <w:sz w:val="18"/>
                      <w:szCs w:val="18"/>
                      <w:highlight w:val="none"/>
                      <w:vertAlign w:val="baseline"/>
                      <w:lang w:val="en-US" w:eastAsia="zh-CN"/>
                    </w:rPr>
                  </w:pPr>
                  <w:r>
                    <w:rPr>
                      <w:rFonts w:hint="eastAsia"/>
                      <w:color w:val="auto"/>
                      <w:sz w:val="18"/>
                      <w:szCs w:val="18"/>
                      <w:highlight w:val="none"/>
                      <w:vertAlign w:val="baseline"/>
                      <w:lang w:val="en-US" w:eastAsia="zh-CN"/>
                    </w:rPr>
                    <w:t>N3</w:t>
                  </w:r>
                </w:p>
              </w:tc>
              <w:tc>
                <w:tcPr>
                  <w:tcW w:w="999" w:type="pct"/>
                  <w:vAlign w:val="center"/>
                </w:tcPr>
                <w:p>
                  <w:pPr>
                    <w:pStyle w:val="24"/>
                    <w:keepNext w:val="0"/>
                    <w:keepLines w:val="0"/>
                    <w:pageBreakBefore w:val="0"/>
                    <w:widowControl w:val="0"/>
                    <w:kinsoku/>
                    <w:wordWrap/>
                    <w:overflowPunct/>
                    <w:topLinePunct w:val="0"/>
                    <w:autoSpaceDE/>
                    <w:autoSpaceDN/>
                    <w:bidi w:val="0"/>
                    <w:snapToGrid/>
                    <w:spacing w:line="240" w:lineRule="auto"/>
                    <w:ind w:firstLine="0" w:firstLineChars="0"/>
                    <w:jc w:val="center"/>
                    <w:textAlignment w:val="auto"/>
                    <w:rPr>
                      <w:rFonts w:hint="default" w:eastAsia="宋体"/>
                      <w:color w:val="auto"/>
                      <w:sz w:val="18"/>
                      <w:szCs w:val="18"/>
                      <w:highlight w:val="none"/>
                      <w:vertAlign w:val="baseline"/>
                      <w:lang w:val="en-US" w:eastAsia="zh-CN"/>
                    </w:rPr>
                  </w:pPr>
                  <w:r>
                    <w:rPr>
                      <w:rFonts w:hint="eastAsia"/>
                      <w:color w:val="auto"/>
                      <w:sz w:val="18"/>
                      <w:szCs w:val="18"/>
                      <w:highlight w:val="none"/>
                      <w:vertAlign w:val="baseline"/>
                      <w:lang w:val="en-US" w:eastAsia="zh-CN"/>
                    </w:rPr>
                    <w:t>58.0</w:t>
                  </w:r>
                </w:p>
              </w:tc>
              <w:tc>
                <w:tcPr>
                  <w:tcW w:w="1000" w:type="pct"/>
                  <w:vAlign w:val="center"/>
                </w:tcPr>
                <w:p>
                  <w:pPr>
                    <w:keepNext w:val="0"/>
                    <w:keepLines w:val="0"/>
                    <w:pageBreakBefore w:val="0"/>
                    <w:widowControl w:val="0"/>
                    <w:kinsoku/>
                    <w:wordWrap/>
                    <w:overflowPunct/>
                    <w:topLinePunct w:val="0"/>
                    <w:autoSpaceDE/>
                    <w:autoSpaceDN/>
                    <w:bidi w:val="0"/>
                    <w:snapToGrid/>
                    <w:spacing w:line="240" w:lineRule="auto"/>
                    <w:ind w:firstLine="0" w:firstLineChars="0"/>
                    <w:jc w:val="center"/>
                    <w:textAlignment w:val="auto"/>
                    <w:rPr>
                      <w:rFonts w:hint="eastAsia"/>
                      <w:color w:val="auto"/>
                      <w:sz w:val="18"/>
                      <w:szCs w:val="18"/>
                      <w:highlight w:val="none"/>
                      <w:vertAlign w:val="baseline"/>
                    </w:rPr>
                  </w:pPr>
                  <w:r>
                    <w:rPr>
                      <w:rFonts w:hint="eastAsia"/>
                      <w:color w:val="auto"/>
                      <w:sz w:val="18"/>
                      <w:szCs w:val="18"/>
                      <w:highlight w:val="none"/>
                      <w:vertAlign w:val="baseline"/>
                      <w:lang w:val="en-US" w:eastAsia="zh-CN"/>
                    </w:rPr>
                    <w:t>65</w:t>
                  </w:r>
                </w:p>
              </w:tc>
              <w:tc>
                <w:tcPr>
                  <w:tcW w:w="999" w:type="pct"/>
                  <w:vAlign w:val="center"/>
                </w:tcPr>
                <w:p>
                  <w:pPr>
                    <w:pStyle w:val="24"/>
                    <w:keepNext w:val="0"/>
                    <w:keepLines w:val="0"/>
                    <w:pageBreakBefore w:val="0"/>
                    <w:widowControl w:val="0"/>
                    <w:kinsoku/>
                    <w:wordWrap/>
                    <w:overflowPunct/>
                    <w:topLinePunct w:val="0"/>
                    <w:autoSpaceDE/>
                    <w:autoSpaceDN/>
                    <w:bidi w:val="0"/>
                    <w:snapToGrid/>
                    <w:spacing w:line="240" w:lineRule="auto"/>
                    <w:ind w:firstLine="0" w:firstLineChars="0"/>
                    <w:jc w:val="center"/>
                    <w:textAlignment w:val="auto"/>
                    <w:rPr>
                      <w:rFonts w:hint="default" w:eastAsia="宋体"/>
                      <w:color w:val="auto"/>
                      <w:sz w:val="18"/>
                      <w:szCs w:val="18"/>
                      <w:highlight w:val="none"/>
                      <w:vertAlign w:val="baseline"/>
                      <w:lang w:val="en-US" w:eastAsia="zh-CN"/>
                    </w:rPr>
                  </w:pPr>
                  <w:r>
                    <w:rPr>
                      <w:rFonts w:hint="eastAsia"/>
                      <w:color w:val="auto"/>
                      <w:sz w:val="18"/>
                      <w:szCs w:val="18"/>
                      <w:highlight w:val="none"/>
                      <w:vertAlign w:val="baseline"/>
                      <w:lang w:val="en-US" w:eastAsia="zh-CN"/>
                    </w:rPr>
                    <w:t>52.2</w:t>
                  </w:r>
                </w:p>
              </w:tc>
              <w:tc>
                <w:tcPr>
                  <w:tcW w:w="1000" w:type="pct"/>
                  <w:vAlign w:val="center"/>
                </w:tcPr>
                <w:p>
                  <w:pPr>
                    <w:pStyle w:val="24"/>
                    <w:keepNext w:val="0"/>
                    <w:keepLines w:val="0"/>
                    <w:pageBreakBefore w:val="0"/>
                    <w:widowControl w:val="0"/>
                    <w:kinsoku/>
                    <w:wordWrap/>
                    <w:overflowPunct/>
                    <w:topLinePunct w:val="0"/>
                    <w:autoSpaceDE/>
                    <w:autoSpaceDN/>
                    <w:bidi w:val="0"/>
                    <w:snapToGrid/>
                    <w:spacing w:line="240" w:lineRule="auto"/>
                    <w:ind w:firstLine="0" w:firstLineChars="0"/>
                    <w:jc w:val="center"/>
                    <w:textAlignment w:val="auto"/>
                    <w:rPr>
                      <w:rFonts w:hint="default" w:eastAsia="宋体"/>
                      <w:color w:val="auto"/>
                      <w:sz w:val="18"/>
                      <w:szCs w:val="18"/>
                      <w:highlight w:val="none"/>
                      <w:vertAlign w:val="baseline"/>
                      <w:lang w:val="en-US" w:eastAsia="zh-CN"/>
                    </w:rPr>
                  </w:pPr>
                  <w:r>
                    <w:rPr>
                      <w:rFonts w:hint="eastAsia"/>
                      <w:color w:val="auto"/>
                      <w:sz w:val="18"/>
                      <w:szCs w:val="18"/>
                      <w:highlight w:val="none"/>
                      <w:vertAlign w:val="baseline"/>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vAlign w:val="center"/>
                </w:tcPr>
                <w:p>
                  <w:pPr>
                    <w:pStyle w:val="24"/>
                    <w:keepNext w:val="0"/>
                    <w:keepLines w:val="0"/>
                    <w:pageBreakBefore w:val="0"/>
                    <w:widowControl w:val="0"/>
                    <w:kinsoku/>
                    <w:wordWrap/>
                    <w:overflowPunct/>
                    <w:topLinePunct w:val="0"/>
                    <w:autoSpaceDE/>
                    <w:autoSpaceDN/>
                    <w:bidi w:val="0"/>
                    <w:snapToGrid/>
                    <w:spacing w:line="240" w:lineRule="auto"/>
                    <w:ind w:firstLine="0" w:firstLineChars="0"/>
                    <w:jc w:val="center"/>
                    <w:textAlignment w:val="auto"/>
                    <w:rPr>
                      <w:rFonts w:hint="default" w:eastAsia="宋体"/>
                      <w:color w:val="auto"/>
                      <w:sz w:val="18"/>
                      <w:szCs w:val="18"/>
                      <w:highlight w:val="none"/>
                      <w:vertAlign w:val="baseline"/>
                      <w:lang w:val="en-US" w:eastAsia="zh-CN"/>
                    </w:rPr>
                  </w:pPr>
                  <w:r>
                    <w:rPr>
                      <w:rFonts w:hint="eastAsia"/>
                      <w:color w:val="auto"/>
                      <w:sz w:val="18"/>
                      <w:szCs w:val="18"/>
                      <w:highlight w:val="none"/>
                      <w:vertAlign w:val="baseline"/>
                      <w:lang w:val="en-US" w:eastAsia="zh-CN"/>
                    </w:rPr>
                    <w:t>N4</w:t>
                  </w:r>
                </w:p>
              </w:tc>
              <w:tc>
                <w:tcPr>
                  <w:tcW w:w="999" w:type="pct"/>
                  <w:vAlign w:val="center"/>
                </w:tcPr>
                <w:p>
                  <w:pPr>
                    <w:pStyle w:val="24"/>
                    <w:keepNext w:val="0"/>
                    <w:keepLines w:val="0"/>
                    <w:pageBreakBefore w:val="0"/>
                    <w:widowControl w:val="0"/>
                    <w:kinsoku/>
                    <w:wordWrap/>
                    <w:overflowPunct/>
                    <w:topLinePunct w:val="0"/>
                    <w:autoSpaceDE/>
                    <w:autoSpaceDN/>
                    <w:bidi w:val="0"/>
                    <w:snapToGrid/>
                    <w:spacing w:line="240" w:lineRule="auto"/>
                    <w:ind w:firstLine="0" w:firstLineChars="0"/>
                    <w:jc w:val="center"/>
                    <w:textAlignment w:val="auto"/>
                    <w:rPr>
                      <w:rFonts w:hint="default" w:eastAsia="宋体"/>
                      <w:color w:val="auto"/>
                      <w:sz w:val="18"/>
                      <w:szCs w:val="18"/>
                      <w:highlight w:val="none"/>
                      <w:vertAlign w:val="baseline"/>
                      <w:lang w:val="en-US" w:eastAsia="zh-CN"/>
                    </w:rPr>
                  </w:pPr>
                  <w:r>
                    <w:rPr>
                      <w:rFonts w:hint="eastAsia"/>
                      <w:color w:val="auto"/>
                      <w:sz w:val="18"/>
                      <w:szCs w:val="18"/>
                      <w:highlight w:val="none"/>
                      <w:vertAlign w:val="baseline"/>
                      <w:lang w:val="en-US" w:eastAsia="zh-CN"/>
                    </w:rPr>
                    <w:t>59.0</w:t>
                  </w:r>
                </w:p>
              </w:tc>
              <w:tc>
                <w:tcPr>
                  <w:tcW w:w="1000" w:type="pct"/>
                  <w:vAlign w:val="center"/>
                </w:tcPr>
                <w:p>
                  <w:pPr>
                    <w:keepNext w:val="0"/>
                    <w:keepLines w:val="0"/>
                    <w:pageBreakBefore w:val="0"/>
                    <w:widowControl w:val="0"/>
                    <w:kinsoku/>
                    <w:wordWrap/>
                    <w:overflowPunct/>
                    <w:topLinePunct w:val="0"/>
                    <w:autoSpaceDE/>
                    <w:autoSpaceDN/>
                    <w:bidi w:val="0"/>
                    <w:snapToGrid/>
                    <w:spacing w:line="240" w:lineRule="auto"/>
                    <w:ind w:firstLine="0" w:firstLineChars="0"/>
                    <w:jc w:val="center"/>
                    <w:textAlignment w:val="auto"/>
                    <w:rPr>
                      <w:rFonts w:hint="eastAsia"/>
                      <w:color w:val="auto"/>
                      <w:sz w:val="18"/>
                      <w:szCs w:val="18"/>
                      <w:highlight w:val="none"/>
                      <w:vertAlign w:val="baseline"/>
                    </w:rPr>
                  </w:pPr>
                  <w:r>
                    <w:rPr>
                      <w:rFonts w:hint="eastAsia"/>
                      <w:color w:val="auto"/>
                      <w:sz w:val="18"/>
                      <w:szCs w:val="18"/>
                      <w:highlight w:val="none"/>
                      <w:vertAlign w:val="baseline"/>
                      <w:lang w:val="en-US" w:eastAsia="zh-CN"/>
                    </w:rPr>
                    <w:t>65</w:t>
                  </w:r>
                </w:p>
              </w:tc>
              <w:tc>
                <w:tcPr>
                  <w:tcW w:w="999" w:type="pct"/>
                  <w:vAlign w:val="center"/>
                </w:tcPr>
                <w:p>
                  <w:pPr>
                    <w:pStyle w:val="24"/>
                    <w:keepNext w:val="0"/>
                    <w:keepLines w:val="0"/>
                    <w:pageBreakBefore w:val="0"/>
                    <w:widowControl w:val="0"/>
                    <w:kinsoku/>
                    <w:wordWrap/>
                    <w:overflowPunct/>
                    <w:topLinePunct w:val="0"/>
                    <w:autoSpaceDE/>
                    <w:autoSpaceDN/>
                    <w:bidi w:val="0"/>
                    <w:snapToGrid/>
                    <w:spacing w:line="240" w:lineRule="auto"/>
                    <w:ind w:firstLine="0" w:firstLineChars="0"/>
                    <w:jc w:val="center"/>
                    <w:textAlignment w:val="auto"/>
                    <w:rPr>
                      <w:rFonts w:hint="default" w:eastAsia="宋体"/>
                      <w:color w:val="auto"/>
                      <w:sz w:val="18"/>
                      <w:szCs w:val="18"/>
                      <w:highlight w:val="none"/>
                      <w:vertAlign w:val="baseline"/>
                      <w:lang w:val="en-US" w:eastAsia="zh-CN"/>
                    </w:rPr>
                  </w:pPr>
                  <w:r>
                    <w:rPr>
                      <w:rFonts w:hint="eastAsia"/>
                      <w:color w:val="auto"/>
                      <w:sz w:val="18"/>
                      <w:szCs w:val="18"/>
                      <w:highlight w:val="none"/>
                      <w:vertAlign w:val="baseline"/>
                      <w:lang w:val="en-US" w:eastAsia="zh-CN"/>
                    </w:rPr>
                    <w:t>52.8</w:t>
                  </w:r>
                </w:p>
              </w:tc>
              <w:tc>
                <w:tcPr>
                  <w:tcW w:w="1000" w:type="pct"/>
                  <w:vAlign w:val="center"/>
                </w:tcPr>
                <w:p>
                  <w:pPr>
                    <w:pStyle w:val="24"/>
                    <w:keepNext w:val="0"/>
                    <w:keepLines w:val="0"/>
                    <w:pageBreakBefore w:val="0"/>
                    <w:widowControl w:val="0"/>
                    <w:kinsoku/>
                    <w:wordWrap/>
                    <w:overflowPunct/>
                    <w:topLinePunct w:val="0"/>
                    <w:autoSpaceDE/>
                    <w:autoSpaceDN/>
                    <w:bidi w:val="0"/>
                    <w:snapToGrid/>
                    <w:spacing w:line="240" w:lineRule="auto"/>
                    <w:ind w:firstLine="0" w:firstLineChars="0"/>
                    <w:jc w:val="center"/>
                    <w:textAlignment w:val="auto"/>
                    <w:rPr>
                      <w:rFonts w:hint="default" w:eastAsia="宋体"/>
                      <w:color w:val="auto"/>
                      <w:sz w:val="18"/>
                      <w:szCs w:val="18"/>
                      <w:highlight w:val="none"/>
                      <w:vertAlign w:val="baseline"/>
                      <w:lang w:val="en-US" w:eastAsia="zh-CN"/>
                    </w:rPr>
                  </w:pPr>
                  <w:r>
                    <w:rPr>
                      <w:rFonts w:hint="eastAsia"/>
                      <w:color w:val="auto"/>
                      <w:sz w:val="18"/>
                      <w:szCs w:val="18"/>
                      <w:highlight w:val="none"/>
                      <w:vertAlign w:val="baseline"/>
                      <w:lang w:val="en-US" w:eastAsia="zh-CN"/>
                    </w:rPr>
                    <w:t>55</w:t>
                  </w:r>
                </w:p>
              </w:tc>
            </w:tr>
          </w:tbl>
          <w:p>
            <w:pPr>
              <w:pStyle w:val="24"/>
              <w:spacing w:line="360" w:lineRule="auto"/>
              <w:ind w:firstLine="420"/>
              <w:rPr>
                <w:color w:val="auto"/>
                <w:sz w:val="21"/>
                <w:szCs w:val="21"/>
              </w:rPr>
            </w:pPr>
            <w:r>
              <w:rPr>
                <w:rFonts w:hint="eastAsia"/>
                <w:color w:val="auto"/>
                <w:sz w:val="21"/>
                <w:szCs w:val="21"/>
              </w:rPr>
              <w:t>从上表可知，项目在厂界布设的4个监测点昼夜间声环境均符合《声环境质量标准》(GB3096-2008)3类标准。</w:t>
            </w:r>
          </w:p>
          <w:p>
            <w:pPr>
              <w:widowControl/>
              <w:spacing w:line="360" w:lineRule="auto"/>
              <w:jc w:val="left"/>
              <w:rPr>
                <w:b/>
                <w:bCs/>
                <w:color w:val="auto"/>
              </w:rPr>
            </w:pPr>
            <w:r>
              <w:rPr>
                <w:b/>
                <w:bCs/>
                <w:color w:val="auto"/>
              </w:rPr>
              <w:t>3.4</w:t>
            </w:r>
            <w:r>
              <w:rPr>
                <w:rFonts w:hint="eastAsia"/>
                <w:b/>
                <w:bCs/>
                <w:color w:val="auto"/>
              </w:rPr>
              <w:t>地下水、土壤环境</w:t>
            </w:r>
          </w:p>
          <w:p>
            <w:pPr>
              <w:pStyle w:val="24"/>
              <w:spacing w:line="360" w:lineRule="auto"/>
              <w:ind w:firstLine="420"/>
              <w:rPr>
                <w:color w:val="auto"/>
                <w:sz w:val="21"/>
                <w:szCs w:val="21"/>
              </w:rPr>
            </w:pPr>
            <w:r>
              <w:rPr>
                <w:rFonts w:hint="eastAsia"/>
                <w:color w:val="auto"/>
                <w:sz w:val="21"/>
                <w:szCs w:val="21"/>
              </w:rPr>
              <w:t>根据《建设项目环境影响报告表编制技术指南（污染影响类）（试行）》“原则上不开展环境质量现状调查。建设项目存在土壤、地下水环境污染途径的，应结合污染源、保护目标分布情况开展现状调查以留作背景值。”</w:t>
            </w:r>
          </w:p>
          <w:p>
            <w:pPr>
              <w:pStyle w:val="24"/>
              <w:spacing w:line="360" w:lineRule="auto"/>
              <w:ind w:firstLine="420"/>
              <w:rPr>
                <w:rFonts w:hint="eastAsia"/>
                <w:color w:val="auto"/>
                <w:sz w:val="21"/>
                <w:szCs w:val="21"/>
              </w:rPr>
            </w:pPr>
            <w:r>
              <w:rPr>
                <w:rFonts w:hint="eastAsia"/>
                <w:color w:val="auto"/>
                <w:sz w:val="21"/>
                <w:szCs w:val="21"/>
              </w:rPr>
              <w:t>本项目车间地面及设备所在区域地面</w:t>
            </w:r>
            <w:r>
              <w:rPr>
                <w:rFonts w:hint="eastAsia"/>
                <w:color w:val="auto"/>
                <w:sz w:val="21"/>
                <w:szCs w:val="21"/>
                <w:lang w:val="en-US" w:eastAsia="zh-CN"/>
              </w:rPr>
              <w:t>拟</w:t>
            </w:r>
            <w:r>
              <w:rPr>
                <w:rFonts w:hint="eastAsia"/>
                <w:color w:val="auto"/>
                <w:sz w:val="21"/>
                <w:szCs w:val="21"/>
              </w:rPr>
              <w:t>进行硬化防渗处理，不存在污染物入渗或地面漫流造成土壤污染的途径，项目不涉及重金属或二噁英持久性有机大气污染物排放，不存在大气沉降污染地下水的途径，</w:t>
            </w:r>
            <w:r>
              <w:rPr>
                <w:rFonts w:hint="eastAsia"/>
                <w:color w:val="auto"/>
                <w:sz w:val="21"/>
                <w:szCs w:val="21"/>
                <w:lang w:val="en-US" w:eastAsia="zh-CN"/>
              </w:rPr>
              <w:t>原则上</w:t>
            </w:r>
            <w:r>
              <w:rPr>
                <w:rFonts w:hint="eastAsia"/>
                <w:color w:val="auto"/>
                <w:sz w:val="21"/>
                <w:szCs w:val="21"/>
              </w:rPr>
              <w:t>不开展地下水环境和土壤环境现状调查工作。</w:t>
            </w:r>
          </w:p>
          <w:p>
            <w:pPr>
              <w:pStyle w:val="24"/>
              <w:spacing w:line="360" w:lineRule="auto"/>
              <w:ind w:firstLine="420"/>
              <w:rPr>
                <w:rFonts w:hint="default"/>
                <w:color w:val="auto"/>
                <w:sz w:val="21"/>
                <w:szCs w:val="21"/>
                <w:lang w:val="en-US" w:eastAsia="zh-CN"/>
              </w:rPr>
            </w:pPr>
            <w:r>
              <w:rPr>
                <w:rFonts w:hint="eastAsia"/>
                <w:color w:val="auto"/>
                <w:sz w:val="21"/>
                <w:szCs w:val="21"/>
                <w:lang w:val="en-US" w:eastAsia="zh-CN"/>
              </w:rPr>
              <w:t>但为更好了解项目所在一厂厂区地下水和土壤环境现状，本次评价查阅建设单位官网公示的2025年土壤和地下水自行监测结果（www.hexafluo.com/article-47215-75773.html），拟建车间X1附近的土壤点TR06监测结果未见异常，厂内地下水监测点（DXS01、DXS02、DXS03）监测结果均未见异常，相关点位见附图5。</w:t>
            </w:r>
          </w:p>
          <w:p>
            <w:pPr>
              <w:widowControl/>
              <w:spacing w:line="360" w:lineRule="auto"/>
              <w:jc w:val="left"/>
              <w:rPr>
                <w:b/>
                <w:bCs/>
                <w:color w:val="auto"/>
              </w:rPr>
            </w:pPr>
            <w:r>
              <w:rPr>
                <w:b/>
                <w:bCs/>
                <w:color w:val="auto"/>
              </w:rPr>
              <w:t>3.</w:t>
            </w:r>
            <w:r>
              <w:rPr>
                <w:rFonts w:hint="eastAsia"/>
                <w:b/>
                <w:bCs/>
                <w:color w:val="auto"/>
              </w:rPr>
              <w:t>5生态环境</w:t>
            </w:r>
          </w:p>
          <w:p>
            <w:pPr>
              <w:pStyle w:val="24"/>
              <w:spacing w:line="360" w:lineRule="auto"/>
              <w:ind w:firstLine="420"/>
              <w:rPr>
                <w:color w:val="auto"/>
                <w:sz w:val="21"/>
                <w:szCs w:val="21"/>
              </w:rPr>
            </w:pPr>
            <w:r>
              <w:rPr>
                <w:color w:val="auto"/>
                <w:sz w:val="21"/>
                <w:szCs w:val="21"/>
              </w:rPr>
              <w:t>根据《建设项目环境影响报告表编制技术指南（污染影响类）（试行）》，位于产业园区外建设项目新增用地且用地范围内含有生态环境保护目标时，应进行生态现状调查。本项目在三明市海斯福化工有限责任公司现有一厂区内进行建设，不新增用地</w:t>
            </w:r>
            <w:r>
              <w:rPr>
                <w:rFonts w:hint="eastAsia"/>
                <w:color w:val="auto"/>
                <w:sz w:val="21"/>
                <w:szCs w:val="21"/>
              </w:rPr>
              <w:t>；且海斯福一厂区位于城镇开发边界范围内，未占用生态保护红线和永久基本农田，</w:t>
            </w:r>
            <w:r>
              <w:rPr>
                <w:color w:val="auto"/>
                <w:sz w:val="21"/>
                <w:szCs w:val="21"/>
              </w:rPr>
              <w:t>因此，本项目不开展生态现状调查。</w:t>
            </w:r>
          </w:p>
          <w:p>
            <w:pPr>
              <w:widowControl/>
              <w:spacing w:line="360" w:lineRule="auto"/>
              <w:jc w:val="left"/>
              <w:rPr>
                <w:b/>
                <w:bCs/>
                <w:color w:val="auto"/>
              </w:rPr>
            </w:pPr>
            <w:r>
              <w:rPr>
                <w:b/>
                <w:bCs/>
                <w:color w:val="auto"/>
              </w:rPr>
              <w:t>3.</w:t>
            </w:r>
            <w:r>
              <w:rPr>
                <w:rFonts w:hint="eastAsia"/>
                <w:b/>
                <w:bCs/>
                <w:color w:val="auto"/>
              </w:rPr>
              <w:t>6电磁辐射</w:t>
            </w:r>
          </w:p>
          <w:p>
            <w:pPr>
              <w:pStyle w:val="24"/>
              <w:spacing w:line="360" w:lineRule="auto"/>
              <w:ind w:firstLine="420"/>
              <w:rPr>
                <w:color w:val="auto"/>
                <w:sz w:val="18"/>
                <w:szCs w:val="18"/>
              </w:rPr>
            </w:pPr>
            <w:r>
              <w:rPr>
                <w:color w:val="auto"/>
                <w:sz w:val="21"/>
                <w:szCs w:val="21"/>
              </w:rPr>
              <w:t>根据《</w:t>
            </w:r>
            <w:r>
              <w:rPr>
                <w:rFonts w:hint="eastAsia"/>
                <w:color w:val="auto"/>
                <w:sz w:val="21"/>
                <w:szCs w:val="21"/>
              </w:rPr>
              <w:t>建设项目环境影响报告表编制技术指南（污染影响类）（试行）</w:t>
            </w:r>
            <w:r>
              <w:rPr>
                <w:color w:val="auto"/>
                <w:sz w:val="21"/>
                <w:szCs w:val="21"/>
              </w:rPr>
              <w:t>》</w:t>
            </w:r>
            <w:r>
              <w:rPr>
                <w:rFonts w:hint="eastAsia"/>
                <w:color w:val="auto"/>
                <w:sz w:val="21"/>
                <w:szCs w:val="21"/>
              </w:rPr>
              <w:t>，本项目不涉及广播电台、差转台、电视塔台、卫星地球上行站、雷达等电磁辐射类项目，因此不开展电磁辐射现状开展监测与评价。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439" w:type="dxa"/>
            <w:vAlign w:val="center"/>
          </w:tcPr>
          <w:p>
            <w:pPr>
              <w:jc w:val="center"/>
              <w:outlineLvl w:val="1"/>
              <w:rPr>
                <w:rFonts w:hint="default" w:eastAsia="宋体"/>
                <w:color w:val="auto"/>
                <w:szCs w:val="21"/>
                <w:lang w:val="en-US" w:eastAsia="zh-CN"/>
              </w:rPr>
            </w:pPr>
            <w:bookmarkStart w:id="45" w:name="_Toc5864"/>
            <w:bookmarkStart w:id="46" w:name="_Toc32190"/>
            <w:bookmarkStart w:id="47" w:name="_Toc21453"/>
            <w:r>
              <w:rPr>
                <w:rFonts w:hint="eastAsia"/>
                <w:color w:val="auto"/>
                <w:szCs w:val="21"/>
                <w:lang w:val="en-US" w:eastAsia="zh-CN"/>
              </w:rPr>
              <w:t>环境保护目标</w:t>
            </w:r>
            <w:bookmarkEnd w:id="45"/>
            <w:bookmarkEnd w:id="46"/>
            <w:bookmarkEnd w:id="47"/>
          </w:p>
        </w:tc>
        <w:tc>
          <w:tcPr>
            <w:tcW w:w="8083" w:type="dxa"/>
          </w:tcPr>
          <w:p>
            <w:pPr>
              <w:widowControl/>
              <w:spacing w:line="360" w:lineRule="auto"/>
              <w:jc w:val="left"/>
              <w:rPr>
                <w:b/>
                <w:bCs/>
                <w:color w:val="auto"/>
              </w:rPr>
            </w:pPr>
            <w:r>
              <w:rPr>
                <w:rFonts w:hint="eastAsia"/>
                <w:b/>
                <w:bCs/>
                <w:color w:val="auto"/>
              </w:rPr>
              <w:t>3.7环境保护目标</w:t>
            </w:r>
          </w:p>
          <w:p>
            <w:pPr>
              <w:pStyle w:val="41"/>
              <w:spacing w:before="0" w:beforeAutospacing="0" w:after="0" w:afterAutospacing="0"/>
              <w:rPr>
                <w:rFonts w:eastAsia="宋体"/>
                <w:b w:val="0"/>
                <w:bCs w:val="0"/>
                <w:color w:val="auto"/>
                <w:spacing w:val="6"/>
                <w:sz w:val="21"/>
                <w:szCs w:val="21"/>
              </w:rPr>
            </w:pPr>
            <w:r>
              <w:rPr>
                <w:rFonts w:hint="eastAsia" w:eastAsia="宋体"/>
                <w:b w:val="0"/>
                <w:bCs w:val="0"/>
                <w:color w:val="auto"/>
                <w:spacing w:val="6"/>
                <w:sz w:val="21"/>
                <w:szCs w:val="21"/>
              </w:rPr>
              <w:t>1.大气环境：</w:t>
            </w:r>
          </w:p>
          <w:p>
            <w:pPr>
              <w:pStyle w:val="41"/>
              <w:spacing w:before="0" w:beforeAutospacing="0" w:after="0" w:afterAutospacing="0"/>
              <w:ind w:firstLine="444" w:firstLineChars="200"/>
              <w:rPr>
                <w:rFonts w:eastAsia="宋体"/>
                <w:b w:val="0"/>
                <w:bCs w:val="0"/>
                <w:color w:val="auto"/>
                <w:spacing w:val="6"/>
                <w:sz w:val="21"/>
                <w:szCs w:val="21"/>
              </w:rPr>
            </w:pPr>
            <w:r>
              <w:rPr>
                <w:rFonts w:hint="eastAsia" w:eastAsia="宋体"/>
                <w:b w:val="0"/>
                <w:bCs w:val="0"/>
                <w:color w:val="auto"/>
                <w:spacing w:val="6"/>
                <w:sz w:val="21"/>
                <w:szCs w:val="21"/>
              </w:rPr>
              <w:t>评价范围内敏感目标见下表。其中距离最近为东北侧55m的</w:t>
            </w:r>
            <w:r>
              <w:rPr>
                <w:rFonts w:hint="eastAsia" w:eastAsia="宋体"/>
                <w:b w:val="0"/>
                <w:bCs w:val="0"/>
                <w:color w:val="auto"/>
                <w:spacing w:val="6"/>
                <w:sz w:val="21"/>
                <w:szCs w:val="21"/>
                <w:lang w:eastAsia="zh-CN"/>
              </w:rPr>
              <w:t>王陂村</w:t>
            </w:r>
            <w:r>
              <w:rPr>
                <w:rFonts w:hint="eastAsia" w:eastAsia="宋体"/>
                <w:b w:val="0"/>
                <w:bCs w:val="0"/>
                <w:color w:val="auto"/>
                <w:spacing w:val="6"/>
                <w:sz w:val="21"/>
                <w:szCs w:val="21"/>
              </w:rPr>
              <w:t>。</w:t>
            </w:r>
          </w:p>
          <w:p>
            <w:pPr>
              <w:pStyle w:val="41"/>
              <w:spacing w:before="0" w:beforeAutospacing="0" w:after="0" w:afterAutospacing="0"/>
              <w:rPr>
                <w:rFonts w:eastAsia="宋体"/>
                <w:b w:val="0"/>
                <w:bCs w:val="0"/>
                <w:color w:val="auto"/>
                <w:spacing w:val="6"/>
                <w:sz w:val="21"/>
                <w:szCs w:val="21"/>
              </w:rPr>
            </w:pPr>
            <w:r>
              <w:rPr>
                <w:rFonts w:hint="eastAsia" w:eastAsia="宋体"/>
                <w:b w:val="0"/>
                <w:bCs w:val="0"/>
                <w:color w:val="auto"/>
                <w:spacing w:val="6"/>
                <w:sz w:val="21"/>
                <w:szCs w:val="21"/>
              </w:rPr>
              <w:t>2.声环境：</w:t>
            </w:r>
          </w:p>
          <w:p>
            <w:pPr>
              <w:spacing w:line="360" w:lineRule="auto"/>
              <w:ind w:firstLine="444" w:firstLineChars="200"/>
              <w:rPr>
                <w:color w:val="auto"/>
                <w:spacing w:val="6"/>
                <w:szCs w:val="21"/>
              </w:rPr>
            </w:pPr>
            <w:r>
              <w:rPr>
                <w:rFonts w:hint="eastAsia"/>
                <w:color w:val="auto"/>
                <w:spacing w:val="6"/>
                <w:szCs w:val="21"/>
              </w:rPr>
              <w:t>项目厂界外50米范围内无声环境保护目标。</w:t>
            </w:r>
          </w:p>
          <w:p>
            <w:pPr>
              <w:pStyle w:val="41"/>
              <w:spacing w:before="0" w:beforeAutospacing="0" w:after="0" w:afterAutospacing="0"/>
              <w:rPr>
                <w:rFonts w:eastAsia="宋体"/>
                <w:b w:val="0"/>
                <w:bCs w:val="0"/>
                <w:color w:val="auto"/>
                <w:spacing w:val="6"/>
                <w:sz w:val="21"/>
                <w:szCs w:val="21"/>
              </w:rPr>
            </w:pPr>
            <w:r>
              <w:rPr>
                <w:rFonts w:hint="eastAsia" w:eastAsia="宋体"/>
                <w:b w:val="0"/>
                <w:bCs w:val="0"/>
                <w:color w:val="auto"/>
                <w:spacing w:val="6"/>
                <w:sz w:val="21"/>
                <w:szCs w:val="21"/>
              </w:rPr>
              <w:t>3.地下水环境：</w:t>
            </w:r>
          </w:p>
          <w:p>
            <w:pPr>
              <w:spacing w:line="360" w:lineRule="auto"/>
              <w:ind w:firstLine="444" w:firstLineChars="200"/>
              <w:rPr>
                <w:color w:val="auto"/>
                <w:spacing w:val="6"/>
                <w:szCs w:val="21"/>
              </w:rPr>
            </w:pPr>
            <w:r>
              <w:rPr>
                <w:rFonts w:hint="eastAsia"/>
                <w:color w:val="auto"/>
                <w:spacing w:val="6"/>
                <w:szCs w:val="21"/>
              </w:rPr>
              <w:t>项目厂界外500米范围内无地下水集中式饮用水水源和热水、矿泉水、温泉等特殊地下水资源，无地下水环境保护目标。</w:t>
            </w:r>
          </w:p>
          <w:p>
            <w:pPr>
              <w:pStyle w:val="41"/>
              <w:spacing w:before="0" w:beforeAutospacing="0" w:after="0" w:afterAutospacing="0"/>
              <w:rPr>
                <w:rFonts w:eastAsia="宋体"/>
                <w:b w:val="0"/>
                <w:bCs w:val="0"/>
                <w:color w:val="auto"/>
                <w:spacing w:val="6"/>
                <w:sz w:val="21"/>
                <w:szCs w:val="21"/>
              </w:rPr>
            </w:pPr>
            <w:r>
              <w:rPr>
                <w:rFonts w:hint="eastAsia" w:eastAsia="宋体"/>
                <w:b w:val="0"/>
                <w:bCs w:val="0"/>
                <w:color w:val="auto"/>
                <w:spacing w:val="6"/>
                <w:sz w:val="21"/>
                <w:szCs w:val="21"/>
              </w:rPr>
              <w:t>4.生态环境：</w:t>
            </w:r>
          </w:p>
          <w:p>
            <w:pPr>
              <w:adjustRightInd w:val="0"/>
              <w:snapToGrid w:val="0"/>
              <w:spacing w:line="360" w:lineRule="auto"/>
              <w:ind w:firstLine="420" w:firstLineChars="200"/>
              <w:jc w:val="left"/>
              <w:rPr>
                <w:color w:val="auto"/>
                <w:szCs w:val="21"/>
              </w:rPr>
            </w:pPr>
            <w:r>
              <w:rPr>
                <w:rFonts w:hint="eastAsia"/>
                <w:color w:val="auto"/>
                <w:szCs w:val="21"/>
              </w:rPr>
              <w:t>项目在现有厂区内进行建设，未新增用地，不涉及生态环境保护目标。</w:t>
            </w:r>
          </w:p>
          <w:p>
            <w:pPr>
              <w:pStyle w:val="40"/>
              <w:spacing w:line="360" w:lineRule="auto"/>
              <w:ind w:firstLine="444"/>
              <w:rPr>
                <w:rFonts w:hint="eastAsia" w:eastAsia="宋体" w:cs="Times New Roman"/>
                <w:color w:val="auto"/>
                <w:sz w:val="21"/>
                <w:szCs w:val="21"/>
              </w:rPr>
            </w:pPr>
            <w:r>
              <w:rPr>
                <w:rFonts w:hint="eastAsia" w:eastAsia="宋体" w:cs="Times New Roman"/>
                <w:color w:val="auto"/>
                <w:sz w:val="21"/>
                <w:szCs w:val="21"/>
              </w:rPr>
              <w:t>各敏感目标具体位置见附图</w:t>
            </w:r>
            <w:r>
              <w:rPr>
                <w:rFonts w:hint="eastAsia" w:eastAsia="宋体" w:cs="Times New Roman"/>
                <w:color w:val="auto"/>
                <w:sz w:val="21"/>
                <w:szCs w:val="21"/>
                <w:lang w:val="en-US" w:eastAsia="zh-CN"/>
              </w:rPr>
              <w:t>2</w:t>
            </w:r>
            <w:r>
              <w:rPr>
                <w:rFonts w:hint="eastAsia" w:eastAsia="宋体" w:cs="Times New Roman"/>
                <w:color w:val="auto"/>
                <w:sz w:val="21"/>
                <w:szCs w:val="21"/>
              </w:rPr>
              <w:t>。</w:t>
            </w:r>
          </w:p>
          <w:p>
            <w:pPr>
              <w:spacing w:before="194" w:beforeLines="50"/>
              <w:jc w:val="center"/>
              <w:outlineLvl w:val="5"/>
              <w:rPr>
                <w:rFonts w:hint="default" w:eastAsia="宋体" w:cs="Times New Roman"/>
                <w:b/>
                <w:color w:val="auto"/>
                <w:spacing w:val="0"/>
                <w:sz w:val="21"/>
                <w:szCs w:val="21"/>
                <w:lang w:val="en-US" w:eastAsia="zh-CN"/>
              </w:rPr>
            </w:pPr>
            <w:r>
              <w:rPr>
                <w:rFonts w:hint="default" w:eastAsia="宋体" w:cs="Times New Roman"/>
                <w:b/>
                <w:color w:val="auto"/>
                <w:spacing w:val="0"/>
                <w:sz w:val="21"/>
                <w:szCs w:val="21"/>
                <w:lang w:val="en-US" w:eastAsia="zh-CN"/>
              </w:rPr>
              <w:t>表3-</w:t>
            </w:r>
            <w:r>
              <w:rPr>
                <w:rFonts w:hint="eastAsia" w:eastAsia="宋体" w:cs="Times New Roman"/>
                <w:b/>
                <w:color w:val="auto"/>
                <w:spacing w:val="0"/>
                <w:sz w:val="21"/>
                <w:szCs w:val="21"/>
                <w:lang w:val="en-US" w:eastAsia="zh-CN"/>
              </w:rPr>
              <w:t>7</w:t>
            </w:r>
            <w:r>
              <w:rPr>
                <w:rFonts w:hint="default" w:eastAsia="宋体" w:cs="Times New Roman"/>
                <w:b/>
                <w:color w:val="auto"/>
                <w:spacing w:val="0"/>
                <w:sz w:val="21"/>
                <w:szCs w:val="21"/>
                <w:lang w:val="en-US" w:eastAsia="zh-CN"/>
              </w:rPr>
              <w:t>敏感目标</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2765"/>
              <w:gridCol w:w="1118"/>
              <w:gridCol w:w="891"/>
              <w:gridCol w:w="960"/>
              <w:gridCol w:w="13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467" w:type="pct"/>
                  <w:tcBorders>
                    <w:right w:val="single" w:color="auto" w:sz="2" w:space="0"/>
                  </w:tcBorders>
                  <w:tcMar>
                    <w:left w:w="0" w:type="dxa"/>
                    <w:right w:w="0" w:type="dxa"/>
                  </w:tcMar>
                  <w:vAlign w:val="center"/>
                </w:tcPr>
                <w:p>
                  <w:pPr>
                    <w:pStyle w:val="27"/>
                    <w:spacing w:line="240" w:lineRule="auto"/>
                    <w:rPr>
                      <w:b/>
                      <w:bCs/>
                      <w:color w:val="auto"/>
                      <w:sz w:val="18"/>
                      <w:szCs w:val="18"/>
                    </w:rPr>
                  </w:pPr>
                  <w:r>
                    <w:rPr>
                      <w:rFonts w:hint="eastAsia"/>
                      <w:b/>
                      <w:bCs/>
                      <w:color w:val="auto"/>
                      <w:sz w:val="18"/>
                      <w:szCs w:val="18"/>
                    </w:rPr>
                    <w:t>环境要素</w:t>
                  </w:r>
                </w:p>
              </w:tc>
              <w:tc>
                <w:tcPr>
                  <w:tcW w:w="3648" w:type="pct"/>
                  <w:gridSpan w:val="4"/>
                  <w:vAlign w:val="center"/>
                </w:tcPr>
                <w:p>
                  <w:pPr>
                    <w:pStyle w:val="27"/>
                    <w:spacing w:line="240" w:lineRule="auto"/>
                    <w:rPr>
                      <w:b/>
                      <w:bCs/>
                      <w:color w:val="auto"/>
                      <w:sz w:val="18"/>
                      <w:szCs w:val="18"/>
                    </w:rPr>
                  </w:pPr>
                  <w:r>
                    <w:rPr>
                      <w:rFonts w:hint="eastAsia"/>
                      <w:b/>
                      <w:bCs/>
                      <w:color w:val="auto"/>
                      <w:sz w:val="18"/>
                      <w:szCs w:val="18"/>
                    </w:rPr>
                    <w:t>保护目标情况</w:t>
                  </w:r>
                </w:p>
              </w:tc>
              <w:tc>
                <w:tcPr>
                  <w:tcW w:w="884" w:type="pct"/>
                  <w:vAlign w:val="center"/>
                </w:tcPr>
                <w:p>
                  <w:pPr>
                    <w:pStyle w:val="27"/>
                    <w:spacing w:line="240" w:lineRule="auto"/>
                    <w:rPr>
                      <w:b/>
                      <w:bCs/>
                      <w:color w:val="auto"/>
                      <w:sz w:val="18"/>
                      <w:szCs w:val="18"/>
                    </w:rPr>
                  </w:pPr>
                  <w:r>
                    <w:rPr>
                      <w:b/>
                      <w:bCs/>
                      <w:color w:val="auto"/>
                      <w:sz w:val="18"/>
                      <w:szCs w:val="18"/>
                    </w:rPr>
                    <w:t>环境功能区划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67" w:type="pct"/>
                  <w:vMerge w:val="restart"/>
                  <w:tcBorders>
                    <w:right w:val="single" w:color="auto" w:sz="2" w:space="0"/>
                  </w:tcBorders>
                  <w:tcMar>
                    <w:left w:w="0" w:type="dxa"/>
                    <w:right w:w="0" w:type="dxa"/>
                  </w:tcMar>
                  <w:vAlign w:val="center"/>
                </w:tcPr>
                <w:p>
                  <w:pPr>
                    <w:pStyle w:val="27"/>
                    <w:spacing w:line="240" w:lineRule="auto"/>
                    <w:rPr>
                      <w:rFonts w:cs="宋体"/>
                      <w:snapToGrid w:val="0"/>
                      <w:color w:val="auto"/>
                      <w:sz w:val="18"/>
                      <w:szCs w:val="18"/>
                    </w:rPr>
                  </w:pPr>
                  <w:r>
                    <w:rPr>
                      <w:rFonts w:hint="eastAsia" w:cs="宋体"/>
                      <w:snapToGrid w:val="0"/>
                      <w:color w:val="auto"/>
                      <w:sz w:val="18"/>
                      <w:szCs w:val="18"/>
                    </w:rPr>
                    <w:t>大气环境</w:t>
                  </w:r>
                </w:p>
              </w:tc>
              <w:tc>
                <w:tcPr>
                  <w:tcW w:w="1759" w:type="pct"/>
                  <w:vAlign w:val="center"/>
                </w:tcPr>
                <w:p>
                  <w:pPr>
                    <w:pStyle w:val="32"/>
                    <w:spacing w:line="240" w:lineRule="auto"/>
                    <w:rPr>
                      <w:rFonts w:hint="eastAsia" w:eastAsia="宋体"/>
                      <w:color w:val="auto"/>
                      <w:sz w:val="18"/>
                      <w:szCs w:val="18"/>
                      <w:lang w:eastAsia="zh-CN"/>
                    </w:rPr>
                  </w:pPr>
                  <w:r>
                    <w:rPr>
                      <w:rFonts w:hint="eastAsia"/>
                      <w:color w:val="auto"/>
                      <w:sz w:val="18"/>
                      <w:szCs w:val="18"/>
                      <w:lang w:eastAsia="zh-CN"/>
                    </w:rPr>
                    <w:t>王陂村</w:t>
                  </w:r>
                </w:p>
              </w:tc>
              <w:tc>
                <w:tcPr>
                  <w:tcW w:w="711" w:type="pct"/>
                  <w:vAlign w:val="center"/>
                </w:tcPr>
                <w:p>
                  <w:pPr>
                    <w:pStyle w:val="39"/>
                    <w:spacing w:line="240" w:lineRule="auto"/>
                    <w:rPr>
                      <w:color w:val="auto"/>
                      <w:sz w:val="18"/>
                      <w:szCs w:val="18"/>
                    </w:rPr>
                  </w:pPr>
                  <w:r>
                    <w:rPr>
                      <w:rFonts w:hint="eastAsia"/>
                      <w:color w:val="auto"/>
                      <w:sz w:val="18"/>
                      <w:szCs w:val="18"/>
                    </w:rPr>
                    <w:t>村庄</w:t>
                  </w:r>
                </w:p>
              </w:tc>
              <w:tc>
                <w:tcPr>
                  <w:tcW w:w="567" w:type="pct"/>
                  <w:vAlign w:val="center"/>
                </w:tcPr>
                <w:p>
                  <w:pPr>
                    <w:pStyle w:val="32"/>
                    <w:spacing w:line="240" w:lineRule="auto"/>
                    <w:rPr>
                      <w:color w:val="auto"/>
                      <w:sz w:val="18"/>
                      <w:szCs w:val="18"/>
                    </w:rPr>
                  </w:pPr>
                  <w:r>
                    <w:rPr>
                      <w:rFonts w:hint="eastAsia"/>
                      <w:color w:val="auto"/>
                      <w:sz w:val="18"/>
                      <w:szCs w:val="18"/>
                    </w:rPr>
                    <w:t>东北</w:t>
                  </w:r>
                </w:p>
              </w:tc>
              <w:tc>
                <w:tcPr>
                  <w:tcW w:w="609" w:type="pct"/>
                  <w:vAlign w:val="center"/>
                </w:tcPr>
                <w:p>
                  <w:pPr>
                    <w:pStyle w:val="32"/>
                    <w:spacing w:line="240" w:lineRule="auto"/>
                    <w:rPr>
                      <w:color w:val="auto"/>
                      <w:sz w:val="18"/>
                      <w:szCs w:val="18"/>
                    </w:rPr>
                  </w:pPr>
                  <w:r>
                    <w:rPr>
                      <w:rFonts w:hint="eastAsia"/>
                      <w:color w:val="auto"/>
                      <w:sz w:val="18"/>
                      <w:szCs w:val="18"/>
                    </w:rPr>
                    <w:t>55m</w:t>
                  </w:r>
                </w:p>
              </w:tc>
              <w:tc>
                <w:tcPr>
                  <w:tcW w:w="884" w:type="pct"/>
                  <w:vMerge w:val="restart"/>
                  <w:vAlign w:val="center"/>
                </w:tcPr>
                <w:p>
                  <w:pPr>
                    <w:pStyle w:val="27"/>
                    <w:spacing w:line="240" w:lineRule="auto"/>
                    <w:rPr>
                      <w:color w:val="auto"/>
                      <w:sz w:val="18"/>
                      <w:szCs w:val="18"/>
                    </w:rPr>
                  </w:pPr>
                  <w:r>
                    <w:rPr>
                      <w:rFonts w:hint="eastAsia"/>
                      <w:color w:val="auto"/>
                      <w:sz w:val="18"/>
                      <w:szCs w:val="18"/>
                    </w:rPr>
                    <w:t>二类区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67" w:type="pct"/>
                  <w:vMerge w:val="continue"/>
                  <w:tcBorders>
                    <w:right w:val="single" w:color="auto" w:sz="2" w:space="0"/>
                  </w:tcBorders>
                  <w:tcMar>
                    <w:left w:w="0" w:type="dxa"/>
                    <w:right w:w="0" w:type="dxa"/>
                  </w:tcMar>
                  <w:vAlign w:val="center"/>
                </w:tcPr>
                <w:p>
                  <w:pPr>
                    <w:pStyle w:val="27"/>
                    <w:spacing w:line="240" w:lineRule="auto"/>
                    <w:rPr>
                      <w:rFonts w:cs="宋体"/>
                      <w:snapToGrid w:val="0"/>
                      <w:color w:val="auto"/>
                      <w:sz w:val="18"/>
                      <w:szCs w:val="18"/>
                    </w:rPr>
                  </w:pPr>
                </w:p>
              </w:tc>
              <w:tc>
                <w:tcPr>
                  <w:tcW w:w="1759" w:type="pct"/>
                  <w:vAlign w:val="center"/>
                </w:tcPr>
                <w:p>
                  <w:pPr>
                    <w:pStyle w:val="32"/>
                    <w:spacing w:line="240" w:lineRule="auto"/>
                    <w:rPr>
                      <w:rFonts w:hint="eastAsia"/>
                      <w:color w:val="auto"/>
                      <w:sz w:val="18"/>
                      <w:szCs w:val="18"/>
                    </w:rPr>
                  </w:pPr>
                  <w:r>
                    <w:rPr>
                      <w:rFonts w:hint="eastAsia"/>
                      <w:color w:val="auto"/>
                      <w:sz w:val="18"/>
                      <w:szCs w:val="18"/>
                    </w:rPr>
                    <w:t>大焦村2户拟拆迁居民点</w:t>
                  </w:r>
                </w:p>
                <w:p>
                  <w:pPr>
                    <w:pStyle w:val="32"/>
                    <w:spacing w:line="240" w:lineRule="auto"/>
                    <w:rPr>
                      <w:color w:val="auto"/>
                      <w:sz w:val="18"/>
                      <w:szCs w:val="18"/>
                    </w:rPr>
                  </w:pPr>
                  <w:r>
                    <w:rPr>
                      <w:rFonts w:hint="eastAsia"/>
                      <w:color w:val="auto"/>
                      <w:sz w:val="18"/>
                      <w:szCs w:val="18"/>
                    </w:rPr>
                    <w:t>（明溪县工业集中区规划拆迁）</w:t>
                  </w:r>
                </w:p>
              </w:tc>
              <w:tc>
                <w:tcPr>
                  <w:tcW w:w="711" w:type="pct"/>
                  <w:vAlign w:val="center"/>
                </w:tcPr>
                <w:p>
                  <w:pPr>
                    <w:pStyle w:val="39"/>
                    <w:spacing w:line="240" w:lineRule="auto"/>
                    <w:rPr>
                      <w:color w:val="auto"/>
                      <w:sz w:val="18"/>
                      <w:szCs w:val="18"/>
                    </w:rPr>
                  </w:pPr>
                  <w:r>
                    <w:rPr>
                      <w:rFonts w:hint="eastAsia"/>
                      <w:color w:val="auto"/>
                      <w:sz w:val="18"/>
                      <w:szCs w:val="18"/>
                    </w:rPr>
                    <w:t>周边居民点</w:t>
                  </w:r>
                </w:p>
              </w:tc>
              <w:tc>
                <w:tcPr>
                  <w:tcW w:w="567" w:type="pct"/>
                  <w:vAlign w:val="center"/>
                </w:tcPr>
                <w:p>
                  <w:pPr>
                    <w:pStyle w:val="32"/>
                    <w:spacing w:line="240" w:lineRule="auto"/>
                    <w:rPr>
                      <w:color w:val="auto"/>
                      <w:sz w:val="18"/>
                      <w:szCs w:val="18"/>
                    </w:rPr>
                  </w:pPr>
                  <w:r>
                    <w:rPr>
                      <w:rFonts w:hint="eastAsia"/>
                      <w:color w:val="auto"/>
                      <w:sz w:val="18"/>
                      <w:szCs w:val="18"/>
                    </w:rPr>
                    <w:t>西南</w:t>
                  </w:r>
                </w:p>
              </w:tc>
              <w:tc>
                <w:tcPr>
                  <w:tcW w:w="609" w:type="pct"/>
                  <w:vAlign w:val="center"/>
                </w:tcPr>
                <w:p>
                  <w:pPr>
                    <w:pStyle w:val="32"/>
                    <w:spacing w:line="240" w:lineRule="auto"/>
                    <w:rPr>
                      <w:color w:val="auto"/>
                      <w:sz w:val="18"/>
                      <w:szCs w:val="18"/>
                    </w:rPr>
                  </w:pPr>
                  <w:r>
                    <w:rPr>
                      <w:rFonts w:hint="eastAsia"/>
                      <w:color w:val="auto"/>
                      <w:sz w:val="18"/>
                      <w:szCs w:val="18"/>
                    </w:rPr>
                    <w:t>200m</w:t>
                  </w:r>
                </w:p>
              </w:tc>
              <w:tc>
                <w:tcPr>
                  <w:tcW w:w="884" w:type="pct"/>
                  <w:vMerge w:val="continue"/>
                  <w:vAlign w:val="center"/>
                </w:tcPr>
                <w:p>
                  <w:pPr>
                    <w:pStyle w:val="27"/>
                    <w:spacing w:line="240" w:lineRule="auto"/>
                    <w:rPr>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67" w:type="pct"/>
                  <w:vMerge w:val="continue"/>
                  <w:tcBorders>
                    <w:right w:val="single" w:color="auto" w:sz="2" w:space="0"/>
                  </w:tcBorders>
                  <w:tcMar>
                    <w:left w:w="0" w:type="dxa"/>
                    <w:right w:w="0" w:type="dxa"/>
                  </w:tcMar>
                  <w:vAlign w:val="center"/>
                </w:tcPr>
                <w:p>
                  <w:pPr>
                    <w:pStyle w:val="27"/>
                    <w:spacing w:line="240" w:lineRule="auto"/>
                    <w:rPr>
                      <w:rFonts w:cs="宋体"/>
                      <w:snapToGrid w:val="0"/>
                      <w:color w:val="auto"/>
                      <w:sz w:val="18"/>
                      <w:szCs w:val="18"/>
                    </w:rPr>
                  </w:pPr>
                </w:p>
              </w:tc>
              <w:tc>
                <w:tcPr>
                  <w:tcW w:w="1759" w:type="pct"/>
                  <w:vAlign w:val="center"/>
                </w:tcPr>
                <w:p>
                  <w:pPr>
                    <w:pStyle w:val="32"/>
                    <w:spacing w:line="240" w:lineRule="auto"/>
                    <w:rPr>
                      <w:color w:val="auto"/>
                      <w:sz w:val="18"/>
                      <w:szCs w:val="18"/>
                    </w:rPr>
                  </w:pPr>
                  <w:r>
                    <w:rPr>
                      <w:rFonts w:hint="eastAsia"/>
                      <w:color w:val="auto"/>
                      <w:sz w:val="18"/>
                      <w:szCs w:val="18"/>
                    </w:rPr>
                    <w:t>大焦村（不含规划拆迁居民点）</w:t>
                  </w:r>
                </w:p>
              </w:tc>
              <w:tc>
                <w:tcPr>
                  <w:tcW w:w="711" w:type="pct"/>
                  <w:vAlign w:val="center"/>
                </w:tcPr>
                <w:p>
                  <w:pPr>
                    <w:pStyle w:val="39"/>
                    <w:spacing w:line="240" w:lineRule="auto"/>
                    <w:rPr>
                      <w:color w:val="auto"/>
                      <w:sz w:val="18"/>
                      <w:szCs w:val="18"/>
                    </w:rPr>
                  </w:pPr>
                  <w:r>
                    <w:rPr>
                      <w:rFonts w:hint="eastAsia"/>
                      <w:color w:val="auto"/>
                      <w:sz w:val="18"/>
                      <w:szCs w:val="18"/>
                    </w:rPr>
                    <w:t>村庄</w:t>
                  </w:r>
                </w:p>
              </w:tc>
              <w:tc>
                <w:tcPr>
                  <w:tcW w:w="567" w:type="pct"/>
                  <w:vAlign w:val="center"/>
                </w:tcPr>
                <w:p>
                  <w:pPr>
                    <w:pStyle w:val="32"/>
                    <w:spacing w:line="240" w:lineRule="auto"/>
                    <w:rPr>
                      <w:color w:val="auto"/>
                      <w:sz w:val="18"/>
                      <w:szCs w:val="18"/>
                    </w:rPr>
                  </w:pPr>
                  <w:r>
                    <w:rPr>
                      <w:rFonts w:hint="eastAsia"/>
                      <w:color w:val="auto"/>
                      <w:sz w:val="18"/>
                      <w:szCs w:val="18"/>
                    </w:rPr>
                    <w:t>西南</w:t>
                  </w:r>
                </w:p>
              </w:tc>
              <w:tc>
                <w:tcPr>
                  <w:tcW w:w="609" w:type="pct"/>
                  <w:vAlign w:val="center"/>
                </w:tcPr>
                <w:p>
                  <w:pPr>
                    <w:pStyle w:val="32"/>
                    <w:spacing w:line="240" w:lineRule="auto"/>
                    <w:rPr>
                      <w:color w:val="auto"/>
                      <w:sz w:val="18"/>
                      <w:szCs w:val="18"/>
                    </w:rPr>
                  </w:pPr>
                  <w:r>
                    <w:rPr>
                      <w:rFonts w:hint="eastAsia"/>
                      <w:color w:val="auto"/>
                      <w:sz w:val="18"/>
                      <w:szCs w:val="18"/>
                    </w:rPr>
                    <w:t>300m</w:t>
                  </w:r>
                </w:p>
              </w:tc>
              <w:tc>
                <w:tcPr>
                  <w:tcW w:w="884" w:type="pct"/>
                  <w:vMerge w:val="continue"/>
                  <w:vAlign w:val="center"/>
                </w:tcPr>
                <w:p>
                  <w:pPr>
                    <w:pStyle w:val="27"/>
                    <w:spacing w:line="240" w:lineRule="auto"/>
                    <w:rPr>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67" w:type="pct"/>
                  <w:vMerge w:val="continue"/>
                  <w:tcBorders>
                    <w:right w:val="single" w:color="auto" w:sz="2" w:space="0"/>
                  </w:tcBorders>
                  <w:tcMar>
                    <w:left w:w="0" w:type="dxa"/>
                    <w:right w:w="0" w:type="dxa"/>
                  </w:tcMar>
                  <w:vAlign w:val="center"/>
                </w:tcPr>
                <w:p>
                  <w:pPr>
                    <w:pStyle w:val="27"/>
                    <w:spacing w:line="240" w:lineRule="auto"/>
                    <w:rPr>
                      <w:rFonts w:cs="宋体"/>
                      <w:snapToGrid w:val="0"/>
                      <w:color w:val="auto"/>
                      <w:sz w:val="18"/>
                      <w:szCs w:val="18"/>
                    </w:rPr>
                  </w:pPr>
                </w:p>
              </w:tc>
              <w:tc>
                <w:tcPr>
                  <w:tcW w:w="1759" w:type="pct"/>
                  <w:vAlign w:val="center"/>
                </w:tcPr>
                <w:p>
                  <w:pPr>
                    <w:pStyle w:val="32"/>
                    <w:spacing w:line="240" w:lineRule="auto"/>
                    <w:rPr>
                      <w:color w:val="auto"/>
                      <w:sz w:val="18"/>
                      <w:szCs w:val="18"/>
                    </w:rPr>
                  </w:pPr>
                  <w:r>
                    <w:rPr>
                      <w:rFonts w:hint="eastAsia"/>
                      <w:color w:val="auto"/>
                      <w:sz w:val="18"/>
                      <w:szCs w:val="18"/>
                    </w:rPr>
                    <w:t>庭坊</w:t>
                  </w:r>
                </w:p>
              </w:tc>
              <w:tc>
                <w:tcPr>
                  <w:tcW w:w="711" w:type="pct"/>
                  <w:vAlign w:val="center"/>
                </w:tcPr>
                <w:p>
                  <w:pPr>
                    <w:pStyle w:val="39"/>
                    <w:spacing w:line="240" w:lineRule="auto"/>
                    <w:rPr>
                      <w:color w:val="auto"/>
                      <w:sz w:val="18"/>
                      <w:szCs w:val="18"/>
                    </w:rPr>
                  </w:pPr>
                  <w:r>
                    <w:rPr>
                      <w:rFonts w:hint="eastAsia"/>
                      <w:color w:val="auto"/>
                      <w:sz w:val="18"/>
                      <w:szCs w:val="18"/>
                    </w:rPr>
                    <w:t>村庄</w:t>
                  </w:r>
                </w:p>
              </w:tc>
              <w:tc>
                <w:tcPr>
                  <w:tcW w:w="567" w:type="pct"/>
                  <w:vAlign w:val="center"/>
                </w:tcPr>
                <w:p>
                  <w:pPr>
                    <w:pStyle w:val="32"/>
                    <w:spacing w:line="240" w:lineRule="auto"/>
                    <w:rPr>
                      <w:color w:val="auto"/>
                      <w:sz w:val="18"/>
                      <w:szCs w:val="18"/>
                    </w:rPr>
                  </w:pPr>
                  <w:r>
                    <w:rPr>
                      <w:rFonts w:hint="eastAsia"/>
                      <w:color w:val="auto"/>
                      <w:sz w:val="18"/>
                      <w:szCs w:val="18"/>
                    </w:rPr>
                    <w:t>西北</w:t>
                  </w:r>
                </w:p>
              </w:tc>
              <w:tc>
                <w:tcPr>
                  <w:tcW w:w="609" w:type="pct"/>
                  <w:vAlign w:val="center"/>
                </w:tcPr>
                <w:p>
                  <w:pPr>
                    <w:pStyle w:val="32"/>
                    <w:spacing w:line="240" w:lineRule="auto"/>
                    <w:rPr>
                      <w:color w:val="auto"/>
                      <w:sz w:val="18"/>
                      <w:szCs w:val="18"/>
                    </w:rPr>
                  </w:pPr>
                  <w:r>
                    <w:rPr>
                      <w:rFonts w:hint="eastAsia"/>
                      <w:color w:val="auto"/>
                      <w:sz w:val="18"/>
                      <w:szCs w:val="18"/>
                    </w:rPr>
                    <w:t>435m</w:t>
                  </w:r>
                </w:p>
              </w:tc>
              <w:tc>
                <w:tcPr>
                  <w:tcW w:w="884" w:type="pct"/>
                  <w:vMerge w:val="continue"/>
                  <w:vAlign w:val="center"/>
                </w:tcPr>
                <w:p>
                  <w:pPr>
                    <w:pStyle w:val="27"/>
                    <w:spacing w:line="240" w:lineRule="auto"/>
                    <w:rPr>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467" w:type="pct"/>
                  <w:tcBorders>
                    <w:right w:val="single" w:color="auto" w:sz="2" w:space="0"/>
                  </w:tcBorders>
                  <w:tcMar>
                    <w:left w:w="0" w:type="dxa"/>
                    <w:right w:w="0" w:type="dxa"/>
                  </w:tcMar>
                  <w:vAlign w:val="center"/>
                </w:tcPr>
                <w:p>
                  <w:pPr>
                    <w:pStyle w:val="27"/>
                    <w:spacing w:line="240" w:lineRule="auto"/>
                    <w:rPr>
                      <w:rFonts w:cs="宋体"/>
                      <w:color w:val="auto"/>
                      <w:sz w:val="18"/>
                      <w:szCs w:val="18"/>
                    </w:rPr>
                  </w:pPr>
                  <w:r>
                    <w:rPr>
                      <w:rFonts w:hint="eastAsia" w:cs="宋体"/>
                      <w:color w:val="auto"/>
                      <w:sz w:val="18"/>
                      <w:szCs w:val="18"/>
                    </w:rPr>
                    <w:t>声环境</w:t>
                  </w:r>
                </w:p>
              </w:tc>
              <w:tc>
                <w:tcPr>
                  <w:tcW w:w="3648" w:type="pct"/>
                  <w:gridSpan w:val="4"/>
                  <w:vAlign w:val="center"/>
                </w:tcPr>
                <w:p>
                  <w:pPr>
                    <w:pStyle w:val="27"/>
                    <w:spacing w:line="240" w:lineRule="auto"/>
                    <w:jc w:val="both"/>
                    <w:rPr>
                      <w:color w:val="auto"/>
                      <w:sz w:val="18"/>
                      <w:szCs w:val="18"/>
                    </w:rPr>
                  </w:pPr>
                  <w:r>
                    <w:rPr>
                      <w:rFonts w:hint="eastAsia"/>
                      <w:color w:val="auto"/>
                      <w:sz w:val="18"/>
                      <w:szCs w:val="18"/>
                    </w:rPr>
                    <w:t>厂界外50m范围内无声环境保护目标</w:t>
                  </w:r>
                </w:p>
              </w:tc>
              <w:tc>
                <w:tcPr>
                  <w:tcW w:w="884" w:type="pct"/>
                  <w:vAlign w:val="center"/>
                </w:tcPr>
                <w:p>
                  <w:pPr>
                    <w:pStyle w:val="27"/>
                    <w:spacing w:line="240" w:lineRule="auto"/>
                    <w:rPr>
                      <w:color w:val="auto"/>
                      <w:sz w:val="18"/>
                      <w:szCs w:val="18"/>
                    </w:rPr>
                  </w:pPr>
                  <w:r>
                    <w:rPr>
                      <w:rFonts w:hint="eastAsia"/>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67" w:type="pct"/>
                  <w:tcBorders>
                    <w:right w:val="single" w:color="auto" w:sz="2" w:space="0"/>
                  </w:tcBorders>
                  <w:tcMar>
                    <w:left w:w="0" w:type="dxa"/>
                    <w:right w:w="0" w:type="dxa"/>
                  </w:tcMar>
                  <w:vAlign w:val="center"/>
                </w:tcPr>
                <w:p>
                  <w:pPr>
                    <w:pStyle w:val="27"/>
                    <w:spacing w:line="240" w:lineRule="auto"/>
                    <w:rPr>
                      <w:rFonts w:cs="宋体"/>
                      <w:color w:val="auto"/>
                      <w:sz w:val="18"/>
                      <w:szCs w:val="18"/>
                    </w:rPr>
                  </w:pPr>
                  <w:r>
                    <w:rPr>
                      <w:rFonts w:hint="eastAsia" w:cs="宋体"/>
                      <w:color w:val="auto"/>
                      <w:sz w:val="18"/>
                      <w:szCs w:val="18"/>
                    </w:rPr>
                    <w:t>地下水环境</w:t>
                  </w:r>
                </w:p>
              </w:tc>
              <w:tc>
                <w:tcPr>
                  <w:tcW w:w="3648" w:type="pct"/>
                  <w:gridSpan w:val="4"/>
                  <w:vAlign w:val="center"/>
                </w:tcPr>
                <w:p>
                  <w:pPr>
                    <w:pStyle w:val="27"/>
                    <w:spacing w:line="240" w:lineRule="auto"/>
                    <w:jc w:val="both"/>
                    <w:rPr>
                      <w:color w:val="auto"/>
                      <w:sz w:val="18"/>
                      <w:szCs w:val="18"/>
                    </w:rPr>
                  </w:pPr>
                  <w:r>
                    <w:rPr>
                      <w:rFonts w:hint="eastAsia"/>
                      <w:color w:val="auto"/>
                      <w:sz w:val="18"/>
                      <w:szCs w:val="18"/>
                    </w:rPr>
                    <w:t>厂界外500m范围内无地下水集中式饮用水水源和热水、矿泉水、温泉等特殊地下水资源</w:t>
                  </w:r>
                </w:p>
              </w:tc>
              <w:tc>
                <w:tcPr>
                  <w:tcW w:w="884" w:type="pct"/>
                  <w:vAlign w:val="center"/>
                </w:tcPr>
                <w:p>
                  <w:pPr>
                    <w:pStyle w:val="27"/>
                    <w:spacing w:line="240" w:lineRule="auto"/>
                    <w:rPr>
                      <w:color w:val="auto"/>
                      <w:sz w:val="18"/>
                      <w:szCs w:val="18"/>
                    </w:rPr>
                  </w:pPr>
                  <w:r>
                    <w:rPr>
                      <w:rFonts w:hint="eastAsia"/>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67" w:type="pct"/>
                  <w:tcBorders>
                    <w:right w:val="single" w:color="auto" w:sz="2" w:space="0"/>
                  </w:tcBorders>
                  <w:tcMar>
                    <w:left w:w="0" w:type="dxa"/>
                    <w:right w:w="0" w:type="dxa"/>
                  </w:tcMar>
                  <w:vAlign w:val="center"/>
                </w:tcPr>
                <w:p>
                  <w:pPr>
                    <w:pStyle w:val="27"/>
                    <w:spacing w:line="240" w:lineRule="auto"/>
                    <w:rPr>
                      <w:rFonts w:cs="宋体"/>
                      <w:color w:val="auto"/>
                      <w:sz w:val="18"/>
                      <w:szCs w:val="18"/>
                    </w:rPr>
                  </w:pPr>
                  <w:r>
                    <w:rPr>
                      <w:rFonts w:hint="eastAsia" w:cs="宋体"/>
                      <w:color w:val="auto"/>
                      <w:sz w:val="18"/>
                      <w:szCs w:val="18"/>
                    </w:rPr>
                    <w:t>生态环境</w:t>
                  </w:r>
                </w:p>
              </w:tc>
              <w:tc>
                <w:tcPr>
                  <w:tcW w:w="3648" w:type="pct"/>
                  <w:gridSpan w:val="4"/>
                  <w:vAlign w:val="center"/>
                </w:tcPr>
                <w:p>
                  <w:pPr>
                    <w:pStyle w:val="27"/>
                    <w:spacing w:line="240" w:lineRule="auto"/>
                    <w:jc w:val="both"/>
                    <w:rPr>
                      <w:color w:val="auto"/>
                      <w:sz w:val="18"/>
                      <w:szCs w:val="18"/>
                    </w:rPr>
                  </w:pPr>
                  <w:r>
                    <w:rPr>
                      <w:rFonts w:hint="eastAsia"/>
                      <w:color w:val="auto"/>
                      <w:sz w:val="18"/>
                      <w:szCs w:val="18"/>
                    </w:rPr>
                    <w:t>项目在现有厂区内进行建设，</w:t>
                  </w:r>
                  <w:r>
                    <w:rPr>
                      <w:color w:val="auto"/>
                      <w:sz w:val="18"/>
                      <w:szCs w:val="18"/>
                    </w:rPr>
                    <w:t>未新增用地</w:t>
                  </w:r>
                  <w:r>
                    <w:rPr>
                      <w:rFonts w:hint="eastAsia"/>
                      <w:color w:val="auto"/>
                      <w:sz w:val="18"/>
                      <w:szCs w:val="18"/>
                    </w:rPr>
                    <w:t>，不涉及生态环境保护目标</w:t>
                  </w:r>
                </w:p>
              </w:tc>
              <w:tc>
                <w:tcPr>
                  <w:tcW w:w="884" w:type="pct"/>
                  <w:vAlign w:val="center"/>
                </w:tcPr>
                <w:p>
                  <w:pPr>
                    <w:pStyle w:val="27"/>
                    <w:spacing w:line="240" w:lineRule="auto"/>
                    <w:rPr>
                      <w:color w:val="auto"/>
                      <w:sz w:val="18"/>
                      <w:szCs w:val="18"/>
                    </w:rPr>
                  </w:pPr>
                  <w:r>
                    <w:rPr>
                      <w:rFonts w:hint="eastAsia"/>
                      <w:color w:val="auto"/>
                      <w:sz w:val="18"/>
                      <w:szCs w:val="18"/>
                    </w:rPr>
                    <w:t>/</w:t>
                  </w:r>
                </w:p>
              </w:tc>
            </w:tr>
          </w:tbl>
          <w:p>
            <w:pPr>
              <w:pStyle w:val="24"/>
              <w:ind w:left="0" w:leftChars="0" w:firstLine="0" w:firstLineChars="0"/>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3" w:hRule="atLeast"/>
        </w:trPr>
        <w:tc>
          <w:tcPr>
            <w:tcW w:w="439" w:type="dxa"/>
            <w:vAlign w:val="center"/>
          </w:tcPr>
          <w:p>
            <w:pPr>
              <w:jc w:val="center"/>
              <w:outlineLvl w:val="1"/>
              <w:rPr>
                <w:rFonts w:hint="eastAsia"/>
                <w:color w:val="auto"/>
                <w:szCs w:val="21"/>
                <w:lang w:val="en-US" w:eastAsia="zh-CN"/>
              </w:rPr>
            </w:pPr>
            <w:bookmarkStart w:id="48" w:name="_Toc26878"/>
            <w:bookmarkStart w:id="49" w:name="_Toc8878"/>
            <w:bookmarkStart w:id="50" w:name="_Toc13639"/>
            <w:bookmarkStart w:id="51" w:name="_Toc6548"/>
            <w:bookmarkStart w:id="52" w:name="_Toc25381"/>
            <w:r>
              <w:rPr>
                <w:color w:val="auto"/>
                <w:szCs w:val="21"/>
              </w:rPr>
              <w:t>污染物排放控制标准</w:t>
            </w:r>
            <w:bookmarkEnd w:id="48"/>
            <w:bookmarkEnd w:id="49"/>
            <w:bookmarkEnd w:id="50"/>
            <w:bookmarkEnd w:id="51"/>
            <w:bookmarkEnd w:id="52"/>
          </w:p>
        </w:tc>
        <w:tc>
          <w:tcPr>
            <w:tcW w:w="8083" w:type="dxa"/>
          </w:tcPr>
          <w:p>
            <w:pPr>
              <w:widowControl/>
              <w:spacing w:line="360" w:lineRule="auto"/>
              <w:jc w:val="left"/>
              <w:rPr>
                <w:rFonts w:hint="eastAsia"/>
                <w:b/>
                <w:bCs/>
                <w:color w:val="auto"/>
              </w:rPr>
            </w:pPr>
            <w:r>
              <w:rPr>
                <w:rFonts w:hint="eastAsia"/>
                <w:b/>
                <w:bCs/>
                <w:color w:val="auto"/>
              </w:rPr>
              <w:t>3.8废水排放标准</w:t>
            </w:r>
          </w:p>
          <w:p>
            <w:pPr>
              <w:pStyle w:val="24"/>
              <w:spacing w:line="360" w:lineRule="auto"/>
              <w:ind w:firstLine="420"/>
              <w:rPr>
                <w:color w:val="auto"/>
                <w:sz w:val="21"/>
                <w:szCs w:val="21"/>
              </w:rPr>
            </w:pPr>
            <w:r>
              <w:rPr>
                <w:rFonts w:hint="eastAsia"/>
                <w:color w:val="auto"/>
                <w:sz w:val="21"/>
                <w:szCs w:val="21"/>
              </w:rPr>
              <w:t>本项目废水主要</w:t>
            </w:r>
            <w:r>
              <w:rPr>
                <w:rFonts w:hint="eastAsia"/>
                <w:color w:val="auto"/>
                <w:sz w:val="21"/>
                <w:szCs w:val="21"/>
                <w:lang w:val="en-US" w:eastAsia="zh-CN"/>
              </w:rPr>
              <w:t>为</w:t>
            </w:r>
            <w:r>
              <w:rPr>
                <w:rFonts w:hint="eastAsia"/>
                <w:color w:val="auto"/>
                <w:sz w:val="21"/>
                <w:szCs w:val="21"/>
              </w:rPr>
              <w:t>生产废水和生活污水。生活污水经化粪池预处理后和生产废水一同进入一厂污水站进行处理，处理后</w:t>
            </w:r>
            <w:r>
              <w:rPr>
                <w:rFonts w:hint="eastAsia"/>
                <w:color w:val="auto"/>
                <w:sz w:val="21"/>
                <w:szCs w:val="21"/>
                <w:lang w:val="en-US" w:eastAsia="zh-CN"/>
              </w:rPr>
              <w:t>尾水</w:t>
            </w:r>
            <w:r>
              <w:rPr>
                <w:rFonts w:hint="eastAsia"/>
                <w:color w:val="auto"/>
                <w:sz w:val="21"/>
                <w:szCs w:val="21"/>
              </w:rPr>
              <w:t>由园区管网排入</w:t>
            </w:r>
            <w:r>
              <w:rPr>
                <w:rFonts w:hint="eastAsia"/>
                <w:color w:val="auto"/>
                <w:sz w:val="21"/>
                <w:szCs w:val="21"/>
                <w:lang w:eastAsia="zh-CN"/>
              </w:rPr>
              <w:t>明溪经济开发区工业污水处理厂</w:t>
            </w:r>
            <w:r>
              <w:rPr>
                <w:rFonts w:hint="eastAsia"/>
                <w:color w:val="auto"/>
                <w:sz w:val="21"/>
                <w:szCs w:val="21"/>
              </w:rPr>
              <w:t>处理，其中COD、BOD</w:t>
            </w:r>
            <w:r>
              <w:rPr>
                <w:rFonts w:hint="eastAsia"/>
                <w:color w:val="auto"/>
                <w:sz w:val="21"/>
                <w:szCs w:val="21"/>
                <w:vertAlign w:val="subscript"/>
              </w:rPr>
              <w:t>5</w:t>
            </w:r>
            <w:r>
              <w:rPr>
                <w:rFonts w:hint="eastAsia"/>
                <w:color w:val="auto"/>
                <w:sz w:val="21"/>
                <w:szCs w:val="21"/>
              </w:rPr>
              <w:t>、SS执行《污水综合排放标准》(GB8978-1996)中表4三级标准，NH</w:t>
            </w:r>
            <w:r>
              <w:rPr>
                <w:rFonts w:hint="eastAsia"/>
                <w:color w:val="auto"/>
                <w:sz w:val="21"/>
                <w:szCs w:val="21"/>
                <w:vertAlign w:val="subscript"/>
              </w:rPr>
              <w:t>3</w:t>
            </w:r>
            <w:r>
              <w:rPr>
                <w:rFonts w:hint="eastAsia"/>
                <w:color w:val="auto"/>
                <w:sz w:val="21"/>
                <w:szCs w:val="21"/>
              </w:rPr>
              <w:t>-N执行</w:t>
            </w:r>
            <w:r>
              <w:rPr>
                <w:rFonts w:hint="eastAsia"/>
                <w:color w:val="auto"/>
                <w:sz w:val="21"/>
                <w:szCs w:val="21"/>
                <w:lang w:eastAsia="zh-CN"/>
              </w:rPr>
              <w:t>明溪经济开发区工业污水处理厂</w:t>
            </w:r>
            <w:r>
              <w:rPr>
                <w:rFonts w:hint="eastAsia"/>
                <w:color w:val="auto"/>
                <w:sz w:val="21"/>
                <w:szCs w:val="21"/>
              </w:rPr>
              <w:t>接管水质标准，项目废水执行标准详见表。</w:t>
            </w:r>
          </w:p>
          <w:p>
            <w:pPr>
              <w:pStyle w:val="24"/>
              <w:spacing w:line="360" w:lineRule="auto"/>
              <w:ind w:firstLine="420"/>
              <w:rPr>
                <w:color w:val="auto"/>
                <w:sz w:val="21"/>
                <w:szCs w:val="21"/>
              </w:rPr>
            </w:pPr>
            <w:r>
              <w:rPr>
                <w:color w:val="auto"/>
                <w:sz w:val="21"/>
                <w:szCs w:val="21"/>
              </w:rPr>
              <w:t>项目废水进入</w:t>
            </w:r>
            <w:r>
              <w:rPr>
                <w:rFonts w:hint="eastAsia"/>
                <w:color w:val="auto"/>
                <w:sz w:val="21"/>
                <w:szCs w:val="21"/>
                <w:lang w:eastAsia="zh-CN"/>
              </w:rPr>
              <w:t>明溪经济开发区工业污水处理厂</w:t>
            </w:r>
            <w:r>
              <w:rPr>
                <w:color w:val="auto"/>
                <w:sz w:val="21"/>
                <w:szCs w:val="21"/>
              </w:rPr>
              <w:t>深度处理达标后排入</w:t>
            </w:r>
            <w:r>
              <w:rPr>
                <w:rFonts w:hint="eastAsia"/>
                <w:color w:val="auto"/>
                <w:sz w:val="21"/>
                <w:szCs w:val="21"/>
              </w:rPr>
              <w:t>渔塘溪</w:t>
            </w:r>
            <w:r>
              <w:rPr>
                <w:color w:val="auto"/>
                <w:sz w:val="21"/>
                <w:szCs w:val="21"/>
              </w:rPr>
              <w:t>，</w:t>
            </w:r>
            <w:r>
              <w:rPr>
                <w:rFonts w:hint="eastAsia"/>
                <w:color w:val="auto"/>
                <w:sz w:val="21"/>
                <w:szCs w:val="21"/>
                <w:lang w:eastAsia="zh-CN"/>
              </w:rPr>
              <w:t>明溪经济开发区工业污水处理厂</w:t>
            </w:r>
            <w:r>
              <w:rPr>
                <w:color w:val="auto"/>
                <w:sz w:val="21"/>
                <w:szCs w:val="21"/>
              </w:rPr>
              <w:t>尾水排放执行《城镇污水处理厂污染物排放标准》（GB18918-2002）</w:t>
            </w:r>
            <w:r>
              <w:rPr>
                <w:rFonts w:hint="eastAsia"/>
                <w:color w:val="auto"/>
                <w:sz w:val="21"/>
                <w:szCs w:val="21"/>
              </w:rPr>
              <w:t>及其修改单</w:t>
            </w:r>
            <w:r>
              <w:rPr>
                <w:color w:val="auto"/>
                <w:sz w:val="21"/>
                <w:szCs w:val="21"/>
              </w:rPr>
              <w:t>一级A标准，排放标准详见表。</w:t>
            </w:r>
          </w:p>
          <w:p>
            <w:pPr>
              <w:spacing w:before="194" w:beforeLines="50"/>
              <w:jc w:val="center"/>
              <w:outlineLvl w:val="5"/>
              <w:rPr>
                <w:rFonts w:hint="default" w:eastAsia="宋体" w:cs="Times New Roman"/>
                <w:b/>
                <w:color w:val="auto"/>
                <w:spacing w:val="0"/>
                <w:sz w:val="21"/>
                <w:szCs w:val="21"/>
                <w:lang w:val="en-US" w:eastAsia="zh-CN"/>
              </w:rPr>
            </w:pPr>
            <w:r>
              <w:rPr>
                <w:rFonts w:hint="default" w:eastAsia="宋体" w:cs="Times New Roman"/>
                <w:b/>
                <w:color w:val="auto"/>
                <w:spacing w:val="0"/>
                <w:sz w:val="21"/>
                <w:szCs w:val="21"/>
                <w:lang w:val="en-US" w:eastAsia="zh-CN"/>
              </w:rPr>
              <w:t>表3-</w:t>
            </w:r>
            <w:r>
              <w:rPr>
                <w:rFonts w:hint="eastAsia" w:cs="Times New Roman"/>
                <w:b/>
                <w:color w:val="auto"/>
                <w:spacing w:val="0"/>
                <w:sz w:val="21"/>
                <w:szCs w:val="21"/>
                <w:lang w:val="en-US" w:eastAsia="zh-CN"/>
              </w:rPr>
              <w:t>8</w:t>
            </w:r>
            <w:r>
              <w:rPr>
                <w:rFonts w:hint="default" w:eastAsia="宋体" w:cs="Times New Roman"/>
                <w:b/>
                <w:color w:val="auto"/>
                <w:spacing w:val="0"/>
                <w:sz w:val="21"/>
                <w:szCs w:val="21"/>
                <w:lang w:val="en-US" w:eastAsia="zh-CN"/>
              </w:rPr>
              <w:t>企业废水排放标准（单位：mg/L）</w:t>
            </w:r>
          </w:p>
          <w:tbl>
            <w:tblPr>
              <w:tblStyle w:val="1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813"/>
              <w:gridCol w:w="1124"/>
              <w:gridCol w:w="836"/>
              <w:gridCol w:w="699"/>
              <w:gridCol w:w="575"/>
              <w:gridCol w:w="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6" w:hRule="atLeast"/>
                <w:jc w:val="center"/>
              </w:trPr>
              <w:tc>
                <w:tcPr>
                  <w:tcW w:w="3141" w:type="pct"/>
                  <w:gridSpan w:val="2"/>
                  <w:vAlign w:val="center"/>
                </w:tcPr>
                <w:p>
                  <w:pPr>
                    <w:pStyle w:val="46"/>
                    <w:rPr>
                      <w:b/>
                      <w:bCs/>
                      <w:color w:val="auto"/>
                      <w:sz w:val="18"/>
                      <w:szCs w:val="18"/>
                    </w:rPr>
                  </w:pPr>
                  <w:r>
                    <w:rPr>
                      <w:b/>
                      <w:bCs/>
                      <w:color w:val="auto"/>
                      <w:sz w:val="18"/>
                      <w:szCs w:val="18"/>
                    </w:rPr>
                    <w:t>污染物名称</w:t>
                  </w:r>
                </w:p>
              </w:tc>
              <w:tc>
                <w:tcPr>
                  <w:tcW w:w="532" w:type="pct"/>
                  <w:vAlign w:val="center"/>
                </w:tcPr>
                <w:p>
                  <w:pPr>
                    <w:pStyle w:val="46"/>
                    <w:rPr>
                      <w:b/>
                      <w:bCs/>
                      <w:color w:val="auto"/>
                      <w:sz w:val="18"/>
                      <w:szCs w:val="18"/>
                    </w:rPr>
                  </w:pPr>
                  <w:r>
                    <w:rPr>
                      <w:b/>
                      <w:bCs/>
                      <w:color w:val="auto"/>
                      <w:sz w:val="18"/>
                      <w:szCs w:val="18"/>
                    </w:rPr>
                    <w:t>COD</w:t>
                  </w:r>
                  <w:r>
                    <w:rPr>
                      <w:b/>
                      <w:bCs/>
                      <w:color w:val="auto"/>
                      <w:sz w:val="18"/>
                      <w:szCs w:val="18"/>
                      <w:vertAlign w:val="subscript"/>
                    </w:rPr>
                    <w:t>Cr</w:t>
                  </w:r>
                </w:p>
              </w:tc>
              <w:tc>
                <w:tcPr>
                  <w:tcW w:w="445" w:type="pct"/>
                  <w:vAlign w:val="center"/>
                </w:tcPr>
                <w:p>
                  <w:pPr>
                    <w:pStyle w:val="46"/>
                    <w:rPr>
                      <w:b/>
                      <w:bCs/>
                      <w:color w:val="auto"/>
                      <w:sz w:val="18"/>
                      <w:szCs w:val="18"/>
                    </w:rPr>
                  </w:pPr>
                  <w:r>
                    <w:rPr>
                      <w:b/>
                      <w:bCs/>
                      <w:color w:val="auto"/>
                      <w:sz w:val="18"/>
                      <w:szCs w:val="18"/>
                    </w:rPr>
                    <w:t>BOD</w:t>
                  </w:r>
                  <w:r>
                    <w:rPr>
                      <w:b/>
                      <w:bCs/>
                      <w:color w:val="auto"/>
                      <w:sz w:val="18"/>
                      <w:szCs w:val="18"/>
                      <w:vertAlign w:val="subscript"/>
                    </w:rPr>
                    <w:t>5</w:t>
                  </w:r>
                </w:p>
              </w:tc>
              <w:tc>
                <w:tcPr>
                  <w:tcW w:w="366" w:type="pct"/>
                  <w:vAlign w:val="center"/>
                </w:tcPr>
                <w:p>
                  <w:pPr>
                    <w:pStyle w:val="46"/>
                    <w:rPr>
                      <w:b/>
                      <w:bCs/>
                      <w:color w:val="auto"/>
                      <w:sz w:val="18"/>
                      <w:szCs w:val="18"/>
                    </w:rPr>
                  </w:pPr>
                  <w:r>
                    <w:rPr>
                      <w:b/>
                      <w:bCs/>
                      <w:color w:val="auto"/>
                      <w:sz w:val="18"/>
                      <w:szCs w:val="18"/>
                    </w:rPr>
                    <w:t>SS</w:t>
                  </w:r>
                </w:p>
              </w:tc>
              <w:tc>
                <w:tcPr>
                  <w:tcW w:w="513" w:type="pct"/>
                  <w:vAlign w:val="center"/>
                </w:tcPr>
                <w:p>
                  <w:pPr>
                    <w:pStyle w:val="46"/>
                    <w:rPr>
                      <w:b/>
                      <w:bCs/>
                      <w:color w:val="auto"/>
                      <w:sz w:val="18"/>
                      <w:szCs w:val="18"/>
                    </w:rPr>
                  </w:pPr>
                  <w:r>
                    <w:rPr>
                      <w:b/>
                      <w:bCs/>
                      <w:color w:val="auto"/>
                      <w:sz w:val="18"/>
                      <w:szCs w:val="18"/>
                    </w:rPr>
                    <w:t>NH</w:t>
                  </w:r>
                  <w:r>
                    <w:rPr>
                      <w:b/>
                      <w:bCs/>
                      <w:color w:val="auto"/>
                      <w:sz w:val="18"/>
                      <w:szCs w:val="18"/>
                      <w:vertAlign w:val="subscript"/>
                    </w:rPr>
                    <w:t>3</w:t>
                  </w:r>
                  <w:r>
                    <w:rPr>
                      <w:b/>
                      <w:bCs/>
                      <w:color w:val="auto"/>
                      <w:sz w:val="18"/>
                      <w:szCs w:val="18"/>
                    </w:rPr>
                    <w:t>-N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2426" w:type="pct"/>
                  <w:vAlign w:val="center"/>
                </w:tcPr>
                <w:p>
                  <w:pPr>
                    <w:pStyle w:val="46"/>
                    <w:rPr>
                      <w:color w:val="auto"/>
                      <w:sz w:val="18"/>
                      <w:szCs w:val="18"/>
                    </w:rPr>
                  </w:pPr>
                  <w:r>
                    <w:rPr>
                      <w:rFonts w:hint="eastAsia"/>
                      <w:color w:val="auto"/>
                      <w:sz w:val="18"/>
                      <w:szCs w:val="18"/>
                    </w:rPr>
                    <w:t>《污水综合排放标准》(GB8978-1996)中表4</w:t>
                  </w:r>
                </w:p>
              </w:tc>
              <w:tc>
                <w:tcPr>
                  <w:tcW w:w="715" w:type="pct"/>
                  <w:vAlign w:val="center"/>
                </w:tcPr>
                <w:p>
                  <w:pPr>
                    <w:pStyle w:val="46"/>
                    <w:rPr>
                      <w:color w:val="auto"/>
                      <w:sz w:val="18"/>
                      <w:szCs w:val="18"/>
                    </w:rPr>
                  </w:pPr>
                  <w:r>
                    <w:rPr>
                      <w:rFonts w:hint="eastAsia"/>
                      <w:color w:val="auto"/>
                      <w:sz w:val="18"/>
                      <w:szCs w:val="18"/>
                    </w:rPr>
                    <w:t>三级标准</w:t>
                  </w:r>
                </w:p>
              </w:tc>
              <w:tc>
                <w:tcPr>
                  <w:tcW w:w="532" w:type="pct"/>
                  <w:vAlign w:val="center"/>
                </w:tcPr>
                <w:p>
                  <w:pPr>
                    <w:pStyle w:val="46"/>
                    <w:rPr>
                      <w:color w:val="auto"/>
                      <w:sz w:val="18"/>
                      <w:szCs w:val="18"/>
                    </w:rPr>
                  </w:pPr>
                  <w:r>
                    <w:rPr>
                      <w:color w:val="auto"/>
                      <w:sz w:val="18"/>
                      <w:szCs w:val="18"/>
                    </w:rPr>
                    <w:t>≤500</w:t>
                  </w:r>
                </w:p>
              </w:tc>
              <w:tc>
                <w:tcPr>
                  <w:tcW w:w="445" w:type="pct"/>
                  <w:vAlign w:val="center"/>
                </w:tcPr>
                <w:p>
                  <w:pPr>
                    <w:pStyle w:val="46"/>
                    <w:rPr>
                      <w:color w:val="auto"/>
                      <w:sz w:val="18"/>
                      <w:szCs w:val="18"/>
                    </w:rPr>
                  </w:pPr>
                  <w:r>
                    <w:rPr>
                      <w:color w:val="auto"/>
                      <w:sz w:val="18"/>
                      <w:szCs w:val="18"/>
                    </w:rPr>
                    <w:t>≤300</w:t>
                  </w:r>
                </w:p>
              </w:tc>
              <w:tc>
                <w:tcPr>
                  <w:tcW w:w="366" w:type="pct"/>
                  <w:vAlign w:val="center"/>
                </w:tcPr>
                <w:p>
                  <w:pPr>
                    <w:pStyle w:val="46"/>
                    <w:rPr>
                      <w:color w:val="auto"/>
                      <w:sz w:val="18"/>
                      <w:szCs w:val="18"/>
                    </w:rPr>
                  </w:pPr>
                  <w:r>
                    <w:rPr>
                      <w:color w:val="auto"/>
                      <w:sz w:val="18"/>
                      <w:szCs w:val="18"/>
                    </w:rPr>
                    <w:t>≤400</w:t>
                  </w:r>
                </w:p>
              </w:tc>
              <w:tc>
                <w:tcPr>
                  <w:tcW w:w="513" w:type="pct"/>
                  <w:vAlign w:val="center"/>
                </w:tcPr>
                <w:p>
                  <w:pPr>
                    <w:pStyle w:val="46"/>
                    <w:rPr>
                      <w:color w:val="auto"/>
                      <w:sz w:val="18"/>
                      <w:szCs w:val="18"/>
                    </w:rPr>
                  </w:pPr>
                  <w:r>
                    <w:rPr>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3141" w:type="pct"/>
                  <w:gridSpan w:val="2"/>
                  <w:vAlign w:val="center"/>
                </w:tcPr>
                <w:p>
                  <w:pPr>
                    <w:pStyle w:val="46"/>
                    <w:rPr>
                      <w:color w:val="auto"/>
                      <w:sz w:val="18"/>
                      <w:szCs w:val="18"/>
                    </w:rPr>
                  </w:pPr>
                  <w:r>
                    <w:rPr>
                      <w:rFonts w:hint="eastAsia"/>
                      <w:color w:val="auto"/>
                      <w:sz w:val="18"/>
                      <w:szCs w:val="18"/>
                      <w:lang w:eastAsia="zh-CN"/>
                    </w:rPr>
                    <w:t>明溪经济开发区工业污水处理厂</w:t>
                  </w:r>
                  <w:r>
                    <w:rPr>
                      <w:rFonts w:hint="eastAsia"/>
                      <w:color w:val="auto"/>
                      <w:sz w:val="18"/>
                      <w:szCs w:val="18"/>
                    </w:rPr>
                    <w:t>接管水质标准</w:t>
                  </w:r>
                </w:p>
              </w:tc>
              <w:tc>
                <w:tcPr>
                  <w:tcW w:w="532" w:type="pct"/>
                  <w:vAlign w:val="center"/>
                </w:tcPr>
                <w:p>
                  <w:pPr>
                    <w:pStyle w:val="46"/>
                    <w:rPr>
                      <w:color w:val="auto"/>
                      <w:sz w:val="18"/>
                      <w:szCs w:val="18"/>
                    </w:rPr>
                  </w:pPr>
                  <w:r>
                    <w:rPr>
                      <w:rFonts w:hint="eastAsia"/>
                      <w:color w:val="auto"/>
                      <w:sz w:val="18"/>
                      <w:szCs w:val="18"/>
                    </w:rPr>
                    <w:t>/</w:t>
                  </w:r>
                </w:p>
              </w:tc>
              <w:tc>
                <w:tcPr>
                  <w:tcW w:w="445" w:type="pct"/>
                  <w:vAlign w:val="center"/>
                </w:tcPr>
                <w:p>
                  <w:pPr>
                    <w:pStyle w:val="46"/>
                    <w:rPr>
                      <w:color w:val="auto"/>
                      <w:sz w:val="18"/>
                      <w:szCs w:val="18"/>
                    </w:rPr>
                  </w:pPr>
                  <w:r>
                    <w:rPr>
                      <w:rFonts w:hint="eastAsia"/>
                      <w:color w:val="auto"/>
                      <w:sz w:val="18"/>
                      <w:szCs w:val="18"/>
                    </w:rPr>
                    <w:t>/</w:t>
                  </w:r>
                </w:p>
              </w:tc>
              <w:tc>
                <w:tcPr>
                  <w:tcW w:w="366" w:type="pct"/>
                  <w:vAlign w:val="center"/>
                </w:tcPr>
                <w:p>
                  <w:pPr>
                    <w:pStyle w:val="46"/>
                    <w:rPr>
                      <w:color w:val="auto"/>
                      <w:sz w:val="18"/>
                      <w:szCs w:val="18"/>
                    </w:rPr>
                  </w:pPr>
                  <w:r>
                    <w:rPr>
                      <w:rFonts w:hint="eastAsia"/>
                      <w:color w:val="auto"/>
                      <w:sz w:val="18"/>
                      <w:szCs w:val="18"/>
                    </w:rPr>
                    <w:t>/</w:t>
                  </w:r>
                </w:p>
              </w:tc>
              <w:tc>
                <w:tcPr>
                  <w:tcW w:w="513" w:type="pct"/>
                  <w:vAlign w:val="center"/>
                </w:tcPr>
                <w:p>
                  <w:pPr>
                    <w:pStyle w:val="46"/>
                    <w:rPr>
                      <w:color w:val="auto"/>
                      <w:sz w:val="18"/>
                      <w:szCs w:val="18"/>
                    </w:rPr>
                  </w:pPr>
                  <w:r>
                    <w:rPr>
                      <w:color w:val="auto"/>
                      <w:sz w:val="18"/>
                      <w:szCs w:val="18"/>
                    </w:rPr>
                    <w:t>≤</w:t>
                  </w:r>
                  <w:r>
                    <w:rPr>
                      <w:rFonts w:hint="eastAsia"/>
                      <w:color w:val="auto"/>
                      <w:sz w:val="18"/>
                      <w:szCs w:val="18"/>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9" w:hRule="atLeast"/>
                <w:jc w:val="center"/>
              </w:trPr>
              <w:tc>
                <w:tcPr>
                  <w:tcW w:w="3141" w:type="pct"/>
                  <w:gridSpan w:val="2"/>
                  <w:vAlign w:val="center"/>
                </w:tcPr>
                <w:p>
                  <w:pPr>
                    <w:pStyle w:val="46"/>
                    <w:rPr>
                      <w:color w:val="auto"/>
                      <w:sz w:val="18"/>
                      <w:szCs w:val="18"/>
                    </w:rPr>
                  </w:pPr>
                  <w:r>
                    <w:rPr>
                      <w:rFonts w:hint="eastAsia"/>
                      <w:color w:val="auto"/>
                      <w:sz w:val="18"/>
                      <w:szCs w:val="18"/>
                    </w:rPr>
                    <w:t>本项目废水排放标准</w:t>
                  </w:r>
                </w:p>
              </w:tc>
              <w:tc>
                <w:tcPr>
                  <w:tcW w:w="532" w:type="pct"/>
                  <w:vAlign w:val="center"/>
                </w:tcPr>
                <w:p>
                  <w:pPr>
                    <w:pStyle w:val="46"/>
                    <w:rPr>
                      <w:color w:val="auto"/>
                      <w:sz w:val="18"/>
                      <w:szCs w:val="18"/>
                    </w:rPr>
                  </w:pPr>
                  <w:r>
                    <w:rPr>
                      <w:color w:val="auto"/>
                      <w:sz w:val="18"/>
                      <w:szCs w:val="18"/>
                    </w:rPr>
                    <w:t>≤500</w:t>
                  </w:r>
                </w:p>
              </w:tc>
              <w:tc>
                <w:tcPr>
                  <w:tcW w:w="445" w:type="pct"/>
                  <w:vAlign w:val="center"/>
                </w:tcPr>
                <w:p>
                  <w:pPr>
                    <w:pStyle w:val="46"/>
                    <w:rPr>
                      <w:color w:val="auto"/>
                      <w:sz w:val="18"/>
                      <w:szCs w:val="18"/>
                    </w:rPr>
                  </w:pPr>
                  <w:r>
                    <w:rPr>
                      <w:color w:val="auto"/>
                      <w:sz w:val="18"/>
                      <w:szCs w:val="18"/>
                    </w:rPr>
                    <w:t>≤300</w:t>
                  </w:r>
                </w:p>
              </w:tc>
              <w:tc>
                <w:tcPr>
                  <w:tcW w:w="366" w:type="pct"/>
                  <w:vAlign w:val="center"/>
                </w:tcPr>
                <w:p>
                  <w:pPr>
                    <w:pStyle w:val="46"/>
                    <w:rPr>
                      <w:color w:val="auto"/>
                      <w:sz w:val="18"/>
                      <w:szCs w:val="18"/>
                    </w:rPr>
                  </w:pPr>
                  <w:r>
                    <w:rPr>
                      <w:color w:val="auto"/>
                      <w:sz w:val="18"/>
                      <w:szCs w:val="18"/>
                    </w:rPr>
                    <w:t>≤400</w:t>
                  </w:r>
                </w:p>
              </w:tc>
              <w:tc>
                <w:tcPr>
                  <w:tcW w:w="513" w:type="pct"/>
                  <w:vAlign w:val="center"/>
                </w:tcPr>
                <w:p>
                  <w:pPr>
                    <w:pStyle w:val="46"/>
                    <w:rPr>
                      <w:color w:val="auto"/>
                      <w:sz w:val="18"/>
                      <w:szCs w:val="18"/>
                    </w:rPr>
                  </w:pPr>
                  <w:r>
                    <w:rPr>
                      <w:color w:val="auto"/>
                      <w:sz w:val="18"/>
                      <w:szCs w:val="18"/>
                    </w:rPr>
                    <w:t>≤</w:t>
                  </w:r>
                  <w:r>
                    <w:rPr>
                      <w:rFonts w:hint="eastAsia"/>
                      <w:color w:val="auto"/>
                      <w:sz w:val="18"/>
                      <w:szCs w:val="18"/>
                    </w:rPr>
                    <w:t>35</w:t>
                  </w:r>
                </w:p>
              </w:tc>
            </w:tr>
          </w:tbl>
          <w:p>
            <w:pPr>
              <w:spacing w:before="194" w:beforeLines="50"/>
              <w:jc w:val="center"/>
              <w:outlineLvl w:val="5"/>
              <w:rPr>
                <w:rFonts w:hint="default" w:eastAsia="宋体" w:cs="Times New Roman"/>
                <w:b/>
                <w:color w:val="auto"/>
                <w:spacing w:val="0"/>
                <w:sz w:val="21"/>
                <w:szCs w:val="21"/>
                <w:lang w:val="en-US" w:eastAsia="zh-CN"/>
              </w:rPr>
            </w:pPr>
            <w:r>
              <w:rPr>
                <w:rFonts w:hint="default" w:eastAsia="宋体" w:cs="Times New Roman"/>
                <w:b/>
                <w:color w:val="auto"/>
                <w:spacing w:val="0"/>
                <w:sz w:val="21"/>
                <w:szCs w:val="21"/>
                <w:lang w:val="en-US" w:eastAsia="zh-CN"/>
              </w:rPr>
              <w:t>表3-</w:t>
            </w:r>
            <w:r>
              <w:rPr>
                <w:rFonts w:hint="eastAsia" w:cs="Times New Roman"/>
                <w:b/>
                <w:color w:val="auto"/>
                <w:spacing w:val="0"/>
                <w:sz w:val="21"/>
                <w:szCs w:val="21"/>
                <w:lang w:val="en-US" w:eastAsia="zh-CN"/>
              </w:rPr>
              <w:t>9明溪经济开发区工业污水处理厂</w:t>
            </w:r>
            <w:r>
              <w:rPr>
                <w:rFonts w:hint="default" w:eastAsia="宋体" w:cs="Times New Roman"/>
                <w:b/>
                <w:color w:val="auto"/>
                <w:spacing w:val="0"/>
                <w:sz w:val="21"/>
                <w:szCs w:val="21"/>
                <w:lang w:val="en-US" w:eastAsia="zh-CN"/>
              </w:rPr>
              <w:t>排放标准（单位：mg/L）</w:t>
            </w:r>
          </w:p>
          <w:tbl>
            <w:tblPr>
              <w:tblStyle w:val="19"/>
              <w:tblW w:w="4998"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574"/>
              <w:gridCol w:w="1176"/>
              <w:gridCol w:w="1063"/>
              <w:gridCol w:w="971"/>
              <w:gridCol w:w="10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9" w:hRule="atLeast"/>
                <w:jc w:val="right"/>
              </w:trPr>
              <w:tc>
                <w:tcPr>
                  <w:tcW w:w="2274" w:type="pct"/>
                  <w:vAlign w:val="center"/>
                </w:tcPr>
                <w:p>
                  <w:pPr>
                    <w:pStyle w:val="46"/>
                    <w:rPr>
                      <w:b/>
                      <w:bCs/>
                      <w:color w:val="auto"/>
                      <w:sz w:val="18"/>
                      <w:szCs w:val="18"/>
                    </w:rPr>
                  </w:pPr>
                  <w:r>
                    <w:rPr>
                      <w:b/>
                      <w:bCs/>
                      <w:color w:val="auto"/>
                      <w:sz w:val="18"/>
                      <w:szCs w:val="18"/>
                    </w:rPr>
                    <w:t>污染物名称</w:t>
                  </w:r>
                </w:p>
              </w:tc>
              <w:tc>
                <w:tcPr>
                  <w:tcW w:w="748" w:type="pct"/>
                  <w:vAlign w:val="center"/>
                </w:tcPr>
                <w:p>
                  <w:pPr>
                    <w:pStyle w:val="46"/>
                    <w:rPr>
                      <w:b/>
                      <w:bCs/>
                      <w:color w:val="auto"/>
                      <w:sz w:val="18"/>
                      <w:szCs w:val="18"/>
                    </w:rPr>
                  </w:pPr>
                  <w:r>
                    <w:rPr>
                      <w:b/>
                      <w:bCs/>
                      <w:color w:val="auto"/>
                      <w:sz w:val="18"/>
                      <w:szCs w:val="18"/>
                    </w:rPr>
                    <w:t>COD</w:t>
                  </w:r>
                  <w:r>
                    <w:rPr>
                      <w:b/>
                      <w:bCs/>
                      <w:color w:val="auto"/>
                      <w:sz w:val="18"/>
                      <w:szCs w:val="18"/>
                      <w:vertAlign w:val="subscript"/>
                    </w:rPr>
                    <w:t>Cr</w:t>
                  </w:r>
                </w:p>
              </w:tc>
              <w:tc>
                <w:tcPr>
                  <w:tcW w:w="676" w:type="pct"/>
                  <w:vAlign w:val="center"/>
                </w:tcPr>
                <w:p>
                  <w:pPr>
                    <w:pStyle w:val="46"/>
                    <w:rPr>
                      <w:b/>
                      <w:bCs/>
                      <w:color w:val="auto"/>
                      <w:sz w:val="18"/>
                      <w:szCs w:val="18"/>
                    </w:rPr>
                  </w:pPr>
                  <w:r>
                    <w:rPr>
                      <w:b/>
                      <w:bCs/>
                      <w:color w:val="auto"/>
                      <w:sz w:val="18"/>
                      <w:szCs w:val="18"/>
                    </w:rPr>
                    <w:t>BOD</w:t>
                  </w:r>
                  <w:r>
                    <w:rPr>
                      <w:b/>
                      <w:bCs/>
                      <w:color w:val="auto"/>
                      <w:sz w:val="18"/>
                      <w:szCs w:val="18"/>
                      <w:vertAlign w:val="subscript"/>
                    </w:rPr>
                    <w:t>5</w:t>
                  </w:r>
                </w:p>
              </w:tc>
              <w:tc>
                <w:tcPr>
                  <w:tcW w:w="618" w:type="pct"/>
                  <w:vAlign w:val="center"/>
                </w:tcPr>
                <w:p>
                  <w:pPr>
                    <w:pStyle w:val="46"/>
                    <w:rPr>
                      <w:b/>
                      <w:bCs/>
                      <w:color w:val="auto"/>
                      <w:sz w:val="18"/>
                      <w:szCs w:val="18"/>
                    </w:rPr>
                  </w:pPr>
                  <w:r>
                    <w:rPr>
                      <w:b/>
                      <w:bCs/>
                      <w:color w:val="auto"/>
                      <w:sz w:val="18"/>
                      <w:szCs w:val="18"/>
                    </w:rPr>
                    <w:t>SS</w:t>
                  </w:r>
                </w:p>
              </w:tc>
              <w:tc>
                <w:tcPr>
                  <w:tcW w:w="681" w:type="pct"/>
                  <w:vAlign w:val="center"/>
                </w:tcPr>
                <w:p>
                  <w:pPr>
                    <w:pStyle w:val="46"/>
                    <w:rPr>
                      <w:b/>
                      <w:bCs/>
                      <w:color w:val="auto"/>
                      <w:sz w:val="18"/>
                      <w:szCs w:val="18"/>
                    </w:rPr>
                  </w:pPr>
                  <w:r>
                    <w:rPr>
                      <w:b/>
                      <w:bCs/>
                      <w:color w:val="auto"/>
                      <w:sz w:val="18"/>
                      <w:szCs w:val="18"/>
                    </w:rPr>
                    <w:t>NH</w:t>
                  </w:r>
                  <w:r>
                    <w:rPr>
                      <w:b/>
                      <w:bCs/>
                      <w:color w:val="auto"/>
                      <w:sz w:val="18"/>
                      <w:szCs w:val="18"/>
                      <w:vertAlign w:val="subscript"/>
                    </w:rPr>
                    <w:t>3</w:t>
                  </w:r>
                  <w:r>
                    <w:rPr>
                      <w:b/>
                      <w:bCs/>
                      <w:color w:val="auto"/>
                      <w:sz w:val="18"/>
                      <w:szCs w:val="18"/>
                    </w:rPr>
                    <w:t>-N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 w:hRule="atLeast"/>
                <w:jc w:val="right"/>
              </w:trPr>
              <w:tc>
                <w:tcPr>
                  <w:tcW w:w="2274" w:type="pct"/>
                  <w:vAlign w:val="center"/>
                </w:tcPr>
                <w:p>
                  <w:pPr>
                    <w:pStyle w:val="46"/>
                    <w:rPr>
                      <w:color w:val="auto"/>
                      <w:sz w:val="18"/>
                      <w:szCs w:val="18"/>
                    </w:rPr>
                  </w:pPr>
                  <w:r>
                    <w:rPr>
                      <w:color w:val="auto"/>
                      <w:sz w:val="18"/>
                      <w:szCs w:val="18"/>
                    </w:rPr>
                    <w:t>《城镇污水处理厂污染物排放标准》（GB18918-2002）</w:t>
                  </w:r>
                  <w:r>
                    <w:rPr>
                      <w:rFonts w:hint="eastAsia"/>
                      <w:color w:val="auto"/>
                      <w:sz w:val="18"/>
                      <w:szCs w:val="18"/>
                    </w:rPr>
                    <w:t>及其修改单</w:t>
                  </w:r>
                  <w:r>
                    <w:rPr>
                      <w:color w:val="auto"/>
                      <w:sz w:val="18"/>
                      <w:szCs w:val="18"/>
                    </w:rPr>
                    <w:t>中一级</w:t>
                  </w:r>
                  <w:r>
                    <w:rPr>
                      <w:rFonts w:hint="eastAsia"/>
                      <w:color w:val="auto"/>
                      <w:sz w:val="18"/>
                      <w:szCs w:val="18"/>
                    </w:rPr>
                    <w:t>A</w:t>
                  </w:r>
                  <w:r>
                    <w:rPr>
                      <w:color w:val="auto"/>
                      <w:sz w:val="18"/>
                      <w:szCs w:val="18"/>
                    </w:rPr>
                    <w:t>标准</w:t>
                  </w:r>
                </w:p>
              </w:tc>
              <w:tc>
                <w:tcPr>
                  <w:tcW w:w="748" w:type="pct"/>
                  <w:vAlign w:val="center"/>
                </w:tcPr>
                <w:p>
                  <w:pPr>
                    <w:pStyle w:val="46"/>
                    <w:rPr>
                      <w:color w:val="auto"/>
                      <w:sz w:val="18"/>
                      <w:szCs w:val="18"/>
                    </w:rPr>
                  </w:pPr>
                  <w:r>
                    <w:rPr>
                      <w:color w:val="auto"/>
                      <w:sz w:val="18"/>
                      <w:szCs w:val="18"/>
                    </w:rPr>
                    <w:t>≤50</w:t>
                  </w:r>
                </w:p>
              </w:tc>
              <w:tc>
                <w:tcPr>
                  <w:tcW w:w="676" w:type="pct"/>
                  <w:vAlign w:val="center"/>
                </w:tcPr>
                <w:p>
                  <w:pPr>
                    <w:pStyle w:val="46"/>
                    <w:rPr>
                      <w:color w:val="auto"/>
                      <w:sz w:val="18"/>
                      <w:szCs w:val="18"/>
                    </w:rPr>
                  </w:pPr>
                  <w:r>
                    <w:rPr>
                      <w:color w:val="auto"/>
                      <w:sz w:val="18"/>
                      <w:szCs w:val="18"/>
                    </w:rPr>
                    <w:t>≤10</w:t>
                  </w:r>
                </w:p>
              </w:tc>
              <w:tc>
                <w:tcPr>
                  <w:tcW w:w="618" w:type="pct"/>
                  <w:vAlign w:val="center"/>
                </w:tcPr>
                <w:p>
                  <w:pPr>
                    <w:pStyle w:val="46"/>
                    <w:rPr>
                      <w:color w:val="auto"/>
                      <w:sz w:val="18"/>
                      <w:szCs w:val="18"/>
                    </w:rPr>
                  </w:pPr>
                  <w:r>
                    <w:rPr>
                      <w:color w:val="auto"/>
                      <w:sz w:val="18"/>
                      <w:szCs w:val="18"/>
                    </w:rPr>
                    <w:t>≤10</w:t>
                  </w:r>
                </w:p>
              </w:tc>
              <w:tc>
                <w:tcPr>
                  <w:tcW w:w="681" w:type="pct"/>
                  <w:vAlign w:val="center"/>
                </w:tcPr>
                <w:p>
                  <w:pPr>
                    <w:pStyle w:val="46"/>
                    <w:rPr>
                      <w:color w:val="auto"/>
                      <w:sz w:val="18"/>
                      <w:szCs w:val="18"/>
                    </w:rPr>
                  </w:pPr>
                  <w:r>
                    <w:rPr>
                      <w:color w:val="auto"/>
                      <w:sz w:val="18"/>
                      <w:szCs w:val="18"/>
                    </w:rPr>
                    <w:t>≤5</w:t>
                  </w:r>
                </w:p>
              </w:tc>
            </w:tr>
          </w:tbl>
          <w:p>
            <w:pPr>
              <w:widowControl/>
              <w:spacing w:line="360" w:lineRule="auto"/>
              <w:jc w:val="left"/>
              <w:rPr>
                <w:rFonts w:hint="eastAsia"/>
                <w:b/>
                <w:bCs/>
                <w:color w:val="auto"/>
              </w:rPr>
            </w:pPr>
            <w:r>
              <w:rPr>
                <w:rFonts w:hint="eastAsia"/>
                <w:b/>
                <w:bCs/>
                <w:color w:val="auto"/>
              </w:rPr>
              <w:t>3.9废气排放标准</w:t>
            </w:r>
          </w:p>
          <w:p>
            <w:pPr>
              <w:pStyle w:val="24"/>
              <w:ind w:firstLine="420"/>
              <w:rPr>
                <w:color w:val="auto"/>
                <w:sz w:val="21"/>
                <w:szCs w:val="21"/>
              </w:rPr>
            </w:pPr>
            <w:r>
              <w:rPr>
                <w:rFonts w:hint="eastAsia"/>
                <w:color w:val="auto"/>
                <w:sz w:val="21"/>
                <w:szCs w:val="21"/>
              </w:rPr>
              <w:t>（1）有组织废气</w:t>
            </w:r>
          </w:p>
          <w:p>
            <w:pPr>
              <w:pStyle w:val="24"/>
              <w:ind w:firstLine="420"/>
              <w:rPr>
                <w:rFonts w:hint="eastAsia"/>
                <w:color w:val="auto"/>
                <w:sz w:val="21"/>
                <w:szCs w:val="21"/>
                <w:lang w:val="en-US" w:eastAsia="zh-CN"/>
              </w:rPr>
            </w:pPr>
            <w:r>
              <w:rPr>
                <w:rFonts w:hint="eastAsia"/>
                <w:color w:val="auto"/>
                <w:sz w:val="21"/>
                <w:szCs w:val="21"/>
                <w:lang w:eastAsia="zh-CN"/>
              </w:rPr>
              <w:t>本</w:t>
            </w:r>
            <w:r>
              <w:rPr>
                <w:rFonts w:hint="eastAsia"/>
                <w:color w:val="auto"/>
                <w:sz w:val="21"/>
                <w:szCs w:val="21"/>
                <w:lang w:val="en-US" w:eastAsia="zh-CN"/>
              </w:rPr>
              <w:t>扩建项目属于塑料制品业292，运营期废气主要为溶剂（以非甲烷总烃计），DA013排气筒排放参照执行《合成树脂工业污染物排放标准》（GB 31572—2015，含2024年修改单）。根据《合成树脂工业污染物排放标准》（GB 31572—2015，含2024年修改单）的适用范围：塑料制品工业企业及其生产设施参照执行该标准，因此本项目DA013废气排放可参照执行。DA002排气筒现执行《工业企业挥发性有机物排放标准》（DB35/1782-2018）表1中其他行业标准排放标准和15m高排气筒最高运行排放限值，本次新增废气参照执行该标准。</w:t>
            </w:r>
          </w:p>
          <w:p>
            <w:pPr>
              <w:spacing w:before="194" w:beforeLines="50"/>
              <w:jc w:val="center"/>
              <w:outlineLvl w:val="5"/>
              <w:rPr>
                <w:rFonts w:hint="default" w:eastAsia="宋体" w:cs="Times New Roman"/>
                <w:b/>
                <w:color w:val="auto"/>
                <w:spacing w:val="0"/>
                <w:sz w:val="21"/>
                <w:szCs w:val="21"/>
                <w:lang w:val="en-US" w:eastAsia="zh-CN"/>
              </w:rPr>
            </w:pPr>
            <w:r>
              <w:rPr>
                <w:rFonts w:hint="default" w:eastAsia="宋体" w:cs="Times New Roman"/>
                <w:b/>
                <w:color w:val="auto"/>
                <w:spacing w:val="0"/>
                <w:sz w:val="21"/>
                <w:szCs w:val="21"/>
                <w:lang w:val="en-US" w:eastAsia="zh-CN"/>
              </w:rPr>
              <w:t>表3-</w:t>
            </w:r>
            <w:r>
              <w:rPr>
                <w:rFonts w:hint="eastAsia" w:cs="Times New Roman"/>
                <w:b/>
                <w:color w:val="auto"/>
                <w:spacing w:val="0"/>
                <w:sz w:val="21"/>
                <w:szCs w:val="21"/>
                <w:lang w:val="en-US" w:eastAsia="zh-CN"/>
              </w:rPr>
              <w:t>10</w:t>
            </w:r>
            <w:r>
              <w:rPr>
                <w:rFonts w:hint="default" w:eastAsia="宋体" w:cs="Times New Roman"/>
                <w:b/>
                <w:color w:val="auto"/>
                <w:spacing w:val="0"/>
                <w:sz w:val="21"/>
                <w:szCs w:val="21"/>
                <w:lang w:val="en-US" w:eastAsia="zh-CN"/>
              </w:rPr>
              <w:t>全厂有组织废气污染物排放标准</w:t>
            </w:r>
          </w:p>
          <w:tbl>
            <w:tblPr>
              <w:tblStyle w:val="19"/>
              <w:tblW w:w="6350"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48"/>
              <w:gridCol w:w="550"/>
              <w:gridCol w:w="1280"/>
              <w:gridCol w:w="714"/>
              <w:gridCol w:w="499"/>
              <w:gridCol w:w="717"/>
              <w:gridCol w:w="184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88" w:type="pct"/>
                  <w:tcBorders>
                    <w:top w:val="single" w:color="auto" w:sz="4" w:space="0"/>
                    <w:left w:val="single" w:color="auto" w:sz="4" w:space="0"/>
                    <w:bottom w:val="single" w:color="auto" w:sz="4" w:space="0"/>
                    <w:right w:val="single" w:color="auto" w:sz="4" w:space="0"/>
                  </w:tcBorders>
                  <w:vAlign w:val="center"/>
                </w:tcPr>
                <w:p>
                  <w:pPr>
                    <w:pStyle w:val="27"/>
                    <w:snapToGrid w:val="0"/>
                    <w:spacing w:line="240" w:lineRule="auto"/>
                    <w:rPr>
                      <w:b/>
                      <w:color w:val="auto"/>
                      <w:sz w:val="18"/>
                      <w:szCs w:val="18"/>
                    </w:rPr>
                  </w:pPr>
                  <w:r>
                    <w:rPr>
                      <w:rFonts w:hint="eastAsia"/>
                      <w:b/>
                      <w:color w:val="auto"/>
                      <w:sz w:val="18"/>
                      <w:szCs w:val="18"/>
                    </w:rPr>
                    <w:t>污染源</w:t>
                  </w:r>
                </w:p>
              </w:tc>
              <w:tc>
                <w:tcPr>
                  <w:tcW w:w="433" w:type="pct"/>
                  <w:tcBorders>
                    <w:top w:val="single" w:color="auto" w:sz="4" w:space="0"/>
                    <w:left w:val="single" w:color="auto" w:sz="4" w:space="0"/>
                    <w:bottom w:val="single" w:color="auto" w:sz="4" w:space="0"/>
                    <w:right w:val="single" w:color="auto" w:sz="4" w:space="0"/>
                  </w:tcBorders>
                  <w:vAlign w:val="center"/>
                </w:tcPr>
                <w:p>
                  <w:pPr>
                    <w:pStyle w:val="27"/>
                    <w:snapToGrid w:val="0"/>
                    <w:spacing w:line="240" w:lineRule="auto"/>
                    <w:rPr>
                      <w:rFonts w:hint="eastAsia" w:eastAsia="宋体"/>
                      <w:b/>
                      <w:color w:val="auto"/>
                      <w:sz w:val="18"/>
                      <w:szCs w:val="18"/>
                      <w:lang w:val="en-US" w:eastAsia="zh-CN"/>
                    </w:rPr>
                  </w:pPr>
                  <w:r>
                    <w:rPr>
                      <w:rFonts w:hint="eastAsia"/>
                      <w:b/>
                      <w:color w:val="auto"/>
                      <w:sz w:val="18"/>
                      <w:szCs w:val="18"/>
                      <w:lang w:val="en-US" w:eastAsia="zh-CN"/>
                    </w:rPr>
                    <w:t>性质</w:t>
                  </w:r>
                </w:p>
              </w:tc>
              <w:tc>
                <w:tcPr>
                  <w:tcW w:w="1007" w:type="pct"/>
                  <w:tcBorders>
                    <w:top w:val="single" w:color="auto" w:sz="4" w:space="0"/>
                    <w:left w:val="single" w:color="auto" w:sz="4" w:space="0"/>
                    <w:bottom w:val="single" w:color="auto" w:sz="4" w:space="0"/>
                    <w:right w:val="single" w:color="auto" w:sz="4" w:space="0"/>
                  </w:tcBorders>
                  <w:vAlign w:val="center"/>
                </w:tcPr>
                <w:p>
                  <w:pPr>
                    <w:pStyle w:val="27"/>
                    <w:snapToGrid w:val="0"/>
                    <w:spacing w:line="240" w:lineRule="auto"/>
                    <w:rPr>
                      <w:b/>
                      <w:color w:val="auto"/>
                      <w:sz w:val="18"/>
                      <w:szCs w:val="18"/>
                    </w:rPr>
                  </w:pPr>
                  <w:r>
                    <w:rPr>
                      <w:b/>
                      <w:color w:val="auto"/>
                      <w:sz w:val="18"/>
                      <w:szCs w:val="18"/>
                    </w:rPr>
                    <w:t>污染因子</w:t>
                  </w:r>
                </w:p>
              </w:tc>
              <w:tc>
                <w:tcPr>
                  <w:tcW w:w="562" w:type="pct"/>
                  <w:tcBorders>
                    <w:top w:val="single" w:color="auto" w:sz="4" w:space="0"/>
                    <w:left w:val="single" w:color="auto" w:sz="4" w:space="0"/>
                    <w:bottom w:val="single" w:color="auto" w:sz="4" w:space="0"/>
                    <w:right w:val="single" w:color="auto" w:sz="4" w:space="0"/>
                  </w:tcBorders>
                  <w:vAlign w:val="center"/>
                </w:tcPr>
                <w:p>
                  <w:pPr>
                    <w:pStyle w:val="27"/>
                    <w:snapToGrid w:val="0"/>
                    <w:spacing w:line="240" w:lineRule="auto"/>
                    <w:rPr>
                      <w:b/>
                      <w:color w:val="auto"/>
                      <w:sz w:val="18"/>
                      <w:szCs w:val="18"/>
                    </w:rPr>
                  </w:pPr>
                  <w:r>
                    <w:rPr>
                      <w:b/>
                      <w:color w:val="auto"/>
                      <w:sz w:val="18"/>
                      <w:szCs w:val="18"/>
                    </w:rPr>
                    <w:t>最高排放浓度限值mg/m</w:t>
                  </w:r>
                  <w:r>
                    <w:rPr>
                      <w:b/>
                      <w:color w:val="auto"/>
                      <w:sz w:val="18"/>
                      <w:szCs w:val="18"/>
                      <w:vertAlign w:val="superscript"/>
                    </w:rPr>
                    <w:t>3</w:t>
                  </w:r>
                </w:p>
              </w:tc>
              <w:tc>
                <w:tcPr>
                  <w:tcW w:w="392" w:type="pct"/>
                  <w:tcBorders>
                    <w:top w:val="single" w:color="auto" w:sz="4" w:space="0"/>
                    <w:left w:val="single" w:color="auto" w:sz="4" w:space="0"/>
                    <w:bottom w:val="single" w:color="auto" w:sz="4" w:space="0"/>
                    <w:right w:val="single" w:color="auto" w:sz="4" w:space="0"/>
                  </w:tcBorders>
                  <w:vAlign w:val="center"/>
                </w:tcPr>
                <w:p>
                  <w:pPr>
                    <w:pStyle w:val="27"/>
                    <w:snapToGrid w:val="0"/>
                    <w:spacing w:line="240" w:lineRule="auto"/>
                    <w:rPr>
                      <w:b/>
                      <w:color w:val="auto"/>
                      <w:sz w:val="18"/>
                      <w:szCs w:val="18"/>
                    </w:rPr>
                  </w:pPr>
                  <w:r>
                    <w:rPr>
                      <w:b/>
                      <w:color w:val="auto"/>
                      <w:sz w:val="18"/>
                      <w:szCs w:val="18"/>
                    </w:rPr>
                    <w:t>排气筒高度m</w:t>
                  </w:r>
                </w:p>
              </w:tc>
              <w:tc>
                <w:tcPr>
                  <w:tcW w:w="564" w:type="pct"/>
                  <w:tcBorders>
                    <w:top w:val="single" w:color="auto" w:sz="4" w:space="0"/>
                    <w:left w:val="single" w:color="auto" w:sz="4" w:space="0"/>
                    <w:bottom w:val="single" w:color="auto" w:sz="4" w:space="0"/>
                    <w:right w:val="single" w:color="auto" w:sz="4" w:space="0"/>
                  </w:tcBorders>
                  <w:vAlign w:val="center"/>
                </w:tcPr>
                <w:p>
                  <w:pPr>
                    <w:pStyle w:val="27"/>
                    <w:snapToGrid w:val="0"/>
                    <w:spacing w:line="240" w:lineRule="auto"/>
                    <w:rPr>
                      <w:b/>
                      <w:color w:val="auto"/>
                      <w:sz w:val="18"/>
                      <w:szCs w:val="18"/>
                    </w:rPr>
                  </w:pPr>
                  <w:r>
                    <w:rPr>
                      <w:b/>
                      <w:color w:val="auto"/>
                      <w:sz w:val="18"/>
                      <w:szCs w:val="18"/>
                    </w:rPr>
                    <w:t>最高允许排放速率kg/h</w:t>
                  </w:r>
                </w:p>
              </w:tc>
              <w:tc>
                <w:tcPr>
                  <w:tcW w:w="1450" w:type="pct"/>
                  <w:tcBorders>
                    <w:top w:val="single" w:color="auto" w:sz="4" w:space="0"/>
                    <w:left w:val="single" w:color="auto" w:sz="4" w:space="0"/>
                    <w:bottom w:val="single" w:color="auto" w:sz="4" w:space="0"/>
                    <w:right w:val="single" w:color="auto" w:sz="4" w:space="0"/>
                  </w:tcBorders>
                  <w:vAlign w:val="center"/>
                </w:tcPr>
                <w:p>
                  <w:pPr>
                    <w:pStyle w:val="27"/>
                    <w:snapToGrid w:val="0"/>
                    <w:spacing w:line="240" w:lineRule="auto"/>
                    <w:rPr>
                      <w:b/>
                      <w:color w:val="auto"/>
                      <w:sz w:val="18"/>
                      <w:szCs w:val="18"/>
                    </w:rPr>
                  </w:pPr>
                  <w:r>
                    <w:rPr>
                      <w:b/>
                      <w:color w:val="auto"/>
                      <w:sz w:val="18"/>
                      <w:szCs w:val="18"/>
                    </w:rPr>
                    <w:t>标准来源</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37" w:hRule="atLeast"/>
                <w:jc w:val="center"/>
              </w:trPr>
              <w:tc>
                <w:tcPr>
                  <w:tcW w:w="588" w:type="pct"/>
                  <w:tcBorders>
                    <w:top w:val="single" w:color="auto" w:sz="4" w:space="0"/>
                    <w:left w:val="single" w:color="auto" w:sz="4" w:space="0"/>
                    <w:bottom w:val="single" w:color="auto" w:sz="4" w:space="0"/>
                    <w:right w:val="single" w:color="auto" w:sz="4" w:space="0"/>
                  </w:tcBorders>
                  <w:vAlign w:val="center"/>
                </w:tcPr>
                <w:p>
                  <w:pPr>
                    <w:pStyle w:val="27"/>
                    <w:snapToGrid w:val="0"/>
                    <w:spacing w:line="240" w:lineRule="auto"/>
                    <w:rPr>
                      <w:rFonts w:hint="default" w:eastAsia="宋体"/>
                      <w:color w:val="auto"/>
                      <w:sz w:val="18"/>
                      <w:szCs w:val="18"/>
                      <w:lang w:val="en-US" w:eastAsia="zh-CN"/>
                    </w:rPr>
                  </w:pPr>
                  <w:r>
                    <w:rPr>
                      <w:rFonts w:hint="eastAsia"/>
                      <w:color w:val="auto"/>
                      <w:sz w:val="18"/>
                      <w:szCs w:val="18"/>
                      <w:lang w:val="en-US" w:eastAsia="zh-CN"/>
                    </w:rPr>
                    <w:t>DA013</w:t>
                  </w:r>
                </w:p>
              </w:tc>
              <w:tc>
                <w:tcPr>
                  <w:tcW w:w="433" w:type="pct"/>
                  <w:tcBorders>
                    <w:top w:val="single" w:color="auto" w:sz="4" w:space="0"/>
                    <w:left w:val="single" w:color="auto" w:sz="4" w:space="0"/>
                    <w:bottom w:val="single" w:color="auto" w:sz="4" w:space="0"/>
                    <w:right w:val="single" w:color="auto" w:sz="4" w:space="0"/>
                  </w:tcBorders>
                  <w:vAlign w:val="center"/>
                </w:tcPr>
                <w:p>
                  <w:pPr>
                    <w:pStyle w:val="27"/>
                    <w:snapToGrid w:val="0"/>
                    <w:spacing w:line="240" w:lineRule="auto"/>
                    <w:rPr>
                      <w:rFonts w:hint="default"/>
                      <w:color w:val="auto"/>
                      <w:sz w:val="18"/>
                      <w:szCs w:val="18"/>
                      <w:lang w:val="en-US" w:eastAsia="zh-CN"/>
                    </w:rPr>
                  </w:pPr>
                  <w:bookmarkStart w:id="53" w:name="OLE_LINK152"/>
                  <w:r>
                    <w:rPr>
                      <w:rFonts w:hint="eastAsia"/>
                      <w:color w:val="auto"/>
                      <w:sz w:val="18"/>
                      <w:szCs w:val="18"/>
                      <w:lang w:val="en-US" w:eastAsia="zh-CN"/>
                    </w:rPr>
                    <w:t>新增</w:t>
                  </w:r>
                </w:p>
                <w:bookmarkEnd w:id="53"/>
              </w:tc>
              <w:tc>
                <w:tcPr>
                  <w:tcW w:w="1007" w:type="pct"/>
                  <w:tcBorders>
                    <w:top w:val="single" w:color="auto" w:sz="4" w:space="0"/>
                    <w:left w:val="single" w:color="auto" w:sz="4" w:space="0"/>
                    <w:bottom w:val="single" w:color="auto" w:sz="4" w:space="0"/>
                    <w:right w:val="single" w:color="auto" w:sz="4" w:space="0"/>
                  </w:tcBorders>
                  <w:vAlign w:val="center"/>
                </w:tcPr>
                <w:p>
                  <w:pPr>
                    <w:pStyle w:val="27"/>
                    <w:snapToGrid w:val="0"/>
                    <w:spacing w:line="240" w:lineRule="auto"/>
                    <w:rPr>
                      <w:color w:val="auto"/>
                      <w:sz w:val="18"/>
                      <w:szCs w:val="18"/>
                    </w:rPr>
                  </w:pPr>
                  <w:r>
                    <w:rPr>
                      <w:rFonts w:hint="eastAsia"/>
                      <w:color w:val="auto"/>
                      <w:kern w:val="0"/>
                      <w:sz w:val="18"/>
                      <w:szCs w:val="18"/>
                      <w:lang w:eastAsia="zh-CN"/>
                    </w:rPr>
                    <w:t>溶剂</w:t>
                  </w:r>
                  <w:r>
                    <w:rPr>
                      <w:rFonts w:hint="eastAsia"/>
                      <w:color w:val="auto"/>
                      <w:kern w:val="0"/>
                      <w:sz w:val="18"/>
                      <w:szCs w:val="18"/>
                    </w:rPr>
                    <w:t>（以非甲烷总烃计）</w:t>
                  </w:r>
                </w:p>
              </w:tc>
              <w:tc>
                <w:tcPr>
                  <w:tcW w:w="562" w:type="pct"/>
                  <w:tcBorders>
                    <w:top w:val="single" w:color="auto" w:sz="4" w:space="0"/>
                    <w:left w:val="single" w:color="auto" w:sz="4" w:space="0"/>
                    <w:bottom w:val="single" w:color="auto" w:sz="4" w:space="0"/>
                    <w:right w:val="single" w:color="auto" w:sz="4" w:space="0"/>
                  </w:tcBorders>
                  <w:vAlign w:val="center"/>
                </w:tcPr>
                <w:p>
                  <w:pPr>
                    <w:pStyle w:val="27"/>
                    <w:snapToGrid w:val="0"/>
                    <w:spacing w:line="240" w:lineRule="auto"/>
                    <w:rPr>
                      <w:color w:val="auto"/>
                      <w:sz w:val="18"/>
                      <w:szCs w:val="18"/>
                    </w:rPr>
                  </w:pPr>
                  <w:r>
                    <w:rPr>
                      <w:rFonts w:hint="eastAsia"/>
                      <w:color w:val="auto"/>
                      <w:sz w:val="18"/>
                      <w:szCs w:val="18"/>
                    </w:rPr>
                    <w:t>100</w:t>
                  </w:r>
                </w:p>
              </w:tc>
              <w:tc>
                <w:tcPr>
                  <w:tcW w:w="392" w:type="pct"/>
                  <w:tcBorders>
                    <w:top w:val="single" w:color="auto" w:sz="4" w:space="0"/>
                    <w:left w:val="single" w:color="auto" w:sz="4" w:space="0"/>
                    <w:bottom w:val="single" w:color="auto" w:sz="4" w:space="0"/>
                    <w:right w:val="single" w:color="auto" w:sz="4" w:space="0"/>
                  </w:tcBorders>
                  <w:vAlign w:val="center"/>
                </w:tcPr>
                <w:p>
                  <w:pPr>
                    <w:pStyle w:val="27"/>
                    <w:snapToGrid w:val="0"/>
                    <w:spacing w:line="240" w:lineRule="auto"/>
                    <w:rPr>
                      <w:color w:val="auto"/>
                      <w:sz w:val="18"/>
                      <w:szCs w:val="18"/>
                    </w:rPr>
                  </w:pPr>
                  <w:r>
                    <w:rPr>
                      <w:rFonts w:hint="eastAsia"/>
                      <w:color w:val="auto"/>
                      <w:sz w:val="18"/>
                      <w:szCs w:val="18"/>
                    </w:rPr>
                    <w:t>15</w:t>
                  </w:r>
                </w:p>
              </w:tc>
              <w:tc>
                <w:tcPr>
                  <w:tcW w:w="564" w:type="pct"/>
                  <w:tcBorders>
                    <w:top w:val="single" w:color="auto" w:sz="4" w:space="0"/>
                    <w:left w:val="single" w:color="auto" w:sz="4" w:space="0"/>
                    <w:bottom w:val="single" w:color="auto" w:sz="4" w:space="0"/>
                    <w:right w:val="single" w:color="auto" w:sz="4" w:space="0"/>
                  </w:tcBorders>
                  <w:vAlign w:val="center"/>
                </w:tcPr>
                <w:p>
                  <w:pPr>
                    <w:pStyle w:val="27"/>
                    <w:snapToGrid w:val="0"/>
                    <w:spacing w:line="240" w:lineRule="auto"/>
                    <w:rPr>
                      <w:rFonts w:hint="eastAsia" w:eastAsia="宋体"/>
                      <w:color w:val="auto"/>
                      <w:sz w:val="18"/>
                      <w:szCs w:val="18"/>
                      <w:lang w:eastAsia="zh-CN"/>
                    </w:rPr>
                  </w:pPr>
                  <w:r>
                    <w:rPr>
                      <w:rFonts w:hint="eastAsia"/>
                      <w:color w:val="auto"/>
                      <w:sz w:val="18"/>
                      <w:szCs w:val="18"/>
                      <w:lang w:val="en-US" w:eastAsia="zh-CN"/>
                    </w:rPr>
                    <w:t>/</w:t>
                  </w:r>
                </w:p>
              </w:tc>
              <w:tc>
                <w:tcPr>
                  <w:tcW w:w="1450" w:type="pct"/>
                  <w:tcBorders>
                    <w:top w:val="single" w:color="auto" w:sz="4" w:space="0"/>
                    <w:left w:val="single" w:color="auto" w:sz="4" w:space="0"/>
                    <w:bottom w:val="single" w:color="auto" w:sz="4" w:space="0"/>
                    <w:right w:val="single" w:color="auto" w:sz="4" w:space="0"/>
                  </w:tcBorders>
                  <w:vAlign w:val="center"/>
                </w:tcPr>
                <w:p>
                  <w:pPr>
                    <w:pStyle w:val="27"/>
                    <w:snapToGrid w:val="0"/>
                    <w:spacing w:line="240" w:lineRule="auto"/>
                    <w:rPr>
                      <w:color w:val="auto"/>
                      <w:sz w:val="18"/>
                      <w:szCs w:val="18"/>
                    </w:rPr>
                  </w:pPr>
                  <w:r>
                    <w:rPr>
                      <w:color w:val="auto"/>
                      <w:sz w:val="18"/>
                      <w:szCs w:val="18"/>
                    </w:rPr>
                    <w:t>《合成树脂工业污染物排放标准》（GB31572—2015（含2024年修改单））表4大气污染物排放限值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588" w:type="pct"/>
                  <w:vMerge w:val="restart"/>
                  <w:tcBorders>
                    <w:top w:val="single" w:color="auto" w:sz="4" w:space="0"/>
                    <w:left w:val="single" w:color="auto" w:sz="4" w:space="0"/>
                    <w:right w:val="single" w:color="auto" w:sz="4" w:space="0"/>
                  </w:tcBorders>
                  <w:vAlign w:val="center"/>
                </w:tcPr>
                <w:p>
                  <w:pPr>
                    <w:pStyle w:val="27"/>
                    <w:snapToGrid w:val="0"/>
                    <w:spacing w:line="240" w:lineRule="auto"/>
                    <w:rPr>
                      <w:rFonts w:hint="eastAsia" w:eastAsia="宋体"/>
                      <w:color w:val="auto"/>
                      <w:sz w:val="18"/>
                      <w:szCs w:val="18"/>
                      <w:lang w:val="en-US" w:eastAsia="zh-CN"/>
                    </w:rPr>
                  </w:pPr>
                  <w:r>
                    <w:rPr>
                      <w:rFonts w:hint="eastAsia"/>
                      <w:color w:val="auto"/>
                      <w:sz w:val="18"/>
                      <w:szCs w:val="18"/>
                      <w:lang w:val="en-US" w:eastAsia="zh-CN"/>
                    </w:rPr>
                    <w:t>DA002</w:t>
                  </w:r>
                </w:p>
              </w:tc>
              <w:tc>
                <w:tcPr>
                  <w:tcW w:w="433" w:type="pct"/>
                  <w:vMerge w:val="restart"/>
                  <w:tcBorders>
                    <w:top w:val="single" w:color="auto" w:sz="4" w:space="0"/>
                    <w:left w:val="single" w:color="auto" w:sz="4" w:space="0"/>
                    <w:right w:val="single" w:color="auto" w:sz="4" w:space="0"/>
                  </w:tcBorders>
                  <w:vAlign w:val="center"/>
                </w:tcPr>
                <w:p>
                  <w:pPr>
                    <w:pStyle w:val="27"/>
                    <w:snapToGrid w:val="0"/>
                    <w:spacing w:line="240" w:lineRule="auto"/>
                    <w:rPr>
                      <w:rFonts w:hint="default"/>
                      <w:color w:val="auto"/>
                      <w:sz w:val="18"/>
                      <w:szCs w:val="18"/>
                      <w:lang w:val="en-US" w:eastAsia="zh-CN"/>
                    </w:rPr>
                  </w:pPr>
                  <w:r>
                    <w:rPr>
                      <w:rFonts w:hint="eastAsia"/>
                      <w:color w:val="auto"/>
                      <w:sz w:val="18"/>
                      <w:szCs w:val="18"/>
                      <w:lang w:val="en-US" w:eastAsia="zh-CN"/>
                    </w:rPr>
                    <w:t>依托</w:t>
                  </w:r>
                </w:p>
              </w:tc>
              <w:tc>
                <w:tcPr>
                  <w:tcW w:w="1007" w:type="pct"/>
                  <w:vMerge w:val="restart"/>
                  <w:tcBorders>
                    <w:top w:val="single" w:color="auto" w:sz="4" w:space="0"/>
                    <w:left w:val="single" w:color="auto" w:sz="4" w:space="0"/>
                    <w:right w:val="single" w:color="auto" w:sz="4" w:space="0"/>
                  </w:tcBorders>
                  <w:vAlign w:val="center"/>
                </w:tcPr>
                <w:p>
                  <w:pPr>
                    <w:pStyle w:val="27"/>
                    <w:snapToGrid w:val="0"/>
                    <w:spacing w:line="240" w:lineRule="auto"/>
                    <w:rPr>
                      <w:rFonts w:hint="eastAsia"/>
                      <w:color w:val="auto"/>
                      <w:kern w:val="0"/>
                      <w:sz w:val="18"/>
                      <w:szCs w:val="18"/>
                    </w:rPr>
                  </w:pPr>
                  <w:r>
                    <w:rPr>
                      <w:rFonts w:hint="eastAsia"/>
                      <w:color w:val="auto"/>
                      <w:kern w:val="0"/>
                      <w:sz w:val="18"/>
                      <w:szCs w:val="18"/>
                    </w:rPr>
                    <w:t>非甲烷总烃</w:t>
                  </w:r>
                </w:p>
              </w:tc>
              <w:tc>
                <w:tcPr>
                  <w:tcW w:w="562" w:type="pct"/>
                  <w:vMerge w:val="restart"/>
                  <w:tcBorders>
                    <w:top w:val="single" w:color="auto" w:sz="4" w:space="0"/>
                    <w:left w:val="single" w:color="auto" w:sz="4" w:space="0"/>
                    <w:right w:val="single" w:color="auto" w:sz="4" w:space="0"/>
                  </w:tcBorders>
                  <w:vAlign w:val="center"/>
                </w:tcPr>
                <w:p>
                  <w:pPr>
                    <w:pStyle w:val="27"/>
                    <w:snapToGrid w:val="0"/>
                    <w:spacing w:line="240" w:lineRule="auto"/>
                    <w:rPr>
                      <w:rFonts w:hint="eastAsia"/>
                      <w:color w:val="auto"/>
                      <w:sz w:val="18"/>
                      <w:szCs w:val="18"/>
                    </w:rPr>
                  </w:pPr>
                  <w:r>
                    <w:rPr>
                      <w:rFonts w:hint="eastAsia"/>
                      <w:color w:val="auto"/>
                      <w:sz w:val="18"/>
                      <w:szCs w:val="18"/>
                    </w:rPr>
                    <w:t>100</w:t>
                  </w:r>
                </w:p>
              </w:tc>
              <w:tc>
                <w:tcPr>
                  <w:tcW w:w="392" w:type="pct"/>
                  <w:vMerge w:val="restart"/>
                  <w:tcBorders>
                    <w:top w:val="single" w:color="auto" w:sz="4" w:space="0"/>
                    <w:left w:val="single" w:color="auto" w:sz="4" w:space="0"/>
                    <w:right w:val="single" w:color="auto" w:sz="4" w:space="0"/>
                  </w:tcBorders>
                  <w:vAlign w:val="center"/>
                </w:tcPr>
                <w:p>
                  <w:pPr>
                    <w:pStyle w:val="27"/>
                    <w:snapToGrid w:val="0"/>
                    <w:spacing w:line="240" w:lineRule="auto"/>
                    <w:rPr>
                      <w:rFonts w:hint="eastAsia"/>
                      <w:color w:val="auto"/>
                      <w:sz w:val="18"/>
                      <w:szCs w:val="18"/>
                    </w:rPr>
                  </w:pPr>
                  <w:r>
                    <w:rPr>
                      <w:rFonts w:hint="eastAsia"/>
                      <w:color w:val="auto"/>
                      <w:sz w:val="18"/>
                      <w:szCs w:val="18"/>
                    </w:rPr>
                    <w:t>15</w:t>
                  </w:r>
                </w:p>
              </w:tc>
              <w:tc>
                <w:tcPr>
                  <w:tcW w:w="564" w:type="pct"/>
                  <w:vMerge w:val="restart"/>
                  <w:tcBorders>
                    <w:top w:val="single" w:color="auto" w:sz="4" w:space="0"/>
                    <w:left w:val="single" w:color="auto" w:sz="4" w:space="0"/>
                    <w:right w:val="single" w:color="auto" w:sz="4" w:space="0"/>
                  </w:tcBorders>
                  <w:vAlign w:val="center"/>
                </w:tcPr>
                <w:p>
                  <w:pPr>
                    <w:pStyle w:val="27"/>
                    <w:snapToGrid w:val="0"/>
                    <w:spacing w:line="240" w:lineRule="auto"/>
                    <w:rPr>
                      <w:rFonts w:hint="default" w:eastAsia="宋体"/>
                      <w:color w:val="auto"/>
                      <w:sz w:val="18"/>
                      <w:szCs w:val="18"/>
                      <w:lang w:val="en-US" w:eastAsia="zh-CN"/>
                    </w:rPr>
                  </w:pPr>
                  <w:r>
                    <w:rPr>
                      <w:rFonts w:hint="eastAsia"/>
                      <w:color w:val="auto"/>
                      <w:sz w:val="18"/>
                      <w:szCs w:val="18"/>
                      <w:lang w:val="en-US" w:eastAsia="zh-CN"/>
                    </w:rPr>
                    <w:t>1.8</w:t>
                  </w:r>
                </w:p>
              </w:tc>
              <w:tc>
                <w:tcPr>
                  <w:tcW w:w="1450" w:type="pct"/>
                  <w:vMerge w:val="restart"/>
                  <w:tcBorders>
                    <w:top w:val="single" w:color="auto" w:sz="4" w:space="0"/>
                    <w:left w:val="single" w:color="auto" w:sz="4" w:space="0"/>
                    <w:right w:val="single" w:color="auto" w:sz="4" w:space="0"/>
                  </w:tcBorders>
                  <w:vAlign w:val="center"/>
                </w:tcPr>
                <w:p>
                  <w:pPr>
                    <w:pStyle w:val="27"/>
                    <w:snapToGrid w:val="0"/>
                    <w:spacing w:line="240" w:lineRule="auto"/>
                    <w:rPr>
                      <w:rFonts w:hint="default" w:eastAsia="宋体"/>
                      <w:color w:val="auto"/>
                      <w:sz w:val="18"/>
                      <w:szCs w:val="18"/>
                      <w:lang w:val="en-US" w:eastAsia="zh-CN"/>
                    </w:rPr>
                  </w:pPr>
                  <w:r>
                    <w:rPr>
                      <w:rFonts w:hint="eastAsia"/>
                      <w:color w:val="auto"/>
                      <w:sz w:val="18"/>
                      <w:szCs w:val="18"/>
                    </w:rPr>
                    <w:t>《工业企业挥发性有机物排放标准》（DB35/1782-2018）表1中其他行业标准排放标准</w:t>
                  </w:r>
                  <w:r>
                    <w:rPr>
                      <w:rFonts w:hint="eastAsia"/>
                      <w:color w:val="auto"/>
                      <w:sz w:val="18"/>
                      <w:szCs w:val="18"/>
                      <w:lang w:val="en-US" w:eastAsia="zh-CN"/>
                    </w:rPr>
                    <w:t>和15m高排气筒最高运行排放限值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588" w:type="pct"/>
                  <w:vMerge w:val="continue"/>
                  <w:tcBorders>
                    <w:left w:val="single" w:color="auto" w:sz="4" w:space="0"/>
                    <w:right w:val="single" w:color="auto" w:sz="4" w:space="0"/>
                  </w:tcBorders>
                  <w:vAlign w:val="center"/>
                </w:tcPr>
                <w:p>
                  <w:pPr>
                    <w:pStyle w:val="27"/>
                    <w:snapToGrid w:val="0"/>
                    <w:spacing w:line="240" w:lineRule="auto"/>
                    <w:rPr>
                      <w:color w:val="auto"/>
                    </w:rPr>
                  </w:pPr>
                </w:p>
              </w:tc>
              <w:tc>
                <w:tcPr>
                  <w:tcW w:w="433" w:type="pct"/>
                  <w:vMerge w:val="continue"/>
                  <w:tcBorders>
                    <w:left w:val="single" w:color="auto" w:sz="4" w:space="0"/>
                    <w:right w:val="single" w:color="auto" w:sz="4" w:space="0"/>
                  </w:tcBorders>
                  <w:vAlign w:val="center"/>
                </w:tcPr>
                <w:p>
                  <w:pPr>
                    <w:pStyle w:val="27"/>
                    <w:snapToGrid w:val="0"/>
                    <w:spacing w:line="240" w:lineRule="auto"/>
                    <w:rPr>
                      <w:color w:val="auto"/>
                    </w:rPr>
                  </w:pPr>
                </w:p>
              </w:tc>
              <w:tc>
                <w:tcPr>
                  <w:tcW w:w="1007" w:type="pct"/>
                  <w:vMerge w:val="continue"/>
                  <w:tcBorders>
                    <w:left w:val="single" w:color="auto" w:sz="4" w:space="0"/>
                    <w:right w:val="single" w:color="auto" w:sz="4" w:space="0"/>
                  </w:tcBorders>
                  <w:vAlign w:val="center"/>
                </w:tcPr>
                <w:p>
                  <w:pPr>
                    <w:pStyle w:val="27"/>
                    <w:snapToGrid w:val="0"/>
                    <w:spacing w:line="240" w:lineRule="auto"/>
                    <w:rPr>
                      <w:rFonts w:hint="eastAsia"/>
                      <w:color w:val="auto"/>
                      <w:sz w:val="18"/>
                      <w:szCs w:val="18"/>
                    </w:rPr>
                  </w:pPr>
                </w:p>
              </w:tc>
              <w:tc>
                <w:tcPr>
                  <w:tcW w:w="562" w:type="pct"/>
                  <w:vMerge w:val="continue"/>
                  <w:tcBorders>
                    <w:left w:val="single" w:color="auto" w:sz="4" w:space="0"/>
                    <w:right w:val="single" w:color="auto" w:sz="4" w:space="0"/>
                  </w:tcBorders>
                  <w:vAlign w:val="center"/>
                </w:tcPr>
                <w:p>
                  <w:pPr>
                    <w:pStyle w:val="27"/>
                    <w:snapToGrid w:val="0"/>
                    <w:spacing w:line="240" w:lineRule="auto"/>
                    <w:rPr>
                      <w:rFonts w:hint="eastAsia"/>
                      <w:color w:val="auto"/>
                      <w:sz w:val="18"/>
                      <w:szCs w:val="18"/>
                    </w:rPr>
                  </w:pPr>
                </w:p>
              </w:tc>
              <w:tc>
                <w:tcPr>
                  <w:tcW w:w="392" w:type="pct"/>
                  <w:vMerge w:val="continue"/>
                  <w:tcBorders>
                    <w:left w:val="single" w:color="auto" w:sz="4" w:space="0"/>
                    <w:right w:val="single" w:color="auto" w:sz="4" w:space="0"/>
                  </w:tcBorders>
                  <w:vAlign w:val="center"/>
                </w:tcPr>
                <w:p>
                  <w:pPr>
                    <w:pStyle w:val="27"/>
                    <w:snapToGrid w:val="0"/>
                    <w:spacing w:line="240" w:lineRule="auto"/>
                    <w:rPr>
                      <w:rFonts w:hint="eastAsia"/>
                      <w:color w:val="auto"/>
                      <w:sz w:val="18"/>
                      <w:szCs w:val="18"/>
                    </w:rPr>
                  </w:pPr>
                </w:p>
              </w:tc>
              <w:tc>
                <w:tcPr>
                  <w:tcW w:w="564" w:type="pct"/>
                  <w:vMerge w:val="continue"/>
                  <w:tcBorders>
                    <w:left w:val="single" w:color="auto" w:sz="4" w:space="0"/>
                    <w:right w:val="single" w:color="auto" w:sz="4" w:space="0"/>
                  </w:tcBorders>
                  <w:vAlign w:val="center"/>
                </w:tcPr>
                <w:p>
                  <w:pPr>
                    <w:pStyle w:val="27"/>
                    <w:snapToGrid w:val="0"/>
                    <w:spacing w:line="240" w:lineRule="auto"/>
                    <w:rPr>
                      <w:rFonts w:hint="eastAsia"/>
                      <w:color w:val="auto"/>
                      <w:sz w:val="18"/>
                      <w:szCs w:val="18"/>
                    </w:rPr>
                  </w:pPr>
                </w:p>
              </w:tc>
              <w:tc>
                <w:tcPr>
                  <w:tcW w:w="1450" w:type="pct"/>
                  <w:vMerge w:val="continue"/>
                  <w:tcBorders>
                    <w:left w:val="single" w:color="auto" w:sz="4" w:space="0"/>
                    <w:right w:val="single" w:color="auto" w:sz="4" w:space="0"/>
                  </w:tcBorders>
                  <w:vAlign w:val="center"/>
                </w:tcPr>
                <w:p>
                  <w:pPr>
                    <w:pStyle w:val="27"/>
                    <w:snapToGrid w:val="0"/>
                    <w:spacing w:line="240" w:lineRule="auto"/>
                    <w:rPr>
                      <w:rFonts w:hint="eastAsia"/>
                      <w:color w:val="auto"/>
                      <w:sz w:val="18"/>
                      <w:szCs w:val="18"/>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588" w:type="pct"/>
                  <w:vMerge w:val="continue"/>
                  <w:tcBorders>
                    <w:left w:val="single" w:color="auto" w:sz="4" w:space="0"/>
                    <w:bottom w:val="single" w:color="auto" w:sz="4" w:space="0"/>
                    <w:right w:val="single" w:color="auto" w:sz="4" w:space="0"/>
                  </w:tcBorders>
                  <w:vAlign w:val="center"/>
                </w:tcPr>
                <w:p>
                  <w:pPr>
                    <w:pStyle w:val="27"/>
                    <w:snapToGrid w:val="0"/>
                    <w:spacing w:line="240" w:lineRule="auto"/>
                    <w:rPr>
                      <w:rFonts w:hint="eastAsia"/>
                      <w:color w:val="auto"/>
                      <w:sz w:val="18"/>
                      <w:szCs w:val="18"/>
                    </w:rPr>
                  </w:pPr>
                </w:p>
              </w:tc>
              <w:tc>
                <w:tcPr>
                  <w:tcW w:w="433" w:type="pct"/>
                  <w:vMerge w:val="continue"/>
                  <w:tcBorders>
                    <w:left w:val="single" w:color="auto" w:sz="4" w:space="0"/>
                    <w:bottom w:val="single" w:color="auto" w:sz="4" w:space="0"/>
                    <w:right w:val="single" w:color="auto" w:sz="4" w:space="0"/>
                  </w:tcBorders>
                  <w:vAlign w:val="center"/>
                </w:tcPr>
                <w:p>
                  <w:pPr>
                    <w:pStyle w:val="27"/>
                    <w:snapToGrid w:val="0"/>
                    <w:spacing w:line="240" w:lineRule="auto"/>
                    <w:rPr>
                      <w:rFonts w:hint="eastAsia"/>
                      <w:color w:val="auto"/>
                      <w:sz w:val="18"/>
                      <w:szCs w:val="18"/>
                    </w:rPr>
                  </w:pPr>
                </w:p>
              </w:tc>
              <w:tc>
                <w:tcPr>
                  <w:tcW w:w="1007" w:type="pct"/>
                  <w:vMerge w:val="continue"/>
                  <w:tcBorders>
                    <w:left w:val="single" w:color="auto" w:sz="4" w:space="0"/>
                    <w:bottom w:val="single" w:color="auto" w:sz="4" w:space="0"/>
                    <w:right w:val="single" w:color="auto" w:sz="4" w:space="0"/>
                  </w:tcBorders>
                  <w:vAlign w:val="center"/>
                </w:tcPr>
                <w:p>
                  <w:pPr>
                    <w:pStyle w:val="27"/>
                    <w:snapToGrid w:val="0"/>
                    <w:spacing w:line="240" w:lineRule="auto"/>
                    <w:rPr>
                      <w:rFonts w:hint="eastAsia"/>
                      <w:color w:val="auto"/>
                      <w:sz w:val="18"/>
                      <w:szCs w:val="18"/>
                    </w:rPr>
                  </w:pPr>
                </w:p>
              </w:tc>
              <w:tc>
                <w:tcPr>
                  <w:tcW w:w="562" w:type="pct"/>
                  <w:vMerge w:val="continue"/>
                  <w:tcBorders>
                    <w:left w:val="single" w:color="auto" w:sz="4" w:space="0"/>
                    <w:bottom w:val="single" w:color="auto" w:sz="4" w:space="0"/>
                    <w:right w:val="single" w:color="auto" w:sz="4" w:space="0"/>
                  </w:tcBorders>
                  <w:vAlign w:val="center"/>
                </w:tcPr>
                <w:p>
                  <w:pPr>
                    <w:pStyle w:val="27"/>
                    <w:snapToGrid w:val="0"/>
                    <w:spacing w:line="240" w:lineRule="auto"/>
                    <w:rPr>
                      <w:rFonts w:hint="eastAsia"/>
                      <w:color w:val="auto"/>
                      <w:sz w:val="18"/>
                      <w:szCs w:val="18"/>
                    </w:rPr>
                  </w:pPr>
                </w:p>
              </w:tc>
              <w:tc>
                <w:tcPr>
                  <w:tcW w:w="392" w:type="pct"/>
                  <w:vMerge w:val="continue"/>
                  <w:tcBorders>
                    <w:left w:val="single" w:color="auto" w:sz="4" w:space="0"/>
                    <w:bottom w:val="single" w:color="auto" w:sz="4" w:space="0"/>
                    <w:right w:val="single" w:color="auto" w:sz="4" w:space="0"/>
                  </w:tcBorders>
                  <w:vAlign w:val="center"/>
                </w:tcPr>
                <w:p>
                  <w:pPr>
                    <w:pStyle w:val="27"/>
                    <w:snapToGrid w:val="0"/>
                    <w:spacing w:line="240" w:lineRule="auto"/>
                    <w:rPr>
                      <w:rFonts w:hint="eastAsia"/>
                      <w:color w:val="auto"/>
                      <w:sz w:val="18"/>
                      <w:szCs w:val="18"/>
                    </w:rPr>
                  </w:pPr>
                </w:p>
              </w:tc>
              <w:tc>
                <w:tcPr>
                  <w:tcW w:w="564" w:type="pct"/>
                  <w:vMerge w:val="continue"/>
                  <w:tcBorders>
                    <w:left w:val="single" w:color="auto" w:sz="4" w:space="0"/>
                    <w:bottom w:val="single" w:color="auto" w:sz="4" w:space="0"/>
                    <w:right w:val="single" w:color="auto" w:sz="4" w:space="0"/>
                  </w:tcBorders>
                  <w:vAlign w:val="center"/>
                </w:tcPr>
                <w:p>
                  <w:pPr>
                    <w:pStyle w:val="27"/>
                    <w:snapToGrid w:val="0"/>
                    <w:spacing w:line="240" w:lineRule="auto"/>
                    <w:rPr>
                      <w:rFonts w:hint="eastAsia"/>
                      <w:color w:val="auto"/>
                      <w:sz w:val="18"/>
                      <w:szCs w:val="18"/>
                    </w:rPr>
                  </w:pPr>
                </w:p>
              </w:tc>
              <w:tc>
                <w:tcPr>
                  <w:tcW w:w="1450" w:type="pct"/>
                  <w:vMerge w:val="continue"/>
                  <w:tcBorders>
                    <w:left w:val="single" w:color="auto" w:sz="4" w:space="0"/>
                    <w:bottom w:val="single" w:color="auto" w:sz="4" w:space="0"/>
                    <w:right w:val="single" w:color="auto" w:sz="4" w:space="0"/>
                  </w:tcBorders>
                  <w:vAlign w:val="center"/>
                </w:tcPr>
                <w:p>
                  <w:pPr>
                    <w:pStyle w:val="27"/>
                    <w:snapToGrid w:val="0"/>
                    <w:spacing w:line="240" w:lineRule="auto"/>
                    <w:rPr>
                      <w:rFonts w:hint="eastAsia"/>
                      <w:color w:val="auto"/>
                      <w:sz w:val="18"/>
                      <w:szCs w:val="18"/>
                    </w:rPr>
                  </w:pPr>
                </w:p>
              </w:tc>
            </w:tr>
          </w:tbl>
          <w:p>
            <w:pPr>
              <w:pStyle w:val="24"/>
              <w:ind w:firstLine="420"/>
              <w:rPr>
                <w:color w:val="auto"/>
                <w:sz w:val="21"/>
                <w:szCs w:val="21"/>
              </w:rPr>
            </w:pPr>
            <w:r>
              <w:rPr>
                <w:rFonts w:hint="eastAsia"/>
                <w:color w:val="auto"/>
                <w:sz w:val="21"/>
                <w:szCs w:val="21"/>
              </w:rPr>
              <w:t>（2）无组织废气</w:t>
            </w:r>
          </w:p>
          <w:p>
            <w:pPr>
              <w:pStyle w:val="24"/>
              <w:ind w:firstLine="420"/>
              <w:rPr>
                <w:rFonts w:hint="eastAsia" w:eastAsia="宋体"/>
                <w:color w:val="auto"/>
                <w:sz w:val="21"/>
                <w:lang w:eastAsia="zh-CN"/>
              </w:rPr>
            </w:pPr>
            <w:r>
              <w:rPr>
                <w:rFonts w:hint="eastAsia"/>
                <w:color w:val="auto"/>
                <w:sz w:val="21"/>
              </w:rPr>
              <w:t>企业边界无组织非甲烷总烃执行《合成树脂工业污染物排放标准》（GB41616-2022）表9限值</w:t>
            </w:r>
            <w:r>
              <w:rPr>
                <w:rFonts w:hint="eastAsia"/>
                <w:color w:val="auto"/>
                <w:sz w:val="21"/>
                <w:lang w:eastAsia="zh-CN"/>
              </w:rPr>
              <w:t>；厂房外监控点点处任意一次浓度值执行《挥发性有机物无组织排放控制标准》（GB 37822—2019）表A.1限值；厂区内监控点浓度限值（1h平均浓度值）执行《挥发性有机物无组织排放控制标准》（GB 37822—2019）表A.1限值。</w:t>
            </w:r>
          </w:p>
          <w:p>
            <w:pPr>
              <w:spacing w:before="194" w:beforeLines="50"/>
              <w:jc w:val="center"/>
              <w:outlineLvl w:val="5"/>
              <w:rPr>
                <w:rFonts w:hint="default" w:eastAsia="宋体" w:cs="Times New Roman"/>
                <w:b/>
                <w:color w:val="auto"/>
                <w:spacing w:val="0"/>
                <w:sz w:val="21"/>
                <w:szCs w:val="21"/>
                <w:lang w:val="en-US" w:eastAsia="zh-CN"/>
              </w:rPr>
            </w:pPr>
            <w:r>
              <w:rPr>
                <w:rFonts w:hint="default" w:eastAsia="宋体" w:cs="Times New Roman"/>
                <w:b/>
                <w:color w:val="auto"/>
                <w:spacing w:val="0"/>
                <w:sz w:val="21"/>
                <w:szCs w:val="21"/>
                <w:lang w:val="en-US" w:eastAsia="zh-CN"/>
              </w:rPr>
              <w:t>表3-1</w:t>
            </w:r>
            <w:r>
              <w:rPr>
                <w:rFonts w:hint="eastAsia" w:cs="Times New Roman"/>
                <w:b/>
                <w:color w:val="auto"/>
                <w:spacing w:val="0"/>
                <w:sz w:val="21"/>
                <w:szCs w:val="21"/>
                <w:lang w:val="en-US" w:eastAsia="zh-CN"/>
              </w:rPr>
              <w:t>1</w:t>
            </w:r>
            <w:r>
              <w:rPr>
                <w:rFonts w:hint="default" w:eastAsia="宋体" w:cs="Times New Roman"/>
                <w:b/>
                <w:color w:val="auto"/>
                <w:spacing w:val="0"/>
                <w:sz w:val="21"/>
                <w:szCs w:val="21"/>
                <w:lang w:val="en-US" w:eastAsia="zh-CN"/>
              </w:rPr>
              <w:t>全厂无组织废气污染物排放标准</w:t>
            </w:r>
          </w:p>
          <w:tbl>
            <w:tblPr>
              <w:tblStyle w:val="19"/>
              <w:tblW w:w="41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2"/>
              <w:gridCol w:w="1065"/>
              <w:gridCol w:w="1306"/>
              <w:gridCol w:w="995"/>
              <w:gridCol w:w="2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17" w:type="pct"/>
                  <w:vMerge w:val="restart"/>
                  <w:vAlign w:val="center"/>
                </w:tcPr>
                <w:p>
                  <w:pPr>
                    <w:pStyle w:val="35"/>
                    <w:snapToGrid w:val="0"/>
                    <w:spacing w:line="240" w:lineRule="auto"/>
                    <w:ind w:firstLine="0" w:firstLineChars="0"/>
                    <w:jc w:val="center"/>
                    <w:rPr>
                      <w:rFonts w:ascii="Times New Roman" w:hAnsi="Times New Roman" w:eastAsia="宋体" w:cs="Times New Roman"/>
                      <w:b/>
                      <w:bCs/>
                      <w:color w:val="auto"/>
                      <w:sz w:val="18"/>
                      <w:szCs w:val="18"/>
                    </w:rPr>
                  </w:pPr>
                  <w:r>
                    <w:rPr>
                      <w:rFonts w:ascii="Times New Roman" w:hAnsi="Times New Roman" w:eastAsia="宋体" w:cs="Times New Roman"/>
                      <w:b/>
                      <w:bCs/>
                      <w:color w:val="auto"/>
                      <w:sz w:val="18"/>
                      <w:szCs w:val="18"/>
                    </w:rPr>
                    <w:t>污染源</w:t>
                  </w:r>
                </w:p>
              </w:tc>
              <w:tc>
                <w:tcPr>
                  <w:tcW w:w="809" w:type="pct"/>
                  <w:vMerge w:val="restart"/>
                  <w:vAlign w:val="center"/>
                </w:tcPr>
                <w:p>
                  <w:pPr>
                    <w:pStyle w:val="35"/>
                    <w:snapToGrid w:val="0"/>
                    <w:spacing w:line="240" w:lineRule="auto"/>
                    <w:ind w:firstLine="0" w:firstLineChars="0"/>
                    <w:jc w:val="center"/>
                    <w:rPr>
                      <w:rFonts w:ascii="Times New Roman" w:hAnsi="Times New Roman" w:eastAsia="宋体" w:cs="Times New Roman"/>
                      <w:b/>
                      <w:bCs/>
                      <w:color w:val="auto"/>
                      <w:sz w:val="18"/>
                      <w:szCs w:val="18"/>
                    </w:rPr>
                  </w:pPr>
                  <w:r>
                    <w:rPr>
                      <w:rFonts w:ascii="Times New Roman" w:hAnsi="Times New Roman" w:eastAsia="宋体" w:cs="Times New Roman"/>
                      <w:b/>
                      <w:bCs/>
                      <w:color w:val="auto"/>
                      <w:sz w:val="18"/>
                      <w:szCs w:val="18"/>
                    </w:rPr>
                    <w:t>污染因子</w:t>
                  </w:r>
                </w:p>
              </w:tc>
              <w:tc>
                <w:tcPr>
                  <w:tcW w:w="1749" w:type="pct"/>
                  <w:gridSpan w:val="2"/>
                  <w:vAlign w:val="center"/>
                </w:tcPr>
                <w:p>
                  <w:pPr>
                    <w:pStyle w:val="35"/>
                    <w:snapToGrid w:val="0"/>
                    <w:spacing w:line="240" w:lineRule="auto"/>
                    <w:ind w:firstLine="0" w:firstLineChars="0"/>
                    <w:jc w:val="center"/>
                    <w:rPr>
                      <w:rFonts w:ascii="Times New Roman" w:hAnsi="Times New Roman" w:eastAsia="宋体" w:cs="Times New Roman"/>
                      <w:b/>
                      <w:bCs/>
                      <w:color w:val="auto"/>
                      <w:sz w:val="18"/>
                      <w:szCs w:val="18"/>
                    </w:rPr>
                  </w:pPr>
                  <w:r>
                    <w:rPr>
                      <w:rFonts w:ascii="Times New Roman" w:hAnsi="Times New Roman" w:eastAsia="宋体" w:cs="Times New Roman"/>
                      <w:b/>
                      <w:bCs/>
                      <w:color w:val="auto"/>
                      <w:kern w:val="2"/>
                      <w:sz w:val="18"/>
                      <w:szCs w:val="18"/>
                    </w:rPr>
                    <w:t>无组织排放监控浓度限值</w:t>
                  </w:r>
                </w:p>
              </w:tc>
              <w:tc>
                <w:tcPr>
                  <w:tcW w:w="1824" w:type="pct"/>
                  <w:vMerge w:val="restart"/>
                  <w:vAlign w:val="center"/>
                </w:tcPr>
                <w:p>
                  <w:pPr>
                    <w:pStyle w:val="35"/>
                    <w:snapToGrid w:val="0"/>
                    <w:spacing w:line="240" w:lineRule="auto"/>
                    <w:ind w:firstLine="0" w:firstLineChars="0"/>
                    <w:jc w:val="center"/>
                    <w:rPr>
                      <w:rFonts w:ascii="Times New Roman" w:hAnsi="Times New Roman" w:eastAsia="宋体" w:cs="Times New Roman"/>
                      <w:b/>
                      <w:bCs/>
                      <w:color w:val="auto"/>
                      <w:sz w:val="18"/>
                      <w:szCs w:val="18"/>
                    </w:rPr>
                  </w:pPr>
                  <w:r>
                    <w:rPr>
                      <w:rFonts w:ascii="Times New Roman" w:hAnsi="Times New Roman" w:eastAsia="宋体" w:cs="Times New Roman"/>
                      <w:b/>
                      <w:bCs/>
                      <w:color w:val="auto"/>
                      <w:sz w:val="18"/>
                      <w:szCs w:val="18"/>
                    </w:rPr>
                    <w:t>标准来源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17" w:type="pct"/>
                  <w:vMerge w:val="continue"/>
                  <w:vAlign w:val="center"/>
                </w:tcPr>
                <w:p>
                  <w:pPr>
                    <w:pStyle w:val="35"/>
                    <w:snapToGrid w:val="0"/>
                    <w:spacing w:line="240" w:lineRule="auto"/>
                    <w:ind w:firstLine="0" w:firstLineChars="0"/>
                    <w:jc w:val="center"/>
                    <w:rPr>
                      <w:rFonts w:ascii="Times New Roman" w:hAnsi="Times New Roman" w:eastAsia="宋体" w:cs="Times New Roman"/>
                      <w:b/>
                      <w:color w:val="auto"/>
                      <w:sz w:val="18"/>
                      <w:szCs w:val="18"/>
                    </w:rPr>
                  </w:pPr>
                </w:p>
              </w:tc>
              <w:tc>
                <w:tcPr>
                  <w:tcW w:w="809" w:type="pct"/>
                  <w:vMerge w:val="continue"/>
                  <w:vAlign w:val="center"/>
                </w:tcPr>
                <w:p>
                  <w:pPr>
                    <w:pStyle w:val="35"/>
                    <w:snapToGrid w:val="0"/>
                    <w:spacing w:line="240" w:lineRule="auto"/>
                    <w:ind w:firstLine="0" w:firstLineChars="0"/>
                    <w:jc w:val="center"/>
                    <w:rPr>
                      <w:rFonts w:ascii="Times New Roman" w:hAnsi="Times New Roman" w:eastAsia="宋体" w:cs="Times New Roman"/>
                      <w:b/>
                      <w:color w:val="auto"/>
                      <w:sz w:val="18"/>
                      <w:szCs w:val="18"/>
                    </w:rPr>
                  </w:pPr>
                </w:p>
              </w:tc>
              <w:tc>
                <w:tcPr>
                  <w:tcW w:w="992" w:type="pct"/>
                  <w:vAlign w:val="center"/>
                </w:tcPr>
                <w:p>
                  <w:pPr>
                    <w:pStyle w:val="42"/>
                    <w:spacing w:line="240" w:lineRule="auto"/>
                    <w:ind w:firstLine="0"/>
                    <w:jc w:val="center"/>
                    <w:rPr>
                      <w:rFonts w:eastAsia="宋体"/>
                      <w:b/>
                      <w:color w:val="auto"/>
                      <w:sz w:val="18"/>
                      <w:szCs w:val="18"/>
                    </w:rPr>
                  </w:pPr>
                  <w:r>
                    <w:rPr>
                      <w:rFonts w:eastAsia="宋体"/>
                      <w:b/>
                      <w:color w:val="auto"/>
                      <w:kern w:val="2"/>
                      <w:sz w:val="18"/>
                      <w:szCs w:val="18"/>
                    </w:rPr>
                    <w:t>监控点</w:t>
                  </w:r>
                </w:p>
              </w:tc>
              <w:tc>
                <w:tcPr>
                  <w:tcW w:w="756" w:type="pct"/>
                  <w:vAlign w:val="center"/>
                </w:tcPr>
                <w:p>
                  <w:pPr>
                    <w:pStyle w:val="42"/>
                    <w:spacing w:line="240" w:lineRule="auto"/>
                    <w:ind w:firstLine="0"/>
                    <w:jc w:val="center"/>
                    <w:rPr>
                      <w:rFonts w:eastAsia="宋体"/>
                      <w:b/>
                      <w:color w:val="auto"/>
                      <w:kern w:val="2"/>
                      <w:sz w:val="18"/>
                      <w:szCs w:val="18"/>
                    </w:rPr>
                  </w:pPr>
                  <w:r>
                    <w:rPr>
                      <w:rFonts w:eastAsia="宋体"/>
                      <w:b/>
                      <w:color w:val="auto"/>
                      <w:kern w:val="2"/>
                      <w:sz w:val="18"/>
                      <w:szCs w:val="18"/>
                    </w:rPr>
                    <w:t>浓度</w:t>
                  </w:r>
                </w:p>
                <w:p>
                  <w:pPr>
                    <w:pStyle w:val="42"/>
                    <w:spacing w:line="240" w:lineRule="auto"/>
                    <w:ind w:firstLine="0"/>
                    <w:jc w:val="center"/>
                    <w:rPr>
                      <w:rFonts w:eastAsia="宋体"/>
                      <w:b/>
                      <w:color w:val="auto"/>
                      <w:sz w:val="18"/>
                      <w:szCs w:val="18"/>
                    </w:rPr>
                  </w:pPr>
                  <w:r>
                    <w:rPr>
                      <w:rFonts w:eastAsia="宋体"/>
                      <w:b/>
                      <w:color w:val="auto"/>
                      <w:kern w:val="2"/>
                      <w:sz w:val="18"/>
                      <w:szCs w:val="18"/>
                    </w:rPr>
                    <w:t>(mg/m</w:t>
                  </w:r>
                  <w:r>
                    <w:rPr>
                      <w:rFonts w:eastAsia="宋体"/>
                      <w:b/>
                      <w:color w:val="auto"/>
                      <w:kern w:val="2"/>
                      <w:sz w:val="18"/>
                      <w:szCs w:val="18"/>
                      <w:vertAlign w:val="superscript"/>
                    </w:rPr>
                    <w:t>3</w:t>
                  </w:r>
                  <w:r>
                    <w:rPr>
                      <w:rFonts w:eastAsia="宋体"/>
                      <w:b/>
                      <w:color w:val="auto"/>
                      <w:kern w:val="2"/>
                      <w:sz w:val="18"/>
                      <w:szCs w:val="18"/>
                    </w:rPr>
                    <w:t>)</w:t>
                  </w:r>
                </w:p>
              </w:tc>
              <w:tc>
                <w:tcPr>
                  <w:tcW w:w="1824" w:type="pct"/>
                  <w:vMerge w:val="continue"/>
                  <w:vAlign w:val="center"/>
                </w:tcPr>
                <w:p>
                  <w:pPr>
                    <w:pStyle w:val="35"/>
                    <w:snapToGrid w:val="0"/>
                    <w:spacing w:line="240" w:lineRule="auto"/>
                    <w:ind w:firstLine="0" w:firstLineChars="0"/>
                    <w:jc w:val="center"/>
                    <w:rPr>
                      <w:rFonts w:ascii="Times New Roman" w:hAnsi="Times New Roman" w:eastAsia="宋体" w:cs="Times New Roman"/>
                      <w:b/>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7" w:type="pct"/>
                  <w:vMerge w:val="restart"/>
                  <w:vAlign w:val="center"/>
                </w:tcPr>
                <w:p>
                  <w:pPr>
                    <w:pStyle w:val="35"/>
                    <w:snapToGrid w:val="0"/>
                    <w:spacing w:line="240" w:lineRule="auto"/>
                    <w:ind w:firstLine="0" w:firstLineChars="0"/>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Gm1</w:t>
                  </w:r>
                </w:p>
              </w:tc>
              <w:tc>
                <w:tcPr>
                  <w:tcW w:w="809" w:type="pct"/>
                  <w:vMerge w:val="restart"/>
                  <w:vAlign w:val="center"/>
                </w:tcPr>
                <w:p>
                  <w:pPr>
                    <w:pStyle w:val="35"/>
                    <w:snapToGrid w:val="0"/>
                    <w:spacing w:line="240" w:lineRule="auto"/>
                    <w:ind w:firstLine="0" w:firstLineChars="0"/>
                    <w:jc w:val="center"/>
                    <w:rPr>
                      <w:rFonts w:ascii="Times New Roman" w:hAnsi="Times New Roman" w:eastAsia="宋体" w:cs="Times New Roman"/>
                      <w:color w:val="auto"/>
                      <w:sz w:val="18"/>
                      <w:szCs w:val="18"/>
                    </w:rPr>
                  </w:pPr>
                  <w:r>
                    <w:rPr>
                      <w:rFonts w:hint="eastAsia"/>
                      <w:color w:val="auto"/>
                      <w:sz w:val="18"/>
                      <w:szCs w:val="18"/>
                      <w:lang w:eastAsia="zh-CN"/>
                    </w:rPr>
                    <w:t>溶剂</w:t>
                  </w:r>
                  <w:r>
                    <w:rPr>
                      <w:rFonts w:hint="eastAsia"/>
                      <w:color w:val="auto"/>
                      <w:sz w:val="18"/>
                      <w:szCs w:val="18"/>
                    </w:rPr>
                    <w:t>（以非甲烷总烃计）</w:t>
                  </w:r>
                </w:p>
              </w:tc>
              <w:tc>
                <w:tcPr>
                  <w:tcW w:w="992" w:type="pct"/>
                  <w:vAlign w:val="center"/>
                </w:tcPr>
                <w:p>
                  <w:pPr>
                    <w:pStyle w:val="35"/>
                    <w:snapToGrid w:val="0"/>
                    <w:spacing w:line="240" w:lineRule="auto"/>
                    <w:ind w:firstLine="0" w:firstLineChars="0"/>
                    <w:jc w:val="center"/>
                    <w:rPr>
                      <w:rFonts w:ascii="Times New Roman" w:hAnsi="Times New Roman" w:eastAsia="宋体" w:cs="Times New Roman"/>
                      <w:color w:val="auto"/>
                      <w:kern w:val="2"/>
                      <w:sz w:val="18"/>
                      <w:szCs w:val="18"/>
                    </w:rPr>
                  </w:pPr>
                  <w:r>
                    <w:rPr>
                      <w:rFonts w:ascii="Times New Roman" w:hAnsi="Times New Roman" w:eastAsia="宋体" w:cs="Times New Roman"/>
                      <w:color w:val="auto"/>
                      <w:kern w:val="2"/>
                      <w:sz w:val="18"/>
                      <w:szCs w:val="18"/>
                    </w:rPr>
                    <w:t>厂房外监控点处任意一次浓度值</w:t>
                  </w:r>
                </w:p>
              </w:tc>
              <w:tc>
                <w:tcPr>
                  <w:tcW w:w="756" w:type="pct"/>
                  <w:vAlign w:val="center"/>
                </w:tcPr>
                <w:p>
                  <w:pPr>
                    <w:pStyle w:val="35"/>
                    <w:snapToGrid w:val="0"/>
                    <w:spacing w:line="240" w:lineRule="auto"/>
                    <w:ind w:firstLine="0" w:firstLineChars="0"/>
                    <w:jc w:val="center"/>
                    <w:rPr>
                      <w:rFonts w:ascii="Times New Roman" w:hAnsi="Times New Roman" w:eastAsia="宋体" w:cs="Times New Roman"/>
                      <w:color w:val="auto"/>
                      <w:kern w:val="2"/>
                      <w:sz w:val="18"/>
                      <w:szCs w:val="18"/>
                    </w:rPr>
                  </w:pPr>
                  <w:r>
                    <w:rPr>
                      <w:rFonts w:ascii="Times New Roman" w:hAnsi="Times New Roman" w:eastAsia="宋体" w:cs="Times New Roman"/>
                      <w:color w:val="auto"/>
                      <w:kern w:val="2"/>
                      <w:sz w:val="18"/>
                      <w:szCs w:val="18"/>
                    </w:rPr>
                    <w:t>30</w:t>
                  </w:r>
                </w:p>
              </w:tc>
              <w:tc>
                <w:tcPr>
                  <w:tcW w:w="1824" w:type="pct"/>
                  <w:vAlign w:val="center"/>
                </w:tcPr>
                <w:p>
                  <w:pPr>
                    <w:pStyle w:val="35"/>
                    <w:snapToGrid w:val="0"/>
                    <w:spacing w:line="240" w:lineRule="auto"/>
                    <w:ind w:firstLine="0" w:firstLineChars="0"/>
                    <w:jc w:val="center"/>
                    <w:rPr>
                      <w:rFonts w:ascii="Times New Roman" w:hAnsi="Times New Roman" w:eastAsia="宋体" w:cs="Times New Roman"/>
                      <w:color w:val="auto"/>
                      <w:kern w:val="2"/>
                      <w:sz w:val="18"/>
                      <w:szCs w:val="18"/>
                    </w:rPr>
                  </w:pPr>
                  <w:r>
                    <w:rPr>
                      <w:rFonts w:hint="eastAsia" w:ascii="Times New Roman" w:hAnsi="Times New Roman" w:eastAsia="宋体" w:cs="Times New Roman"/>
                      <w:color w:val="auto"/>
                      <w:kern w:val="2"/>
                      <w:sz w:val="18"/>
                      <w:szCs w:val="18"/>
                    </w:rPr>
                    <w:t>《挥发性有机物无组织排放控制标准》（GB 37822—2019）表A.1限值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617" w:type="pct"/>
                  <w:vMerge w:val="continue"/>
                  <w:vAlign w:val="center"/>
                </w:tcPr>
                <w:p>
                  <w:pPr>
                    <w:pStyle w:val="35"/>
                    <w:snapToGrid w:val="0"/>
                    <w:spacing w:line="240" w:lineRule="auto"/>
                    <w:ind w:firstLine="0" w:firstLineChars="0"/>
                    <w:jc w:val="center"/>
                    <w:rPr>
                      <w:rFonts w:ascii="Times New Roman" w:hAnsi="Times New Roman" w:eastAsia="宋体" w:cs="Times New Roman"/>
                      <w:color w:val="auto"/>
                      <w:sz w:val="18"/>
                      <w:szCs w:val="18"/>
                    </w:rPr>
                  </w:pPr>
                </w:p>
              </w:tc>
              <w:tc>
                <w:tcPr>
                  <w:tcW w:w="809" w:type="pct"/>
                  <w:vMerge w:val="continue"/>
                  <w:vAlign w:val="center"/>
                </w:tcPr>
                <w:p>
                  <w:pPr>
                    <w:pStyle w:val="35"/>
                    <w:snapToGrid w:val="0"/>
                    <w:spacing w:line="240" w:lineRule="auto"/>
                    <w:ind w:firstLine="0" w:firstLineChars="0"/>
                    <w:jc w:val="center"/>
                    <w:rPr>
                      <w:rFonts w:ascii="Times New Roman" w:hAnsi="Times New Roman" w:eastAsia="宋体" w:cs="Times New Roman"/>
                      <w:color w:val="auto"/>
                      <w:sz w:val="18"/>
                      <w:szCs w:val="18"/>
                    </w:rPr>
                  </w:pPr>
                </w:p>
              </w:tc>
              <w:tc>
                <w:tcPr>
                  <w:tcW w:w="992" w:type="pct"/>
                  <w:vAlign w:val="center"/>
                </w:tcPr>
                <w:p>
                  <w:pPr>
                    <w:pStyle w:val="35"/>
                    <w:snapToGrid w:val="0"/>
                    <w:spacing w:line="240" w:lineRule="auto"/>
                    <w:ind w:firstLine="0" w:firstLineChars="0"/>
                    <w:jc w:val="center"/>
                    <w:rPr>
                      <w:rFonts w:ascii="Times New Roman" w:hAnsi="Times New Roman" w:eastAsia="宋体" w:cs="Times New Roman"/>
                      <w:color w:val="auto"/>
                      <w:kern w:val="2"/>
                      <w:sz w:val="18"/>
                      <w:szCs w:val="18"/>
                    </w:rPr>
                  </w:pPr>
                  <w:r>
                    <w:rPr>
                      <w:rFonts w:ascii="Times New Roman" w:hAnsi="Times New Roman" w:eastAsia="宋体" w:cs="Times New Roman"/>
                      <w:color w:val="auto"/>
                      <w:kern w:val="2"/>
                      <w:sz w:val="18"/>
                      <w:szCs w:val="18"/>
                    </w:rPr>
                    <w:t>厂区内监控点浓度限值</w:t>
                  </w:r>
                </w:p>
              </w:tc>
              <w:tc>
                <w:tcPr>
                  <w:tcW w:w="756" w:type="pct"/>
                  <w:vAlign w:val="center"/>
                </w:tcPr>
                <w:p>
                  <w:pPr>
                    <w:pStyle w:val="35"/>
                    <w:snapToGrid w:val="0"/>
                    <w:spacing w:line="240" w:lineRule="auto"/>
                    <w:ind w:firstLine="0" w:firstLineChars="0"/>
                    <w:jc w:val="center"/>
                    <w:rPr>
                      <w:rFonts w:ascii="Times New Roman" w:hAnsi="Times New Roman" w:eastAsia="宋体" w:cs="Times New Roman"/>
                      <w:color w:val="auto"/>
                      <w:kern w:val="2"/>
                      <w:sz w:val="18"/>
                      <w:szCs w:val="18"/>
                    </w:rPr>
                  </w:pPr>
                  <w:r>
                    <w:rPr>
                      <w:rFonts w:ascii="Times New Roman" w:hAnsi="Times New Roman" w:eastAsia="宋体" w:cs="Times New Roman"/>
                      <w:color w:val="auto"/>
                      <w:kern w:val="2"/>
                      <w:sz w:val="18"/>
                      <w:szCs w:val="18"/>
                    </w:rPr>
                    <w:t>8</w:t>
                  </w:r>
                  <w:r>
                    <w:rPr>
                      <w:rFonts w:hint="eastAsia" w:ascii="Times New Roman" w:hAnsi="Times New Roman" w:eastAsia="宋体" w:cs="Times New Roman"/>
                      <w:color w:val="auto"/>
                      <w:kern w:val="2"/>
                      <w:sz w:val="18"/>
                      <w:szCs w:val="18"/>
                    </w:rPr>
                    <w:t>.0</w:t>
                  </w:r>
                </w:p>
              </w:tc>
              <w:tc>
                <w:tcPr>
                  <w:tcW w:w="1824" w:type="pct"/>
                  <w:vAlign w:val="center"/>
                </w:tcPr>
                <w:p>
                  <w:pPr>
                    <w:pStyle w:val="35"/>
                    <w:snapToGrid w:val="0"/>
                    <w:spacing w:line="240" w:lineRule="auto"/>
                    <w:ind w:firstLine="0" w:firstLineChars="0"/>
                    <w:jc w:val="center"/>
                    <w:rPr>
                      <w:rFonts w:ascii="Times New Roman" w:hAnsi="Times New Roman" w:eastAsia="宋体" w:cs="Times New Roman"/>
                      <w:color w:val="auto"/>
                      <w:kern w:val="2"/>
                      <w:sz w:val="18"/>
                      <w:szCs w:val="18"/>
                    </w:rPr>
                  </w:pPr>
                  <w:r>
                    <w:rPr>
                      <w:rFonts w:hint="eastAsia" w:ascii="Times New Roman" w:hAnsi="Times New Roman" w:eastAsia="宋体" w:cs="Times New Roman"/>
                      <w:color w:val="auto"/>
                      <w:kern w:val="2"/>
                      <w:sz w:val="18"/>
                      <w:szCs w:val="18"/>
                    </w:rPr>
                    <w:t>《挥发性有机物无组织排放控制标准》（GB 37822—2019）表A.1限值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7" w:type="pct"/>
                  <w:vMerge w:val="continue"/>
                  <w:vAlign w:val="center"/>
                </w:tcPr>
                <w:p>
                  <w:pPr>
                    <w:pStyle w:val="35"/>
                    <w:snapToGrid w:val="0"/>
                    <w:spacing w:line="240" w:lineRule="auto"/>
                    <w:ind w:firstLine="0" w:firstLineChars="0"/>
                    <w:jc w:val="center"/>
                    <w:rPr>
                      <w:rFonts w:ascii="Times New Roman" w:hAnsi="Times New Roman" w:eastAsia="宋体" w:cs="Times New Roman"/>
                      <w:color w:val="auto"/>
                      <w:sz w:val="18"/>
                      <w:szCs w:val="18"/>
                    </w:rPr>
                  </w:pPr>
                </w:p>
              </w:tc>
              <w:tc>
                <w:tcPr>
                  <w:tcW w:w="809" w:type="pct"/>
                  <w:vMerge w:val="continue"/>
                  <w:vAlign w:val="center"/>
                </w:tcPr>
                <w:p>
                  <w:pPr>
                    <w:pStyle w:val="35"/>
                    <w:snapToGrid w:val="0"/>
                    <w:spacing w:line="240" w:lineRule="auto"/>
                    <w:ind w:firstLine="0" w:firstLineChars="0"/>
                    <w:jc w:val="center"/>
                    <w:rPr>
                      <w:rFonts w:ascii="Times New Roman" w:hAnsi="Times New Roman" w:eastAsia="宋体" w:cs="Times New Roman"/>
                      <w:color w:val="auto"/>
                      <w:sz w:val="18"/>
                      <w:szCs w:val="18"/>
                    </w:rPr>
                  </w:pPr>
                </w:p>
              </w:tc>
              <w:tc>
                <w:tcPr>
                  <w:tcW w:w="992" w:type="pct"/>
                  <w:vAlign w:val="center"/>
                </w:tcPr>
                <w:p>
                  <w:pPr>
                    <w:pStyle w:val="35"/>
                    <w:spacing w:line="240" w:lineRule="auto"/>
                    <w:ind w:firstLine="0" w:firstLineChars="0"/>
                    <w:jc w:val="center"/>
                    <w:rPr>
                      <w:rFonts w:ascii="Times New Roman" w:hAnsi="Times New Roman" w:eastAsia="宋体" w:cs="Times New Roman"/>
                      <w:color w:val="auto"/>
                      <w:kern w:val="2"/>
                      <w:sz w:val="18"/>
                      <w:szCs w:val="18"/>
                    </w:rPr>
                  </w:pPr>
                  <w:r>
                    <w:rPr>
                      <w:rFonts w:ascii="Times New Roman" w:hAnsi="Times New Roman" w:cs="Times New Roman"/>
                      <w:color w:val="auto"/>
                      <w:kern w:val="2"/>
                      <w:sz w:val="18"/>
                      <w:szCs w:val="18"/>
                    </w:rPr>
                    <w:t>企业边界监控点</w:t>
                  </w:r>
                </w:p>
              </w:tc>
              <w:tc>
                <w:tcPr>
                  <w:tcW w:w="756" w:type="pct"/>
                  <w:vAlign w:val="center"/>
                </w:tcPr>
                <w:p>
                  <w:pPr>
                    <w:pStyle w:val="35"/>
                    <w:spacing w:line="240" w:lineRule="auto"/>
                    <w:ind w:firstLine="0" w:firstLineChars="0"/>
                    <w:jc w:val="center"/>
                    <w:rPr>
                      <w:rFonts w:ascii="Times New Roman" w:hAnsi="Times New Roman" w:eastAsia="宋体" w:cs="Times New Roman"/>
                      <w:color w:val="auto"/>
                      <w:kern w:val="2"/>
                      <w:sz w:val="18"/>
                      <w:szCs w:val="18"/>
                    </w:rPr>
                  </w:pPr>
                  <w:r>
                    <w:rPr>
                      <w:rFonts w:hint="eastAsia" w:ascii="Times New Roman" w:hAnsi="Times New Roman" w:cs="Times New Roman"/>
                      <w:color w:val="auto"/>
                      <w:kern w:val="2"/>
                      <w:sz w:val="18"/>
                      <w:szCs w:val="18"/>
                      <w:lang w:val="en-US" w:eastAsia="zh-CN"/>
                    </w:rPr>
                    <w:t>4</w:t>
                  </w:r>
                  <w:r>
                    <w:rPr>
                      <w:rFonts w:ascii="Times New Roman" w:hAnsi="Times New Roman" w:cs="Times New Roman"/>
                      <w:color w:val="auto"/>
                      <w:kern w:val="2"/>
                      <w:sz w:val="18"/>
                      <w:szCs w:val="18"/>
                    </w:rPr>
                    <w:t>.0</w:t>
                  </w:r>
                </w:p>
              </w:tc>
              <w:tc>
                <w:tcPr>
                  <w:tcW w:w="1824" w:type="pct"/>
                  <w:vAlign w:val="center"/>
                </w:tcPr>
                <w:p>
                  <w:pPr>
                    <w:pStyle w:val="35"/>
                    <w:snapToGrid w:val="0"/>
                    <w:spacing w:line="240" w:lineRule="auto"/>
                    <w:ind w:firstLine="0" w:firstLineChars="0"/>
                    <w:jc w:val="center"/>
                    <w:rPr>
                      <w:rFonts w:ascii="Times New Roman" w:hAnsi="Times New Roman" w:eastAsia="宋体" w:cs="Times New Roman"/>
                      <w:color w:val="auto"/>
                      <w:kern w:val="2"/>
                      <w:sz w:val="18"/>
                      <w:szCs w:val="18"/>
                    </w:rPr>
                  </w:pPr>
                  <w:r>
                    <w:rPr>
                      <w:rFonts w:hint="eastAsia" w:ascii="Times New Roman" w:hAnsi="Times New Roman" w:eastAsia="宋体" w:cs="Times New Roman"/>
                      <w:color w:val="auto"/>
                      <w:kern w:val="2"/>
                      <w:sz w:val="18"/>
                      <w:szCs w:val="18"/>
                    </w:rPr>
                    <w:t>《合成树脂工业污染物排放标准》（GB41616-2022）表9限值</w:t>
                  </w:r>
                </w:p>
              </w:tc>
            </w:tr>
          </w:tbl>
          <w:p>
            <w:pPr>
              <w:widowControl/>
              <w:spacing w:line="360" w:lineRule="auto"/>
              <w:jc w:val="left"/>
              <w:rPr>
                <w:rFonts w:hint="eastAsia"/>
                <w:b/>
                <w:bCs/>
                <w:color w:val="auto"/>
              </w:rPr>
            </w:pPr>
          </w:p>
          <w:p>
            <w:pPr>
              <w:widowControl/>
              <w:spacing w:line="360" w:lineRule="auto"/>
              <w:jc w:val="left"/>
              <w:rPr>
                <w:rFonts w:hint="eastAsia"/>
                <w:b/>
                <w:bCs/>
                <w:color w:val="auto"/>
              </w:rPr>
            </w:pPr>
            <w:r>
              <w:rPr>
                <w:rFonts w:hint="eastAsia"/>
                <w:b/>
                <w:bCs/>
                <w:color w:val="auto"/>
              </w:rPr>
              <w:t>3.10噪声排放标准</w:t>
            </w:r>
          </w:p>
          <w:p>
            <w:pPr>
              <w:pStyle w:val="24"/>
              <w:ind w:firstLine="420"/>
              <w:rPr>
                <w:color w:val="auto"/>
                <w:sz w:val="21"/>
              </w:rPr>
            </w:pPr>
            <w:r>
              <w:rPr>
                <w:rFonts w:hint="eastAsia"/>
                <w:color w:val="auto"/>
                <w:sz w:val="21"/>
              </w:rPr>
              <w:t>运营期厂界噪声执行《工业企业厂界环境噪声排放标准》（GB12348-2008）中的3类标准，即昼间≤65dB（A），昼间≤55dB（A）。</w:t>
            </w:r>
          </w:p>
          <w:p>
            <w:pPr>
              <w:spacing w:before="194" w:beforeLines="50"/>
              <w:jc w:val="center"/>
              <w:outlineLvl w:val="5"/>
              <w:rPr>
                <w:rFonts w:hint="default" w:eastAsia="宋体" w:cs="Times New Roman"/>
                <w:b/>
                <w:color w:val="auto"/>
                <w:spacing w:val="0"/>
                <w:sz w:val="21"/>
                <w:szCs w:val="21"/>
                <w:lang w:val="en-US" w:eastAsia="zh-CN"/>
              </w:rPr>
            </w:pPr>
            <w:r>
              <w:rPr>
                <w:rFonts w:hint="default" w:eastAsia="宋体" w:cs="Times New Roman"/>
                <w:b/>
                <w:color w:val="auto"/>
                <w:spacing w:val="0"/>
                <w:sz w:val="21"/>
                <w:szCs w:val="21"/>
                <w:lang w:val="en-US" w:eastAsia="zh-CN"/>
              </w:rPr>
              <w:t>表3-1</w:t>
            </w:r>
            <w:r>
              <w:rPr>
                <w:rFonts w:hint="eastAsia" w:cs="Times New Roman"/>
                <w:b/>
                <w:color w:val="auto"/>
                <w:spacing w:val="0"/>
                <w:sz w:val="21"/>
                <w:szCs w:val="21"/>
                <w:lang w:val="en-US" w:eastAsia="zh-CN"/>
              </w:rPr>
              <w:t>2</w:t>
            </w:r>
            <w:r>
              <w:rPr>
                <w:rFonts w:hint="eastAsia" w:eastAsia="宋体" w:cs="Times New Roman"/>
                <w:b/>
                <w:color w:val="auto"/>
                <w:spacing w:val="0"/>
                <w:sz w:val="21"/>
                <w:szCs w:val="21"/>
                <w:lang w:val="en-US" w:eastAsia="zh-CN"/>
              </w:rPr>
              <w:t>噪声</w:t>
            </w:r>
            <w:r>
              <w:rPr>
                <w:rFonts w:hint="default" w:eastAsia="宋体" w:cs="Times New Roman"/>
                <w:b/>
                <w:color w:val="auto"/>
                <w:spacing w:val="0"/>
                <w:sz w:val="21"/>
                <w:szCs w:val="21"/>
                <w:lang w:val="en-US" w:eastAsia="zh-CN"/>
              </w:rPr>
              <w:t>排放标准</w:t>
            </w:r>
          </w:p>
          <w:tbl>
            <w:tblPr>
              <w:tblStyle w:val="19"/>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678"/>
              <w:gridCol w:w="2518"/>
              <w:gridCol w:w="902"/>
              <w:gridCol w:w="900"/>
              <w:gridCol w:w="3131"/>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1678" w:type="dxa"/>
                  <w:tcMar>
                    <w:left w:w="0" w:type="dxa"/>
                    <w:right w:w="0" w:type="dxa"/>
                  </w:tcMar>
                  <w:vAlign w:val="center"/>
                </w:tcPr>
                <w:p>
                  <w:pPr>
                    <w:pStyle w:val="35"/>
                    <w:snapToGrid w:val="0"/>
                    <w:spacing w:line="240" w:lineRule="auto"/>
                    <w:ind w:firstLine="0" w:firstLineChars="0"/>
                    <w:jc w:val="center"/>
                    <w:rPr>
                      <w:rFonts w:ascii="Times New Roman" w:hAnsi="Times New Roman" w:eastAsia="宋体" w:cs="Times New Roman"/>
                      <w:b/>
                      <w:bCs/>
                      <w:color w:val="auto"/>
                      <w:sz w:val="18"/>
                      <w:szCs w:val="18"/>
                    </w:rPr>
                  </w:pPr>
                  <w:r>
                    <w:rPr>
                      <w:rFonts w:ascii="Times New Roman" w:hAnsi="Times New Roman" w:eastAsia="宋体" w:cs="Times New Roman"/>
                      <w:b/>
                      <w:bCs/>
                      <w:color w:val="auto"/>
                      <w:sz w:val="18"/>
                      <w:szCs w:val="18"/>
                    </w:rPr>
                    <w:t>厂界</w:t>
                  </w:r>
                </w:p>
              </w:tc>
              <w:tc>
                <w:tcPr>
                  <w:tcW w:w="2518" w:type="dxa"/>
                  <w:tcMar>
                    <w:left w:w="0" w:type="dxa"/>
                    <w:right w:w="0" w:type="dxa"/>
                  </w:tcMar>
                  <w:vAlign w:val="center"/>
                </w:tcPr>
                <w:p>
                  <w:pPr>
                    <w:pStyle w:val="35"/>
                    <w:snapToGrid w:val="0"/>
                    <w:spacing w:line="240" w:lineRule="auto"/>
                    <w:ind w:firstLine="0" w:firstLineChars="0"/>
                    <w:jc w:val="center"/>
                    <w:rPr>
                      <w:rFonts w:ascii="Times New Roman" w:hAnsi="Times New Roman" w:eastAsia="宋体" w:cs="Times New Roman"/>
                      <w:b/>
                      <w:bCs/>
                      <w:color w:val="auto"/>
                      <w:sz w:val="18"/>
                      <w:szCs w:val="18"/>
                    </w:rPr>
                  </w:pPr>
                  <w:r>
                    <w:rPr>
                      <w:rFonts w:ascii="Times New Roman" w:hAnsi="Times New Roman" w:eastAsia="宋体" w:cs="Times New Roman"/>
                      <w:b/>
                      <w:bCs/>
                      <w:color w:val="auto"/>
                      <w:sz w:val="18"/>
                      <w:szCs w:val="18"/>
                    </w:rPr>
                    <w:t>厂界外声环境功能区类别</w:t>
                  </w:r>
                </w:p>
              </w:tc>
              <w:tc>
                <w:tcPr>
                  <w:tcW w:w="902" w:type="dxa"/>
                  <w:tcMar>
                    <w:left w:w="0" w:type="dxa"/>
                    <w:right w:w="0" w:type="dxa"/>
                  </w:tcMar>
                  <w:vAlign w:val="center"/>
                </w:tcPr>
                <w:p>
                  <w:pPr>
                    <w:pStyle w:val="35"/>
                    <w:snapToGrid w:val="0"/>
                    <w:spacing w:line="240" w:lineRule="auto"/>
                    <w:ind w:firstLine="0" w:firstLineChars="0"/>
                    <w:jc w:val="center"/>
                    <w:rPr>
                      <w:rFonts w:ascii="Times New Roman" w:hAnsi="Times New Roman" w:eastAsia="宋体" w:cs="Times New Roman"/>
                      <w:b/>
                      <w:bCs/>
                      <w:color w:val="auto"/>
                      <w:sz w:val="18"/>
                      <w:szCs w:val="18"/>
                    </w:rPr>
                  </w:pPr>
                  <w:r>
                    <w:rPr>
                      <w:rFonts w:ascii="Times New Roman" w:hAnsi="Times New Roman" w:eastAsia="宋体" w:cs="Times New Roman"/>
                      <w:b/>
                      <w:bCs/>
                      <w:color w:val="auto"/>
                      <w:sz w:val="18"/>
                      <w:szCs w:val="18"/>
                    </w:rPr>
                    <w:t>昼间</w:t>
                  </w:r>
                </w:p>
              </w:tc>
              <w:tc>
                <w:tcPr>
                  <w:tcW w:w="900" w:type="dxa"/>
                  <w:tcMar>
                    <w:left w:w="0" w:type="dxa"/>
                    <w:right w:w="0" w:type="dxa"/>
                  </w:tcMar>
                  <w:vAlign w:val="center"/>
                </w:tcPr>
                <w:p>
                  <w:pPr>
                    <w:pStyle w:val="35"/>
                    <w:snapToGrid w:val="0"/>
                    <w:spacing w:line="240" w:lineRule="auto"/>
                    <w:ind w:firstLine="0" w:firstLineChars="0"/>
                    <w:jc w:val="center"/>
                    <w:rPr>
                      <w:rFonts w:ascii="Times New Roman" w:hAnsi="Times New Roman" w:eastAsia="宋体" w:cs="Times New Roman"/>
                      <w:b/>
                      <w:bCs/>
                      <w:color w:val="auto"/>
                      <w:sz w:val="18"/>
                      <w:szCs w:val="18"/>
                    </w:rPr>
                  </w:pPr>
                  <w:r>
                    <w:rPr>
                      <w:rFonts w:ascii="Times New Roman" w:hAnsi="Times New Roman" w:eastAsia="宋体" w:cs="Times New Roman"/>
                      <w:b/>
                      <w:bCs/>
                      <w:color w:val="auto"/>
                      <w:sz w:val="18"/>
                      <w:szCs w:val="18"/>
                    </w:rPr>
                    <w:t>夜间</w:t>
                  </w:r>
                </w:p>
              </w:tc>
              <w:tc>
                <w:tcPr>
                  <w:tcW w:w="3131" w:type="dxa"/>
                  <w:tcMar>
                    <w:left w:w="0" w:type="dxa"/>
                    <w:right w:w="0" w:type="dxa"/>
                  </w:tcMar>
                  <w:vAlign w:val="center"/>
                </w:tcPr>
                <w:p>
                  <w:pPr>
                    <w:pStyle w:val="35"/>
                    <w:snapToGrid w:val="0"/>
                    <w:spacing w:line="240" w:lineRule="auto"/>
                    <w:ind w:firstLine="0" w:firstLineChars="0"/>
                    <w:jc w:val="center"/>
                    <w:rPr>
                      <w:rFonts w:ascii="Times New Roman" w:hAnsi="Times New Roman" w:eastAsia="宋体" w:cs="Times New Roman"/>
                      <w:b/>
                      <w:bCs/>
                      <w:color w:val="auto"/>
                      <w:sz w:val="18"/>
                      <w:szCs w:val="18"/>
                    </w:rPr>
                  </w:pPr>
                  <w:r>
                    <w:rPr>
                      <w:rFonts w:ascii="Times New Roman" w:hAnsi="Times New Roman" w:eastAsia="宋体" w:cs="Times New Roman"/>
                      <w:b/>
                      <w:bCs/>
                      <w:color w:val="auto"/>
                      <w:sz w:val="18"/>
                      <w:szCs w:val="18"/>
                    </w:rPr>
                    <w:t>执行标准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1678" w:type="dxa"/>
                  <w:tcMar>
                    <w:left w:w="0" w:type="dxa"/>
                    <w:right w:w="0" w:type="dxa"/>
                  </w:tcMar>
                  <w:vAlign w:val="center"/>
                </w:tcPr>
                <w:p>
                  <w:pPr>
                    <w:pStyle w:val="35"/>
                    <w:snapToGrid w:val="0"/>
                    <w:spacing w:line="240" w:lineRule="auto"/>
                    <w:ind w:firstLine="0" w:firstLineChars="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厂界</w:t>
                  </w:r>
                </w:p>
              </w:tc>
              <w:tc>
                <w:tcPr>
                  <w:tcW w:w="2518" w:type="dxa"/>
                  <w:tcMar>
                    <w:left w:w="0" w:type="dxa"/>
                    <w:right w:w="0" w:type="dxa"/>
                  </w:tcMar>
                  <w:vAlign w:val="center"/>
                </w:tcPr>
                <w:p>
                  <w:pPr>
                    <w:pStyle w:val="35"/>
                    <w:snapToGrid w:val="0"/>
                    <w:spacing w:line="240" w:lineRule="auto"/>
                    <w:ind w:firstLine="0" w:firstLineChars="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3类区</w:t>
                  </w:r>
                </w:p>
              </w:tc>
              <w:tc>
                <w:tcPr>
                  <w:tcW w:w="902" w:type="dxa"/>
                  <w:tcMar>
                    <w:left w:w="0" w:type="dxa"/>
                    <w:right w:w="0" w:type="dxa"/>
                  </w:tcMar>
                  <w:vAlign w:val="center"/>
                </w:tcPr>
                <w:p>
                  <w:pPr>
                    <w:pStyle w:val="35"/>
                    <w:snapToGrid w:val="0"/>
                    <w:spacing w:line="240" w:lineRule="auto"/>
                    <w:ind w:firstLine="0" w:firstLineChars="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65</w:t>
                  </w:r>
                </w:p>
              </w:tc>
              <w:tc>
                <w:tcPr>
                  <w:tcW w:w="900" w:type="dxa"/>
                  <w:tcMar>
                    <w:left w:w="0" w:type="dxa"/>
                    <w:right w:w="0" w:type="dxa"/>
                  </w:tcMar>
                  <w:vAlign w:val="center"/>
                </w:tcPr>
                <w:p>
                  <w:pPr>
                    <w:pStyle w:val="35"/>
                    <w:snapToGrid w:val="0"/>
                    <w:spacing w:line="240" w:lineRule="auto"/>
                    <w:ind w:firstLine="0" w:firstLineChars="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55</w:t>
                  </w:r>
                </w:p>
              </w:tc>
              <w:tc>
                <w:tcPr>
                  <w:tcW w:w="3131" w:type="dxa"/>
                  <w:tcMar>
                    <w:left w:w="0" w:type="dxa"/>
                    <w:right w:w="0" w:type="dxa"/>
                  </w:tcMar>
                  <w:vAlign w:val="center"/>
                </w:tcPr>
                <w:p>
                  <w:pPr>
                    <w:pStyle w:val="35"/>
                    <w:snapToGrid w:val="0"/>
                    <w:spacing w:line="240" w:lineRule="auto"/>
                    <w:ind w:firstLine="0" w:firstLineChars="0"/>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《工业企业厂界环境噪声排放标准》(GB12348-2008)</w:t>
                  </w:r>
                </w:p>
              </w:tc>
            </w:tr>
          </w:tbl>
          <w:p>
            <w:pPr>
              <w:widowControl/>
              <w:spacing w:line="360" w:lineRule="auto"/>
              <w:jc w:val="left"/>
              <w:rPr>
                <w:rFonts w:hint="eastAsia"/>
                <w:b/>
                <w:bCs/>
                <w:color w:val="auto"/>
              </w:rPr>
            </w:pPr>
            <w:r>
              <w:rPr>
                <w:rFonts w:hint="eastAsia"/>
                <w:b/>
                <w:bCs/>
                <w:color w:val="auto"/>
              </w:rPr>
              <w:t>3.11固体废物排放标准</w:t>
            </w:r>
          </w:p>
          <w:p>
            <w:pPr>
              <w:pStyle w:val="24"/>
              <w:numPr>
                <w:ilvl w:val="0"/>
                <w:numId w:val="0"/>
              </w:numPr>
              <w:ind w:firstLine="420" w:firstLineChars="200"/>
              <w:rPr>
                <w:rFonts w:hint="eastAsia"/>
                <w:color w:val="auto"/>
                <w:sz w:val="21"/>
              </w:rPr>
            </w:pPr>
            <w:r>
              <w:rPr>
                <w:rFonts w:hint="eastAsia" w:ascii="Times New Roman" w:hAnsi="Times New Roman" w:eastAsia="宋体" w:cs="Times New Roman"/>
                <w:color w:val="auto"/>
                <w:spacing w:val="0"/>
                <w:kern w:val="2"/>
                <w:sz w:val="21"/>
                <w:szCs w:val="24"/>
                <w:lang w:val="en-US" w:eastAsia="zh-CN" w:bidi="ar-SA"/>
              </w:rPr>
              <w:t>（1）</w:t>
            </w:r>
            <w:r>
              <w:rPr>
                <w:rFonts w:hint="eastAsia"/>
                <w:color w:val="auto"/>
                <w:sz w:val="21"/>
              </w:rPr>
              <w:t>一般固废贮存标准执行《一般工业固体废物贮存和填埋污染控制标准》(GB18599-2020)。</w:t>
            </w:r>
          </w:p>
          <w:p>
            <w:pPr>
              <w:pStyle w:val="24"/>
              <w:numPr>
                <w:ilvl w:val="0"/>
                <w:numId w:val="0"/>
              </w:numPr>
              <w:ind w:firstLine="420" w:firstLineChars="200"/>
              <w:rPr>
                <w:rFonts w:hint="eastAsia"/>
                <w:color w:val="auto"/>
                <w:sz w:val="21"/>
              </w:rPr>
            </w:pPr>
            <w:r>
              <w:rPr>
                <w:rFonts w:ascii="Times New Roman" w:hAnsi="Times New Roman" w:eastAsia="宋体" w:cs="Times New Roman"/>
                <w:color w:val="auto"/>
                <w:spacing w:val="0"/>
                <w:kern w:val="2"/>
                <w:sz w:val="21"/>
                <w:szCs w:val="21"/>
                <w:lang w:val="en-US" w:eastAsia="zh-CN" w:bidi="ar-SA"/>
              </w:rPr>
              <w:t>（2）</w:t>
            </w:r>
            <w:r>
              <w:rPr>
                <w:rFonts w:hint="eastAsia"/>
                <w:color w:val="auto"/>
                <w:sz w:val="21"/>
              </w:rPr>
              <w:t>危险废物贮存、处置执行《危险废物贮存污染控制标准》（GB18597-2023）要求。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3" w:hRule="atLeast"/>
        </w:trPr>
        <w:tc>
          <w:tcPr>
            <w:tcW w:w="439" w:type="dxa"/>
            <w:vAlign w:val="center"/>
          </w:tcPr>
          <w:p>
            <w:pPr>
              <w:jc w:val="center"/>
              <w:outlineLvl w:val="1"/>
              <w:rPr>
                <w:color w:val="auto"/>
                <w:szCs w:val="21"/>
              </w:rPr>
            </w:pPr>
            <w:bookmarkStart w:id="54" w:name="_Toc2769"/>
            <w:bookmarkStart w:id="55" w:name="_Toc2029"/>
            <w:bookmarkStart w:id="56" w:name="_Toc27719"/>
            <w:bookmarkStart w:id="57" w:name="_Toc3319"/>
            <w:bookmarkStart w:id="58" w:name="_Toc5927"/>
            <w:r>
              <w:rPr>
                <w:color w:val="auto"/>
                <w:szCs w:val="21"/>
              </w:rPr>
              <w:t>总量控制指标</w:t>
            </w:r>
            <w:bookmarkEnd w:id="54"/>
          </w:p>
        </w:tc>
        <w:tc>
          <w:tcPr>
            <w:tcW w:w="8083" w:type="dxa"/>
            <w:vAlign w:val="top"/>
          </w:tcPr>
          <w:p>
            <w:pPr>
              <w:widowControl/>
              <w:spacing w:line="360" w:lineRule="auto"/>
              <w:jc w:val="left"/>
              <w:rPr>
                <w:rFonts w:hint="eastAsia"/>
                <w:b/>
                <w:bCs/>
                <w:color w:val="auto"/>
              </w:rPr>
            </w:pPr>
            <w:r>
              <w:rPr>
                <w:rFonts w:hint="eastAsia"/>
                <w:b/>
                <w:bCs/>
                <w:color w:val="auto"/>
              </w:rPr>
              <w:t>3.12总量控制指标分析</w:t>
            </w:r>
          </w:p>
          <w:p>
            <w:pPr>
              <w:pStyle w:val="5"/>
              <w:spacing w:line="360" w:lineRule="auto"/>
              <w:ind w:firstLine="420" w:firstLineChars="200"/>
              <w:rPr>
                <w:rFonts w:ascii="Times New Roman" w:hAnsi="Times New Roman"/>
                <w:color w:val="auto"/>
                <w:sz w:val="21"/>
                <w:szCs w:val="21"/>
              </w:rPr>
            </w:pPr>
            <w:r>
              <w:rPr>
                <w:rFonts w:ascii="Times New Roman" w:hAnsi="Times New Roman"/>
                <w:color w:val="auto"/>
                <w:sz w:val="21"/>
                <w:szCs w:val="21"/>
              </w:rPr>
              <w:t>为控制区域主要污染物排放总量，项目建成投产后，应积极实行全面达标项目，使其污染物的排放必须确保达到或优于国家或地方所规定的污染物排放标准。</w:t>
            </w:r>
          </w:p>
          <w:p>
            <w:pPr>
              <w:pStyle w:val="5"/>
              <w:spacing w:line="360" w:lineRule="auto"/>
              <w:ind w:left="0" w:leftChars="0" w:firstLine="0" w:firstLineChars="0"/>
              <w:rPr>
                <w:rFonts w:hint="eastAsia" w:ascii="Times New Roman" w:hAnsi="Times New Roman"/>
                <w:b/>
                <w:bCs/>
                <w:color w:val="auto"/>
                <w:sz w:val="21"/>
                <w:szCs w:val="21"/>
                <w:lang w:val="en-US" w:eastAsia="zh-CN"/>
              </w:rPr>
            </w:pPr>
            <w:r>
              <w:rPr>
                <w:rFonts w:hint="eastAsia" w:ascii="Times New Roman" w:hAnsi="Times New Roman"/>
                <w:b/>
                <w:bCs/>
                <w:color w:val="auto"/>
                <w:sz w:val="21"/>
                <w:szCs w:val="21"/>
                <w:lang w:val="en-US" w:eastAsia="zh-CN"/>
              </w:rPr>
              <w:t>3.12.1本次扩建工程总量</w:t>
            </w:r>
          </w:p>
          <w:p>
            <w:pPr>
              <w:pStyle w:val="5"/>
              <w:spacing w:line="360" w:lineRule="auto"/>
              <w:ind w:firstLine="420" w:firstLineChars="200"/>
              <w:rPr>
                <w:rFonts w:ascii="Times New Roman" w:hAnsi="Times New Roman"/>
                <w:color w:val="auto"/>
                <w:sz w:val="21"/>
                <w:szCs w:val="21"/>
              </w:rPr>
            </w:pPr>
            <w:r>
              <w:rPr>
                <w:rFonts w:hint="eastAsia" w:ascii="Times New Roman" w:hAnsi="Times New Roman"/>
                <w:color w:val="auto"/>
                <w:sz w:val="21"/>
                <w:szCs w:val="21"/>
              </w:rPr>
              <w:t>（1）废水总量核算</w:t>
            </w:r>
          </w:p>
          <w:p>
            <w:pPr>
              <w:spacing w:line="360" w:lineRule="auto"/>
              <w:ind w:firstLine="420" w:firstLineChars="200"/>
              <w:rPr>
                <w:color w:val="auto"/>
                <w:sz w:val="21"/>
                <w:szCs w:val="21"/>
              </w:rPr>
            </w:pPr>
            <w:r>
              <w:rPr>
                <w:rFonts w:hint="eastAsia"/>
                <w:color w:val="auto"/>
                <w:sz w:val="21"/>
                <w:szCs w:val="21"/>
              </w:rPr>
              <w:t>本项目生活污水经化粪池预处理后和</w:t>
            </w:r>
            <w:r>
              <w:rPr>
                <w:rFonts w:hint="eastAsia"/>
                <w:color w:val="auto"/>
                <w:sz w:val="21"/>
                <w:szCs w:val="21"/>
                <w:lang w:val="en-US" w:eastAsia="zh-CN"/>
              </w:rPr>
              <w:t>中水浓水、</w:t>
            </w:r>
            <w:r>
              <w:rPr>
                <w:color w:val="auto"/>
                <w:sz w:val="21"/>
                <w:szCs w:val="21"/>
              </w:rPr>
              <w:t>生产废水</w:t>
            </w:r>
            <w:r>
              <w:rPr>
                <w:rFonts w:hint="eastAsia"/>
                <w:color w:val="auto"/>
                <w:sz w:val="21"/>
                <w:szCs w:val="21"/>
              </w:rPr>
              <w:t>混合依托一厂污水处理站处理后由总排口（DW001）接入园区污水管网，排入</w:t>
            </w:r>
            <w:r>
              <w:rPr>
                <w:rFonts w:hint="eastAsia"/>
                <w:color w:val="auto"/>
                <w:sz w:val="21"/>
                <w:szCs w:val="21"/>
                <w:lang w:eastAsia="zh-CN"/>
              </w:rPr>
              <w:t>明溪经济开发区工业污水处理厂</w:t>
            </w:r>
            <w:r>
              <w:rPr>
                <w:rFonts w:hint="eastAsia"/>
                <w:color w:val="auto"/>
                <w:sz w:val="21"/>
                <w:szCs w:val="21"/>
              </w:rPr>
              <w:t>。废水排入</w:t>
            </w:r>
            <w:r>
              <w:rPr>
                <w:rFonts w:hint="eastAsia"/>
                <w:color w:val="auto"/>
                <w:sz w:val="21"/>
                <w:szCs w:val="21"/>
                <w:lang w:eastAsia="zh-CN"/>
              </w:rPr>
              <w:t>明溪经济开发区工业污水处理厂</w:t>
            </w:r>
            <w:r>
              <w:rPr>
                <w:rFonts w:hint="eastAsia"/>
                <w:color w:val="auto"/>
                <w:sz w:val="21"/>
                <w:szCs w:val="21"/>
              </w:rPr>
              <w:t>的COD、氨氮量分别为</w:t>
            </w:r>
            <w:r>
              <w:rPr>
                <w:rFonts w:hint="eastAsia"/>
                <w:color w:val="auto"/>
                <w:sz w:val="21"/>
                <w:szCs w:val="21"/>
                <w:lang w:val="en-US" w:eastAsia="zh-CN"/>
              </w:rPr>
              <w:t>0.0582</w:t>
            </w:r>
            <w:r>
              <w:rPr>
                <w:rFonts w:hint="eastAsia"/>
                <w:color w:val="auto"/>
                <w:sz w:val="21"/>
                <w:szCs w:val="21"/>
              </w:rPr>
              <w:t>t/a、0.001</w:t>
            </w:r>
            <w:r>
              <w:rPr>
                <w:rFonts w:hint="eastAsia"/>
                <w:color w:val="auto"/>
                <w:sz w:val="21"/>
                <w:szCs w:val="21"/>
                <w:lang w:val="en-US" w:eastAsia="zh-CN"/>
              </w:rPr>
              <w:t>1</w:t>
            </w:r>
            <w:r>
              <w:rPr>
                <w:rFonts w:hint="eastAsia"/>
                <w:color w:val="auto"/>
                <w:sz w:val="21"/>
                <w:szCs w:val="21"/>
              </w:rPr>
              <w:t>t/a，排入外环境的COD、氨氮量分别为0.0</w:t>
            </w:r>
            <w:r>
              <w:rPr>
                <w:rFonts w:hint="eastAsia"/>
                <w:color w:val="auto"/>
                <w:sz w:val="21"/>
                <w:szCs w:val="21"/>
                <w:lang w:val="en-US" w:eastAsia="zh-CN"/>
              </w:rPr>
              <w:t>147</w:t>
            </w:r>
            <w:r>
              <w:rPr>
                <w:rFonts w:hint="eastAsia"/>
                <w:color w:val="auto"/>
                <w:sz w:val="21"/>
                <w:szCs w:val="21"/>
              </w:rPr>
              <w:t>t/a、0</w:t>
            </w:r>
            <w:r>
              <w:rPr>
                <w:color w:val="auto"/>
                <w:sz w:val="21"/>
                <w:szCs w:val="21"/>
              </w:rPr>
              <w:t>.0</w:t>
            </w:r>
            <w:r>
              <w:rPr>
                <w:rFonts w:hint="eastAsia"/>
                <w:color w:val="auto"/>
                <w:sz w:val="21"/>
                <w:szCs w:val="21"/>
              </w:rPr>
              <w:t>0</w:t>
            </w:r>
            <w:r>
              <w:rPr>
                <w:rFonts w:hint="eastAsia"/>
                <w:color w:val="auto"/>
                <w:sz w:val="21"/>
                <w:szCs w:val="21"/>
                <w:lang w:val="en-US" w:eastAsia="zh-CN"/>
              </w:rPr>
              <w:t>44</w:t>
            </w:r>
            <w:r>
              <w:rPr>
                <w:rFonts w:hint="eastAsia"/>
                <w:color w:val="auto"/>
                <w:sz w:val="21"/>
                <w:szCs w:val="21"/>
              </w:rPr>
              <w:t>t/a。</w:t>
            </w:r>
          </w:p>
          <w:p>
            <w:pPr>
              <w:pStyle w:val="5"/>
              <w:spacing w:line="360" w:lineRule="auto"/>
              <w:ind w:firstLine="420" w:firstLineChars="200"/>
              <w:rPr>
                <w:rFonts w:ascii="Times New Roman" w:hAnsi="Times New Roman"/>
                <w:color w:val="auto"/>
                <w:sz w:val="21"/>
                <w:szCs w:val="21"/>
              </w:rPr>
            </w:pPr>
            <w:r>
              <w:rPr>
                <w:rFonts w:hint="eastAsia" w:ascii="Times New Roman" w:hAnsi="Times New Roman"/>
                <w:color w:val="auto"/>
                <w:sz w:val="21"/>
                <w:szCs w:val="21"/>
              </w:rPr>
              <w:t>（2）废气总量核算</w:t>
            </w:r>
          </w:p>
          <w:p>
            <w:pPr>
              <w:autoSpaceDE w:val="0"/>
              <w:autoSpaceDN w:val="0"/>
              <w:adjustRightInd w:val="0"/>
              <w:spacing w:line="360" w:lineRule="auto"/>
              <w:ind w:firstLine="420" w:firstLineChars="200"/>
              <w:rPr>
                <w:color w:val="auto"/>
                <w:sz w:val="21"/>
                <w:szCs w:val="21"/>
              </w:rPr>
            </w:pPr>
            <w:r>
              <w:rPr>
                <w:rFonts w:hint="eastAsia"/>
                <w:color w:val="auto"/>
                <w:sz w:val="21"/>
                <w:szCs w:val="21"/>
              </w:rPr>
              <w:t>本项目新增非甲烷总烃排放量为7.5</w:t>
            </w:r>
            <w:r>
              <w:rPr>
                <w:rFonts w:hint="eastAsia"/>
                <w:color w:val="auto"/>
                <w:sz w:val="21"/>
                <w:szCs w:val="21"/>
                <w:lang w:val="en-US" w:eastAsia="zh-CN"/>
              </w:rPr>
              <w:t>6</w:t>
            </w:r>
            <w:r>
              <w:rPr>
                <w:rFonts w:hint="eastAsia"/>
                <w:color w:val="auto"/>
                <w:sz w:val="21"/>
                <w:szCs w:val="21"/>
              </w:rPr>
              <w:t>t/a，其中有组织排放量为1.9</w:t>
            </w:r>
            <w:r>
              <w:rPr>
                <w:rFonts w:hint="eastAsia"/>
                <w:color w:val="auto"/>
                <w:sz w:val="21"/>
                <w:szCs w:val="21"/>
                <w:lang w:val="en-US" w:eastAsia="zh-CN"/>
              </w:rPr>
              <w:t>6</w:t>
            </w:r>
            <w:r>
              <w:rPr>
                <w:rFonts w:hint="eastAsia"/>
                <w:color w:val="auto"/>
                <w:sz w:val="21"/>
                <w:szCs w:val="21"/>
              </w:rPr>
              <w:t>t/a，无组织排放量为5.6t/a。</w:t>
            </w:r>
          </w:p>
          <w:p>
            <w:pPr>
              <w:pStyle w:val="24"/>
              <w:spacing w:line="360" w:lineRule="auto"/>
              <w:ind w:firstLine="440"/>
              <w:rPr>
                <w:rFonts w:hint="eastAsia"/>
                <w:color w:val="auto"/>
                <w:sz w:val="21"/>
                <w:szCs w:val="21"/>
              </w:rPr>
            </w:pPr>
            <w:r>
              <w:rPr>
                <w:rFonts w:hint="eastAsia"/>
                <w:color w:val="auto"/>
                <w:sz w:val="21"/>
                <w:szCs w:val="21"/>
              </w:rPr>
              <w:t>根据《三明市生态环境局关于印发授权各县(市)生态环境局开展行政许可具体工作方案(试行)的通知》（明环〔2019〕33号）附件4第4条中豁免购买排放权及来源确认的规定，本环评建议新增总量指标为COD=0.0</w:t>
            </w:r>
            <w:r>
              <w:rPr>
                <w:rFonts w:hint="eastAsia"/>
                <w:color w:val="auto"/>
                <w:sz w:val="21"/>
                <w:szCs w:val="21"/>
                <w:lang w:val="en-US" w:eastAsia="zh-CN"/>
              </w:rPr>
              <w:t>147</w:t>
            </w:r>
            <w:r>
              <w:rPr>
                <w:rFonts w:hint="eastAsia"/>
                <w:color w:val="auto"/>
                <w:sz w:val="21"/>
                <w:szCs w:val="21"/>
              </w:rPr>
              <w:t>t/a，氨氮=0</w:t>
            </w:r>
            <w:r>
              <w:rPr>
                <w:color w:val="auto"/>
                <w:sz w:val="21"/>
                <w:szCs w:val="21"/>
              </w:rPr>
              <w:t>.0</w:t>
            </w:r>
            <w:r>
              <w:rPr>
                <w:rFonts w:hint="eastAsia"/>
                <w:color w:val="auto"/>
                <w:sz w:val="21"/>
                <w:szCs w:val="21"/>
              </w:rPr>
              <w:t>0</w:t>
            </w:r>
            <w:r>
              <w:rPr>
                <w:rFonts w:hint="eastAsia"/>
                <w:color w:val="auto"/>
                <w:sz w:val="21"/>
                <w:szCs w:val="21"/>
                <w:lang w:val="en-US" w:eastAsia="zh-CN"/>
              </w:rPr>
              <w:t>44</w:t>
            </w:r>
            <w:r>
              <w:rPr>
                <w:rFonts w:hint="eastAsia"/>
                <w:color w:val="auto"/>
                <w:sz w:val="21"/>
                <w:szCs w:val="21"/>
              </w:rPr>
              <w:t>/a，可豁免购买排污权及来源确认。非甲烷总烃新增总量指标1.94t/a需向生态环境行政主管部门申请调剂获得。</w:t>
            </w:r>
          </w:p>
          <w:p>
            <w:pPr>
              <w:pStyle w:val="5"/>
              <w:spacing w:line="360" w:lineRule="auto"/>
              <w:ind w:left="0" w:leftChars="0" w:firstLine="0" w:firstLineChars="0"/>
              <w:rPr>
                <w:rFonts w:hint="eastAsia" w:ascii="Times New Roman" w:hAnsi="Times New Roman"/>
                <w:b/>
                <w:bCs/>
                <w:color w:val="auto"/>
                <w:sz w:val="21"/>
                <w:szCs w:val="21"/>
                <w:lang w:val="en-US" w:eastAsia="zh-CN"/>
              </w:rPr>
            </w:pPr>
            <w:r>
              <w:rPr>
                <w:rFonts w:hint="eastAsia" w:ascii="Times New Roman" w:hAnsi="Times New Roman"/>
                <w:b/>
                <w:bCs/>
                <w:color w:val="auto"/>
                <w:sz w:val="21"/>
                <w:szCs w:val="21"/>
                <w:lang w:val="en-US" w:eastAsia="zh-CN"/>
              </w:rPr>
              <w:t>3.12.2扩建后全厂（一厂、二厂）总量</w:t>
            </w:r>
          </w:p>
          <w:p>
            <w:pPr>
              <w:pStyle w:val="5"/>
              <w:spacing w:line="360" w:lineRule="auto"/>
              <w:ind w:firstLine="420" w:firstLineChars="200"/>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（1）废水总量核算</w:t>
            </w:r>
          </w:p>
          <w:p>
            <w:pPr>
              <w:pStyle w:val="24"/>
              <w:spacing w:line="360" w:lineRule="auto"/>
              <w:ind w:firstLine="440"/>
              <w:rPr>
                <w:rFonts w:hint="eastAsia"/>
                <w:color w:val="auto"/>
                <w:sz w:val="21"/>
                <w:szCs w:val="21"/>
                <w:lang w:val="en-US" w:eastAsia="zh-CN"/>
              </w:rPr>
            </w:pPr>
            <w:r>
              <w:rPr>
                <w:rFonts w:hint="eastAsia"/>
                <w:color w:val="auto"/>
                <w:sz w:val="21"/>
                <w:szCs w:val="21"/>
                <w:lang w:val="en-US" w:eastAsia="zh-CN"/>
              </w:rPr>
              <w:t>根据排污许可计算书现有工程COD许可排放量为8.473t/a，氨氮许可排放量为0.452t/a。扩建后COD排放量为8.4877t/a，氨氮排放量为0.4564t/a。</w:t>
            </w:r>
          </w:p>
          <w:p>
            <w:pPr>
              <w:pStyle w:val="24"/>
              <w:numPr>
                <w:ilvl w:val="0"/>
                <w:numId w:val="0"/>
              </w:numPr>
              <w:spacing w:line="360" w:lineRule="auto"/>
              <w:ind w:left="0" w:leftChars="0" w:firstLine="420" w:firstLineChars="200"/>
              <w:rPr>
                <w:rFonts w:hint="eastAsia" w:ascii="Times New Roman" w:hAnsi="Times New Roman"/>
                <w:color w:val="auto"/>
                <w:sz w:val="21"/>
                <w:szCs w:val="21"/>
              </w:rPr>
            </w:pPr>
            <w:r>
              <w:rPr>
                <w:rFonts w:hint="eastAsia" w:ascii="Times New Roman" w:hAnsi="Times New Roman" w:eastAsia="宋体" w:cs="Times New Roman"/>
                <w:color w:val="auto"/>
                <w:spacing w:val="0"/>
                <w:kern w:val="2"/>
                <w:sz w:val="21"/>
                <w:szCs w:val="21"/>
                <w:lang w:val="en-US" w:eastAsia="zh-CN" w:bidi="ar-SA"/>
              </w:rPr>
              <w:t>（</w:t>
            </w:r>
            <w:r>
              <w:rPr>
                <w:rFonts w:hint="eastAsia" w:cs="Times New Roman"/>
                <w:color w:val="auto"/>
                <w:spacing w:val="0"/>
                <w:kern w:val="2"/>
                <w:sz w:val="21"/>
                <w:szCs w:val="21"/>
                <w:lang w:val="en-US" w:eastAsia="zh-CN" w:bidi="ar-SA"/>
              </w:rPr>
              <w:t>2</w:t>
            </w:r>
            <w:r>
              <w:rPr>
                <w:rFonts w:hint="eastAsia" w:ascii="Times New Roman" w:hAnsi="Times New Roman" w:eastAsia="宋体" w:cs="Times New Roman"/>
                <w:color w:val="auto"/>
                <w:spacing w:val="0"/>
                <w:kern w:val="2"/>
                <w:sz w:val="21"/>
                <w:szCs w:val="21"/>
                <w:lang w:val="en-US" w:eastAsia="zh-CN" w:bidi="ar-SA"/>
              </w:rPr>
              <w:t>）</w:t>
            </w:r>
            <w:r>
              <w:rPr>
                <w:rFonts w:hint="eastAsia" w:ascii="Times New Roman" w:hAnsi="Times New Roman"/>
                <w:color w:val="auto"/>
                <w:sz w:val="21"/>
                <w:szCs w:val="21"/>
              </w:rPr>
              <w:t>废气总量核算</w:t>
            </w:r>
          </w:p>
          <w:p>
            <w:pPr>
              <w:pStyle w:val="2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0" w:leftChars="0" w:firstLine="420" w:firstLineChars="200"/>
              <w:textAlignment w:val="auto"/>
              <w:rPr>
                <w:rFonts w:hint="eastAsia"/>
                <w:color w:val="auto"/>
                <w:sz w:val="21"/>
                <w:szCs w:val="21"/>
                <w:lang w:val="en-US" w:eastAsia="zh-CN"/>
              </w:rPr>
            </w:pPr>
            <w:r>
              <w:rPr>
                <w:rFonts w:hint="eastAsia"/>
                <w:color w:val="auto"/>
                <w:sz w:val="21"/>
                <w:szCs w:val="21"/>
                <w:lang w:val="en-US" w:eastAsia="zh-CN"/>
              </w:rPr>
              <w:t>根据排污许可计算书现有工程非甲烷总烃排放量为3.4736t/a。扩建后非甲总烃排放量为5.4336t/a。</w:t>
            </w:r>
          </w:p>
          <w:p>
            <w:pPr>
              <w:pStyle w:val="2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0" w:leftChars="0" w:firstLine="420" w:firstLineChars="200"/>
              <w:textAlignment w:val="auto"/>
              <w:rPr>
                <w:rFonts w:hint="eastAsia"/>
                <w:color w:val="auto"/>
                <w:sz w:val="21"/>
                <w:szCs w:val="21"/>
                <w:lang w:val="en-US" w:eastAsia="zh-CN"/>
              </w:rPr>
            </w:pPr>
          </w:p>
          <w:p>
            <w:pPr>
              <w:pStyle w:val="2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0" w:leftChars="0" w:firstLine="420" w:firstLineChars="200"/>
              <w:textAlignment w:val="auto"/>
              <w:rPr>
                <w:rFonts w:hint="eastAsia"/>
                <w:color w:val="auto"/>
                <w:sz w:val="21"/>
                <w:szCs w:val="21"/>
                <w:lang w:val="en-US" w:eastAsia="zh-CN"/>
              </w:rPr>
            </w:pPr>
          </w:p>
          <w:p>
            <w:pPr>
              <w:pStyle w:val="2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0" w:leftChars="0" w:firstLine="420" w:firstLineChars="200"/>
              <w:textAlignment w:val="auto"/>
              <w:rPr>
                <w:rFonts w:hint="eastAsia"/>
                <w:color w:val="auto"/>
                <w:sz w:val="21"/>
                <w:szCs w:val="21"/>
                <w:lang w:val="en-US" w:eastAsia="zh-CN"/>
              </w:rPr>
            </w:pPr>
          </w:p>
          <w:p>
            <w:pPr>
              <w:pStyle w:val="2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0" w:leftChars="0" w:firstLine="420" w:firstLineChars="200"/>
              <w:textAlignment w:val="auto"/>
              <w:rPr>
                <w:rFonts w:hint="eastAsia"/>
                <w:color w:val="auto"/>
                <w:sz w:val="21"/>
                <w:szCs w:val="21"/>
                <w:lang w:val="en-US" w:eastAsia="zh-CN"/>
              </w:rPr>
            </w:pPr>
          </w:p>
          <w:p>
            <w:pPr>
              <w:pStyle w:val="2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0" w:leftChars="0" w:firstLine="420" w:firstLineChars="200"/>
              <w:textAlignment w:val="auto"/>
              <w:rPr>
                <w:rFonts w:hint="eastAsia"/>
                <w:color w:val="auto"/>
                <w:sz w:val="21"/>
                <w:szCs w:val="21"/>
                <w:lang w:val="en-US" w:eastAsia="zh-CN"/>
              </w:rPr>
            </w:pPr>
          </w:p>
          <w:p>
            <w:pPr>
              <w:pStyle w:val="2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0" w:leftChars="0" w:firstLine="420" w:firstLineChars="200"/>
              <w:textAlignment w:val="auto"/>
              <w:rPr>
                <w:rFonts w:hint="eastAsia"/>
                <w:color w:val="auto"/>
                <w:sz w:val="21"/>
                <w:szCs w:val="21"/>
                <w:lang w:val="en-US" w:eastAsia="zh-CN"/>
              </w:rPr>
            </w:pPr>
          </w:p>
          <w:p>
            <w:pPr>
              <w:pStyle w:val="2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0" w:leftChars="0" w:firstLine="420" w:firstLineChars="200"/>
              <w:textAlignment w:val="auto"/>
              <w:rPr>
                <w:rFonts w:hint="eastAsia"/>
                <w:color w:val="auto"/>
                <w:sz w:val="21"/>
                <w:szCs w:val="21"/>
                <w:lang w:val="en-US" w:eastAsia="zh-CN"/>
              </w:rPr>
            </w:pPr>
          </w:p>
          <w:p>
            <w:pPr>
              <w:pStyle w:val="2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0" w:leftChars="0" w:firstLine="420" w:firstLineChars="200"/>
              <w:textAlignment w:val="auto"/>
              <w:rPr>
                <w:rFonts w:hint="eastAsia"/>
                <w:color w:val="auto"/>
                <w:sz w:val="21"/>
                <w:szCs w:val="21"/>
                <w:lang w:val="en-US" w:eastAsia="zh-CN"/>
              </w:rPr>
            </w:pPr>
          </w:p>
          <w:p>
            <w:pPr>
              <w:pStyle w:val="2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0" w:leftChars="0" w:firstLine="420" w:firstLineChars="200"/>
              <w:textAlignment w:val="auto"/>
              <w:rPr>
                <w:rFonts w:hint="eastAsia"/>
                <w:color w:val="auto"/>
                <w:sz w:val="21"/>
                <w:szCs w:val="21"/>
                <w:lang w:val="en-US" w:eastAsia="zh-CN"/>
              </w:rPr>
            </w:pPr>
          </w:p>
          <w:p>
            <w:pPr>
              <w:pStyle w:val="2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0" w:leftChars="0" w:firstLine="420" w:firstLineChars="200"/>
              <w:textAlignment w:val="auto"/>
              <w:rPr>
                <w:rFonts w:hint="eastAsia"/>
                <w:color w:val="auto"/>
                <w:sz w:val="21"/>
                <w:szCs w:val="21"/>
                <w:lang w:val="en-US" w:eastAsia="zh-CN"/>
              </w:rPr>
            </w:pPr>
          </w:p>
          <w:p>
            <w:pPr>
              <w:pStyle w:val="2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0" w:leftChars="0" w:firstLine="420" w:firstLineChars="200"/>
              <w:textAlignment w:val="auto"/>
              <w:rPr>
                <w:rFonts w:hint="eastAsia"/>
                <w:color w:val="auto"/>
                <w:sz w:val="21"/>
                <w:szCs w:val="21"/>
                <w:lang w:val="en-US" w:eastAsia="zh-CN"/>
              </w:rPr>
            </w:pPr>
          </w:p>
          <w:p>
            <w:pPr>
              <w:pStyle w:val="2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0" w:leftChars="0" w:firstLine="420" w:firstLineChars="200"/>
              <w:textAlignment w:val="auto"/>
              <w:rPr>
                <w:rFonts w:hint="eastAsia"/>
                <w:color w:val="auto"/>
                <w:sz w:val="21"/>
                <w:szCs w:val="21"/>
                <w:lang w:val="en-US" w:eastAsia="zh-CN"/>
              </w:rPr>
            </w:pPr>
          </w:p>
          <w:p>
            <w:pPr>
              <w:pStyle w:val="2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0" w:leftChars="0" w:firstLine="420" w:firstLineChars="200"/>
              <w:textAlignment w:val="auto"/>
              <w:rPr>
                <w:rFonts w:hint="eastAsia"/>
                <w:color w:val="auto"/>
                <w:sz w:val="21"/>
                <w:szCs w:val="21"/>
                <w:lang w:val="en-US" w:eastAsia="zh-CN"/>
              </w:rPr>
            </w:pPr>
          </w:p>
          <w:p>
            <w:pPr>
              <w:pStyle w:val="2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0" w:leftChars="0" w:firstLine="420" w:firstLineChars="200"/>
              <w:textAlignment w:val="auto"/>
              <w:rPr>
                <w:rFonts w:hint="eastAsia"/>
                <w:color w:val="auto"/>
                <w:sz w:val="21"/>
                <w:szCs w:val="21"/>
                <w:lang w:val="en-US" w:eastAsia="zh-CN"/>
              </w:rPr>
            </w:pPr>
          </w:p>
          <w:p>
            <w:pPr>
              <w:pStyle w:val="2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0" w:leftChars="0" w:firstLine="420" w:firstLineChars="200"/>
              <w:textAlignment w:val="auto"/>
              <w:rPr>
                <w:rFonts w:hint="eastAsia"/>
                <w:color w:val="auto"/>
                <w:sz w:val="21"/>
                <w:szCs w:val="21"/>
                <w:lang w:val="en-US" w:eastAsia="zh-CN"/>
              </w:rPr>
            </w:pPr>
          </w:p>
          <w:p>
            <w:pPr>
              <w:pStyle w:val="2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0" w:leftChars="0" w:firstLine="420" w:firstLineChars="200"/>
              <w:textAlignment w:val="auto"/>
              <w:rPr>
                <w:rFonts w:hint="eastAsia"/>
                <w:color w:val="auto"/>
                <w:sz w:val="21"/>
                <w:szCs w:val="21"/>
                <w:lang w:val="en-US" w:eastAsia="zh-CN"/>
              </w:rPr>
            </w:pPr>
          </w:p>
          <w:p>
            <w:pPr>
              <w:pStyle w:val="2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0" w:leftChars="0" w:firstLine="420" w:firstLineChars="200"/>
              <w:textAlignment w:val="auto"/>
              <w:rPr>
                <w:rFonts w:hint="eastAsia"/>
                <w:color w:val="auto"/>
                <w:sz w:val="21"/>
                <w:szCs w:val="21"/>
                <w:lang w:val="en-US" w:eastAsia="zh-CN"/>
              </w:rPr>
            </w:pPr>
          </w:p>
          <w:p>
            <w:pPr>
              <w:pStyle w:val="2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0" w:leftChars="0" w:firstLine="420" w:firstLineChars="200"/>
              <w:textAlignment w:val="auto"/>
              <w:rPr>
                <w:rFonts w:hint="eastAsia"/>
                <w:color w:val="auto"/>
                <w:sz w:val="21"/>
                <w:szCs w:val="21"/>
                <w:lang w:val="en-US" w:eastAsia="zh-CN"/>
              </w:rPr>
            </w:pPr>
          </w:p>
          <w:p>
            <w:pPr>
              <w:pStyle w:val="2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0" w:leftChars="0" w:firstLine="420" w:firstLineChars="200"/>
              <w:textAlignment w:val="auto"/>
              <w:rPr>
                <w:rFonts w:hint="eastAsia"/>
                <w:color w:val="auto"/>
                <w:sz w:val="21"/>
                <w:szCs w:val="21"/>
                <w:lang w:val="en-US" w:eastAsia="zh-CN"/>
              </w:rPr>
            </w:pPr>
          </w:p>
          <w:p>
            <w:pPr>
              <w:pStyle w:val="2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0" w:leftChars="0" w:firstLine="420" w:firstLineChars="200"/>
              <w:textAlignment w:val="auto"/>
              <w:rPr>
                <w:rFonts w:hint="eastAsia"/>
                <w:color w:val="auto"/>
                <w:sz w:val="21"/>
                <w:szCs w:val="21"/>
                <w:lang w:val="en-US" w:eastAsia="zh-CN"/>
              </w:rPr>
            </w:pPr>
          </w:p>
          <w:p>
            <w:pPr>
              <w:pStyle w:val="2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0" w:leftChars="0" w:firstLine="420" w:firstLineChars="200"/>
              <w:textAlignment w:val="auto"/>
              <w:rPr>
                <w:rFonts w:hint="eastAsia"/>
                <w:color w:val="auto"/>
                <w:sz w:val="21"/>
                <w:szCs w:val="21"/>
                <w:lang w:val="en-US" w:eastAsia="zh-CN"/>
              </w:rPr>
            </w:pPr>
          </w:p>
          <w:p>
            <w:pPr>
              <w:pStyle w:val="2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0" w:leftChars="0" w:firstLine="420" w:firstLineChars="200"/>
              <w:textAlignment w:val="auto"/>
              <w:rPr>
                <w:rFonts w:hint="eastAsia"/>
                <w:color w:val="auto"/>
                <w:sz w:val="21"/>
                <w:szCs w:val="21"/>
                <w:lang w:val="en-US" w:eastAsia="zh-CN"/>
              </w:rPr>
            </w:pPr>
          </w:p>
          <w:p>
            <w:pPr>
              <w:pStyle w:val="2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0" w:leftChars="0" w:firstLine="420" w:firstLineChars="200"/>
              <w:textAlignment w:val="auto"/>
              <w:rPr>
                <w:rFonts w:hint="eastAsia"/>
                <w:color w:val="auto"/>
                <w:sz w:val="21"/>
                <w:szCs w:val="21"/>
                <w:lang w:val="en-US" w:eastAsia="zh-CN"/>
              </w:rPr>
            </w:pPr>
          </w:p>
        </w:tc>
      </w:tr>
      <w:bookmarkEnd w:id="55"/>
      <w:bookmarkEnd w:id="56"/>
      <w:bookmarkEnd w:id="57"/>
      <w:bookmarkEnd w:id="58"/>
    </w:tbl>
    <w:p>
      <w:pPr>
        <w:numPr>
          <w:ilvl w:val="0"/>
          <w:numId w:val="3"/>
        </w:numPr>
        <w:jc w:val="center"/>
        <w:rPr>
          <w:rFonts w:eastAsia="黑体"/>
          <w:snapToGrid w:val="0"/>
          <w:sz w:val="30"/>
          <w:szCs w:val="30"/>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15"/>
        <w:adjustRightInd w:val="0"/>
        <w:snapToGrid w:val="0"/>
        <w:jc w:val="center"/>
        <w:outlineLvl w:val="0"/>
        <w:rPr>
          <w:rFonts w:ascii="Times New Roman" w:hAnsi="Times New Roman" w:eastAsia="黑体"/>
          <w:snapToGrid w:val="0"/>
          <w:sz w:val="30"/>
          <w:szCs w:val="30"/>
        </w:rPr>
      </w:pPr>
      <w:bookmarkStart w:id="59" w:name="_Toc28432"/>
      <w:r>
        <w:rPr>
          <w:rFonts w:hint="eastAsia" w:ascii="Times New Roman" w:hAnsi="Times New Roman" w:eastAsia="黑体"/>
          <w:snapToGrid w:val="0"/>
          <w:sz w:val="30"/>
          <w:szCs w:val="30"/>
          <w:lang w:val="en-US" w:eastAsia="zh-CN"/>
        </w:rPr>
        <w:t>四、</w:t>
      </w:r>
      <w:r>
        <w:rPr>
          <w:rFonts w:ascii="Times New Roman" w:hAnsi="Times New Roman" w:eastAsia="黑体"/>
          <w:snapToGrid w:val="0"/>
          <w:sz w:val="30"/>
          <w:szCs w:val="30"/>
        </w:rPr>
        <w:t>主要环境影响和保护措施</w:t>
      </w:r>
      <w:bookmarkEnd w:id="59"/>
    </w:p>
    <w:tbl>
      <w:tblPr>
        <w:tblStyle w:val="19"/>
        <w:tblW w:w="890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6"/>
        <w:gridCol w:w="816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55" w:hRule="atLeast"/>
          <w:jc w:val="center"/>
        </w:trPr>
        <w:tc>
          <w:tcPr>
            <w:tcW w:w="746" w:type="dxa"/>
            <w:tcMar>
              <w:left w:w="28" w:type="dxa"/>
              <w:right w:w="28" w:type="dxa"/>
            </w:tcMar>
            <w:vAlign w:val="center"/>
          </w:tcPr>
          <w:p>
            <w:pPr>
              <w:pStyle w:val="15"/>
              <w:adjustRightInd w:val="0"/>
              <w:snapToGrid w:val="0"/>
              <w:spacing w:before="0" w:beforeAutospacing="0" w:after="0" w:afterAutospacing="0"/>
              <w:jc w:val="center"/>
              <w:rPr>
                <w:rFonts w:ascii="Times New Roman" w:hAnsi="Times New Roman"/>
                <w:color w:val="auto"/>
                <w:kern w:val="2"/>
                <w:sz w:val="21"/>
                <w:szCs w:val="21"/>
              </w:rPr>
            </w:pPr>
            <w:r>
              <w:rPr>
                <w:rFonts w:ascii="Times New Roman" w:hAnsi="Times New Roman"/>
                <w:color w:val="auto"/>
                <w:kern w:val="2"/>
                <w:sz w:val="21"/>
                <w:szCs w:val="21"/>
              </w:rPr>
              <w:t>施工</w:t>
            </w:r>
          </w:p>
          <w:p>
            <w:pPr>
              <w:pStyle w:val="15"/>
              <w:adjustRightInd w:val="0"/>
              <w:snapToGrid w:val="0"/>
              <w:spacing w:before="0" w:beforeAutospacing="0" w:after="0" w:afterAutospacing="0"/>
              <w:jc w:val="center"/>
              <w:rPr>
                <w:rFonts w:ascii="Times New Roman" w:hAnsi="Times New Roman"/>
                <w:color w:val="auto"/>
                <w:kern w:val="2"/>
                <w:sz w:val="21"/>
                <w:szCs w:val="21"/>
              </w:rPr>
            </w:pPr>
            <w:r>
              <w:rPr>
                <w:rFonts w:ascii="Times New Roman" w:hAnsi="Times New Roman"/>
                <w:color w:val="auto"/>
                <w:kern w:val="2"/>
                <w:sz w:val="21"/>
                <w:szCs w:val="21"/>
              </w:rPr>
              <w:t>期环</w:t>
            </w:r>
          </w:p>
          <w:p>
            <w:pPr>
              <w:pStyle w:val="15"/>
              <w:adjustRightInd w:val="0"/>
              <w:snapToGrid w:val="0"/>
              <w:spacing w:before="0" w:beforeAutospacing="0" w:after="0" w:afterAutospacing="0"/>
              <w:jc w:val="center"/>
              <w:rPr>
                <w:rFonts w:ascii="Times New Roman" w:hAnsi="Times New Roman"/>
                <w:color w:val="auto"/>
                <w:kern w:val="2"/>
                <w:sz w:val="21"/>
                <w:szCs w:val="21"/>
              </w:rPr>
            </w:pPr>
            <w:r>
              <w:rPr>
                <w:rFonts w:ascii="Times New Roman" w:hAnsi="Times New Roman"/>
                <w:color w:val="auto"/>
                <w:kern w:val="2"/>
                <w:sz w:val="21"/>
                <w:szCs w:val="21"/>
              </w:rPr>
              <w:t>境保</w:t>
            </w:r>
          </w:p>
          <w:p>
            <w:pPr>
              <w:pStyle w:val="15"/>
              <w:adjustRightInd w:val="0"/>
              <w:snapToGrid w:val="0"/>
              <w:spacing w:before="0" w:beforeAutospacing="0" w:after="0" w:afterAutospacing="0"/>
              <w:jc w:val="center"/>
              <w:rPr>
                <w:rFonts w:ascii="Times New Roman" w:hAnsi="Times New Roman"/>
                <w:color w:val="auto"/>
                <w:kern w:val="2"/>
                <w:sz w:val="21"/>
                <w:szCs w:val="21"/>
              </w:rPr>
            </w:pPr>
            <w:r>
              <w:rPr>
                <w:rFonts w:ascii="Times New Roman" w:hAnsi="Times New Roman"/>
                <w:color w:val="auto"/>
                <w:kern w:val="2"/>
                <w:sz w:val="21"/>
                <w:szCs w:val="21"/>
              </w:rPr>
              <w:t>护措</w:t>
            </w:r>
          </w:p>
          <w:p>
            <w:pPr>
              <w:pStyle w:val="15"/>
              <w:adjustRightInd w:val="0"/>
              <w:snapToGrid w:val="0"/>
              <w:spacing w:before="0" w:beforeAutospacing="0" w:after="0" w:afterAutospacing="0"/>
              <w:jc w:val="center"/>
              <w:rPr>
                <w:rFonts w:ascii="Times New Roman" w:hAnsi="Times New Roman"/>
                <w:bCs/>
                <w:color w:val="auto"/>
                <w:kern w:val="2"/>
                <w:sz w:val="21"/>
                <w:szCs w:val="21"/>
              </w:rPr>
            </w:pPr>
            <w:r>
              <w:rPr>
                <w:rFonts w:ascii="Times New Roman" w:hAnsi="Times New Roman"/>
                <w:color w:val="auto"/>
                <w:kern w:val="2"/>
                <w:sz w:val="21"/>
                <w:szCs w:val="21"/>
              </w:rPr>
              <w:t>施</w:t>
            </w:r>
          </w:p>
        </w:tc>
        <w:tc>
          <w:tcPr>
            <w:tcW w:w="8162" w:type="dxa"/>
            <w:vAlign w:val="center"/>
          </w:tcPr>
          <w:p>
            <w:pPr>
              <w:keepNext w:val="0"/>
              <w:keepLines w:val="0"/>
              <w:pageBreakBefore w:val="0"/>
              <w:widowControl/>
              <w:kinsoku/>
              <w:wordWrap/>
              <w:topLinePunct w:val="0"/>
              <w:bidi w:val="0"/>
              <w:spacing w:line="348" w:lineRule="auto"/>
              <w:jc w:val="left"/>
              <w:rPr>
                <w:color w:val="auto"/>
                <w:kern w:val="0"/>
                <w:sz w:val="24"/>
              </w:rPr>
            </w:pPr>
            <w:r>
              <w:rPr>
                <w:b/>
                <w:bCs/>
                <w:color w:val="auto"/>
                <w:kern w:val="0"/>
                <w:sz w:val="24"/>
              </w:rPr>
              <w:t>4.1</w:t>
            </w:r>
            <w:bookmarkStart w:id="60" w:name="OLE_LINK185"/>
            <w:r>
              <w:rPr>
                <w:b/>
                <w:bCs/>
                <w:color w:val="auto"/>
                <w:kern w:val="0"/>
                <w:sz w:val="24"/>
              </w:rPr>
              <w:t>施工期环境保护措施</w:t>
            </w:r>
            <w:bookmarkEnd w:id="60"/>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本次扩建项目施工期主要为建设车间X1及设备安装，主要污染物有：废气（施工扬尘、施工机械设备废气和装修废气）、废水（施工人员的生活污水、施工废水）、噪声（施工机械噪声、车辆交通噪声）、固体废物（废弃土石方、建筑垃圾、施工人员生活垃圾）等。</w:t>
            </w:r>
          </w:p>
          <w:p>
            <w:pPr>
              <w:keepNext w:val="0"/>
              <w:keepLines w:val="0"/>
              <w:pageBreakBefore w:val="0"/>
              <w:widowControl/>
              <w:kinsoku/>
              <w:wordWrap/>
              <w:topLinePunct w:val="0"/>
              <w:bidi w:val="0"/>
              <w:adjustRightInd w:val="0"/>
              <w:snapToGrid w:val="0"/>
              <w:spacing w:before="156" w:beforeLines="50" w:line="360" w:lineRule="auto"/>
              <w:outlineLvl w:val="2"/>
              <w:rPr>
                <w:b/>
                <w:color w:val="auto"/>
                <w:szCs w:val="21"/>
              </w:rPr>
            </w:pPr>
            <w:r>
              <w:rPr>
                <w:rFonts w:hint="eastAsia"/>
                <w:b/>
                <w:color w:val="auto"/>
                <w:szCs w:val="21"/>
              </w:rPr>
              <w:t>4.1.1</w:t>
            </w:r>
            <w:r>
              <w:rPr>
                <w:b/>
                <w:color w:val="auto"/>
                <w:szCs w:val="21"/>
              </w:rPr>
              <w:t>空气环境影响</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扩建项目施工期废气主要为施工扬尘、施工机械设备废气和装修废气。</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1、施工扬尘影响分析</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（1）施工期大气污染特征</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建设过程中，大气污染物来源于施工扬尘，如挖土、建筑垃圾及建筑材料运输过程中产生的粉尘。施工期间扬尘污染具有如下特点：</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①流动性：扬尘点不固定多在于料土堆放处、物料搬运通道、物料装卸地等；</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②瞬时性：扬尘过程持续时间短、阵发性，直接受天气情况影响。大风、干燥天气扬尘大，雨天扬尘小。</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③无组织排放：扬尘点大多数敞露，点多面广，难以采取排风集尘措施，扬尘呈无组织排放。</w:t>
            </w:r>
          </w:p>
          <w:p>
            <w:pPr>
              <w:keepNext w:val="0"/>
              <w:keepLines w:val="0"/>
              <w:pageBreakBefore w:val="0"/>
              <w:kinsoku/>
              <w:wordWrap/>
              <w:topLinePunct w:val="0"/>
              <w:bidi w:val="0"/>
              <w:spacing w:line="360" w:lineRule="auto"/>
              <w:ind w:firstLine="420" w:firstLineChars="200"/>
              <w:rPr>
                <w:color w:val="auto"/>
                <w:szCs w:val="21"/>
              </w:rPr>
            </w:pPr>
            <w:r>
              <w:rPr>
                <w:color w:val="auto"/>
                <w:szCs w:val="21"/>
              </w:rPr>
              <w:t>（2）污染源分析</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在整个施工期，产生扬尘的作业有场地整理、基础建设、物料运输和材料堆放等过程，如遇干旱无雨季节，加上大风，施工扬尘则更为严重。</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施工扬尘的另一种情况是露天堆放，这类扬尘主要受作业时风速的影响，因此，禁止在风天进行作业，减少建材的露天堆放是抑制这类扬尘的有效手段。</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另外，由于道路和扬尘量与车辆的行驶速度有关，速度愈快，其扬尘量势必愈大，所以在施工场地，对施工车辆必须实施限速行驶，一方面是减少扬尘发生量，另一方面也是出于施工安全的考虑。</w:t>
            </w:r>
          </w:p>
          <w:p>
            <w:pPr>
              <w:keepNext w:val="0"/>
              <w:keepLines w:val="0"/>
              <w:pageBreakBefore w:val="0"/>
              <w:kinsoku/>
              <w:wordWrap/>
              <w:topLinePunct w:val="0"/>
              <w:bidi w:val="0"/>
              <w:spacing w:line="360" w:lineRule="auto"/>
              <w:ind w:firstLine="420" w:firstLineChars="200"/>
              <w:rPr>
                <w:color w:val="auto"/>
                <w:szCs w:val="21"/>
              </w:rPr>
            </w:pPr>
            <w:r>
              <w:rPr>
                <w:rFonts w:hint="eastAsia"/>
                <w:color w:val="auto"/>
                <w:szCs w:val="21"/>
              </w:rPr>
              <w:t>（3）</w:t>
            </w:r>
            <w:r>
              <w:rPr>
                <w:color w:val="auto"/>
                <w:szCs w:val="21"/>
              </w:rPr>
              <w:t>影响分析</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露天堆放和裸露场地的风力扬尘量可按堆场起尘的经验公式计算：</w:t>
            </w:r>
          </w:p>
          <w:p>
            <w:pPr>
              <w:keepNext w:val="0"/>
              <w:keepLines w:val="0"/>
              <w:pageBreakBefore w:val="0"/>
              <w:kinsoku/>
              <w:wordWrap/>
              <w:topLinePunct w:val="0"/>
              <w:bidi w:val="0"/>
              <w:spacing w:line="360" w:lineRule="auto"/>
              <w:ind w:firstLine="420" w:firstLineChars="200"/>
              <w:rPr>
                <w:color w:val="auto"/>
                <w:szCs w:val="21"/>
              </w:rPr>
            </w:pPr>
            <w:r>
              <w:rPr>
                <w:color w:val="auto"/>
                <w:szCs w:val="21"/>
              </w:rPr>
              <w:t>Q=2.1V(V</w:t>
            </w:r>
            <w:r>
              <w:rPr>
                <w:color w:val="auto"/>
                <w:szCs w:val="21"/>
                <w:vertAlign w:val="subscript"/>
              </w:rPr>
              <w:t>50</w:t>
            </w:r>
            <w:r>
              <w:rPr>
                <w:color w:val="auto"/>
                <w:szCs w:val="21"/>
              </w:rPr>
              <w:t>-V</w:t>
            </w:r>
            <w:r>
              <w:rPr>
                <w:color w:val="auto"/>
                <w:szCs w:val="21"/>
                <w:vertAlign w:val="subscript"/>
              </w:rPr>
              <w:t>0</w:t>
            </w:r>
            <w:r>
              <w:rPr>
                <w:color w:val="auto"/>
                <w:szCs w:val="21"/>
              </w:rPr>
              <w:t>)</w:t>
            </w:r>
            <w:r>
              <w:rPr>
                <w:color w:val="auto"/>
                <w:szCs w:val="21"/>
                <w:vertAlign w:val="superscript"/>
              </w:rPr>
              <w:t>3</w:t>
            </w:r>
            <w:r>
              <w:rPr>
                <w:color w:val="auto"/>
                <w:szCs w:val="21"/>
              </w:rPr>
              <w:t>e</w:t>
            </w:r>
            <w:r>
              <w:rPr>
                <w:color w:val="auto"/>
                <w:szCs w:val="21"/>
                <w:vertAlign w:val="superscript"/>
              </w:rPr>
              <w:t>-1.023W</w:t>
            </w:r>
          </w:p>
          <w:p>
            <w:pPr>
              <w:keepNext w:val="0"/>
              <w:keepLines w:val="0"/>
              <w:pageBreakBefore w:val="0"/>
              <w:kinsoku/>
              <w:wordWrap/>
              <w:topLinePunct w:val="0"/>
              <w:bidi w:val="0"/>
              <w:spacing w:line="360" w:lineRule="auto"/>
              <w:ind w:firstLine="420" w:firstLineChars="200"/>
              <w:rPr>
                <w:color w:val="auto"/>
                <w:szCs w:val="21"/>
              </w:rPr>
            </w:pPr>
            <w:r>
              <w:rPr>
                <w:color w:val="auto"/>
                <w:szCs w:val="21"/>
              </w:rPr>
              <w:t>式中：Q—起尘量，kg/m</w:t>
            </w:r>
            <w:r>
              <w:rPr>
                <w:color w:val="auto"/>
                <w:szCs w:val="21"/>
                <w:vertAlign w:val="superscript"/>
              </w:rPr>
              <w:t>2</w:t>
            </w:r>
            <w:r>
              <w:rPr>
                <w:color w:val="auto"/>
                <w:szCs w:val="21"/>
              </w:rPr>
              <w:t>·a；</w:t>
            </w:r>
          </w:p>
          <w:p>
            <w:pPr>
              <w:keepNext w:val="0"/>
              <w:keepLines w:val="0"/>
              <w:pageBreakBefore w:val="0"/>
              <w:kinsoku/>
              <w:wordWrap/>
              <w:topLinePunct w:val="0"/>
              <w:bidi w:val="0"/>
              <w:spacing w:line="360" w:lineRule="auto"/>
              <w:ind w:firstLine="840" w:firstLineChars="400"/>
              <w:rPr>
                <w:color w:val="auto"/>
                <w:szCs w:val="21"/>
              </w:rPr>
            </w:pPr>
            <w:r>
              <w:rPr>
                <w:color w:val="auto"/>
                <w:szCs w:val="21"/>
              </w:rPr>
              <w:t>V</w:t>
            </w:r>
            <w:r>
              <w:rPr>
                <w:color w:val="auto"/>
                <w:szCs w:val="21"/>
                <w:vertAlign w:val="subscript"/>
              </w:rPr>
              <w:t>50</w:t>
            </w:r>
            <w:r>
              <w:rPr>
                <w:color w:val="auto"/>
                <w:szCs w:val="21"/>
              </w:rPr>
              <w:t>—距地面 50m 处风速，m/s；</w:t>
            </w:r>
          </w:p>
          <w:p>
            <w:pPr>
              <w:keepNext w:val="0"/>
              <w:keepLines w:val="0"/>
              <w:pageBreakBefore w:val="0"/>
              <w:kinsoku/>
              <w:wordWrap/>
              <w:topLinePunct w:val="0"/>
              <w:bidi w:val="0"/>
              <w:spacing w:line="360" w:lineRule="auto"/>
              <w:ind w:firstLine="840" w:firstLineChars="400"/>
              <w:rPr>
                <w:color w:val="auto"/>
                <w:szCs w:val="21"/>
              </w:rPr>
            </w:pPr>
            <w:r>
              <w:rPr>
                <w:color w:val="auto"/>
                <w:szCs w:val="21"/>
              </w:rPr>
              <w:t>V</w:t>
            </w:r>
            <w:r>
              <w:rPr>
                <w:color w:val="auto"/>
                <w:szCs w:val="21"/>
                <w:vertAlign w:val="subscript"/>
              </w:rPr>
              <w:t>0</w:t>
            </w:r>
            <w:r>
              <w:rPr>
                <w:color w:val="auto"/>
                <w:szCs w:val="21"/>
              </w:rPr>
              <w:t>—起尘风速，m/s；</w:t>
            </w:r>
          </w:p>
          <w:p>
            <w:pPr>
              <w:keepNext w:val="0"/>
              <w:keepLines w:val="0"/>
              <w:pageBreakBefore w:val="0"/>
              <w:kinsoku/>
              <w:wordWrap/>
              <w:topLinePunct w:val="0"/>
              <w:bidi w:val="0"/>
              <w:spacing w:line="360" w:lineRule="auto"/>
              <w:ind w:firstLine="840" w:firstLineChars="400"/>
              <w:rPr>
                <w:color w:val="auto"/>
                <w:szCs w:val="20"/>
              </w:rPr>
            </w:pPr>
            <w:r>
              <w:rPr>
                <w:color w:val="auto"/>
                <w:szCs w:val="20"/>
              </w:rPr>
              <w:t>W—尘粒的含水率，%。</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起尘风速与粒径和含水率有关，因此，减少露天堆放和保证一定的含水率及减少裸露地面是减少风力起尘的有效手段。粉尘在空气中的扩散稀释与风速等气象条件有关，也与粉尘本身的沉降速度有关。不同粒径粉尘的沉降速度详见下表。</w:t>
            </w:r>
          </w:p>
          <w:p>
            <w:pPr>
              <w:spacing w:before="194" w:beforeLines="50"/>
              <w:jc w:val="center"/>
              <w:outlineLvl w:val="5"/>
              <w:rPr>
                <w:rFonts w:hint="default"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表4-1  不同粒径粉尘的沉降速度</w:t>
            </w:r>
          </w:p>
          <w:tbl>
            <w:tblPr>
              <w:tblStyle w:val="19"/>
              <w:tblW w:w="4996" w:type="pct"/>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2161"/>
              <w:gridCol w:w="828"/>
              <w:gridCol w:w="827"/>
              <w:gridCol w:w="826"/>
              <w:gridCol w:w="823"/>
              <w:gridCol w:w="826"/>
              <w:gridCol w:w="823"/>
              <w:gridCol w:w="826"/>
            </w:tblGrid>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72" w:hRule="atLeast"/>
              </w:trPr>
              <w:tc>
                <w:tcPr>
                  <w:tcW w:w="1359" w:type="pct"/>
                  <w:tcBorders>
                    <w:top w:val="single" w:color="auto" w:sz="4" w:space="0"/>
                    <w:left w:val="single" w:color="auto" w:sz="0"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rFonts w:hint="eastAsia"/>
                      <w:color w:val="auto"/>
                      <w:kern w:val="0"/>
                      <w:sz w:val="18"/>
                      <w:szCs w:val="18"/>
                    </w:rPr>
                    <w:t>粉尘粒径</w:t>
                  </w:r>
                  <w:r>
                    <w:rPr>
                      <w:color w:val="auto"/>
                      <w:kern w:val="0"/>
                      <w:sz w:val="18"/>
                      <w:szCs w:val="18"/>
                    </w:rPr>
                    <w:t>(μm)</w:t>
                  </w:r>
                </w:p>
              </w:tc>
              <w:tc>
                <w:tcPr>
                  <w:tcW w:w="521"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color w:val="auto"/>
                      <w:kern w:val="0"/>
                      <w:sz w:val="18"/>
                      <w:szCs w:val="18"/>
                    </w:rPr>
                    <w:t>10</w:t>
                  </w:r>
                </w:p>
              </w:tc>
              <w:tc>
                <w:tcPr>
                  <w:tcW w:w="52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color w:val="auto"/>
                      <w:kern w:val="0"/>
                      <w:sz w:val="18"/>
                      <w:szCs w:val="18"/>
                    </w:rPr>
                    <w:t>20</w:t>
                  </w:r>
                </w:p>
              </w:tc>
              <w:tc>
                <w:tcPr>
                  <w:tcW w:w="52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color w:val="auto"/>
                      <w:kern w:val="0"/>
                      <w:sz w:val="18"/>
                      <w:szCs w:val="18"/>
                    </w:rPr>
                    <w:t>30</w:t>
                  </w:r>
                </w:p>
              </w:tc>
              <w:tc>
                <w:tcPr>
                  <w:tcW w:w="51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color w:val="auto"/>
                      <w:kern w:val="0"/>
                      <w:sz w:val="18"/>
                      <w:szCs w:val="18"/>
                    </w:rPr>
                    <w:t>40</w:t>
                  </w:r>
                </w:p>
              </w:tc>
              <w:tc>
                <w:tcPr>
                  <w:tcW w:w="52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color w:val="auto"/>
                      <w:kern w:val="0"/>
                      <w:sz w:val="18"/>
                      <w:szCs w:val="18"/>
                    </w:rPr>
                    <w:t>50</w:t>
                  </w:r>
                </w:p>
              </w:tc>
              <w:tc>
                <w:tcPr>
                  <w:tcW w:w="51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color w:val="auto"/>
                      <w:kern w:val="0"/>
                      <w:sz w:val="18"/>
                      <w:szCs w:val="18"/>
                    </w:rPr>
                    <w:t>60</w:t>
                  </w:r>
                </w:p>
              </w:tc>
              <w:tc>
                <w:tcPr>
                  <w:tcW w:w="52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color w:val="auto"/>
                      <w:kern w:val="0"/>
                      <w:sz w:val="18"/>
                      <w:szCs w:val="18"/>
                    </w:rPr>
                    <w:t>70</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72" w:hRule="atLeast"/>
              </w:trPr>
              <w:tc>
                <w:tcPr>
                  <w:tcW w:w="135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rFonts w:hint="eastAsia"/>
                      <w:color w:val="auto"/>
                      <w:kern w:val="0"/>
                      <w:sz w:val="18"/>
                      <w:szCs w:val="18"/>
                    </w:rPr>
                    <w:t>沉降速度</w:t>
                  </w:r>
                  <w:r>
                    <w:rPr>
                      <w:color w:val="auto"/>
                      <w:kern w:val="0"/>
                      <w:sz w:val="18"/>
                      <w:szCs w:val="18"/>
                    </w:rPr>
                    <w:t>(m/s)</w:t>
                  </w:r>
                </w:p>
              </w:tc>
              <w:tc>
                <w:tcPr>
                  <w:tcW w:w="521"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color w:val="auto"/>
                      <w:kern w:val="0"/>
                      <w:sz w:val="18"/>
                      <w:szCs w:val="18"/>
                    </w:rPr>
                    <w:t>0.003</w:t>
                  </w:r>
                </w:p>
              </w:tc>
              <w:tc>
                <w:tcPr>
                  <w:tcW w:w="52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color w:val="auto"/>
                      <w:kern w:val="0"/>
                      <w:sz w:val="18"/>
                      <w:szCs w:val="18"/>
                    </w:rPr>
                    <w:t>0.012</w:t>
                  </w:r>
                </w:p>
              </w:tc>
              <w:tc>
                <w:tcPr>
                  <w:tcW w:w="52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color w:val="auto"/>
                      <w:kern w:val="0"/>
                      <w:sz w:val="18"/>
                      <w:szCs w:val="18"/>
                    </w:rPr>
                    <w:t>0.027</w:t>
                  </w:r>
                </w:p>
              </w:tc>
              <w:tc>
                <w:tcPr>
                  <w:tcW w:w="51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color w:val="auto"/>
                      <w:kern w:val="0"/>
                      <w:sz w:val="18"/>
                      <w:szCs w:val="18"/>
                    </w:rPr>
                    <w:t>0.048</w:t>
                  </w:r>
                </w:p>
              </w:tc>
              <w:tc>
                <w:tcPr>
                  <w:tcW w:w="52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color w:val="auto"/>
                      <w:kern w:val="0"/>
                      <w:sz w:val="18"/>
                      <w:szCs w:val="18"/>
                    </w:rPr>
                    <w:t>0.075</w:t>
                  </w:r>
                </w:p>
              </w:tc>
              <w:tc>
                <w:tcPr>
                  <w:tcW w:w="51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color w:val="auto"/>
                      <w:kern w:val="0"/>
                      <w:sz w:val="18"/>
                      <w:szCs w:val="18"/>
                    </w:rPr>
                    <w:t>0.108</w:t>
                  </w:r>
                </w:p>
              </w:tc>
              <w:tc>
                <w:tcPr>
                  <w:tcW w:w="52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color w:val="auto"/>
                      <w:kern w:val="0"/>
                      <w:sz w:val="18"/>
                      <w:szCs w:val="18"/>
                    </w:rPr>
                    <w:t>0.147</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PrEx>
              <w:trPr>
                <w:trHeight w:val="273" w:hRule="atLeast"/>
              </w:trPr>
              <w:tc>
                <w:tcPr>
                  <w:tcW w:w="135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rFonts w:hint="eastAsia"/>
                      <w:color w:val="auto"/>
                      <w:kern w:val="0"/>
                      <w:sz w:val="18"/>
                      <w:szCs w:val="18"/>
                    </w:rPr>
                    <w:t>粉尘粒径</w:t>
                  </w:r>
                  <w:r>
                    <w:rPr>
                      <w:color w:val="auto"/>
                      <w:kern w:val="0"/>
                      <w:sz w:val="18"/>
                      <w:szCs w:val="18"/>
                    </w:rPr>
                    <w:t>(μm)</w:t>
                  </w:r>
                </w:p>
              </w:tc>
              <w:tc>
                <w:tcPr>
                  <w:tcW w:w="521"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color w:val="auto"/>
                      <w:kern w:val="0"/>
                      <w:sz w:val="18"/>
                      <w:szCs w:val="18"/>
                    </w:rPr>
                    <w:t>80</w:t>
                  </w:r>
                </w:p>
              </w:tc>
              <w:tc>
                <w:tcPr>
                  <w:tcW w:w="52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color w:val="auto"/>
                      <w:kern w:val="0"/>
                      <w:sz w:val="18"/>
                      <w:szCs w:val="18"/>
                    </w:rPr>
                    <w:t>90</w:t>
                  </w:r>
                </w:p>
              </w:tc>
              <w:tc>
                <w:tcPr>
                  <w:tcW w:w="52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color w:val="auto"/>
                      <w:kern w:val="0"/>
                      <w:sz w:val="18"/>
                      <w:szCs w:val="18"/>
                    </w:rPr>
                    <w:t>100</w:t>
                  </w:r>
                </w:p>
              </w:tc>
              <w:tc>
                <w:tcPr>
                  <w:tcW w:w="51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color w:val="auto"/>
                      <w:kern w:val="0"/>
                      <w:sz w:val="18"/>
                      <w:szCs w:val="18"/>
                    </w:rPr>
                    <w:t>150</w:t>
                  </w:r>
                </w:p>
              </w:tc>
              <w:tc>
                <w:tcPr>
                  <w:tcW w:w="52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color w:val="auto"/>
                      <w:kern w:val="0"/>
                      <w:sz w:val="18"/>
                      <w:szCs w:val="18"/>
                    </w:rPr>
                    <w:t>200</w:t>
                  </w:r>
                </w:p>
              </w:tc>
              <w:tc>
                <w:tcPr>
                  <w:tcW w:w="51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color w:val="auto"/>
                      <w:kern w:val="0"/>
                      <w:sz w:val="18"/>
                      <w:szCs w:val="18"/>
                    </w:rPr>
                    <w:t>250</w:t>
                  </w:r>
                </w:p>
              </w:tc>
              <w:tc>
                <w:tcPr>
                  <w:tcW w:w="52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color w:val="auto"/>
                      <w:kern w:val="0"/>
                      <w:sz w:val="18"/>
                      <w:szCs w:val="18"/>
                    </w:rPr>
                    <w:t>350</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70" w:hRule="atLeast"/>
              </w:trPr>
              <w:tc>
                <w:tcPr>
                  <w:tcW w:w="135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rFonts w:hint="eastAsia"/>
                      <w:color w:val="auto"/>
                      <w:kern w:val="0"/>
                      <w:sz w:val="18"/>
                      <w:szCs w:val="18"/>
                    </w:rPr>
                    <w:t>沉降速度</w:t>
                  </w:r>
                  <w:r>
                    <w:rPr>
                      <w:color w:val="auto"/>
                      <w:kern w:val="0"/>
                      <w:sz w:val="18"/>
                      <w:szCs w:val="18"/>
                    </w:rPr>
                    <w:t>(m/s)</w:t>
                  </w:r>
                </w:p>
              </w:tc>
              <w:tc>
                <w:tcPr>
                  <w:tcW w:w="521"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color w:val="auto"/>
                      <w:kern w:val="0"/>
                      <w:sz w:val="18"/>
                      <w:szCs w:val="18"/>
                    </w:rPr>
                    <w:t>0.158</w:t>
                  </w:r>
                </w:p>
              </w:tc>
              <w:tc>
                <w:tcPr>
                  <w:tcW w:w="52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color w:val="auto"/>
                      <w:kern w:val="0"/>
                      <w:sz w:val="18"/>
                      <w:szCs w:val="18"/>
                    </w:rPr>
                    <w:t>0.170</w:t>
                  </w:r>
                </w:p>
              </w:tc>
              <w:tc>
                <w:tcPr>
                  <w:tcW w:w="52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color w:val="auto"/>
                      <w:kern w:val="0"/>
                      <w:sz w:val="18"/>
                      <w:szCs w:val="18"/>
                    </w:rPr>
                    <w:t>0.182</w:t>
                  </w:r>
                </w:p>
              </w:tc>
              <w:tc>
                <w:tcPr>
                  <w:tcW w:w="51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color w:val="auto"/>
                      <w:kern w:val="0"/>
                      <w:sz w:val="18"/>
                      <w:szCs w:val="18"/>
                    </w:rPr>
                    <w:t>0.239</w:t>
                  </w:r>
                </w:p>
              </w:tc>
              <w:tc>
                <w:tcPr>
                  <w:tcW w:w="52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color w:val="auto"/>
                      <w:kern w:val="0"/>
                      <w:sz w:val="18"/>
                      <w:szCs w:val="18"/>
                    </w:rPr>
                    <w:t>0.804</w:t>
                  </w:r>
                </w:p>
              </w:tc>
              <w:tc>
                <w:tcPr>
                  <w:tcW w:w="51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color w:val="auto"/>
                      <w:kern w:val="0"/>
                      <w:sz w:val="18"/>
                      <w:szCs w:val="18"/>
                    </w:rPr>
                    <w:t>1.005</w:t>
                  </w:r>
                </w:p>
              </w:tc>
              <w:tc>
                <w:tcPr>
                  <w:tcW w:w="52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color w:val="auto"/>
                      <w:kern w:val="0"/>
                      <w:sz w:val="18"/>
                      <w:szCs w:val="18"/>
                    </w:rPr>
                    <w:t>1.829</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PrEx>
              <w:trPr>
                <w:trHeight w:val="273" w:hRule="atLeast"/>
              </w:trPr>
              <w:tc>
                <w:tcPr>
                  <w:tcW w:w="135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rFonts w:hint="eastAsia"/>
                      <w:color w:val="auto"/>
                      <w:kern w:val="0"/>
                      <w:sz w:val="18"/>
                      <w:szCs w:val="18"/>
                    </w:rPr>
                    <w:t>粉尘粒径</w:t>
                  </w:r>
                  <w:r>
                    <w:rPr>
                      <w:color w:val="auto"/>
                      <w:kern w:val="0"/>
                      <w:sz w:val="18"/>
                      <w:szCs w:val="18"/>
                    </w:rPr>
                    <w:t>(μm)</w:t>
                  </w:r>
                </w:p>
              </w:tc>
              <w:tc>
                <w:tcPr>
                  <w:tcW w:w="521"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color w:val="auto"/>
                      <w:kern w:val="0"/>
                      <w:sz w:val="18"/>
                      <w:szCs w:val="18"/>
                    </w:rPr>
                    <w:t>450</w:t>
                  </w:r>
                </w:p>
              </w:tc>
              <w:tc>
                <w:tcPr>
                  <w:tcW w:w="52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color w:val="auto"/>
                      <w:kern w:val="0"/>
                      <w:sz w:val="18"/>
                      <w:szCs w:val="18"/>
                    </w:rPr>
                    <w:t>550</w:t>
                  </w:r>
                </w:p>
              </w:tc>
              <w:tc>
                <w:tcPr>
                  <w:tcW w:w="52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color w:val="auto"/>
                      <w:kern w:val="0"/>
                      <w:sz w:val="18"/>
                      <w:szCs w:val="18"/>
                    </w:rPr>
                    <w:t>650</w:t>
                  </w:r>
                </w:p>
              </w:tc>
              <w:tc>
                <w:tcPr>
                  <w:tcW w:w="51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color w:val="auto"/>
                      <w:kern w:val="0"/>
                      <w:sz w:val="18"/>
                      <w:szCs w:val="18"/>
                    </w:rPr>
                    <w:t>750</w:t>
                  </w:r>
                </w:p>
              </w:tc>
              <w:tc>
                <w:tcPr>
                  <w:tcW w:w="52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color w:val="auto"/>
                      <w:kern w:val="0"/>
                      <w:sz w:val="18"/>
                      <w:szCs w:val="18"/>
                    </w:rPr>
                    <w:t>850</w:t>
                  </w:r>
                </w:p>
              </w:tc>
              <w:tc>
                <w:tcPr>
                  <w:tcW w:w="51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color w:val="auto"/>
                      <w:kern w:val="0"/>
                      <w:sz w:val="18"/>
                      <w:szCs w:val="18"/>
                    </w:rPr>
                    <w:t>950</w:t>
                  </w:r>
                </w:p>
              </w:tc>
              <w:tc>
                <w:tcPr>
                  <w:tcW w:w="52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color w:val="auto"/>
                      <w:kern w:val="0"/>
                      <w:sz w:val="18"/>
                      <w:szCs w:val="18"/>
                    </w:rPr>
                    <w:t>1050</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PrEx>
              <w:trPr>
                <w:trHeight w:val="270" w:hRule="atLeast"/>
              </w:trPr>
              <w:tc>
                <w:tcPr>
                  <w:tcW w:w="135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rFonts w:hint="eastAsia"/>
                      <w:color w:val="auto"/>
                      <w:kern w:val="0"/>
                      <w:sz w:val="18"/>
                      <w:szCs w:val="18"/>
                    </w:rPr>
                    <w:t>沉降速度</w:t>
                  </w:r>
                  <w:r>
                    <w:rPr>
                      <w:color w:val="auto"/>
                      <w:kern w:val="0"/>
                      <w:sz w:val="18"/>
                      <w:szCs w:val="18"/>
                    </w:rPr>
                    <w:t>(m/s)</w:t>
                  </w:r>
                </w:p>
              </w:tc>
              <w:tc>
                <w:tcPr>
                  <w:tcW w:w="521"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color w:val="auto"/>
                      <w:kern w:val="0"/>
                      <w:sz w:val="18"/>
                      <w:szCs w:val="18"/>
                    </w:rPr>
                    <w:t>2.211</w:t>
                  </w:r>
                </w:p>
              </w:tc>
              <w:tc>
                <w:tcPr>
                  <w:tcW w:w="52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color w:val="auto"/>
                      <w:kern w:val="0"/>
                      <w:sz w:val="18"/>
                      <w:szCs w:val="18"/>
                    </w:rPr>
                    <w:t>2.614</w:t>
                  </w:r>
                </w:p>
              </w:tc>
              <w:tc>
                <w:tcPr>
                  <w:tcW w:w="52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color w:val="auto"/>
                      <w:kern w:val="0"/>
                      <w:sz w:val="18"/>
                      <w:szCs w:val="18"/>
                    </w:rPr>
                    <w:t>3.016</w:t>
                  </w:r>
                </w:p>
              </w:tc>
              <w:tc>
                <w:tcPr>
                  <w:tcW w:w="51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color w:val="auto"/>
                      <w:kern w:val="0"/>
                      <w:sz w:val="18"/>
                      <w:szCs w:val="18"/>
                    </w:rPr>
                    <w:t>3.418</w:t>
                  </w:r>
                </w:p>
              </w:tc>
              <w:tc>
                <w:tcPr>
                  <w:tcW w:w="52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color w:val="auto"/>
                      <w:kern w:val="0"/>
                      <w:sz w:val="18"/>
                      <w:szCs w:val="18"/>
                    </w:rPr>
                    <w:t>3.820</w:t>
                  </w:r>
                </w:p>
              </w:tc>
              <w:tc>
                <w:tcPr>
                  <w:tcW w:w="51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color w:val="auto"/>
                      <w:kern w:val="0"/>
                      <w:sz w:val="18"/>
                      <w:szCs w:val="18"/>
                    </w:rPr>
                    <w:t>4.222</w:t>
                  </w:r>
                </w:p>
              </w:tc>
              <w:tc>
                <w:tcPr>
                  <w:tcW w:w="52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kern w:val="0"/>
                      <w:sz w:val="18"/>
                      <w:szCs w:val="18"/>
                    </w:rPr>
                  </w:pPr>
                  <w:r>
                    <w:rPr>
                      <w:color w:val="auto"/>
                      <w:kern w:val="0"/>
                      <w:sz w:val="18"/>
                      <w:szCs w:val="18"/>
                    </w:rPr>
                    <w:t>4.624</w:t>
                  </w:r>
                </w:p>
              </w:tc>
            </w:tr>
          </w:tbl>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由表中数据可知，粉尘的沉降速度随粒径的增大而迅速增大。当粒径为 250μm时，沉降速度为 1.005m/s，因此可认为当粒径大于 250μm 时，主要影响范围在扬尘点下风向近距离范围内，而真正对外环境产生影响的是一些微小粒径的粉尘。</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运输车辆的行驶过程的扬尘产生量与道路路面及车辆行驶速度有关，一般情况下，施工场地、施工道路在自然风作用下产生的扬尘所影响的范围在 100m 以内，如果在施工期间对车辆行驶的路面实施洒水抑尘，每天洒水 4~5 次，可使扬尘减少 70%左右，施工场地洒水抑尘的试验结果详见下表。</w:t>
            </w:r>
          </w:p>
          <w:p>
            <w:pPr>
              <w:spacing w:before="194" w:beforeLines="50"/>
              <w:jc w:val="center"/>
              <w:outlineLvl w:val="5"/>
              <w:rPr>
                <w:rFonts w:hint="eastAsia"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表4-2  洒水降尘实验结果</w:t>
            </w:r>
          </w:p>
          <w:tbl>
            <w:tblPr>
              <w:tblStyle w:val="19"/>
              <w:tblW w:w="4999"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6" w:space="0"/>
              </w:tblBorders>
              <w:tblLayout w:type="fixed"/>
              <w:tblCellMar>
                <w:top w:w="0" w:type="dxa"/>
                <w:left w:w="0" w:type="dxa"/>
                <w:bottom w:w="0" w:type="dxa"/>
                <w:right w:w="0" w:type="dxa"/>
              </w:tblCellMar>
            </w:tblPr>
            <w:tblGrid>
              <w:gridCol w:w="1197"/>
              <w:gridCol w:w="948"/>
              <w:gridCol w:w="1449"/>
              <w:gridCol w:w="1452"/>
              <w:gridCol w:w="1449"/>
              <w:gridCol w:w="1449"/>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6" w:space="0"/>
                </w:tblBorders>
                <w:tblCellMar>
                  <w:top w:w="0" w:type="dxa"/>
                  <w:left w:w="0" w:type="dxa"/>
                  <w:bottom w:w="0" w:type="dxa"/>
                  <w:right w:w="0" w:type="dxa"/>
                </w:tblCellMar>
              </w:tblPrEx>
              <w:trPr>
                <w:trHeight w:val="270" w:hRule="atLeast"/>
              </w:trPr>
              <w:tc>
                <w:tcPr>
                  <w:tcW w:w="1351" w:type="pct"/>
                  <w:gridSpan w:val="2"/>
                  <w:tcBorders>
                    <w:top w:val="single" w:color="auto" w:sz="4" w:space="0"/>
                    <w:left w:val="single" w:color="auto" w:sz="0" w:space="0"/>
                    <w:bottom w:val="single" w:color="auto" w:sz="4" w:space="0"/>
                    <w:right w:val="single" w:color="auto" w:sz="4" w:space="0"/>
                  </w:tcBorders>
                </w:tcPr>
                <w:p>
                  <w:pPr>
                    <w:keepNext w:val="0"/>
                    <w:keepLines w:val="0"/>
                    <w:pageBreakBefore w:val="0"/>
                    <w:kinsoku/>
                    <w:wordWrap/>
                    <w:topLinePunct w:val="0"/>
                    <w:bidi w:val="0"/>
                    <w:adjustRightInd w:val="0"/>
                    <w:snapToGrid w:val="0"/>
                    <w:spacing w:line="240" w:lineRule="auto"/>
                    <w:jc w:val="center"/>
                    <w:rPr>
                      <w:color w:val="auto"/>
                      <w:kern w:val="0"/>
                      <w:sz w:val="18"/>
                      <w:szCs w:val="18"/>
                    </w:rPr>
                  </w:pPr>
                  <w:r>
                    <w:rPr>
                      <w:rFonts w:hint="eastAsia"/>
                      <w:color w:val="auto"/>
                      <w:kern w:val="0"/>
                      <w:sz w:val="18"/>
                      <w:szCs w:val="18"/>
                    </w:rPr>
                    <w:t>距路边的距离</w:t>
                  </w:r>
                  <w:r>
                    <w:rPr>
                      <w:color w:val="auto"/>
                      <w:kern w:val="0"/>
                      <w:sz w:val="18"/>
                      <w:szCs w:val="18"/>
                    </w:rPr>
                    <w:t>(m)</w:t>
                  </w:r>
                </w:p>
              </w:tc>
              <w:tc>
                <w:tcPr>
                  <w:tcW w:w="911" w:type="pct"/>
                  <w:tcBorders>
                    <w:top w:val="single" w:color="auto" w:sz="4" w:space="0"/>
                    <w:left w:val="single" w:color="auto" w:sz="4" w:space="0"/>
                    <w:bottom w:val="single" w:color="auto" w:sz="4" w:space="0"/>
                    <w:right w:val="single" w:color="auto" w:sz="4" w:space="0"/>
                  </w:tcBorders>
                </w:tcPr>
                <w:p>
                  <w:pPr>
                    <w:keepNext w:val="0"/>
                    <w:keepLines w:val="0"/>
                    <w:pageBreakBefore w:val="0"/>
                    <w:kinsoku/>
                    <w:wordWrap/>
                    <w:topLinePunct w:val="0"/>
                    <w:bidi w:val="0"/>
                    <w:adjustRightInd w:val="0"/>
                    <w:snapToGrid w:val="0"/>
                    <w:spacing w:line="240" w:lineRule="auto"/>
                    <w:jc w:val="center"/>
                    <w:rPr>
                      <w:color w:val="auto"/>
                      <w:kern w:val="0"/>
                      <w:sz w:val="18"/>
                      <w:szCs w:val="18"/>
                    </w:rPr>
                  </w:pPr>
                  <w:r>
                    <w:rPr>
                      <w:color w:val="auto"/>
                      <w:kern w:val="0"/>
                      <w:sz w:val="18"/>
                      <w:szCs w:val="18"/>
                    </w:rPr>
                    <w:t>5</w:t>
                  </w:r>
                </w:p>
              </w:tc>
              <w:tc>
                <w:tcPr>
                  <w:tcW w:w="913" w:type="pct"/>
                  <w:tcBorders>
                    <w:top w:val="single" w:color="auto" w:sz="4" w:space="0"/>
                    <w:left w:val="single" w:color="auto" w:sz="4" w:space="0"/>
                    <w:bottom w:val="single" w:color="auto" w:sz="4" w:space="0"/>
                    <w:right w:val="single" w:color="auto" w:sz="4" w:space="0"/>
                  </w:tcBorders>
                </w:tcPr>
                <w:p>
                  <w:pPr>
                    <w:keepNext w:val="0"/>
                    <w:keepLines w:val="0"/>
                    <w:pageBreakBefore w:val="0"/>
                    <w:kinsoku/>
                    <w:wordWrap/>
                    <w:topLinePunct w:val="0"/>
                    <w:bidi w:val="0"/>
                    <w:adjustRightInd w:val="0"/>
                    <w:snapToGrid w:val="0"/>
                    <w:spacing w:line="240" w:lineRule="auto"/>
                    <w:jc w:val="center"/>
                    <w:rPr>
                      <w:color w:val="auto"/>
                      <w:kern w:val="0"/>
                      <w:sz w:val="18"/>
                      <w:szCs w:val="18"/>
                    </w:rPr>
                  </w:pPr>
                  <w:r>
                    <w:rPr>
                      <w:color w:val="auto"/>
                      <w:kern w:val="0"/>
                      <w:sz w:val="18"/>
                      <w:szCs w:val="18"/>
                    </w:rPr>
                    <w:t>20</w:t>
                  </w:r>
                </w:p>
              </w:tc>
              <w:tc>
                <w:tcPr>
                  <w:tcW w:w="911" w:type="pct"/>
                  <w:tcBorders>
                    <w:top w:val="single" w:color="auto" w:sz="4" w:space="0"/>
                    <w:left w:val="single" w:color="auto" w:sz="4" w:space="0"/>
                    <w:bottom w:val="single" w:color="auto" w:sz="4" w:space="0"/>
                    <w:right w:val="single" w:color="auto" w:sz="4" w:space="0"/>
                  </w:tcBorders>
                </w:tcPr>
                <w:p>
                  <w:pPr>
                    <w:keepNext w:val="0"/>
                    <w:keepLines w:val="0"/>
                    <w:pageBreakBefore w:val="0"/>
                    <w:kinsoku/>
                    <w:wordWrap/>
                    <w:topLinePunct w:val="0"/>
                    <w:bidi w:val="0"/>
                    <w:adjustRightInd w:val="0"/>
                    <w:snapToGrid w:val="0"/>
                    <w:spacing w:line="240" w:lineRule="auto"/>
                    <w:jc w:val="center"/>
                    <w:rPr>
                      <w:color w:val="auto"/>
                      <w:kern w:val="0"/>
                      <w:sz w:val="18"/>
                      <w:szCs w:val="18"/>
                    </w:rPr>
                  </w:pPr>
                  <w:r>
                    <w:rPr>
                      <w:color w:val="auto"/>
                      <w:kern w:val="0"/>
                      <w:sz w:val="18"/>
                      <w:szCs w:val="18"/>
                    </w:rPr>
                    <w:t>50</w:t>
                  </w:r>
                </w:p>
              </w:tc>
              <w:tc>
                <w:tcPr>
                  <w:tcW w:w="911" w:type="pct"/>
                  <w:tcBorders>
                    <w:top w:val="single" w:color="auto" w:sz="4" w:space="0"/>
                    <w:left w:val="single" w:color="auto" w:sz="4" w:space="0"/>
                    <w:bottom w:val="single" w:color="auto" w:sz="4" w:space="0"/>
                    <w:right w:val="single" w:color="auto" w:sz="4" w:space="0"/>
                  </w:tcBorders>
                </w:tcPr>
                <w:p>
                  <w:pPr>
                    <w:keepNext w:val="0"/>
                    <w:keepLines w:val="0"/>
                    <w:pageBreakBefore w:val="0"/>
                    <w:kinsoku/>
                    <w:wordWrap/>
                    <w:topLinePunct w:val="0"/>
                    <w:bidi w:val="0"/>
                    <w:adjustRightInd w:val="0"/>
                    <w:snapToGrid w:val="0"/>
                    <w:spacing w:line="240" w:lineRule="auto"/>
                    <w:jc w:val="center"/>
                    <w:rPr>
                      <w:color w:val="auto"/>
                      <w:kern w:val="0"/>
                      <w:sz w:val="18"/>
                      <w:szCs w:val="18"/>
                    </w:rPr>
                  </w:pPr>
                  <w:r>
                    <w:rPr>
                      <w:color w:val="auto"/>
                      <w:kern w:val="0"/>
                      <w:sz w:val="18"/>
                      <w:szCs w:val="18"/>
                    </w:rPr>
                    <w:t>100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6" w:space="0"/>
                </w:tblBorders>
                <w:tblCellMar>
                  <w:top w:w="0" w:type="dxa"/>
                  <w:left w:w="0" w:type="dxa"/>
                  <w:bottom w:w="0" w:type="dxa"/>
                  <w:right w:w="0" w:type="dxa"/>
                </w:tblCellMar>
              </w:tblPrEx>
              <w:trPr>
                <w:trHeight w:val="266" w:hRule="atLeast"/>
              </w:trPr>
              <w:tc>
                <w:tcPr>
                  <w:tcW w:w="754" w:type="pct"/>
                  <w:vMerge w:val="restart"/>
                  <w:tcBorders>
                    <w:top w:val="single" w:color="auto" w:sz="4" w:space="0"/>
                    <w:left w:val="single" w:color="auto" w:sz="4" w:space="0"/>
                    <w:bottom w:val="single" w:color="auto" w:sz="4" w:space="0"/>
                    <w:right w:val="single" w:color="auto" w:sz="4" w:space="0"/>
                  </w:tcBorders>
                </w:tcPr>
                <w:p>
                  <w:pPr>
                    <w:keepNext w:val="0"/>
                    <w:keepLines w:val="0"/>
                    <w:pageBreakBefore w:val="0"/>
                    <w:kinsoku/>
                    <w:wordWrap/>
                    <w:topLinePunct w:val="0"/>
                    <w:bidi w:val="0"/>
                    <w:adjustRightInd w:val="0"/>
                    <w:snapToGrid w:val="0"/>
                    <w:spacing w:line="240" w:lineRule="auto"/>
                    <w:jc w:val="center"/>
                    <w:rPr>
                      <w:color w:val="auto"/>
                      <w:kern w:val="0"/>
                      <w:sz w:val="18"/>
                      <w:szCs w:val="18"/>
                    </w:rPr>
                  </w:pPr>
                  <w:r>
                    <w:rPr>
                      <w:color w:val="auto"/>
                      <w:kern w:val="0"/>
                      <w:sz w:val="18"/>
                      <w:szCs w:val="18"/>
                    </w:rPr>
                    <w:t xml:space="preserve">TSP </w:t>
                  </w:r>
                  <w:r>
                    <w:rPr>
                      <w:rFonts w:hint="eastAsia"/>
                      <w:color w:val="auto"/>
                      <w:kern w:val="0"/>
                      <w:sz w:val="18"/>
                      <w:szCs w:val="18"/>
                    </w:rPr>
                    <w:t>浓度</w:t>
                  </w:r>
                </w:p>
                <w:p>
                  <w:pPr>
                    <w:keepNext w:val="0"/>
                    <w:keepLines w:val="0"/>
                    <w:pageBreakBefore w:val="0"/>
                    <w:kinsoku/>
                    <w:wordWrap/>
                    <w:topLinePunct w:val="0"/>
                    <w:bidi w:val="0"/>
                    <w:adjustRightInd w:val="0"/>
                    <w:snapToGrid w:val="0"/>
                    <w:spacing w:line="240" w:lineRule="auto"/>
                    <w:jc w:val="center"/>
                    <w:rPr>
                      <w:color w:val="auto"/>
                      <w:kern w:val="0"/>
                      <w:sz w:val="18"/>
                      <w:szCs w:val="18"/>
                    </w:rPr>
                  </w:pPr>
                  <w:r>
                    <w:rPr>
                      <w:color w:val="auto"/>
                      <w:kern w:val="0"/>
                      <w:sz w:val="18"/>
                      <w:szCs w:val="18"/>
                    </w:rPr>
                    <w:t>(mg/m</w:t>
                  </w:r>
                  <w:r>
                    <w:rPr>
                      <w:color w:val="auto"/>
                      <w:kern w:val="0"/>
                      <w:sz w:val="18"/>
                      <w:szCs w:val="18"/>
                      <w:vertAlign w:val="superscript"/>
                    </w:rPr>
                    <w:t>3</w:t>
                  </w:r>
                  <w:r>
                    <w:rPr>
                      <w:color w:val="auto"/>
                      <w:kern w:val="0"/>
                      <w:sz w:val="18"/>
                      <w:szCs w:val="18"/>
                    </w:rPr>
                    <w:t>)</w:t>
                  </w:r>
                </w:p>
              </w:tc>
              <w:tc>
                <w:tcPr>
                  <w:tcW w:w="597" w:type="pct"/>
                  <w:tcBorders>
                    <w:top w:val="single" w:color="auto" w:sz="4" w:space="0"/>
                    <w:left w:val="single" w:color="auto" w:sz="4" w:space="0"/>
                    <w:bottom w:val="single" w:color="auto" w:sz="4" w:space="0"/>
                    <w:right w:val="single" w:color="auto" w:sz="4" w:space="0"/>
                  </w:tcBorders>
                </w:tcPr>
                <w:p>
                  <w:pPr>
                    <w:keepNext w:val="0"/>
                    <w:keepLines w:val="0"/>
                    <w:pageBreakBefore w:val="0"/>
                    <w:kinsoku/>
                    <w:wordWrap/>
                    <w:topLinePunct w:val="0"/>
                    <w:bidi w:val="0"/>
                    <w:adjustRightInd w:val="0"/>
                    <w:snapToGrid w:val="0"/>
                    <w:spacing w:line="240" w:lineRule="auto"/>
                    <w:jc w:val="center"/>
                    <w:rPr>
                      <w:color w:val="auto"/>
                      <w:kern w:val="0"/>
                      <w:sz w:val="18"/>
                      <w:szCs w:val="18"/>
                    </w:rPr>
                  </w:pPr>
                  <w:r>
                    <w:rPr>
                      <w:rFonts w:hint="eastAsia"/>
                      <w:color w:val="auto"/>
                      <w:kern w:val="0"/>
                      <w:sz w:val="18"/>
                      <w:szCs w:val="18"/>
                    </w:rPr>
                    <w:t>不洒水</w:t>
                  </w:r>
                </w:p>
              </w:tc>
              <w:tc>
                <w:tcPr>
                  <w:tcW w:w="911" w:type="pct"/>
                  <w:tcBorders>
                    <w:top w:val="single" w:color="auto" w:sz="4" w:space="0"/>
                    <w:left w:val="single" w:color="auto" w:sz="4" w:space="0"/>
                    <w:bottom w:val="single" w:color="auto" w:sz="4" w:space="0"/>
                    <w:right w:val="single" w:color="auto" w:sz="4" w:space="0"/>
                  </w:tcBorders>
                </w:tcPr>
                <w:p>
                  <w:pPr>
                    <w:keepNext w:val="0"/>
                    <w:keepLines w:val="0"/>
                    <w:pageBreakBefore w:val="0"/>
                    <w:kinsoku/>
                    <w:wordWrap/>
                    <w:topLinePunct w:val="0"/>
                    <w:bidi w:val="0"/>
                    <w:adjustRightInd w:val="0"/>
                    <w:snapToGrid w:val="0"/>
                    <w:spacing w:line="240" w:lineRule="auto"/>
                    <w:jc w:val="center"/>
                    <w:rPr>
                      <w:color w:val="auto"/>
                      <w:kern w:val="0"/>
                      <w:sz w:val="18"/>
                      <w:szCs w:val="18"/>
                    </w:rPr>
                  </w:pPr>
                  <w:r>
                    <w:rPr>
                      <w:color w:val="auto"/>
                      <w:kern w:val="0"/>
                      <w:sz w:val="18"/>
                      <w:szCs w:val="18"/>
                    </w:rPr>
                    <w:t>10.14</w:t>
                  </w:r>
                </w:p>
              </w:tc>
              <w:tc>
                <w:tcPr>
                  <w:tcW w:w="913" w:type="pct"/>
                  <w:tcBorders>
                    <w:top w:val="single" w:color="auto" w:sz="4" w:space="0"/>
                    <w:left w:val="single" w:color="auto" w:sz="4" w:space="0"/>
                    <w:bottom w:val="single" w:color="auto" w:sz="4" w:space="0"/>
                    <w:right w:val="single" w:color="auto" w:sz="4" w:space="0"/>
                  </w:tcBorders>
                </w:tcPr>
                <w:p>
                  <w:pPr>
                    <w:keepNext w:val="0"/>
                    <w:keepLines w:val="0"/>
                    <w:pageBreakBefore w:val="0"/>
                    <w:kinsoku/>
                    <w:wordWrap/>
                    <w:topLinePunct w:val="0"/>
                    <w:bidi w:val="0"/>
                    <w:adjustRightInd w:val="0"/>
                    <w:snapToGrid w:val="0"/>
                    <w:spacing w:line="240" w:lineRule="auto"/>
                    <w:jc w:val="center"/>
                    <w:rPr>
                      <w:color w:val="auto"/>
                      <w:kern w:val="0"/>
                      <w:sz w:val="18"/>
                      <w:szCs w:val="18"/>
                    </w:rPr>
                  </w:pPr>
                  <w:r>
                    <w:rPr>
                      <w:color w:val="auto"/>
                      <w:kern w:val="0"/>
                      <w:sz w:val="18"/>
                      <w:szCs w:val="18"/>
                    </w:rPr>
                    <w:t>2.81</w:t>
                  </w:r>
                </w:p>
              </w:tc>
              <w:tc>
                <w:tcPr>
                  <w:tcW w:w="911" w:type="pct"/>
                  <w:tcBorders>
                    <w:top w:val="single" w:color="auto" w:sz="4" w:space="0"/>
                    <w:left w:val="single" w:color="auto" w:sz="4" w:space="0"/>
                    <w:bottom w:val="single" w:color="auto" w:sz="4" w:space="0"/>
                    <w:right w:val="single" w:color="auto" w:sz="4" w:space="0"/>
                  </w:tcBorders>
                </w:tcPr>
                <w:p>
                  <w:pPr>
                    <w:keepNext w:val="0"/>
                    <w:keepLines w:val="0"/>
                    <w:pageBreakBefore w:val="0"/>
                    <w:kinsoku/>
                    <w:wordWrap/>
                    <w:topLinePunct w:val="0"/>
                    <w:bidi w:val="0"/>
                    <w:adjustRightInd w:val="0"/>
                    <w:snapToGrid w:val="0"/>
                    <w:spacing w:line="240" w:lineRule="auto"/>
                    <w:jc w:val="center"/>
                    <w:rPr>
                      <w:color w:val="auto"/>
                      <w:kern w:val="0"/>
                      <w:sz w:val="18"/>
                      <w:szCs w:val="18"/>
                    </w:rPr>
                  </w:pPr>
                  <w:r>
                    <w:rPr>
                      <w:color w:val="auto"/>
                      <w:kern w:val="0"/>
                      <w:sz w:val="18"/>
                      <w:szCs w:val="18"/>
                    </w:rPr>
                    <w:t>1.15</w:t>
                  </w:r>
                </w:p>
              </w:tc>
              <w:tc>
                <w:tcPr>
                  <w:tcW w:w="911" w:type="pct"/>
                  <w:tcBorders>
                    <w:top w:val="single" w:color="auto" w:sz="4" w:space="0"/>
                    <w:left w:val="single" w:color="auto" w:sz="4" w:space="0"/>
                    <w:bottom w:val="single" w:color="auto" w:sz="4" w:space="0"/>
                    <w:right w:val="single" w:color="auto" w:sz="4" w:space="0"/>
                  </w:tcBorders>
                </w:tcPr>
                <w:p>
                  <w:pPr>
                    <w:keepNext w:val="0"/>
                    <w:keepLines w:val="0"/>
                    <w:pageBreakBefore w:val="0"/>
                    <w:kinsoku/>
                    <w:wordWrap/>
                    <w:topLinePunct w:val="0"/>
                    <w:bidi w:val="0"/>
                    <w:adjustRightInd w:val="0"/>
                    <w:snapToGrid w:val="0"/>
                    <w:spacing w:line="240" w:lineRule="auto"/>
                    <w:jc w:val="center"/>
                    <w:rPr>
                      <w:color w:val="auto"/>
                      <w:kern w:val="0"/>
                      <w:sz w:val="18"/>
                      <w:szCs w:val="18"/>
                    </w:rPr>
                  </w:pPr>
                  <w:r>
                    <w:rPr>
                      <w:color w:val="auto"/>
                      <w:kern w:val="0"/>
                      <w:sz w:val="18"/>
                      <w:szCs w:val="18"/>
                    </w:rPr>
                    <w:t>0.86</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6" w:space="0"/>
                </w:tblBorders>
                <w:tblCellMar>
                  <w:top w:w="0" w:type="dxa"/>
                  <w:left w:w="0" w:type="dxa"/>
                  <w:bottom w:w="0" w:type="dxa"/>
                  <w:right w:w="0" w:type="dxa"/>
                </w:tblCellMar>
              </w:tblPrEx>
              <w:trPr>
                <w:trHeight w:val="262" w:hRule="atLeast"/>
              </w:trPr>
              <w:tc>
                <w:tcPr>
                  <w:tcW w:w="754" w:type="pct"/>
                  <w:vMerge w:val="continue"/>
                  <w:tcBorders>
                    <w:top w:val="single" w:color="auto" w:sz="4" w:space="0"/>
                    <w:left w:val="single" w:color="auto" w:sz="4" w:space="0"/>
                    <w:bottom w:val="single" w:color="auto" w:sz="4" w:space="0"/>
                    <w:right w:val="single" w:color="auto" w:sz="4" w:space="0"/>
                  </w:tcBorders>
                </w:tcPr>
                <w:p>
                  <w:pPr>
                    <w:keepNext w:val="0"/>
                    <w:keepLines w:val="0"/>
                    <w:pageBreakBefore w:val="0"/>
                    <w:kinsoku/>
                    <w:wordWrap/>
                    <w:topLinePunct w:val="0"/>
                    <w:bidi w:val="0"/>
                    <w:adjustRightInd w:val="0"/>
                    <w:snapToGrid w:val="0"/>
                    <w:spacing w:line="240" w:lineRule="auto"/>
                    <w:jc w:val="center"/>
                    <w:rPr>
                      <w:color w:val="auto"/>
                      <w:kern w:val="0"/>
                      <w:sz w:val="18"/>
                      <w:szCs w:val="18"/>
                    </w:rPr>
                  </w:pPr>
                </w:p>
              </w:tc>
              <w:tc>
                <w:tcPr>
                  <w:tcW w:w="597" w:type="pct"/>
                  <w:tcBorders>
                    <w:top w:val="single" w:color="auto" w:sz="4" w:space="0"/>
                    <w:left w:val="single" w:color="auto" w:sz="4" w:space="0"/>
                    <w:bottom w:val="single" w:color="auto" w:sz="4" w:space="0"/>
                    <w:right w:val="single" w:color="auto" w:sz="4" w:space="0"/>
                  </w:tcBorders>
                </w:tcPr>
                <w:p>
                  <w:pPr>
                    <w:keepNext w:val="0"/>
                    <w:keepLines w:val="0"/>
                    <w:pageBreakBefore w:val="0"/>
                    <w:kinsoku/>
                    <w:wordWrap/>
                    <w:topLinePunct w:val="0"/>
                    <w:bidi w:val="0"/>
                    <w:adjustRightInd w:val="0"/>
                    <w:snapToGrid w:val="0"/>
                    <w:spacing w:line="240" w:lineRule="auto"/>
                    <w:jc w:val="center"/>
                    <w:rPr>
                      <w:color w:val="auto"/>
                      <w:kern w:val="0"/>
                      <w:sz w:val="18"/>
                      <w:szCs w:val="18"/>
                    </w:rPr>
                  </w:pPr>
                  <w:r>
                    <w:rPr>
                      <w:rFonts w:hint="eastAsia"/>
                      <w:color w:val="auto"/>
                      <w:kern w:val="0"/>
                      <w:sz w:val="18"/>
                      <w:szCs w:val="18"/>
                    </w:rPr>
                    <w:t>洒水</w:t>
                  </w:r>
                </w:p>
              </w:tc>
              <w:tc>
                <w:tcPr>
                  <w:tcW w:w="911" w:type="pct"/>
                  <w:tcBorders>
                    <w:top w:val="single" w:color="auto" w:sz="4" w:space="0"/>
                    <w:left w:val="single" w:color="auto" w:sz="4" w:space="0"/>
                    <w:bottom w:val="single" w:color="auto" w:sz="4" w:space="0"/>
                    <w:right w:val="single" w:color="auto" w:sz="4" w:space="0"/>
                  </w:tcBorders>
                </w:tcPr>
                <w:p>
                  <w:pPr>
                    <w:keepNext w:val="0"/>
                    <w:keepLines w:val="0"/>
                    <w:pageBreakBefore w:val="0"/>
                    <w:kinsoku/>
                    <w:wordWrap/>
                    <w:topLinePunct w:val="0"/>
                    <w:bidi w:val="0"/>
                    <w:adjustRightInd w:val="0"/>
                    <w:snapToGrid w:val="0"/>
                    <w:spacing w:line="240" w:lineRule="auto"/>
                    <w:jc w:val="center"/>
                    <w:rPr>
                      <w:color w:val="auto"/>
                      <w:kern w:val="0"/>
                      <w:sz w:val="18"/>
                      <w:szCs w:val="18"/>
                    </w:rPr>
                  </w:pPr>
                  <w:r>
                    <w:rPr>
                      <w:color w:val="auto"/>
                      <w:kern w:val="0"/>
                      <w:sz w:val="18"/>
                      <w:szCs w:val="18"/>
                    </w:rPr>
                    <w:t>2.01</w:t>
                  </w:r>
                </w:p>
              </w:tc>
              <w:tc>
                <w:tcPr>
                  <w:tcW w:w="913" w:type="pct"/>
                  <w:tcBorders>
                    <w:top w:val="single" w:color="auto" w:sz="4" w:space="0"/>
                    <w:left w:val="single" w:color="auto" w:sz="4" w:space="0"/>
                    <w:bottom w:val="single" w:color="auto" w:sz="4" w:space="0"/>
                    <w:right w:val="single" w:color="auto" w:sz="4" w:space="0"/>
                  </w:tcBorders>
                </w:tcPr>
                <w:p>
                  <w:pPr>
                    <w:keepNext w:val="0"/>
                    <w:keepLines w:val="0"/>
                    <w:pageBreakBefore w:val="0"/>
                    <w:kinsoku/>
                    <w:wordWrap/>
                    <w:topLinePunct w:val="0"/>
                    <w:bidi w:val="0"/>
                    <w:adjustRightInd w:val="0"/>
                    <w:snapToGrid w:val="0"/>
                    <w:spacing w:line="240" w:lineRule="auto"/>
                    <w:jc w:val="center"/>
                    <w:rPr>
                      <w:color w:val="auto"/>
                      <w:kern w:val="0"/>
                      <w:sz w:val="18"/>
                      <w:szCs w:val="18"/>
                    </w:rPr>
                  </w:pPr>
                  <w:r>
                    <w:rPr>
                      <w:color w:val="auto"/>
                      <w:kern w:val="0"/>
                      <w:sz w:val="18"/>
                      <w:szCs w:val="18"/>
                    </w:rPr>
                    <w:t>1.40</w:t>
                  </w:r>
                </w:p>
              </w:tc>
              <w:tc>
                <w:tcPr>
                  <w:tcW w:w="911" w:type="pct"/>
                  <w:tcBorders>
                    <w:top w:val="single" w:color="auto" w:sz="4" w:space="0"/>
                    <w:left w:val="single" w:color="auto" w:sz="4" w:space="0"/>
                    <w:bottom w:val="single" w:color="auto" w:sz="4" w:space="0"/>
                    <w:right w:val="single" w:color="auto" w:sz="4" w:space="0"/>
                  </w:tcBorders>
                </w:tcPr>
                <w:p>
                  <w:pPr>
                    <w:keepNext w:val="0"/>
                    <w:keepLines w:val="0"/>
                    <w:pageBreakBefore w:val="0"/>
                    <w:kinsoku/>
                    <w:wordWrap/>
                    <w:topLinePunct w:val="0"/>
                    <w:bidi w:val="0"/>
                    <w:adjustRightInd w:val="0"/>
                    <w:snapToGrid w:val="0"/>
                    <w:spacing w:line="240" w:lineRule="auto"/>
                    <w:jc w:val="center"/>
                    <w:rPr>
                      <w:color w:val="auto"/>
                      <w:kern w:val="0"/>
                      <w:sz w:val="18"/>
                      <w:szCs w:val="18"/>
                    </w:rPr>
                  </w:pPr>
                  <w:r>
                    <w:rPr>
                      <w:color w:val="auto"/>
                      <w:kern w:val="0"/>
                      <w:sz w:val="18"/>
                      <w:szCs w:val="18"/>
                    </w:rPr>
                    <w:t>0.68</w:t>
                  </w:r>
                </w:p>
              </w:tc>
              <w:tc>
                <w:tcPr>
                  <w:tcW w:w="911" w:type="pct"/>
                  <w:tcBorders>
                    <w:top w:val="single" w:color="auto" w:sz="4" w:space="0"/>
                    <w:left w:val="single" w:color="auto" w:sz="4" w:space="0"/>
                    <w:bottom w:val="single" w:color="auto" w:sz="4" w:space="0"/>
                    <w:right w:val="single" w:color="auto" w:sz="4" w:space="0"/>
                  </w:tcBorders>
                </w:tcPr>
                <w:p>
                  <w:pPr>
                    <w:keepNext w:val="0"/>
                    <w:keepLines w:val="0"/>
                    <w:pageBreakBefore w:val="0"/>
                    <w:kinsoku/>
                    <w:wordWrap/>
                    <w:topLinePunct w:val="0"/>
                    <w:bidi w:val="0"/>
                    <w:adjustRightInd w:val="0"/>
                    <w:snapToGrid w:val="0"/>
                    <w:spacing w:line="240" w:lineRule="auto"/>
                    <w:jc w:val="center"/>
                    <w:rPr>
                      <w:color w:val="auto"/>
                      <w:kern w:val="0"/>
                      <w:sz w:val="18"/>
                      <w:szCs w:val="18"/>
                    </w:rPr>
                  </w:pPr>
                  <w:r>
                    <w:rPr>
                      <w:color w:val="auto"/>
                      <w:kern w:val="0"/>
                      <w:sz w:val="18"/>
                      <w:szCs w:val="18"/>
                    </w:rPr>
                    <w:t>0.60</w:t>
                  </w:r>
                </w:p>
              </w:tc>
            </w:tr>
          </w:tbl>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结果表明，实施每天洒水4~5次进行抑尘，可有效地控制施工扬尘，可将TSP污染距离缩小到 20~50m 范围。另外，为控制车辆装载货物行驶对施工场地外的影响，可在车辆开离施工场地时在车身相应部位洒水清除污泥与灰尘，以减少粉尘对外界的影响。</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根据现场踏勘，项目周边敏感点分布较多，距离项目施工场地最近的敏感点为东北面55m的王陂村，距离施工场地较近，如不采取相应防护措施，施工期扬尘可能对周围敏感点造成一定影响。</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根据以上分析，为尽量减少施工期扬尘对周围环境的污染，要求施工过程中应加强管理，实施标准化施工，施工场地应定期洒水，对于粉尘产生量较大的部位采用雾化法降尘；场地边界设置围挡、防尘布等；道路实施硬化，裸露地面及易起尘建材的堆放场地采取覆盖措施；限制建筑材料运输车辆的车速，并实施车厢封闭；运输道路定期清扫、保持路面清洁；运输车辆进行冲洗。在靠近敏感点侧（项目东北侧）设置施工围挡，采取以上防治措施后，施工期扬尘能够得到有效控制，对周围环境的影响不大。</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2、施工机械设备废气影响分析</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施工期间各类施工机械流动性强，所产生的废气较为分散，在易于扩散的气象条件下，施工机械尾气对周围环境影响不会很大。但工程车辆的行驶将加重城市车辆汽车尾气污染负荷，因此，施工单位应注意车辆保养，尽量保证车辆尾气达标排放。</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3、装修废气影响分析</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项目的装修废气主要是房屋装修进行墙面涂刷、装饰等都会产生的有机废气，呈无组织排放，其主要成分是甲醛、二甲苯、甲苯及少量的丁醇和丙醇等，含有毒有害的特殊污染物质，这些物质经呼吸道吸入可能引起眩晕、头痛、恶心等症状，对施工人员的身体健康有一定的影响。</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因装修阶段排放的甲苯和二甲苯排放时间和部位难以明确，其随机性大，时间跨度长，装修阶段的涂刷废气排放周期短，且作业点分散。因此，在装修油漆期间，应加强室内通风换气，涂刷结束完成后，也应每天进行通风换气一至两个月后才能使用，由于装修时采用的有其中含有甲醛、甲苯、二甲苯等环境影响质量的有毒有害物质挥发时间长，所以项目建成后也要注意室内空气的流畅。由于装修废气的释放主要是在室内，影响范围主要是在建筑物内部，装修废气的影响随着施工的技术而消除，所以对周边环境影响较小。</w:t>
            </w:r>
          </w:p>
          <w:p>
            <w:pPr>
              <w:keepNext w:val="0"/>
              <w:keepLines w:val="0"/>
              <w:pageBreakBefore w:val="0"/>
              <w:widowControl/>
              <w:kinsoku/>
              <w:wordWrap/>
              <w:topLinePunct w:val="0"/>
              <w:bidi w:val="0"/>
              <w:adjustRightInd w:val="0"/>
              <w:snapToGrid w:val="0"/>
              <w:spacing w:before="156" w:beforeLines="50" w:line="360" w:lineRule="auto"/>
              <w:outlineLvl w:val="2"/>
              <w:rPr>
                <w:b/>
                <w:color w:val="auto"/>
                <w:szCs w:val="21"/>
              </w:rPr>
            </w:pPr>
            <w:r>
              <w:rPr>
                <w:rFonts w:hint="eastAsia"/>
                <w:b/>
                <w:color w:val="auto"/>
                <w:szCs w:val="21"/>
              </w:rPr>
              <w:t>4.1.2</w:t>
            </w:r>
            <w:r>
              <w:rPr>
                <w:b/>
                <w:color w:val="auto"/>
                <w:szCs w:val="21"/>
              </w:rPr>
              <w:t>水环境影响</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扩建项目施工期废水主要为地表径流水、施工废水和施工人员生活用水。</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1、地表径流水</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夏季暴雨易对施工场地的浮土造成的冲刷，造成含有大量悬浮物的地表径流水污染周围环境，严重时可导致堵塞市政排水系统，但是根据同类型建设项目施工经验，只要本项目施工单位加强施工期的环境管理，特别是雨季对地表浮土的管理并采取导排水等预处理措施，则本项目施工期的地表径流水不会对周围环境产生明显的影响。</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2、施工废水</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施工产生的废水包括施工现场浇筑及养护用水、施工机械设备冲洗水、环保喷洒水等，主要污染物为泥沙、悬浮物等；施工机械和运输车辆维修保养产生含油废水，主要污染物为油污。施工废水产生量不大，收集经隔油沉淀池处理后，回用于施工作业面或场地洒水降尘，不外排地表水体。</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3、生活污水</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本项目主要为当地的施工人员，不设宿舍，用水量按10L/人d计，施工人数按15人/d计，生活用水量为0.15m3/d，污水产生量按用水量的80%计算，生活污水的产生量为0.12m</w:t>
            </w:r>
            <w:r>
              <w:rPr>
                <w:rFonts w:hint="eastAsia"/>
                <w:color w:val="auto"/>
                <w:szCs w:val="21"/>
                <w:vertAlign w:val="superscript"/>
                <w:lang w:val="en-US" w:eastAsia="zh-CN"/>
              </w:rPr>
              <w:t>3</w:t>
            </w:r>
            <w:r>
              <w:rPr>
                <w:rFonts w:hint="eastAsia"/>
                <w:color w:val="auto"/>
                <w:szCs w:val="21"/>
                <w:lang w:val="en-US" w:eastAsia="zh-CN"/>
              </w:rPr>
              <w:t>/d，产生污染物少量，自建化粪池处理后进入市政污水管网，对周围环境影响不大。</w:t>
            </w:r>
          </w:p>
          <w:p>
            <w:pPr>
              <w:keepNext w:val="0"/>
              <w:keepLines w:val="0"/>
              <w:pageBreakBefore w:val="0"/>
              <w:widowControl/>
              <w:kinsoku/>
              <w:wordWrap/>
              <w:topLinePunct w:val="0"/>
              <w:bidi w:val="0"/>
              <w:adjustRightInd w:val="0"/>
              <w:snapToGrid w:val="0"/>
              <w:spacing w:before="156" w:beforeLines="50" w:line="360" w:lineRule="auto"/>
              <w:outlineLvl w:val="2"/>
              <w:rPr>
                <w:b/>
                <w:color w:val="auto"/>
                <w:szCs w:val="21"/>
              </w:rPr>
            </w:pPr>
            <w:r>
              <w:rPr>
                <w:rFonts w:hint="eastAsia"/>
                <w:b/>
                <w:color w:val="auto"/>
                <w:szCs w:val="21"/>
              </w:rPr>
              <w:t>4.1.3</w:t>
            </w:r>
            <w:r>
              <w:rPr>
                <w:b/>
                <w:color w:val="auto"/>
                <w:szCs w:val="21"/>
              </w:rPr>
              <w:t>固体废物影响</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rPr>
            </w:pPr>
            <w:r>
              <w:rPr>
                <w:rFonts w:hint="eastAsia"/>
                <w:color w:val="auto"/>
                <w:szCs w:val="21"/>
                <w:lang w:val="en-US" w:eastAsia="zh-CN"/>
              </w:rPr>
              <w:t>扩建</w:t>
            </w:r>
            <w:r>
              <w:rPr>
                <w:rFonts w:hint="eastAsia"/>
                <w:color w:val="auto"/>
                <w:szCs w:val="21"/>
              </w:rPr>
              <w:t>项目施工期固废主要为施工弃土、施工建筑垃圾和施工人员生活垃圾。</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1、施工弃土</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本项目建设于已平整投产的现有厂区，挖填方量内部平衡，无外借土方和外弃土方，不设取土场和弃土（渣）场。</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2、建筑垃圾</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本项目建筑垃圾主要为建设工程产生的垃圾，主要有废混凝土、废钢筋、各种废钢配件及废包装等。采用建筑面积发展预测：</w:t>
            </w:r>
          </w:p>
          <w:p>
            <w:pPr>
              <w:keepNext w:val="0"/>
              <w:keepLines w:val="0"/>
              <w:pageBreakBefore w:val="0"/>
              <w:kinsoku/>
              <w:wordWrap/>
              <w:topLinePunct w:val="0"/>
              <w:bidi w:val="0"/>
              <w:spacing w:line="360" w:lineRule="auto"/>
              <w:ind w:firstLine="420" w:firstLineChars="200"/>
              <w:jc w:val="center"/>
              <w:rPr>
                <w:color w:val="auto"/>
                <w:szCs w:val="21"/>
              </w:rPr>
            </w:pPr>
            <w:r>
              <w:rPr>
                <w:color w:val="auto"/>
                <w:szCs w:val="21"/>
              </w:rPr>
              <w:t>J</w:t>
            </w:r>
            <w:r>
              <w:rPr>
                <w:color w:val="auto"/>
                <w:szCs w:val="21"/>
                <w:vertAlign w:val="subscript"/>
              </w:rPr>
              <w:t>S</w:t>
            </w:r>
            <w:r>
              <w:rPr>
                <w:color w:val="auto"/>
                <w:szCs w:val="21"/>
              </w:rPr>
              <w:t>=Q</w:t>
            </w:r>
            <w:r>
              <w:rPr>
                <w:color w:val="auto"/>
                <w:szCs w:val="21"/>
                <w:vertAlign w:val="subscript"/>
              </w:rPr>
              <w:t>S</w:t>
            </w:r>
            <w:r>
              <w:rPr>
                <w:color w:val="auto"/>
                <w:szCs w:val="21"/>
              </w:rPr>
              <w:t>•C</w:t>
            </w:r>
            <w:r>
              <w:rPr>
                <w:color w:val="auto"/>
                <w:szCs w:val="21"/>
                <w:vertAlign w:val="subscript"/>
              </w:rPr>
              <w:t>S</w:t>
            </w:r>
          </w:p>
          <w:p>
            <w:pPr>
              <w:keepNext w:val="0"/>
              <w:keepLines w:val="0"/>
              <w:pageBreakBefore w:val="0"/>
              <w:kinsoku/>
              <w:wordWrap/>
              <w:topLinePunct w:val="0"/>
              <w:bidi w:val="0"/>
              <w:spacing w:line="360" w:lineRule="auto"/>
              <w:ind w:firstLine="420" w:firstLineChars="200"/>
              <w:rPr>
                <w:color w:val="auto"/>
                <w:szCs w:val="21"/>
              </w:rPr>
            </w:pPr>
            <w:r>
              <w:rPr>
                <w:color w:val="auto"/>
                <w:szCs w:val="21"/>
              </w:rPr>
              <w:t>式中：</w:t>
            </w:r>
          </w:p>
          <w:p>
            <w:pPr>
              <w:keepNext w:val="0"/>
              <w:keepLines w:val="0"/>
              <w:pageBreakBefore w:val="0"/>
              <w:kinsoku/>
              <w:wordWrap/>
              <w:topLinePunct w:val="0"/>
              <w:bidi w:val="0"/>
              <w:spacing w:line="360" w:lineRule="auto"/>
              <w:ind w:firstLine="840" w:firstLineChars="400"/>
              <w:rPr>
                <w:color w:val="auto"/>
                <w:szCs w:val="21"/>
              </w:rPr>
            </w:pPr>
            <w:r>
              <w:rPr>
                <w:color w:val="auto"/>
                <w:szCs w:val="21"/>
              </w:rPr>
              <w:t>J</w:t>
            </w:r>
            <w:r>
              <w:rPr>
                <w:color w:val="auto"/>
                <w:szCs w:val="21"/>
                <w:vertAlign w:val="subscript"/>
              </w:rPr>
              <w:t>S</w:t>
            </w:r>
            <w:r>
              <w:rPr>
                <w:color w:val="auto"/>
                <w:szCs w:val="21"/>
              </w:rPr>
              <w:t>：建筑垃圾总产生量（t）；</w:t>
            </w:r>
          </w:p>
          <w:p>
            <w:pPr>
              <w:keepNext w:val="0"/>
              <w:keepLines w:val="0"/>
              <w:pageBreakBefore w:val="0"/>
              <w:kinsoku/>
              <w:wordWrap/>
              <w:topLinePunct w:val="0"/>
              <w:bidi w:val="0"/>
              <w:spacing w:line="360" w:lineRule="auto"/>
              <w:ind w:firstLine="840" w:firstLineChars="400"/>
              <w:rPr>
                <w:color w:val="auto"/>
                <w:szCs w:val="21"/>
              </w:rPr>
            </w:pPr>
            <w:r>
              <w:rPr>
                <w:color w:val="auto"/>
                <w:szCs w:val="21"/>
              </w:rPr>
              <w:t>Q</w:t>
            </w:r>
            <w:r>
              <w:rPr>
                <w:color w:val="auto"/>
                <w:szCs w:val="21"/>
                <w:vertAlign w:val="subscript"/>
              </w:rPr>
              <w:t>S</w:t>
            </w:r>
            <w:r>
              <w:rPr>
                <w:color w:val="auto"/>
                <w:szCs w:val="21"/>
              </w:rPr>
              <w:t>：总建筑面积（m</w:t>
            </w:r>
            <w:r>
              <w:rPr>
                <w:color w:val="auto"/>
                <w:szCs w:val="21"/>
                <w:vertAlign w:val="superscript"/>
              </w:rPr>
              <w:t>2</w:t>
            </w:r>
            <w:r>
              <w:rPr>
                <w:color w:val="auto"/>
                <w:szCs w:val="21"/>
              </w:rPr>
              <w:t>），</w:t>
            </w:r>
            <w:r>
              <w:rPr>
                <w:rFonts w:hint="eastAsia"/>
                <w:color w:val="auto"/>
                <w:szCs w:val="21"/>
                <w:shd w:val="clear" w:color="auto" w:fill="FFFFFF"/>
              </w:rPr>
              <w:t>2067.9</w:t>
            </w:r>
            <w:r>
              <w:rPr>
                <w:color w:val="auto"/>
                <w:szCs w:val="21"/>
              </w:rPr>
              <w:t>m</w:t>
            </w:r>
            <w:r>
              <w:rPr>
                <w:color w:val="auto"/>
                <w:szCs w:val="21"/>
                <w:vertAlign w:val="superscript"/>
              </w:rPr>
              <w:t>2</w:t>
            </w:r>
            <w:r>
              <w:rPr>
                <w:color w:val="auto"/>
                <w:szCs w:val="21"/>
              </w:rPr>
              <w:t>；</w:t>
            </w:r>
          </w:p>
          <w:p>
            <w:pPr>
              <w:keepNext w:val="0"/>
              <w:keepLines w:val="0"/>
              <w:pageBreakBefore w:val="0"/>
              <w:kinsoku/>
              <w:wordWrap/>
              <w:topLinePunct w:val="0"/>
              <w:bidi w:val="0"/>
              <w:spacing w:line="360" w:lineRule="auto"/>
              <w:ind w:firstLine="840" w:firstLineChars="400"/>
              <w:rPr>
                <w:color w:val="auto"/>
                <w:szCs w:val="21"/>
              </w:rPr>
            </w:pPr>
            <w:r>
              <w:rPr>
                <w:color w:val="auto"/>
                <w:szCs w:val="21"/>
              </w:rPr>
              <w:t>C</w:t>
            </w:r>
            <w:r>
              <w:rPr>
                <w:color w:val="auto"/>
                <w:szCs w:val="21"/>
                <w:vertAlign w:val="subscript"/>
              </w:rPr>
              <w:t>S</w:t>
            </w:r>
            <w:r>
              <w:rPr>
                <w:color w:val="auto"/>
                <w:szCs w:val="21"/>
              </w:rPr>
              <w:t>：平均每m</w:t>
            </w:r>
            <w:r>
              <w:rPr>
                <w:color w:val="auto"/>
                <w:szCs w:val="21"/>
                <w:vertAlign w:val="superscript"/>
              </w:rPr>
              <w:t>2</w:t>
            </w:r>
            <w:r>
              <w:rPr>
                <w:color w:val="auto"/>
                <w:szCs w:val="21"/>
              </w:rPr>
              <w:t>建筑面积垃圾产生量，0.06t/m</w:t>
            </w:r>
            <w:r>
              <w:rPr>
                <w:color w:val="auto"/>
                <w:szCs w:val="21"/>
                <w:vertAlign w:val="superscript"/>
              </w:rPr>
              <w:t>2</w:t>
            </w:r>
            <w:r>
              <w:rPr>
                <w:color w:val="auto"/>
                <w:szCs w:val="21"/>
              </w:rPr>
              <w:t>；</w:t>
            </w:r>
          </w:p>
          <w:p>
            <w:pPr>
              <w:keepNext w:val="0"/>
              <w:keepLines w:val="0"/>
              <w:pageBreakBefore w:val="0"/>
              <w:kinsoku/>
              <w:wordWrap/>
              <w:topLinePunct w:val="0"/>
              <w:bidi w:val="0"/>
              <w:spacing w:line="360" w:lineRule="auto"/>
              <w:ind w:firstLine="420" w:firstLineChars="200"/>
              <w:rPr>
                <w:color w:val="auto"/>
                <w:szCs w:val="21"/>
              </w:rPr>
            </w:pPr>
            <w:r>
              <w:rPr>
                <w:color w:val="auto"/>
                <w:szCs w:val="21"/>
              </w:rPr>
              <w:t>根据上式计算所得该项目建筑垃圾总产生量约为</w:t>
            </w:r>
            <w:r>
              <w:rPr>
                <w:rFonts w:hint="eastAsia"/>
                <w:color w:val="auto"/>
                <w:szCs w:val="21"/>
              </w:rPr>
              <w:t>124.074</w:t>
            </w:r>
            <w:r>
              <w:rPr>
                <w:color w:val="auto"/>
                <w:szCs w:val="21"/>
              </w:rPr>
              <w:t>t</w:t>
            </w:r>
            <w:r>
              <w:rPr>
                <w:rFonts w:hint="eastAsia"/>
                <w:color w:val="auto"/>
                <w:szCs w:val="21"/>
              </w:rPr>
              <w:t>，</w:t>
            </w:r>
            <w:r>
              <w:rPr>
                <w:color w:val="auto"/>
                <w:szCs w:val="21"/>
              </w:rPr>
              <w:t>该部分建筑垃圾应运往指定的建筑垃圾堆放点堆放，严禁随意倾倒。</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3、施工人员生活垃圾</w:t>
            </w:r>
          </w:p>
          <w:p>
            <w:pPr>
              <w:keepNext w:val="0"/>
              <w:keepLines w:val="0"/>
              <w:pageBreakBefore w:val="0"/>
              <w:kinsoku/>
              <w:wordWrap/>
              <w:topLinePunct w:val="0"/>
              <w:bidi w:val="0"/>
              <w:spacing w:line="360" w:lineRule="auto"/>
              <w:ind w:firstLine="420" w:firstLineChars="200"/>
              <w:rPr>
                <w:color w:val="auto"/>
                <w:szCs w:val="21"/>
              </w:rPr>
            </w:pPr>
            <w:r>
              <w:rPr>
                <w:color w:val="auto"/>
                <w:szCs w:val="21"/>
              </w:rPr>
              <w:t>采用人口发展预测：</w:t>
            </w:r>
          </w:p>
          <w:p>
            <w:pPr>
              <w:keepNext w:val="0"/>
              <w:keepLines w:val="0"/>
              <w:pageBreakBefore w:val="0"/>
              <w:kinsoku/>
              <w:wordWrap/>
              <w:topLinePunct w:val="0"/>
              <w:bidi w:val="0"/>
              <w:spacing w:line="360" w:lineRule="auto"/>
              <w:ind w:firstLine="420" w:firstLineChars="200"/>
              <w:jc w:val="center"/>
              <w:rPr>
                <w:color w:val="auto"/>
                <w:szCs w:val="21"/>
              </w:rPr>
            </w:pPr>
            <w:r>
              <w:rPr>
                <w:color w:val="auto"/>
                <w:szCs w:val="21"/>
              </w:rPr>
              <w:t>W</w:t>
            </w:r>
            <w:r>
              <w:rPr>
                <w:color w:val="auto"/>
                <w:szCs w:val="21"/>
                <w:vertAlign w:val="subscript"/>
              </w:rPr>
              <w:t>S</w:t>
            </w:r>
            <w:r>
              <w:rPr>
                <w:color w:val="auto"/>
                <w:szCs w:val="21"/>
              </w:rPr>
              <w:t>=P</w:t>
            </w:r>
            <w:r>
              <w:rPr>
                <w:color w:val="auto"/>
                <w:szCs w:val="21"/>
                <w:vertAlign w:val="subscript"/>
              </w:rPr>
              <w:t>S</w:t>
            </w:r>
            <w:r>
              <w:rPr>
                <w:color w:val="auto"/>
                <w:szCs w:val="21"/>
              </w:rPr>
              <w:t>•C</w:t>
            </w:r>
            <w:r>
              <w:rPr>
                <w:color w:val="auto"/>
                <w:szCs w:val="21"/>
                <w:vertAlign w:val="subscript"/>
              </w:rPr>
              <w:t>S</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式中：</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WS：生活垃圾产生量（kg/d）；</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PS：施工人员人数，15 人；</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CS：人均生活垃圾产生量（1kg/d 人）；</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根据上式计算所得该项目生活垃圾产生量约为 0.05t/d，由环卫部门统一清运处置。</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施工单位将在场地内设置垃圾桶，经统一收集后定期交由环卫部门清运处理，对周围环境和人员的健康的不利影响较小。</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施工期施工垃圾应从源头上进行控制，体现在施工管理、材料选购、去向控制等方面，特别应强调以下几点：</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①施工过程中合理选购材料和构件。在设计时应尽量运用标准设计，采用标准模数和预制构件，以减少建筑垃圾的产生。在选择建筑材料时，应优先选择 建造时产生建筑垃圾少的再生建材，还应考虑选择维修、改造和拆除时少垃圾、能再生的建材。并且应尽量采用无包装材料和购买前应先计算好材料用量以免超量。</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②在施工阶段，采用机械化施工、提高施工技术和施工工艺、加强施工组织管理工作，以避免建筑材料在运输、储存、安装时的损伤和破坏，提高结构的施工精度，避免局部凿除或修补，从而减少建筑垃圾的产生。</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③施工车辆在运送渣土时应使用不漏水的翻斗车，设置密闭式加盖装置，渣土不得沿途漏散、飞扬，清运车辆进出施工现场不得带泥污染路面。</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④施工垃圾不得随意丢弃，不得造成二次污染。核定清运渣土数量，领取施工渣土清运许可证。</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通过采取上述污染防治措施，施工期固体废物对环境的影响可降至最低，环境可以接受。</w:t>
            </w:r>
          </w:p>
          <w:p>
            <w:pPr>
              <w:keepNext w:val="0"/>
              <w:keepLines w:val="0"/>
              <w:pageBreakBefore w:val="0"/>
              <w:widowControl/>
              <w:kinsoku/>
              <w:wordWrap/>
              <w:topLinePunct w:val="0"/>
              <w:bidi w:val="0"/>
              <w:adjustRightInd w:val="0"/>
              <w:snapToGrid w:val="0"/>
              <w:spacing w:before="156" w:beforeLines="50" w:line="360" w:lineRule="auto"/>
              <w:outlineLvl w:val="2"/>
              <w:rPr>
                <w:b/>
                <w:color w:val="auto"/>
                <w:szCs w:val="21"/>
              </w:rPr>
            </w:pPr>
            <w:r>
              <w:rPr>
                <w:rFonts w:hint="eastAsia"/>
                <w:b/>
                <w:color w:val="auto"/>
                <w:szCs w:val="21"/>
              </w:rPr>
              <w:t>4.1.4施工噪声</w:t>
            </w:r>
            <w:r>
              <w:rPr>
                <w:b/>
                <w:color w:val="auto"/>
                <w:szCs w:val="21"/>
              </w:rPr>
              <w:t>影响</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color w:val="auto"/>
                <w:szCs w:val="21"/>
              </w:rPr>
            </w:pPr>
            <w:r>
              <w:rPr>
                <w:rFonts w:hint="eastAsia"/>
                <w:color w:val="auto"/>
                <w:szCs w:val="21"/>
              </w:rPr>
              <w:t>采用先进工艺和低噪设备、装设隔声设备，对空压机安装隔声罩和消声器。同时尽量控制夜间使用时间，禁止夜间排气放空。对施工现场的加压泵、电锯等小型高噪声固定设备，工地必须通过搭设设备房来制造“减噪屏障”，施工期间设专人对设备进行保养和维护，同时负责对现场工作人员进行培训，严格按照操作规程使用各类机械；禁止运转不正常、噪声超标的设备进场。需合理安排工期，尽可能地加快施工速度，减少施工时间。</w:t>
            </w:r>
          </w:p>
          <w:p>
            <w:pPr>
              <w:keepNext w:val="0"/>
              <w:keepLines w:val="0"/>
              <w:pageBreakBefore w:val="0"/>
              <w:widowControl/>
              <w:kinsoku/>
              <w:wordWrap/>
              <w:topLinePunct w:val="0"/>
              <w:bidi w:val="0"/>
              <w:adjustRightInd w:val="0"/>
              <w:snapToGrid w:val="0"/>
              <w:spacing w:before="156" w:beforeLines="50" w:line="360" w:lineRule="auto"/>
              <w:outlineLvl w:val="2"/>
              <w:rPr>
                <w:b/>
                <w:color w:val="auto"/>
                <w:szCs w:val="21"/>
              </w:rPr>
            </w:pPr>
            <w:r>
              <w:rPr>
                <w:rFonts w:hint="eastAsia"/>
                <w:b/>
                <w:color w:val="auto"/>
                <w:szCs w:val="21"/>
              </w:rPr>
              <w:t>4.1.5施工生态环境影响</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①施工过程对城市景观的影响</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拟建工程在物料运输、物料堆置等过程中均会有扬尘产生，根据前文分析可知在未采取抑尘措施的施工现场，建筑施工扬尘较严重，另外施工现场的暴露、建筑垃圾的堆存也影响市容市貌。因此须在施工中采取适当措施降低施工期对城市景观的影响，如：施工区域采取高围挡作业，施工现场洒水作业，施工单位对附近道路实行保洁制度，制定切实可行的建筑垃圾处置和运输计划，避免在交通高峰期时清运建筑垃圾，按规定路线运输，按规定地点处置建筑垃圾，杜绝随意乱倒等。施工结束后，城市景观将得到改善。</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②施工过程可能造成的水土流失影响</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施工过程采取挡护等工程措施，发生水土流失的程度会较轻，在不遇暴雨情况下不易发生大的水土流失。因此，只要加强施工管理，合理安排施工进度，就可避免发生水土流失。随着施工期结束，建设场地被水泥、建筑及植被覆盖，水土流失将会比施工期大大降低，水土流失很轻微。</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color w:val="auto"/>
                <w:szCs w:val="21"/>
              </w:rPr>
            </w:pPr>
            <w:r>
              <w:rPr>
                <w:rFonts w:hint="eastAsia"/>
                <w:color w:val="auto"/>
                <w:szCs w:val="21"/>
                <w:lang w:val="en-US" w:eastAsia="zh-CN"/>
              </w:rPr>
              <w:t>综上所述，本项目施工期间污染环境的因素，可采取一定措施避免或减轻其污染，使其达标排放，且这些影响是短期的，随着施工期结束，施工噪声、扬尘和水土流失问题也会消失。</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091" w:hRule="atLeast"/>
          <w:jc w:val="center"/>
        </w:trPr>
        <w:tc>
          <w:tcPr>
            <w:tcW w:w="746" w:type="dxa"/>
            <w:tcMar>
              <w:left w:w="28" w:type="dxa"/>
              <w:right w:w="28" w:type="dxa"/>
            </w:tcMar>
            <w:vAlign w:val="center"/>
          </w:tcPr>
          <w:p>
            <w:pPr>
              <w:adjustRightInd w:val="0"/>
              <w:snapToGrid w:val="0"/>
              <w:jc w:val="center"/>
              <w:rPr>
                <w:bCs/>
                <w:color w:val="auto"/>
                <w:szCs w:val="21"/>
              </w:rPr>
            </w:pPr>
            <w:r>
              <w:rPr>
                <w:bCs/>
                <w:color w:val="auto"/>
                <w:szCs w:val="21"/>
              </w:rPr>
              <w:t>运营</w:t>
            </w:r>
          </w:p>
          <w:p>
            <w:pPr>
              <w:adjustRightInd w:val="0"/>
              <w:snapToGrid w:val="0"/>
              <w:jc w:val="center"/>
              <w:rPr>
                <w:bCs/>
                <w:color w:val="auto"/>
                <w:szCs w:val="21"/>
              </w:rPr>
            </w:pPr>
            <w:r>
              <w:rPr>
                <w:bCs/>
                <w:color w:val="auto"/>
                <w:szCs w:val="21"/>
              </w:rPr>
              <w:t>期环</w:t>
            </w:r>
          </w:p>
          <w:p>
            <w:pPr>
              <w:adjustRightInd w:val="0"/>
              <w:snapToGrid w:val="0"/>
              <w:jc w:val="center"/>
              <w:rPr>
                <w:bCs/>
                <w:color w:val="auto"/>
                <w:szCs w:val="21"/>
              </w:rPr>
            </w:pPr>
            <w:r>
              <w:rPr>
                <w:bCs/>
                <w:color w:val="auto"/>
                <w:szCs w:val="21"/>
              </w:rPr>
              <w:t>境影</w:t>
            </w:r>
          </w:p>
          <w:p>
            <w:pPr>
              <w:adjustRightInd w:val="0"/>
              <w:snapToGrid w:val="0"/>
              <w:jc w:val="center"/>
              <w:rPr>
                <w:bCs/>
                <w:color w:val="auto"/>
                <w:szCs w:val="21"/>
              </w:rPr>
            </w:pPr>
            <w:r>
              <w:rPr>
                <w:bCs/>
                <w:color w:val="auto"/>
                <w:szCs w:val="21"/>
              </w:rPr>
              <w:t>响和</w:t>
            </w:r>
          </w:p>
          <w:p>
            <w:pPr>
              <w:adjustRightInd w:val="0"/>
              <w:snapToGrid w:val="0"/>
              <w:jc w:val="center"/>
              <w:rPr>
                <w:bCs/>
                <w:color w:val="auto"/>
                <w:szCs w:val="21"/>
              </w:rPr>
            </w:pPr>
            <w:r>
              <w:rPr>
                <w:bCs/>
                <w:color w:val="auto"/>
                <w:szCs w:val="21"/>
              </w:rPr>
              <w:t>保护</w:t>
            </w:r>
          </w:p>
          <w:p>
            <w:pPr>
              <w:adjustRightInd w:val="0"/>
              <w:snapToGrid w:val="0"/>
              <w:jc w:val="center"/>
              <w:rPr>
                <w:color w:val="auto"/>
                <w:szCs w:val="21"/>
              </w:rPr>
            </w:pPr>
            <w:r>
              <w:rPr>
                <w:bCs/>
                <w:color w:val="auto"/>
                <w:szCs w:val="21"/>
              </w:rPr>
              <w:t>措施</w:t>
            </w:r>
          </w:p>
        </w:tc>
        <w:tc>
          <w:tcPr>
            <w:tcW w:w="8162" w:type="dxa"/>
            <w:vAlign w:val="center"/>
          </w:tcPr>
          <w:p>
            <w:pPr>
              <w:widowControl/>
              <w:adjustRightInd w:val="0"/>
              <w:snapToGrid w:val="0"/>
              <w:spacing w:line="360" w:lineRule="auto"/>
              <w:outlineLvl w:val="2"/>
              <w:rPr>
                <w:b/>
                <w:color w:val="auto"/>
                <w:sz w:val="24"/>
              </w:rPr>
            </w:pPr>
            <w:r>
              <w:rPr>
                <w:b/>
                <w:color w:val="auto"/>
                <w:sz w:val="24"/>
              </w:rPr>
              <w:t>4.2运营期环境影响和保护措施</w:t>
            </w:r>
          </w:p>
          <w:p>
            <w:pPr>
              <w:widowControl/>
              <w:adjustRightInd w:val="0"/>
              <w:snapToGrid w:val="0"/>
              <w:spacing w:before="156" w:beforeLines="50" w:line="360" w:lineRule="auto"/>
              <w:outlineLvl w:val="2"/>
              <w:rPr>
                <w:b/>
                <w:color w:val="auto"/>
                <w:szCs w:val="21"/>
              </w:rPr>
            </w:pPr>
            <w:r>
              <w:rPr>
                <w:b/>
                <w:color w:val="auto"/>
                <w:szCs w:val="21"/>
              </w:rPr>
              <w:t>4.2.1大气环境影响和保护措施</w:t>
            </w:r>
          </w:p>
          <w:p>
            <w:pPr>
              <w:pStyle w:val="35"/>
              <w:ind w:firstLine="422"/>
              <w:rPr>
                <w:b/>
                <w:color w:val="auto"/>
                <w:kern w:val="2"/>
                <w:sz w:val="21"/>
                <w:szCs w:val="21"/>
              </w:rPr>
            </w:pPr>
            <w:r>
              <w:rPr>
                <w:rFonts w:hint="eastAsia" w:ascii="Times New Roman" w:hAnsi="Times New Roman" w:cs="Times New Roman"/>
                <w:b/>
                <w:color w:val="auto"/>
                <w:kern w:val="2"/>
                <w:sz w:val="21"/>
                <w:szCs w:val="21"/>
              </w:rPr>
              <w:t>4</w:t>
            </w:r>
            <w:r>
              <w:rPr>
                <w:rFonts w:ascii="Times New Roman" w:hAnsi="Times New Roman" w:cs="Times New Roman"/>
                <w:b/>
                <w:color w:val="auto"/>
                <w:kern w:val="2"/>
                <w:sz w:val="21"/>
                <w:szCs w:val="21"/>
              </w:rPr>
              <w:t>.2.1.1大气污染源核算</w:t>
            </w:r>
          </w:p>
          <w:p>
            <w:pPr>
              <w:spacing w:line="360" w:lineRule="auto"/>
              <w:ind w:firstLine="422" w:firstLineChars="200"/>
              <w:rPr>
                <w:color w:val="auto"/>
                <w:szCs w:val="21"/>
              </w:rPr>
            </w:pPr>
            <w:r>
              <w:rPr>
                <w:rFonts w:hint="eastAsia" w:ascii="宋体" w:hAnsi="宋体" w:cs="宋体"/>
                <w:b/>
                <w:bCs/>
                <w:color w:val="auto"/>
                <w:szCs w:val="21"/>
              </w:rPr>
              <w:t>（1）污染因子识别</w:t>
            </w:r>
          </w:p>
          <w:p>
            <w:pPr>
              <w:spacing w:line="360" w:lineRule="auto"/>
              <w:ind w:firstLine="420" w:firstLineChars="200"/>
              <w:rPr>
                <w:rFonts w:hint="default" w:ascii="Times New Roman" w:hAnsi="Times New Roman" w:eastAsia="宋体" w:cs="Times New Roman"/>
                <w:color w:val="auto"/>
                <w:szCs w:val="21"/>
                <w:lang w:val="en-US" w:eastAsia="zh-CN"/>
              </w:rPr>
            </w:pPr>
            <w:r>
              <w:rPr>
                <w:rFonts w:hint="eastAsia"/>
                <w:color w:val="auto"/>
                <w:szCs w:val="21"/>
              </w:rPr>
              <w:t>依据《合成树脂工业污染物排放标准》（GB31572—2015及2024年修改单）</w:t>
            </w:r>
            <w:r>
              <w:rPr>
                <w:rFonts w:hint="eastAsia"/>
                <w:color w:val="auto"/>
                <w:szCs w:val="21"/>
                <w:lang w:val="en-US" w:eastAsia="zh-CN"/>
              </w:rPr>
              <w:t>、</w:t>
            </w:r>
            <w:r>
              <w:rPr>
                <w:rFonts w:hint="eastAsia"/>
                <w:color w:val="auto"/>
                <w:szCs w:val="21"/>
              </w:rPr>
              <w:t>《合成树脂工业污染物排放标准（征求意见稿）》</w:t>
            </w:r>
            <w:bookmarkStart w:id="66" w:name="_GoBack"/>
            <w:bookmarkEnd w:id="66"/>
            <w:r>
              <w:rPr>
                <w:rFonts w:hint="eastAsia"/>
                <w:color w:val="auto"/>
                <w:szCs w:val="21"/>
              </w:rPr>
              <w:t>编制说明</w:t>
            </w:r>
            <w:r>
              <w:rPr>
                <w:rFonts w:hint="eastAsia"/>
                <w:color w:val="auto"/>
                <w:szCs w:val="21"/>
                <w:lang w:eastAsia="zh-CN"/>
              </w:rPr>
              <w:t>（</w:t>
            </w:r>
            <w:r>
              <w:rPr>
                <w:rFonts w:hint="eastAsia"/>
                <w:color w:val="auto"/>
                <w:szCs w:val="21"/>
                <w:lang w:val="en-US" w:eastAsia="zh-CN"/>
              </w:rPr>
              <w:t>2014年9月</w:t>
            </w:r>
            <w:r>
              <w:rPr>
                <w:rFonts w:hint="eastAsia"/>
                <w:color w:val="auto"/>
                <w:szCs w:val="21"/>
                <w:lang w:eastAsia="zh-CN"/>
              </w:rPr>
              <w:t>）</w:t>
            </w:r>
            <w:r>
              <w:rPr>
                <w:rFonts w:hint="eastAsia" w:cs="Times New Roman"/>
                <w:color w:val="auto"/>
                <w:szCs w:val="21"/>
                <w:lang w:val="en-US" w:eastAsia="zh-CN"/>
              </w:rPr>
              <w:t>，本项目所使用原料纯度为99.85%，水分占比为0.15%，且未检测出</w:t>
            </w:r>
            <w:r>
              <w:rPr>
                <w:rFonts w:hint="eastAsia"/>
                <w:color w:val="auto"/>
                <w:szCs w:val="21"/>
                <w:lang w:val="en-US" w:eastAsia="zh-CN"/>
              </w:rPr>
              <w:t>氟化氢和游离氨，证明其中不含引起特征污染物产生的未聚合单体。同时，</w:t>
            </w:r>
            <w:r>
              <w:rPr>
                <w:rFonts w:hint="default" w:ascii="Times New Roman" w:hAnsi="Times New Roman" w:cs="Times New Roman"/>
                <w:color w:val="auto"/>
                <w:szCs w:val="21"/>
              </w:rPr>
              <w:t>本项目工艺温度范围为常温至350℃，因此全过程中氟</w:t>
            </w:r>
            <w:r>
              <w:rPr>
                <w:rFonts w:hint="eastAsia" w:cs="Times New Roman"/>
                <w:color w:val="auto"/>
                <w:szCs w:val="21"/>
                <w:lang w:eastAsia="zh-CN"/>
              </w:rPr>
              <w:t>原料</w:t>
            </w:r>
            <w:r>
              <w:rPr>
                <w:rFonts w:hint="default" w:ascii="Times New Roman" w:hAnsi="Times New Roman" w:cs="Times New Roman"/>
                <w:color w:val="auto"/>
                <w:szCs w:val="21"/>
              </w:rPr>
              <w:t>不分解</w:t>
            </w:r>
            <w:r>
              <w:rPr>
                <w:rFonts w:hint="eastAsia" w:ascii="Times New Roman" w:hAnsi="Times New Roman" w:cs="Times New Roman"/>
                <w:color w:val="auto"/>
                <w:szCs w:val="21"/>
                <w:lang w:eastAsia="zh-CN"/>
              </w:rPr>
              <w:t>，</w:t>
            </w:r>
            <w:r>
              <w:rPr>
                <w:rFonts w:hint="eastAsia" w:ascii="Times New Roman" w:hAnsi="Times New Roman" w:cs="Times New Roman"/>
                <w:color w:val="auto"/>
                <w:szCs w:val="21"/>
                <w:lang w:val="en-US" w:eastAsia="zh-CN"/>
              </w:rPr>
              <w:t>也不会产生游离氨和氟化氢。</w:t>
            </w:r>
          </w:p>
          <w:p>
            <w:pPr>
              <w:spacing w:line="360" w:lineRule="auto"/>
              <w:ind w:firstLine="420" w:firstLineChars="200"/>
              <w:rPr>
                <w:rFonts w:hint="default" w:ascii="Times New Roman" w:hAnsi="Times New Roman" w:cs="Times New Roman"/>
                <w:color w:val="auto"/>
                <w:szCs w:val="21"/>
              </w:rPr>
            </w:pPr>
            <w:r>
              <w:rPr>
                <w:rFonts w:hint="eastAsia" w:cs="Times New Roman"/>
                <w:color w:val="auto"/>
                <w:szCs w:val="21"/>
                <w:lang w:eastAsia="zh-CN"/>
              </w:rPr>
              <w:t>溶剂</w:t>
            </w:r>
            <w:r>
              <w:rPr>
                <w:rFonts w:hint="default" w:ascii="Times New Roman" w:hAnsi="Times New Roman" w:cs="Times New Roman"/>
                <w:color w:val="auto"/>
                <w:szCs w:val="21"/>
              </w:rPr>
              <w:t>沸点为165℃。在工艺升温阶段（常温→180℃），</w:t>
            </w:r>
            <w:r>
              <w:rPr>
                <w:rFonts w:hint="eastAsia" w:cs="Times New Roman"/>
                <w:color w:val="auto"/>
                <w:szCs w:val="21"/>
                <w:lang w:eastAsia="zh-CN"/>
              </w:rPr>
              <w:t>溶剂</w:t>
            </w:r>
            <w:r>
              <w:rPr>
                <w:rFonts w:hint="default" w:ascii="Times New Roman" w:hAnsi="Times New Roman" w:cs="Times New Roman"/>
                <w:color w:val="auto"/>
                <w:szCs w:val="21"/>
              </w:rPr>
              <w:t>大量挥发并被集气系统收集；进入180~350℃高温段后，薄膜中几乎无</w:t>
            </w:r>
            <w:r>
              <w:rPr>
                <w:rFonts w:hint="eastAsia" w:cs="Times New Roman"/>
                <w:color w:val="auto"/>
                <w:szCs w:val="21"/>
                <w:lang w:eastAsia="zh-CN"/>
              </w:rPr>
              <w:t>溶剂</w:t>
            </w:r>
            <w:r>
              <w:rPr>
                <w:rFonts w:hint="default" w:ascii="Times New Roman" w:hAnsi="Times New Roman" w:cs="Times New Roman"/>
                <w:color w:val="auto"/>
                <w:szCs w:val="21"/>
              </w:rPr>
              <w:t>残留。整个过程仅发生</w:t>
            </w:r>
            <w:r>
              <w:rPr>
                <w:rFonts w:hint="eastAsia" w:cs="Times New Roman"/>
                <w:color w:val="auto"/>
                <w:szCs w:val="21"/>
                <w:lang w:eastAsia="zh-CN"/>
              </w:rPr>
              <w:t>溶剂</w:t>
            </w:r>
            <w:r>
              <w:rPr>
                <w:rFonts w:hint="default" w:ascii="Times New Roman" w:hAnsi="Times New Roman" w:cs="Times New Roman"/>
                <w:color w:val="auto"/>
                <w:szCs w:val="21"/>
              </w:rPr>
              <w:t>的物理挥发，无化学反应。</w:t>
            </w:r>
          </w:p>
          <w:p>
            <w:pPr>
              <w:spacing w:line="360" w:lineRule="auto"/>
              <w:ind w:firstLine="420" w:firstLineChars="200"/>
              <w:rPr>
                <w:rFonts w:hint="default" w:ascii="Times New Roman" w:hAnsi="Times New Roman" w:cs="Times New Roman"/>
                <w:color w:val="auto"/>
                <w:szCs w:val="21"/>
              </w:rPr>
            </w:pPr>
            <w:r>
              <w:rPr>
                <w:rFonts w:hint="default" w:ascii="Times New Roman" w:hAnsi="Times New Roman" w:cs="Times New Roman"/>
                <w:color w:val="auto"/>
                <w:szCs w:val="21"/>
              </w:rPr>
              <w:t>本项目原辅材料均为溶剂和浆料，不涉及粉状药剂；修边工序为薄膜剪切，无颗粒物产生。</w:t>
            </w:r>
          </w:p>
          <w:p>
            <w:pPr>
              <w:spacing w:line="360" w:lineRule="auto"/>
              <w:ind w:firstLine="420" w:firstLineChars="200"/>
              <w:rPr>
                <w:rFonts w:hint="default" w:ascii="Times New Roman" w:hAnsi="Times New Roman" w:cs="Times New Roman"/>
                <w:color w:val="auto"/>
                <w:szCs w:val="21"/>
              </w:rPr>
            </w:pPr>
            <w:r>
              <w:rPr>
                <w:rFonts w:hint="default" w:ascii="Times New Roman" w:hAnsi="Times New Roman" w:cs="Times New Roman"/>
                <w:color w:val="auto"/>
                <w:szCs w:val="21"/>
              </w:rPr>
              <w:t>综上，本项目废气污染物为：（1）</w:t>
            </w:r>
            <w:r>
              <w:rPr>
                <w:rFonts w:hint="eastAsia" w:cs="Times New Roman"/>
                <w:color w:val="auto"/>
                <w:szCs w:val="21"/>
                <w:lang w:eastAsia="zh-CN"/>
              </w:rPr>
              <w:t>溶剂</w:t>
            </w:r>
            <w:r>
              <w:rPr>
                <w:rFonts w:hint="default" w:ascii="Times New Roman" w:hAnsi="Times New Roman" w:cs="Times New Roman"/>
                <w:color w:val="auto"/>
                <w:szCs w:val="21"/>
              </w:rPr>
              <w:t>挥发产生的有机废气（G1，来自稀释、消泡、流延拉膜及后处理）；（2）喷淋废水精馏回收</w:t>
            </w:r>
            <w:r>
              <w:rPr>
                <w:rFonts w:hint="eastAsia" w:cs="Times New Roman"/>
                <w:color w:val="auto"/>
                <w:szCs w:val="21"/>
                <w:lang w:eastAsia="zh-CN"/>
              </w:rPr>
              <w:t>溶剂</w:t>
            </w:r>
            <w:r>
              <w:rPr>
                <w:rFonts w:hint="default" w:ascii="Times New Roman" w:hAnsi="Times New Roman" w:cs="Times New Roman"/>
                <w:color w:val="auto"/>
                <w:szCs w:val="21"/>
              </w:rPr>
              <w:t>过程产生的塔顶不凝气（G2）。</w:t>
            </w:r>
          </w:p>
          <w:p>
            <w:pPr>
              <w:spacing w:line="360" w:lineRule="auto"/>
              <w:ind w:firstLine="422" w:firstLineChars="200"/>
              <w:rPr>
                <w:rFonts w:hint="eastAsia"/>
                <w:b/>
                <w:bCs/>
                <w:color w:val="auto"/>
                <w:szCs w:val="21"/>
              </w:rPr>
            </w:pPr>
            <w:r>
              <w:rPr>
                <w:rFonts w:hint="eastAsia" w:ascii="宋体" w:hAnsi="宋体"/>
                <w:b/>
                <w:bCs/>
                <w:color w:val="auto"/>
                <w:szCs w:val="21"/>
              </w:rPr>
              <w:t>（</w:t>
            </w:r>
            <w:r>
              <w:rPr>
                <w:rFonts w:ascii="宋体" w:hAnsi="宋体"/>
                <w:b/>
                <w:bCs/>
                <w:color w:val="auto"/>
                <w:szCs w:val="21"/>
              </w:rPr>
              <w:t>2</w:t>
            </w:r>
            <w:r>
              <w:rPr>
                <w:rFonts w:hint="eastAsia" w:ascii="宋体" w:hAnsi="宋体"/>
                <w:b/>
                <w:bCs/>
                <w:color w:val="auto"/>
                <w:szCs w:val="21"/>
              </w:rPr>
              <w:t>）污染源强核算</w:t>
            </w:r>
          </w:p>
          <w:p>
            <w:pPr>
              <w:spacing w:line="360" w:lineRule="auto"/>
              <w:ind w:firstLine="420" w:firstLineChars="200"/>
              <w:rPr>
                <w:rFonts w:hint="eastAsia"/>
                <w:color w:val="auto"/>
                <w:szCs w:val="21"/>
                <w:lang w:val="en-US" w:eastAsia="zh-CN"/>
              </w:rPr>
            </w:pPr>
            <w:r>
              <w:rPr>
                <w:rFonts w:hint="eastAsia"/>
                <w:color w:val="auto"/>
                <w:szCs w:val="21"/>
                <w:lang w:val="en-US" w:eastAsia="zh-CN"/>
              </w:rPr>
              <w:t>本次扩建工程污染源强核算采用物料衡算法。有机废气中溶剂的产生源强根据物料衡算确定：投入物料中的溶剂溶剂总量为280 t/a，工艺过程全部以气态形式挥发，据此作为废气污染物产生源强，核算方法如下：</w:t>
            </w:r>
          </w:p>
          <w:p>
            <w:pPr>
              <w:spacing w:before="194" w:beforeLines="50"/>
              <w:jc w:val="center"/>
              <w:outlineLvl w:val="5"/>
              <w:rPr>
                <w:rFonts w:hint="eastAsia"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表4-3 废气污染源强核算方法一览表</w:t>
            </w:r>
          </w:p>
          <w:tbl>
            <w:tblPr>
              <w:tblStyle w:val="19"/>
              <w:tblW w:w="7946" w:type="dxa"/>
              <w:tblInd w:w="1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30"/>
              <w:gridCol w:w="1368"/>
              <w:gridCol w:w="1688"/>
              <w:gridCol w:w="2362"/>
              <w:gridCol w:w="1398"/>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1130" w:type="dxa"/>
                  <w:tcBorders>
                    <w:top w:val="single" w:color="auto" w:sz="4" w:space="0"/>
                    <w:left w:val="single" w:color="auto" w:sz="4" w:space="0"/>
                  </w:tcBorders>
                  <w:noWrap w:val="0"/>
                  <w:vAlign w:val="center"/>
                </w:tcPr>
                <w:p>
                  <w:pPr>
                    <w:jc w:val="center"/>
                    <w:rPr>
                      <w:rFonts w:hint="eastAsia"/>
                      <w:b/>
                      <w:bCs/>
                      <w:color w:val="auto"/>
                      <w:sz w:val="18"/>
                      <w:szCs w:val="18"/>
                      <w:highlight w:val="none"/>
                    </w:rPr>
                  </w:pPr>
                  <w:r>
                    <w:rPr>
                      <w:rFonts w:hint="eastAsia"/>
                      <w:b/>
                      <w:bCs/>
                      <w:color w:val="auto"/>
                      <w:sz w:val="18"/>
                      <w:szCs w:val="18"/>
                      <w:highlight w:val="none"/>
                    </w:rPr>
                    <w:t>核算方法</w:t>
                  </w:r>
                </w:p>
              </w:tc>
              <w:tc>
                <w:tcPr>
                  <w:tcW w:w="1368" w:type="dxa"/>
                  <w:tcBorders>
                    <w:top w:val="single" w:color="auto" w:sz="4" w:space="0"/>
                  </w:tcBorders>
                  <w:noWrap w:val="0"/>
                  <w:vAlign w:val="center"/>
                </w:tcPr>
                <w:p>
                  <w:pPr>
                    <w:jc w:val="center"/>
                    <w:rPr>
                      <w:rFonts w:hint="eastAsia"/>
                      <w:b/>
                      <w:bCs/>
                      <w:color w:val="auto"/>
                      <w:sz w:val="18"/>
                      <w:szCs w:val="18"/>
                      <w:highlight w:val="none"/>
                    </w:rPr>
                  </w:pPr>
                  <w:r>
                    <w:rPr>
                      <w:rFonts w:hint="eastAsia"/>
                      <w:b/>
                      <w:bCs/>
                      <w:color w:val="auto"/>
                      <w:sz w:val="18"/>
                      <w:szCs w:val="18"/>
                      <w:highlight w:val="none"/>
                    </w:rPr>
                    <w:t>废气类型</w:t>
                  </w:r>
                </w:p>
              </w:tc>
              <w:tc>
                <w:tcPr>
                  <w:tcW w:w="1688" w:type="dxa"/>
                  <w:tcBorders>
                    <w:top w:val="single" w:color="auto" w:sz="4" w:space="0"/>
                  </w:tcBorders>
                  <w:noWrap w:val="0"/>
                  <w:vAlign w:val="center"/>
                </w:tcPr>
                <w:p>
                  <w:pPr>
                    <w:jc w:val="center"/>
                    <w:rPr>
                      <w:rFonts w:hint="eastAsia"/>
                      <w:b/>
                      <w:bCs/>
                      <w:color w:val="auto"/>
                      <w:sz w:val="18"/>
                      <w:szCs w:val="18"/>
                      <w:highlight w:val="none"/>
                    </w:rPr>
                  </w:pPr>
                  <w:r>
                    <w:rPr>
                      <w:rFonts w:hint="eastAsia"/>
                      <w:b/>
                      <w:bCs/>
                      <w:color w:val="auto"/>
                      <w:sz w:val="18"/>
                      <w:szCs w:val="18"/>
                      <w:highlight w:val="none"/>
                    </w:rPr>
                    <w:t>污染因子</w:t>
                  </w:r>
                </w:p>
              </w:tc>
              <w:tc>
                <w:tcPr>
                  <w:tcW w:w="2362" w:type="dxa"/>
                  <w:tcBorders>
                    <w:top w:val="single" w:color="auto" w:sz="4" w:space="0"/>
                  </w:tcBorders>
                  <w:noWrap w:val="0"/>
                  <w:vAlign w:val="center"/>
                </w:tcPr>
                <w:p>
                  <w:pPr>
                    <w:jc w:val="center"/>
                    <w:rPr>
                      <w:rFonts w:hint="eastAsia"/>
                      <w:b/>
                      <w:bCs/>
                      <w:color w:val="auto"/>
                      <w:sz w:val="18"/>
                      <w:szCs w:val="18"/>
                      <w:highlight w:val="none"/>
                    </w:rPr>
                  </w:pPr>
                  <w:r>
                    <w:rPr>
                      <w:rFonts w:hint="eastAsia"/>
                      <w:b/>
                      <w:bCs/>
                      <w:color w:val="auto"/>
                      <w:sz w:val="18"/>
                      <w:szCs w:val="18"/>
                      <w:highlight w:val="none"/>
                    </w:rPr>
                    <w:t>来源</w:t>
                  </w:r>
                </w:p>
              </w:tc>
              <w:tc>
                <w:tcPr>
                  <w:tcW w:w="1398" w:type="dxa"/>
                  <w:tcBorders>
                    <w:top w:val="single" w:color="auto" w:sz="4" w:space="0"/>
                    <w:right w:val="single" w:color="auto" w:sz="4" w:space="0"/>
                  </w:tcBorders>
                  <w:noWrap w:val="0"/>
                  <w:vAlign w:val="center"/>
                </w:tcPr>
                <w:p>
                  <w:pPr>
                    <w:jc w:val="center"/>
                    <w:rPr>
                      <w:rFonts w:hint="eastAsia"/>
                      <w:b/>
                      <w:bCs/>
                      <w:color w:val="auto"/>
                      <w:sz w:val="18"/>
                      <w:szCs w:val="18"/>
                      <w:highlight w:val="none"/>
                    </w:rPr>
                  </w:pPr>
                  <w:r>
                    <w:rPr>
                      <w:rFonts w:hint="eastAsia"/>
                      <w:b/>
                      <w:bCs/>
                      <w:color w:val="auto"/>
                      <w:sz w:val="18"/>
                      <w:szCs w:val="18"/>
                      <w:highlight w:val="none"/>
                    </w:rPr>
                    <w:t>取值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1130" w:type="dxa"/>
                  <w:tcBorders>
                    <w:left w:val="single" w:color="auto" w:sz="4" w:space="0"/>
                  </w:tcBorders>
                  <w:noWrap w:val="0"/>
                  <w:vAlign w:val="center"/>
                </w:tcPr>
                <w:p>
                  <w:pPr>
                    <w:jc w:val="center"/>
                    <w:rPr>
                      <w:b/>
                      <w:bCs/>
                      <w:color w:val="auto"/>
                      <w:sz w:val="18"/>
                      <w:szCs w:val="18"/>
                      <w:highlight w:val="none"/>
                    </w:rPr>
                  </w:pPr>
                  <w:r>
                    <w:rPr>
                      <w:rFonts w:hint="eastAsia"/>
                      <w:color w:val="auto"/>
                      <w:sz w:val="18"/>
                      <w:szCs w:val="18"/>
                      <w:highlight w:val="none"/>
                    </w:rPr>
                    <w:t>物料衡算法</w:t>
                  </w:r>
                </w:p>
              </w:tc>
              <w:tc>
                <w:tcPr>
                  <w:tcW w:w="1368" w:type="dxa"/>
                  <w:noWrap w:val="0"/>
                  <w:vAlign w:val="center"/>
                </w:tcPr>
                <w:p>
                  <w:pPr>
                    <w:jc w:val="center"/>
                    <w:rPr>
                      <w:rFonts w:hint="eastAsia"/>
                      <w:b/>
                      <w:bCs/>
                      <w:color w:val="auto"/>
                      <w:sz w:val="18"/>
                      <w:szCs w:val="18"/>
                      <w:highlight w:val="none"/>
                    </w:rPr>
                  </w:pPr>
                  <w:r>
                    <w:rPr>
                      <w:rFonts w:hint="eastAsia"/>
                      <w:color w:val="auto"/>
                      <w:sz w:val="18"/>
                      <w:szCs w:val="18"/>
                      <w:highlight w:val="none"/>
                      <w:lang w:val="en-US" w:eastAsia="zh-CN"/>
                    </w:rPr>
                    <w:t>有机废气</w:t>
                  </w:r>
                  <w:r>
                    <w:rPr>
                      <w:rFonts w:hint="eastAsia"/>
                      <w:color w:val="auto"/>
                      <w:sz w:val="18"/>
                      <w:szCs w:val="18"/>
                      <w:highlight w:val="none"/>
                    </w:rPr>
                    <w:t>G1、</w:t>
                  </w:r>
                  <w:r>
                    <w:rPr>
                      <w:rFonts w:hint="eastAsia"/>
                      <w:color w:val="auto"/>
                      <w:sz w:val="18"/>
                      <w:szCs w:val="18"/>
                      <w:highlight w:val="none"/>
                      <w:lang w:val="en-US" w:eastAsia="zh-CN"/>
                    </w:rPr>
                    <w:t>塔顶不凝气</w:t>
                  </w:r>
                  <w:r>
                    <w:rPr>
                      <w:rFonts w:hint="eastAsia"/>
                      <w:color w:val="auto"/>
                      <w:sz w:val="18"/>
                      <w:szCs w:val="18"/>
                      <w:highlight w:val="none"/>
                    </w:rPr>
                    <w:t>G2</w:t>
                  </w:r>
                </w:p>
              </w:tc>
              <w:tc>
                <w:tcPr>
                  <w:tcW w:w="1688" w:type="dxa"/>
                  <w:noWrap w:val="0"/>
                  <w:vAlign w:val="center"/>
                </w:tcPr>
                <w:p>
                  <w:pPr>
                    <w:jc w:val="center"/>
                    <w:rPr>
                      <w:rFonts w:hint="default" w:eastAsia="宋体"/>
                      <w:b/>
                      <w:bCs/>
                      <w:color w:val="auto"/>
                      <w:sz w:val="18"/>
                      <w:szCs w:val="18"/>
                      <w:highlight w:val="none"/>
                      <w:lang w:val="en-US" w:eastAsia="zh-CN"/>
                    </w:rPr>
                  </w:pPr>
                  <w:r>
                    <w:rPr>
                      <w:rFonts w:hint="eastAsia"/>
                      <w:color w:val="auto"/>
                      <w:sz w:val="18"/>
                      <w:szCs w:val="18"/>
                      <w:highlight w:val="none"/>
                      <w:lang w:val="en-US" w:eastAsia="zh-CN"/>
                    </w:rPr>
                    <w:t>溶剂（以非甲烷总烃计）</w:t>
                  </w:r>
                </w:p>
              </w:tc>
              <w:tc>
                <w:tcPr>
                  <w:tcW w:w="2362" w:type="dxa"/>
                  <w:noWrap w:val="0"/>
                  <w:vAlign w:val="center"/>
                </w:tcPr>
                <w:p>
                  <w:pPr>
                    <w:rPr>
                      <w:rFonts w:hint="default" w:eastAsia="宋体"/>
                      <w:color w:val="auto"/>
                      <w:sz w:val="18"/>
                      <w:szCs w:val="18"/>
                      <w:highlight w:val="none"/>
                      <w:lang w:val="en-US" w:eastAsia="zh-CN"/>
                    </w:rPr>
                  </w:pPr>
                  <w:r>
                    <w:rPr>
                      <w:rFonts w:hint="eastAsia"/>
                      <w:color w:val="auto"/>
                      <w:sz w:val="18"/>
                      <w:szCs w:val="18"/>
                      <w:highlight w:val="none"/>
                      <w:lang w:val="en-US" w:eastAsia="zh-CN"/>
                    </w:rPr>
                    <w:t>根据</w:t>
                  </w:r>
                  <w:r>
                    <w:rPr>
                      <w:rFonts w:hint="eastAsia"/>
                      <w:color w:val="auto"/>
                      <w:sz w:val="18"/>
                      <w:szCs w:val="18"/>
                      <w:highlight w:val="none"/>
                    </w:rPr>
                    <w:t>图2-1 物料平衡</w:t>
                  </w:r>
                  <w:r>
                    <w:rPr>
                      <w:rFonts w:hint="eastAsia"/>
                      <w:color w:val="auto"/>
                      <w:sz w:val="18"/>
                      <w:szCs w:val="18"/>
                      <w:highlight w:val="none"/>
                      <w:lang w:eastAsia="zh-CN"/>
                    </w:rPr>
                    <w:t>、</w:t>
                  </w:r>
                  <w:r>
                    <w:rPr>
                      <w:rFonts w:hint="eastAsia"/>
                      <w:color w:val="auto"/>
                      <w:sz w:val="18"/>
                      <w:szCs w:val="18"/>
                      <w:highlight w:val="none"/>
                      <w:lang w:val="en-US" w:eastAsia="zh-CN"/>
                    </w:rPr>
                    <w:t>表2-7总物料平衡表、表2-8溶剂物料平衡表计算得到</w:t>
                  </w:r>
                </w:p>
              </w:tc>
              <w:tc>
                <w:tcPr>
                  <w:tcW w:w="1398" w:type="dxa"/>
                  <w:tcBorders>
                    <w:right w:val="single" w:color="auto" w:sz="4" w:space="0"/>
                  </w:tcBorders>
                  <w:noWrap w:val="0"/>
                  <w:vAlign w:val="center"/>
                </w:tcPr>
                <w:p>
                  <w:pPr>
                    <w:rPr>
                      <w:rFonts w:hint="default" w:eastAsia="宋体"/>
                      <w:color w:val="auto"/>
                      <w:sz w:val="18"/>
                      <w:szCs w:val="18"/>
                      <w:highlight w:val="none"/>
                      <w:lang w:val="en-US" w:eastAsia="zh-CN"/>
                    </w:rPr>
                  </w:pPr>
                  <w:r>
                    <w:rPr>
                      <w:rFonts w:hint="eastAsia"/>
                      <w:color w:val="auto"/>
                      <w:sz w:val="18"/>
                      <w:szCs w:val="18"/>
                      <w:highlight w:val="none"/>
                      <w:lang w:val="en-US" w:eastAsia="zh-CN"/>
                    </w:rPr>
                    <w:t>溶剂源强280t/a</w:t>
                  </w:r>
                </w:p>
              </w:tc>
            </w:tr>
          </w:tbl>
          <w:p>
            <w:pPr>
              <w:spacing w:line="360" w:lineRule="auto"/>
              <w:ind w:firstLine="422" w:firstLineChars="200"/>
              <w:rPr>
                <w:b/>
                <w:bCs/>
                <w:color w:val="auto"/>
                <w:szCs w:val="21"/>
              </w:rPr>
            </w:pPr>
            <w:r>
              <w:rPr>
                <w:rFonts w:hint="eastAsia" w:ascii="宋体" w:hAnsi="宋体" w:cs="宋体"/>
                <w:b/>
                <w:bCs/>
                <w:color w:val="auto"/>
                <w:szCs w:val="21"/>
              </w:rPr>
              <w:t>①</w:t>
            </w:r>
            <w:r>
              <w:rPr>
                <w:rFonts w:hint="eastAsia"/>
                <w:b/>
                <w:bCs/>
                <w:color w:val="auto"/>
                <w:szCs w:val="21"/>
              </w:rPr>
              <w:t>有机废气（G1）</w:t>
            </w:r>
          </w:p>
          <w:p>
            <w:pPr>
              <w:spacing w:line="360" w:lineRule="auto"/>
              <w:ind w:firstLine="422" w:firstLineChars="200"/>
              <w:rPr>
                <w:b/>
                <w:bCs/>
                <w:color w:val="auto"/>
                <w:szCs w:val="21"/>
              </w:rPr>
            </w:pPr>
            <w:r>
              <w:rPr>
                <w:b/>
                <w:bCs/>
                <w:color w:val="auto"/>
                <w:szCs w:val="21"/>
              </w:rPr>
              <w:t>工程源强计算过程如下：</w:t>
            </w:r>
          </w:p>
          <w:p>
            <w:pPr>
              <w:spacing w:line="360" w:lineRule="auto"/>
              <w:ind w:firstLine="420" w:firstLineChars="200"/>
              <w:rPr>
                <w:color w:val="auto"/>
                <w:szCs w:val="21"/>
              </w:rPr>
            </w:pPr>
            <w:r>
              <w:rPr>
                <w:rFonts w:hint="eastAsia"/>
                <w:color w:val="auto"/>
                <w:szCs w:val="21"/>
              </w:rPr>
              <w:t>本次评价有机废气G1的污染因子按</w:t>
            </w:r>
            <w:r>
              <w:rPr>
                <w:rFonts w:hint="eastAsia"/>
                <w:color w:val="auto"/>
                <w:szCs w:val="21"/>
                <w:lang w:eastAsia="zh-CN"/>
              </w:rPr>
              <w:t>溶剂</w:t>
            </w:r>
            <w:r>
              <w:rPr>
                <w:rFonts w:hint="eastAsia"/>
                <w:color w:val="auto"/>
                <w:szCs w:val="21"/>
              </w:rPr>
              <w:t>100%挥发考虑。根据物料平衡，本项目</w:t>
            </w:r>
            <w:r>
              <w:rPr>
                <w:rFonts w:hint="eastAsia"/>
                <w:color w:val="auto"/>
                <w:szCs w:val="21"/>
                <w:lang w:eastAsia="zh-CN"/>
              </w:rPr>
              <w:t>溶剂</w:t>
            </w:r>
            <w:r>
              <w:rPr>
                <w:rFonts w:hint="eastAsia"/>
                <w:color w:val="auto"/>
                <w:szCs w:val="21"/>
              </w:rPr>
              <w:t>年用量为280t，挥发性有机物以非甲烷总烃计，则G1非甲烷总烃产生量为280t/a。</w:t>
            </w:r>
          </w:p>
          <w:p>
            <w:pPr>
              <w:spacing w:line="360" w:lineRule="auto"/>
              <w:ind w:firstLine="422" w:firstLineChars="200"/>
              <w:rPr>
                <w:b/>
                <w:bCs/>
                <w:color w:val="auto"/>
                <w:szCs w:val="21"/>
              </w:rPr>
            </w:pPr>
            <w:r>
              <w:rPr>
                <w:b/>
                <w:bCs/>
                <w:color w:val="auto"/>
                <w:szCs w:val="21"/>
              </w:rPr>
              <w:t>废气处理措施</w:t>
            </w:r>
            <w:r>
              <w:rPr>
                <w:rFonts w:hint="eastAsia"/>
                <w:b/>
                <w:bCs/>
                <w:color w:val="auto"/>
                <w:szCs w:val="21"/>
              </w:rPr>
              <w:t>：</w:t>
            </w:r>
          </w:p>
          <w:p>
            <w:pPr>
              <w:spacing w:line="360" w:lineRule="auto"/>
              <w:ind w:firstLine="420" w:firstLineChars="200"/>
              <w:rPr>
                <w:color w:val="auto"/>
                <w:szCs w:val="21"/>
              </w:rPr>
            </w:pPr>
            <w:r>
              <w:rPr>
                <w:rFonts w:hint="eastAsia"/>
                <w:color w:val="auto"/>
                <w:szCs w:val="21"/>
                <w:lang w:val="en-US" w:eastAsia="zh-CN"/>
              </w:rPr>
              <w:t>本项目设有带气闸的密闭洁净房，形成双层密闭结构。其中，涉及G1有机废气的产污工序均在密闭设备内运行，而这些设备置于该洁净房中；同时，薄膜收卷、去边、后处理及检验等环节也全部在该配备气闸的密闭洁净房内完成，由此构成完整的双层密闭空间。</w:t>
            </w:r>
            <w:r>
              <w:rPr>
                <w:rFonts w:hint="eastAsia"/>
                <w:color w:val="auto"/>
                <w:szCs w:val="21"/>
              </w:rPr>
              <w:t>参考《广东省生态环境厅关于印发工业源挥发性有机物和氮氧化物减排量核算方法的通知》（粤环函〔2023〕538号）中关于双层密闭空间收集效率的规定，本次评价G1有机废气收集效率取98%。</w:t>
            </w:r>
          </w:p>
          <w:p>
            <w:pPr>
              <w:spacing w:line="360" w:lineRule="auto"/>
              <w:ind w:firstLine="420" w:firstLineChars="200"/>
              <w:rPr>
                <w:color w:val="auto"/>
                <w:szCs w:val="21"/>
              </w:rPr>
            </w:pPr>
            <w:r>
              <w:rPr>
                <w:rFonts w:hint="eastAsia"/>
                <w:color w:val="auto"/>
                <w:szCs w:val="21"/>
              </w:rPr>
              <w:t>G1有机废气收集引入二级冷凝+一级水喷淋</w:t>
            </w:r>
            <w:r>
              <w:rPr>
                <w:rFonts w:hint="eastAsia"/>
                <w:color w:val="auto"/>
                <w:szCs w:val="21"/>
                <w:lang w:val="en-US" w:eastAsia="zh-CN"/>
              </w:rPr>
              <w:t>+</w:t>
            </w:r>
            <w:r>
              <w:rPr>
                <w:rFonts w:hint="eastAsia"/>
                <w:color w:val="auto"/>
                <w:szCs w:val="21"/>
              </w:rPr>
              <w:t>活性炭吸附</w:t>
            </w:r>
            <w:r>
              <w:rPr>
                <w:rFonts w:hint="eastAsia"/>
                <w:color w:val="auto"/>
                <w:szCs w:val="21"/>
                <w:lang w:val="en-US" w:eastAsia="zh-CN"/>
              </w:rPr>
              <w:t>处理</w:t>
            </w:r>
            <w:r>
              <w:rPr>
                <w:rFonts w:hint="eastAsia"/>
                <w:color w:val="auto"/>
                <w:szCs w:val="21"/>
              </w:rPr>
              <w:t>。</w:t>
            </w:r>
          </w:p>
          <w:p>
            <w:pPr>
              <w:spacing w:line="360" w:lineRule="auto"/>
              <w:ind w:firstLine="420" w:firstLineChars="200"/>
              <w:rPr>
                <w:color w:val="auto"/>
                <w:szCs w:val="21"/>
              </w:rPr>
            </w:pPr>
            <w:r>
              <w:rPr>
                <w:rFonts w:hint="eastAsia"/>
                <w:color w:val="auto"/>
                <w:szCs w:val="21"/>
              </w:rPr>
              <w:t>本项目二级冷凝和一级循环水喷淋对</w:t>
            </w:r>
            <w:r>
              <w:rPr>
                <w:rFonts w:hint="eastAsia"/>
                <w:color w:val="auto"/>
                <w:szCs w:val="21"/>
                <w:lang w:eastAsia="zh-CN"/>
              </w:rPr>
              <w:t>溶剂</w:t>
            </w:r>
            <w:r>
              <w:rPr>
                <w:rFonts w:hint="eastAsia"/>
                <w:color w:val="auto"/>
                <w:szCs w:val="21"/>
              </w:rPr>
              <w:t>的回收去除效率，参考耿其博等在“有机污染物的分析、环境行为和污染控制”学术讨论会上的报告《含</w:t>
            </w:r>
            <w:r>
              <w:rPr>
                <w:rFonts w:hint="eastAsia"/>
                <w:color w:val="auto"/>
                <w:szCs w:val="21"/>
                <w:lang w:eastAsia="zh-CN"/>
              </w:rPr>
              <w:t>溶剂</w:t>
            </w:r>
            <w:r>
              <w:rPr>
                <w:rFonts w:hint="eastAsia"/>
                <w:color w:val="auto"/>
                <w:szCs w:val="21"/>
              </w:rPr>
              <w:t>废气的回收与治理》（北京工业大学，Vol.5，(04)：14-19）。该报告针对</w:t>
            </w:r>
            <w:r>
              <w:rPr>
                <w:rFonts w:hint="eastAsia"/>
                <w:color w:val="auto"/>
                <w:szCs w:val="21"/>
                <w:lang w:eastAsia="zh-CN"/>
              </w:rPr>
              <w:t>原料</w:t>
            </w:r>
            <w:r>
              <w:rPr>
                <w:rFonts w:hint="eastAsia"/>
                <w:color w:val="auto"/>
                <w:szCs w:val="21"/>
              </w:rPr>
              <w:t>生产过程产生的含</w:t>
            </w:r>
            <w:r>
              <w:rPr>
                <w:rFonts w:hint="eastAsia"/>
                <w:color w:val="auto"/>
                <w:szCs w:val="21"/>
                <w:lang w:eastAsia="zh-CN"/>
              </w:rPr>
              <w:t>溶剂</w:t>
            </w:r>
            <w:r>
              <w:rPr>
                <w:rFonts w:hint="eastAsia"/>
                <w:color w:val="auto"/>
                <w:szCs w:val="21"/>
              </w:rPr>
              <w:t>废气，提出采用二级冷凝+单级水喷淋的回收治理策略，对160℃-170℃的</w:t>
            </w:r>
            <w:r>
              <w:rPr>
                <w:rFonts w:hint="eastAsia"/>
                <w:color w:val="auto"/>
                <w:szCs w:val="21"/>
                <w:lang w:val="en-US" w:eastAsia="zh-CN"/>
              </w:rPr>
              <w:t>高浓度</w:t>
            </w:r>
            <w:r>
              <w:rPr>
                <w:rFonts w:hint="eastAsia"/>
                <w:color w:val="auto"/>
                <w:szCs w:val="21"/>
              </w:rPr>
              <w:t>（5000-65000mg/m</w:t>
            </w:r>
            <w:r>
              <w:rPr>
                <w:rFonts w:hint="eastAsia"/>
                <w:color w:val="auto"/>
                <w:szCs w:val="21"/>
                <w:vertAlign w:val="superscript"/>
              </w:rPr>
              <w:t>3</w:t>
            </w:r>
            <w:r>
              <w:rPr>
                <w:rFonts w:hint="eastAsia"/>
                <w:color w:val="auto"/>
                <w:szCs w:val="21"/>
              </w:rPr>
              <w:t>）</w:t>
            </w:r>
            <w:r>
              <w:rPr>
                <w:rFonts w:hint="eastAsia"/>
                <w:color w:val="auto"/>
                <w:szCs w:val="21"/>
                <w:lang w:eastAsia="zh-CN"/>
              </w:rPr>
              <w:t>溶剂</w:t>
            </w:r>
            <w:r>
              <w:rPr>
                <w:rFonts w:hint="eastAsia"/>
                <w:color w:val="auto"/>
                <w:szCs w:val="21"/>
              </w:rPr>
              <w:t>废气进行处理：二级冷凝对</w:t>
            </w:r>
            <w:r>
              <w:rPr>
                <w:rFonts w:hint="eastAsia"/>
                <w:color w:val="auto"/>
                <w:szCs w:val="21"/>
                <w:lang w:val="en-US" w:eastAsia="zh-CN"/>
              </w:rPr>
              <w:t>高浓度</w:t>
            </w:r>
            <w:r>
              <w:rPr>
                <w:rFonts w:hint="eastAsia"/>
                <w:color w:val="auto"/>
                <w:szCs w:val="21"/>
              </w:rPr>
              <w:t>废气平均回收效率为9</w:t>
            </w:r>
            <w:r>
              <w:rPr>
                <w:rFonts w:hint="eastAsia"/>
                <w:color w:val="auto"/>
                <w:szCs w:val="21"/>
                <w:lang w:val="en-US" w:eastAsia="zh-CN"/>
              </w:rPr>
              <w:t>3</w:t>
            </w:r>
            <w:r>
              <w:rPr>
                <w:rFonts w:hint="eastAsia"/>
                <w:color w:val="auto"/>
                <w:szCs w:val="21"/>
              </w:rPr>
              <w:t>.</w:t>
            </w:r>
            <w:r>
              <w:rPr>
                <w:rFonts w:hint="eastAsia"/>
                <w:color w:val="auto"/>
                <w:szCs w:val="21"/>
                <w:lang w:val="en-US" w:eastAsia="zh-CN"/>
              </w:rPr>
              <w:t>8</w:t>
            </w:r>
            <w:r>
              <w:rPr>
                <w:rFonts w:hint="eastAsia"/>
                <w:color w:val="auto"/>
                <w:szCs w:val="21"/>
              </w:rPr>
              <w:t>%；单级水喷淋对二级冷凝后废气去除效率为90%。</w:t>
            </w:r>
          </w:p>
          <w:p>
            <w:pPr>
              <w:spacing w:line="360" w:lineRule="auto"/>
              <w:ind w:firstLine="420" w:firstLineChars="200"/>
              <w:rPr>
                <w:color w:val="auto"/>
                <w:szCs w:val="21"/>
              </w:rPr>
            </w:pPr>
            <w:r>
              <w:rPr>
                <w:rFonts w:hint="eastAsia"/>
                <w:color w:val="auto"/>
                <w:szCs w:val="21"/>
              </w:rPr>
              <w:t>本项目废气进气浓度约为3811.1mg/m</w:t>
            </w:r>
            <w:r>
              <w:rPr>
                <w:rFonts w:hint="eastAsia"/>
                <w:color w:val="auto"/>
                <w:szCs w:val="21"/>
                <w:vertAlign w:val="superscript"/>
              </w:rPr>
              <w:t>3</w:t>
            </w:r>
            <w:r>
              <w:rPr>
                <w:rFonts w:hint="eastAsia"/>
                <w:color w:val="auto"/>
                <w:szCs w:val="21"/>
              </w:rPr>
              <w:t>，</w:t>
            </w:r>
            <w:r>
              <w:rPr>
                <w:rFonts w:hint="eastAsia"/>
                <w:color w:val="auto"/>
                <w:szCs w:val="21"/>
                <w:lang w:val="en-US" w:eastAsia="zh-CN"/>
              </w:rPr>
              <w:t>属于高浓度有机废气</w:t>
            </w:r>
            <w:r>
              <w:rPr>
                <w:rFonts w:hint="eastAsia"/>
                <w:color w:val="auto"/>
                <w:szCs w:val="21"/>
              </w:rPr>
              <w:t>，并且本项目采用与报告相同的二级冷凝+一级水喷淋的处理措施。因此，该报告对本项目具有良好参考性。基于保守考虑，本次评价二级冷凝回收效率取90%，单级水喷淋去除效率按单级去除率90%计算。</w:t>
            </w:r>
          </w:p>
          <w:p>
            <w:pPr>
              <w:spacing w:line="360" w:lineRule="auto"/>
              <w:ind w:firstLine="420" w:firstLineChars="200"/>
              <w:rPr>
                <w:color w:val="auto"/>
                <w:szCs w:val="21"/>
              </w:rPr>
            </w:pPr>
            <w:r>
              <w:rPr>
                <w:rFonts w:hint="eastAsia"/>
                <w:color w:val="auto"/>
                <w:szCs w:val="21"/>
              </w:rPr>
              <w:t>活性炭吸附容量参考陈治良主编的《现代涂装手册》。该手册指出，活性炭的吸附容量一般为10%～40%，且对有机溶剂蒸气的吸附效率随有机物分子量和沸点的增大而提高。本项目活性炭主要用于吸附经二级冷凝和一级水喷淋后残留的</w:t>
            </w:r>
            <w:r>
              <w:rPr>
                <w:rFonts w:hint="eastAsia"/>
                <w:color w:val="auto"/>
                <w:szCs w:val="21"/>
                <w:lang w:eastAsia="zh-CN"/>
              </w:rPr>
              <w:t>溶剂</w:t>
            </w:r>
            <w:r>
              <w:rPr>
                <w:rFonts w:hint="eastAsia"/>
                <w:color w:val="auto"/>
                <w:szCs w:val="21"/>
              </w:rPr>
              <w:t>，</w:t>
            </w:r>
            <w:r>
              <w:rPr>
                <w:rFonts w:hint="eastAsia"/>
                <w:color w:val="auto"/>
                <w:szCs w:val="21"/>
                <w:lang w:eastAsia="zh-CN"/>
              </w:rPr>
              <w:t>溶剂</w:t>
            </w:r>
            <w:r>
              <w:rPr>
                <w:rFonts w:hint="eastAsia"/>
                <w:color w:val="auto"/>
                <w:szCs w:val="21"/>
              </w:rPr>
              <w:t>分子量为87.12g/mol，沸点约165℃，属于分子量和沸点均较高的有机物。基于此，本次评价活性炭吸附容量取30%，对</w:t>
            </w:r>
            <w:r>
              <w:rPr>
                <w:rFonts w:hint="eastAsia"/>
                <w:color w:val="auto"/>
                <w:szCs w:val="21"/>
                <w:lang w:eastAsia="zh-CN"/>
              </w:rPr>
              <w:t>溶剂</w:t>
            </w:r>
            <w:r>
              <w:rPr>
                <w:rFonts w:hint="eastAsia"/>
                <w:color w:val="auto"/>
                <w:szCs w:val="21"/>
              </w:rPr>
              <w:t>的去除效率相应取30%。则本项目对</w:t>
            </w:r>
            <w:r>
              <w:rPr>
                <w:rFonts w:hint="eastAsia"/>
                <w:color w:val="auto"/>
                <w:szCs w:val="21"/>
                <w:lang w:eastAsia="zh-CN"/>
              </w:rPr>
              <w:t>溶剂</w:t>
            </w:r>
            <w:r>
              <w:rPr>
                <w:rFonts w:hint="eastAsia"/>
                <w:color w:val="auto"/>
                <w:szCs w:val="21"/>
              </w:rPr>
              <w:t>的总体去除效率为99.3%。</w:t>
            </w:r>
          </w:p>
          <w:p>
            <w:pPr>
              <w:spacing w:line="360" w:lineRule="auto"/>
              <w:ind w:firstLine="420" w:firstLineChars="200"/>
              <w:rPr>
                <w:color w:val="auto"/>
                <w:szCs w:val="21"/>
              </w:rPr>
            </w:pPr>
            <w:r>
              <w:rPr>
                <w:rFonts w:hint="eastAsia"/>
                <w:color w:val="auto"/>
                <w:szCs w:val="21"/>
              </w:rPr>
              <w:t>G1有机废气处理设施设计风机总风量为10000m</w:t>
            </w:r>
            <w:r>
              <w:rPr>
                <w:rFonts w:hint="eastAsia"/>
                <w:color w:val="auto"/>
                <w:szCs w:val="21"/>
                <w:vertAlign w:val="superscript"/>
              </w:rPr>
              <w:t>3</w:t>
            </w:r>
            <w:r>
              <w:rPr>
                <w:rFonts w:hint="eastAsia"/>
                <w:color w:val="auto"/>
                <w:szCs w:val="21"/>
              </w:rPr>
              <w:t>/h，年工作时长7200h，G1有机废气处理设施基本情况见表</w:t>
            </w:r>
            <w:r>
              <w:rPr>
                <w:rFonts w:hint="eastAsia"/>
                <w:color w:val="auto"/>
                <w:szCs w:val="21"/>
                <w:lang w:val="en-US" w:eastAsia="zh-CN"/>
              </w:rPr>
              <w:t>4-4</w:t>
            </w:r>
            <w:r>
              <w:rPr>
                <w:rFonts w:hint="eastAsia"/>
                <w:color w:val="auto"/>
                <w:szCs w:val="21"/>
              </w:rPr>
              <w:t>，废气污染源产排情况见表</w:t>
            </w:r>
            <w:r>
              <w:rPr>
                <w:rFonts w:hint="eastAsia"/>
                <w:color w:val="auto"/>
                <w:szCs w:val="21"/>
                <w:lang w:val="en-US" w:eastAsia="zh-CN"/>
              </w:rPr>
              <w:t>4-5，G1废气流程见图4-1</w:t>
            </w:r>
            <w:r>
              <w:rPr>
                <w:rFonts w:hint="eastAsia"/>
                <w:color w:val="auto"/>
                <w:szCs w:val="21"/>
              </w:rPr>
              <w:t>。</w:t>
            </w:r>
          </w:p>
          <w:p>
            <w:pPr>
              <w:spacing w:line="360" w:lineRule="auto"/>
              <w:ind w:firstLine="422" w:firstLineChars="200"/>
              <w:rPr>
                <w:b/>
                <w:bCs/>
                <w:color w:val="auto"/>
                <w:szCs w:val="21"/>
              </w:rPr>
            </w:pPr>
            <w:r>
              <w:rPr>
                <w:rFonts w:hint="eastAsia" w:ascii="宋体" w:hAnsi="宋体" w:cs="宋体"/>
                <w:b/>
                <w:bCs/>
                <w:color w:val="auto"/>
                <w:szCs w:val="21"/>
              </w:rPr>
              <w:t>②</w:t>
            </w:r>
            <w:r>
              <w:rPr>
                <w:rFonts w:hint="eastAsia"/>
                <w:b/>
                <w:bCs/>
                <w:color w:val="auto"/>
                <w:szCs w:val="21"/>
              </w:rPr>
              <w:t>塔顶不凝气（G2）</w:t>
            </w:r>
          </w:p>
          <w:p>
            <w:pPr>
              <w:snapToGrid w:val="0"/>
              <w:spacing w:line="360" w:lineRule="auto"/>
              <w:ind w:firstLine="316" w:firstLineChars="150"/>
              <w:rPr>
                <w:b/>
                <w:bCs/>
                <w:color w:val="auto"/>
                <w:szCs w:val="21"/>
              </w:rPr>
            </w:pPr>
            <w:r>
              <w:rPr>
                <w:b/>
                <w:bCs/>
                <w:color w:val="auto"/>
                <w:szCs w:val="21"/>
              </w:rPr>
              <w:t>工程源强计算过程如下：</w:t>
            </w:r>
          </w:p>
          <w:p>
            <w:pPr>
              <w:spacing w:line="360" w:lineRule="auto"/>
              <w:ind w:firstLine="420" w:firstLineChars="200"/>
              <w:rPr>
                <w:color w:val="auto"/>
                <w:szCs w:val="21"/>
              </w:rPr>
            </w:pPr>
            <w:r>
              <w:rPr>
                <w:rFonts w:hint="eastAsia"/>
                <w:color w:val="auto"/>
                <w:szCs w:val="21"/>
              </w:rPr>
              <w:t>精馏塔塔顶不凝气主要来源于喷淋废水的精馏处理。根据物料平衡，进入喷淋废水的</w:t>
            </w:r>
            <w:r>
              <w:rPr>
                <w:rFonts w:hint="eastAsia"/>
                <w:color w:val="auto"/>
                <w:szCs w:val="21"/>
                <w:lang w:eastAsia="zh-CN"/>
              </w:rPr>
              <w:t>溶剂</w:t>
            </w:r>
            <w:r>
              <w:rPr>
                <w:rFonts w:hint="eastAsia"/>
                <w:color w:val="auto"/>
                <w:szCs w:val="21"/>
              </w:rPr>
              <w:t>总量为24.7t/a。利用水与</w:t>
            </w:r>
            <w:r>
              <w:rPr>
                <w:rFonts w:hint="eastAsia"/>
                <w:color w:val="auto"/>
                <w:szCs w:val="21"/>
                <w:lang w:eastAsia="zh-CN"/>
              </w:rPr>
              <w:t>溶剂</w:t>
            </w:r>
            <w:r>
              <w:rPr>
                <w:rFonts w:hint="eastAsia"/>
                <w:color w:val="auto"/>
                <w:szCs w:val="21"/>
              </w:rPr>
              <w:t>的沸点差异，通过精馏将水分离馏出，回收</w:t>
            </w:r>
            <w:r>
              <w:rPr>
                <w:rFonts w:hint="eastAsia"/>
                <w:color w:val="auto"/>
                <w:szCs w:val="21"/>
                <w:lang w:eastAsia="zh-CN"/>
              </w:rPr>
              <w:t>溶剂</w:t>
            </w:r>
            <w:r>
              <w:rPr>
                <w:rFonts w:hint="eastAsia"/>
                <w:color w:val="auto"/>
                <w:szCs w:val="21"/>
              </w:rPr>
              <w:t>23.46t/a，1.03t/a进入精馏釜残及精馏分离水相，剩余0.2t/a以不凝气形式存在。挥发性有机物以非甲烷总烃计，则G2非甲烷总烃产生量为0.2t/a。</w:t>
            </w:r>
          </w:p>
          <w:p>
            <w:pPr>
              <w:spacing w:line="360" w:lineRule="auto"/>
              <w:ind w:firstLine="422" w:firstLineChars="200"/>
              <w:rPr>
                <w:b/>
                <w:bCs/>
                <w:color w:val="auto"/>
                <w:szCs w:val="21"/>
              </w:rPr>
            </w:pPr>
            <w:r>
              <w:rPr>
                <w:b/>
                <w:bCs/>
                <w:color w:val="auto"/>
                <w:szCs w:val="21"/>
              </w:rPr>
              <w:t>废气处理措施</w:t>
            </w:r>
            <w:r>
              <w:rPr>
                <w:rFonts w:hint="eastAsia"/>
                <w:b/>
                <w:bCs/>
                <w:color w:val="auto"/>
                <w:szCs w:val="21"/>
              </w:rPr>
              <w:t>：</w:t>
            </w:r>
          </w:p>
          <w:p>
            <w:pPr>
              <w:spacing w:line="336" w:lineRule="auto"/>
              <w:ind w:firstLine="420" w:firstLineChars="200"/>
              <w:rPr>
                <w:rFonts w:hint="eastAsia"/>
                <w:color w:val="auto"/>
                <w:szCs w:val="21"/>
              </w:rPr>
            </w:pPr>
            <w:r>
              <w:rPr>
                <w:rFonts w:hint="eastAsia"/>
                <w:color w:val="auto"/>
                <w:szCs w:val="21"/>
              </w:rPr>
              <w:t>G2塔顶不凝气经密闭管道</w:t>
            </w:r>
            <w:r>
              <w:rPr>
                <w:rFonts w:hint="eastAsia"/>
                <w:color w:val="auto"/>
                <w:szCs w:val="21"/>
                <w:lang w:val="en-US" w:eastAsia="zh-CN"/>
              </w:rPr>
              <w:t>直接</w:t>
            </w:r>
            <w:r>
              <w:rPr>
                <w:rFonts w:hint="eastAsia"/>
                <w:color w:val="auto"/>
                <w:szCs w:val="21"/>
              </w:rPr>
              <w:t>引入生产车间二</w:t>
            </w:r>
            <w:r>
              <w:rPr>
                <w:rFonts w:hint="eastAsia"/>
                <w:color w:val="auto"/>
                <w:szCs w:val="21"/>
                <w:lang w:val="en-US" w:eastAsia="zh-CN"/>
              </w:rPr>
              <w:t>已建</w:t>
            </w:r>
            <w:r>
              <w:rPr>
                <w:rFonts w:hint="eastAsia"/>
                <w:color w:val="auto"/>
                <w:szCs w:val="21"/>
              </w:rPr>
              <w:t>的一级水喷淋系统处理</w:t>
            </w:r>
            <w:r>
              <w:rPr>
                <w:rFonts w:hint="eastAsia"/>
                <w:color w:val="auto"/>
                <w:szCs w:val="21"/>
                <w:lang w:val="en-US" w:eastAsia="zh-CN"/>
              </w:rPr>
              <w:t>+活性炭吸附</w:t>
            </w:r>
            <w:r>
              <w:rPr>
                <w:rFonts w:hint="eastAsia"/>
                <w:color w:val="auto"/>
                <w:szCs w:val="21"/>
              </w:rPr>
              <w:t>，净化后依托该车间</w:t>
            </w:r>
            <w:r>
              <w:rPr>
                <w:rFonts w:hint="eastAsia"/>
                <w:color w:val="auto"/>
                <w:szCs w:val="21"/>
                <w:lang w:val="en-US" w:eastAsia="zh-CN"/>
              </w:rPr>
              <w:t>已建</w:t>
            </w:r>
            <w:r>
              <w:rPr>
                <w:rFonts w:hint="eastAsia"/>
                <w:color w:val="auto"/>
                <w:szCs w:val="21"/>
              </w:rPr>
              <w:t>15m排气筒（</w:t>
            </w:r>
            <w:r>
              <w:rPr>
                <w:rFonts w:hint="eastAsia"/>
                <w:color w:val="auto"/>
                <w:szCs w:val="21"/>
                <w:lang w:val="en-US" w:eastAsia="zh-CN"/>
              </w:rPr>
              <w:t>DA</w:t>
            </w:r>
            <w:r>
              <w:rPr>
                <w:rFonts w:hint="eastAsia"/>
                <w:color w:val="auto"/>
                <w:szCs w:val="21"/>
              </w:rPr>
              <w:t>002）有组织排放。</w:t>
            </w:r>
          </w:p>
          <w:p>
            <w:pPr>
              <w:spacing w:line="336" w:lineRule="auto"/>
              <w:ind w:firstLine="420" w:firstLineChars="200"/>
              <w:rPr>
                <w:rFonts w:hint="eastAsia"/>
                <w:color w:val="auto"/>
                <w:szCs w:val="21"/>
              </w:rPr>
            </w:pPr>
            <w:r>
              <w:rPr>
                <w:rFonts w:hint="eastAsia"/>
                <w:color w:val="auto"/>
                <w:szCs w:val="21"/>
              </w:rPr>
              <w:t>该喷淋系统与G1中的单级水喷淋均采用循环水吸附去除</w:t>
            </w:r>
            <w:r>
              <w:rPr>
                <w:rFonts w:hint="eastAsia"/>
                <w:color w:val="auto"/>
                <w:szCs w:val="21"/>
                <w:lang w:eastAsia="zh-CN"/>
              </w:rPr>
              <w:t>溶剂</w:t>
            </w:r>
            <w:r>
              <w:rPr>
                <w:rFonts w:hint="eastAsia"/>
                <w:color w:val="auto"/>
                <w:szCs w:val="21"/>
              </w:rPr>
              <w:t>，参照《含</w:t>
            </w:r>
            <w:r>
              <w:rPr>
                <w:rFonts w:hint="eastAsia"/>
                <w:color w:val="auto"/>
                <w:szCs w:val="21"/>
                <w:lang w:eastAsia="zh-CN"/>
              </w:rPr>
              <w:t>溶剂</w:t>
            </w:r>
            <w:r>
              <w:rPr>
                <w:rFonts w:hint="eastAsia"/>
                <w:color w:val="auto"/>
                <w:szCs w:val="21"/>
              </w:rPr>
              <w:t>废气的回收与治理》（北京工业大学，Vol.5，(04):14-19），其去除效率可达90%。但由于G2进气浓度较低</w:t>
            </w:r>
            <w:r>
              <w:rPr>
                <w:rFonts w:hint="eastAsia"/>
                <w:color w:val="auto"/>
                <w:szCs w:val="21"/>
                <w:lang w:eastAsia="zh-CN"/>
              </w:rPr>
              <w:t>（</w:t>
            </w:r>
            <w:r>
              <w:rPr>
                <w:rFonts w:hint="eastAsia"/>
                <w:color w:val="auto"/>
                <w:szCs w:val="21"/>
                <w:lang w:val="en-US" w:eastAsia="zh-CN"/>
              </w:rPr>
              <w:t>53.92mg/m</w:t>
            </w:r>
            <w:r>
              <w:rPr>
                <w:rFonts w:hint="eastAsia"/>
                <w:color w:val="auto"/>
                <w:szCs w:val="21"/>
                <w:vertAlign w:val="superscript"/>
                <w:lang w:val="en-US" w:eastAsia="zh-CN"/>
              </w:rPr>
              <w:t>3</w:t>
            </w:r>
            <w:r>
              <w:rPr>
                <w:rFonts w:hint="eastAsia"/>
                <w:color w:val="auto"/>
                <w:szCs w:val="21"/>
                <w:lang w:eastAsia="zh-CN"/>
              </w:rPr>
              <w:t>）</w:t>
            </w:r>
            <w:r>
              <w:rPr>
                <w:rFonts w:hint="eastAsia"/>
                <w:color w:val="auto"/>
                <w:szCs w:val="21"/>
              </w:rPr>
              <w:t>，本次评价保守取80%。经喷淋处理后，G2废气中</w:t>
            </w:r>
            <w:r>
              <w:rPr>
                <w:rFonts w:hint="eastAsia"/>
                <w:color w:val="auto"/>
                <w:szCs w:val="21"/>
                <w:lang w:eastAsia="zh-CN"/>
              </w:rPr>
              <w:t>溶剂</w:t>
            </w:r>
            <w:r>
              <w:rPr>
                <w:rFonts w:hint="eastAsia"/>
                <w:color w:val="auto"/>
                <w:szCs w:val="21"/>
              </w:rPr>
              <w:t>浓度已降至较低水平，活性炭吸附贡献有限，因此G2废气处理措施（单级水喷淋+活性炭吸附）总体去除效率仍取80%。</w:t>
            </w:r>
          </w:p>
          <w:p>
            <w:pPr>
              <w:spacing w:line="336" w:lineRule="auto"/>
              <w:ind w:firstLine="420" w:firstLineChars="200"/>
              <w:rPr>
                <w:rFonts w:hint="eastAsia"/>
                <w:color w:val="auto"/>
                <w:szCs w:val="21"/>
              </w:rPr>
            </w:pPr>
            <w:r>
              <w:rPr>
                <w:rFonts w:hint="eastAsia"/>
                <w:color w:val="auto"/>
                <w:szCs w:val="21"/>
              </w:rPr>
              <w:t>G2风机风量为</w:t>
            </w:r>
            <w:r>
              <w:rPr>
                <w:rFonts w:hint="eastAsia"/>
                <w:color w:val="auto"/>
                <w:szCs w:val="21"/>
                <w:lang w:val="en-US" w:eastAsia="zh-CN"/>
              </w:rPr>
              <w:t>7728</w:t>
            </w:r>
            <w:r>
              <w:rPr>
                <w:rFonts w:hint="eastAsia"/>
                <w:color w:val="auto"/>
                <w:szCs w:val="21"/>
              </w:rPr>
              <w:t>m</w:t>
            </w:r>
            <w:r>
              <w:rPr>
                <w:rFonts w:hint="eastAsia"/>
                <w:color w:val="auto"/>
                <w:szCs w:val="21"/>
                <w:vertAlign w:val="superscript"/>
              </w:rPr>
              <w:t>3</w:t>
            </w:r>
            <w:r>
              <w:rPr>
                <w:rFonts w:hint="eastAsia"/>
                <w:color w:val="auto"/>
                <w:szCs w:val="21"/>
              </w:rPr>
              <w:t>/h，年工作时长480h。</w:t>
            </w:r>
          </w:p>
          <w:p>
            <w:pPr>
              <w:spacing w:line="336" w:lineRule="auto"/>
              <w:ind w:firstLine="0" w:firstLineChars="0"/>
              <w:rPr>
                <w:color w:val="auto"/>
                <w:szCs w:val="21"/>
              </w:rPr>
            </w:pPr>
          </w:p>
        </w:tc>
      </w:tr>
    </w:tbl>
    <w:p>
      <w:pPr>
        <w:rPr>
          <w:rFonts w:eastAsia="黑体"/>
          <w:snapToGrid w:val="0"/>
          <w:sz w:val="30"/>
          <w:szCs w:val="30"/>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19"/>
        <w:tblW w:w="5083"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376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7312" w:hRule="atLeast"/>
          <w:jc w:val="center"/>
        </w:trPr>
        <w:tc>
          <w:tcPr>
            <w:tcW w:w="196" w:type="pct"/>
            <w:tcMar>
              <w:left w:w="28" w:type="dxa"/>
              <w:right w:w="28" w:type="dxa"/>
            </w:tcMar>
            <w:vAlign w:val="center"/>
          </w:tcPr>
          <w:p>
            <w:pPr>
              <w:adjustRightInd w:val="0"/>
              <w:snapToGrid w:val="0"/>
              <w:jc w:val="center"/>
              <w:rPr>
                <w:bCs/>
                <w:color w:val="auto"/>
                <w:szCs w:val="21"/>
              </w:rPr>
            </w:pPr>
            <w:r>
              <w:rPr>
                <w:bCs/>
                <w:color w:val="auto"/>
                <w:szCs w:val="21"/>
              </w:rPr>
              <w:t>运营</w:t>
            </w:r>
          </w:p>
          <w:p>
            <w:pPr>
              <w:adjustRightInd w:val="0"/>
              <w:snapToGrid w:val="0"/>
              <w:jc w:val="center"/>
              <w:rPr>
                <w:bCs/>
                <w:color w:val="auto"/>
                <w:szCs w:val="21"/>
              </w:rPr>
            </w:pPr>
            <w:r>
              <w:rPr>
                <w:bCs/>
                <w:color w:val="auto"/>
                <w:szCs w:val="21"/>
              </w:rPr>
              <w:t>期环</w:t>
            </w:r>
          </w:p>
          <w:p>
            <w:pPr>
              <w:adjustRightInd w:val="0"/>
              <w:snapToGrid w:val="0"/>
              <w:jc w:val="center"/>
              <w:rPr>
                <w:bCs/>
                <w:color w:val="auto"/>
                <w:szCs w:val="21"/>
              </w:rPr>
            </w:pPr>
            <w:r>
              <w:rPr>
                <w:bCs/>
                <w:color w:val="auto"/>
                <w:szCs w:val="21"/>
              </w:rPr>
              <w:t>境影</w:t>
            </w:r>
          </w:p>
          <w:p>
            <w:pPr>
              <w:adjustRightInd w:val="0"/>
              <w:snapToGrid w:val="0"/>
              <w:jc w:val="center"/>
              <w:rPr>
                <w:bCs/>
                <w:color w:val="auto"/>
                <w:szCs w:val="21"/>
              </w:rPr>
            </w:pPr>
            <w:r>
              <w:rPr>
                <w:bCs/>
                <w:color w:val="auto"/>
                <w:szCs w:val="21"/>
              </w:rPr>
              <w:t>响和</w:t>
            </w:r>
          </w:p>
          <w:p>
            <w:pPr>
              <w:adjustRightInd w:val="0"/>
              <w:snapToGrid w:val="0"/>
              <w:jc w:val="center"/>
              <w:rPr>
                <w:bCs/>
                <w:color w:val="auto"/>
                <w:szCs w:val="21"/>
              </w:rPr>
            </w:pPr>
            <w:r>
              <w:rPr>
                <w:bCs/>
                <w:color w:val="auto"/>
                <w:szCs w:val="21"/>
              </w:rPr>
              <w:t>保护</w:t>
            </w:r>
          </w:p>
          <w:p>
            <w:pPr>
              <w:adjustRightInd w:val="0"/>
              <w:snapToGrid w:val="0"/>
              <w:jc w:val="center"/>
              <w:rPr>
                <w:color w:val="auto"/>
                <w:szCs w:val="21"/>
              </w:rPr>
            </w:pPr>
            <w:r>
              <w:rPr>
                <w:bCs/>
                <w:color w:val="auto"/>
                <w:szCs w:val="21"/>
              </w:rPr>
              <w:t>措施</w:t>
            </w:r>
          </w:p>
        </w:tc>
        <w:tc>
          <w:tcPr>
            <w:tcW w:w="4803" w:type="pct"/>
            <w:vAlign w:val="center"/>
          </w:tcPr>
          <w:p>
            <w:pPr>
              <w:spacing w:before="194" w:beforeLines="50"/>
              <w:jc w:val="center"/>
              <w:outlineLvl w:val="5"/>
              <w:rPr>
                <w:rFonts w:hint="eastAsia"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表4-4</w:t>
            </w:r>
            <w:r>
              <w:rPr>
                <w:rFonts w:hint="eastAsia" w:cs="Times New Roman"/>
                <w:b/>
                <w:color w:val="auto"/>
                <w:spacing w:val="0"/>
                <w:sz w:val="21"/>
                <w:szCs w:val="21"/>
                <w:lang w:val="en-US" w:eastAsia="zh-CN"/>
              </w:rPr>
              <w:t xml:space="preserve">  </w:t>
            </w:r>
            <w:r>
              <w:rPr>
                <w:rFonts w:hint="eastAsia" w:eastAsia="宋体" w:cs="Times New Roman"/>
                <w:b/>
                <w:color w:val="auto"/>
                <w:spacing w:val="0"/>
                <w:sz w:val="21"/>
                <w:szCs w:val="21"/>
                <w:lang w:val="en-US" w:eastAsia="zh-CN"/>
              </w:rPr>
              <w:t>废气处理设施基本情况一览表</w:t>
            </w:r>
          </w:p>
          <w:tbl>
            <w:tblPr>
              <w:tblStyle w:val="19"/>
              <w:tblW w:w="135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660"/>
              <w:gridCol w:w="1682"/>
              <w:gridCol w:w="1893"/>
              <w:gridCol w:w="1248"/>
              <w:gridCol w:w="713"/>
              <w:gridCol w:w="1384"/>
              <w:gridCol w:w="862"/>
              <w:gridCol w:w="1285"/>
              <w:gridCol w:w="526"/>
              <w:gridCol w:w="754"/>
              <w:gridCol w:w="784"/>
              <w:gridCol w:w="7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12" w:type="pct"/>
                  <w:vMerge w:val="restart"/>
                  <w:vAlign w:val="center"/>
                </w:tcPr>
                <w:p>
                  <w:pPr>
                    <w:jc w:val="center"/>
                    <w:rPr>
                      <w:b/>
                      <w:color w:val="auto"/>
                      <w:kern w:val="0"/>
                      <w:sz w:val="18"/>
                      <w:szCs w:val="18"/>
                    </w:rPr>
                  </w:pPr>
                  <w:r>
                    <w:rPr>
                      <w:b/>
                      <w:color w:val="auto"/>
                      <w:kern w:val="0"/>
                      <w:sz w:val="18"/>
                      <w:szCs w:val="18"/>
                    </w:rPr>
                    <w:t>产排污环节</w:t>
                  </w:r>
                </w:p>
              </w:tc>
              <w:tc>
                <w:tcPr>
                  <w:tcW w:w="620" w:type="pct"/>
                  <w:vMerge w:val="restart"/>
                  <w:vAlign w:val="center"/>
                </w:tcPr>
                <w:p>
                  <w:pPr>
                    <w:jc w:val="center"/>
                    <w:rPr>
                      <w:b/>
                      <w:color w:val="auto"/>
                      <w:kern w:val="0"/>
                      <w:sz w:val="18"/>
                      <w:szCs w:val="18"/>
                    </w:rPr>
                  </w:pPr>
                  <w:r>
                    <w:rPr>
                      <w:b/>
                      <w:color w:val="auto"/>
                      <w:kern w:val="0"/>
                      <w:sz w:val="18"/>
                      <w:szCs w:val="18"/>
                    </w:rPr>
                    <w:t>污染物种类</w:t>
                  </w:r>
                </w:p>
              </w:tc>
              <w:tc>
                <w:tcPr>
                  <w:tcW w:w="3483" w:type="pct"/>
                  <w:gridSpan w:val="9"/>
                  <w:vAlign w:val="center"/>
                </w:tcPr>
                <w:p>
                  <w:pPr>
                    <w:spacing w:before="8"/>
                    <w:jc w:val="center"/>
                    <w:rPr>
                      <w:b/>
                      <w:color w:val="auto"/>
                      <w:kern w:val="0"/>
                      <w:sz w:val="18"/>
                      <w:szCs w:val="18"/>
                    </w:rPr>
                  </w:pPr>
                  <w:r>
                    <w:rPr>
                      <w:b/>
                      <w:color w:val="auto"/>
                      <w:kern w:val="0"/>
                      <w:sz w:val="18"/>
                      <w:szCs w:val="18"/>
                    </w:rPr>
                    <w:t>治理设施</w:t>
                  </w:r>
                </w:p>
              </w:tc>
              <w:tc>
                <w:tcPr>
                  <w:tcW w:w="284" w:type="pct"/>
                  <w:vMerge w:val="restart"/>
                  <w:vAlign w:val="center"/>
                </w:tcPr>
                <w:p>
                  <w:pPr>
                    <w:spacing w:before="8"/>
                    <w:jc w:val="center"/>
                    <w:rPr>
                      <w:rFonts w:hint="eastAsia" w:eastAsia="宋体"/>
                      <w:b/>
                      <w:color w:val="auto"/>
                      <w:kern w:val="0"/>
                      <w:sz w:val="18"/>
                      <w:szCs w:val="18"/>
                      <w:lang w:val="en-US" w:eastAsia="zh-CN"/>
                    </w:rPr>
                  </w:pPr>
                  <w:r>
                    <w:rPr>
                      <w:rFonts w:hint="eastAsia"/>
                      <w:b/>
                      <w:color w:val="auto"/>
                      <w:kern w:val="0"/>
                      <w:sz w:val="18"/>
                      <w:szCs w:val="18"/>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12" w:type="pct"/>
                  <w:vMerge w:val="continue"/>
                  <w:vAlign w:val="center"/>
                </w:tcPr>
                <w:p>
                  <w:pPr>
                    <w:jc w:val="center"/>
                    <w:rPr>
                      <w:bCs/>
                      <w:color w:val="auto"/>
                      <w:kern w:val="0"/>
                      <w:sz w:val="18"/>
                      <w:szCs w:val="18"/>
                    </w:rPr>
                  </w:pPr>
                </w:p>
              </w:tc>
              <w:tc>
                <w:tcPr>
                  <w:tcW w:w="620" w:type="pct"/>
                  <w:vMerge w:val="continue"/>
                  <w:vAlign w:val="center"/>
                </w:tcPr>
                <w:p>
                  <w:pPr>
                    <w:jc w:val="center"/>
                    <w:rPr>
                      <w:bCs/>
                      <w:color w:val="auto"/>
                      <w:kern w:val="0"/>
                      <w:sz w:val="18"/>
                      <w:szCs w:val="18"/>
                    </w:rPr>
                  </w:pPr>
                </w:p>
              </w:tc>
              <w:tc>
                <w:tcPr>
                  <w:tcW w:w="697" w:type="pct"/>
                  <w:vAlign w:val="center"/>
                </w:tcPr>
                <w:p>
                  <w:pPr>
                    <w:spacing w:before="8"/>
                    <w:jc w:val="center"/>
                    <w:rPr>
                      <w:bCs/>
                      <w:color w:val="auto"/>
                      <w:kern w:val="0"/>
                      <w:sz w:val="18"/>
                      <w:szCs w:val="18"/>
                    </w:rPr>
                  </w:pPr>
                  <w:r>
                    <w:rPr>
                      <w:bCs/>
                      <w:color w:val="auto"/>
                      <w:kern w:val="0"/>
                      <w:sz w:val="18"/>
                      <w:szCs w:val="18"/>
                    </w:rPr>
                    <w:t>排放形式</w:t>
                  </w:r>
                </w:p>
              </w:tc>
              <w:tc>
                <w:tcPr>
                  <w:tcW w:w="460" w:type="pct"/>
                  <w:vAlign w:val="center"/>
                </w:tcPr>
                <w:p>
                  <w:pPr>
                    <w:spacing w:before="8"/>
                    <w:jc w:val="center"/>
                    <w:rPr>
                      <w:bCs/>
                      <w:color w:val="auto"/>
                      <w:kern w:val="0"/>
                      <w:sz w:val="18"/>
                      <w:szCs w:val="18"/>
                    </w:rPr>
                  </w:pPr>
                  <w:r>
                    <w:rPr>
                      <w:bCs/>
                      <w:color w:val="auto"/>
                      <w:kern w:val="0"/>
                      <w:sz w:val="18"/>
                      <w:szCs w:val="18"/>
                    </w:rPr>
                    <w:t>处理能力</w:t>
                  </w:r>
                </w:p>
              </w:tc>
              <w:tc>
                <w:tcPr>
                  <w:tcW w:w="262" w:type="pct"/>
                  <w:vAlign w:val="center"/>
                </w:tcPr>
                <w:p>
                  <w:pPr>
                    <w:spacing w:before="8"/>
                    <w:jc w:val="center"/>
                    <w:rPr>
                      <w:bCs/>
                      <w:color w:val="auto"/>
                      <w:kern w:val="0"/>
                      <w:sz w:val="18"/>
                      <w:szCs w:val="18"/>
                    </w:rPr>
                  </w:pPr>
                  <w:r>
                    <w:rPr>
                      <w:bCs/>
                      <w:color w:val="auto"/>
                      <w:kern w:val="0"/>
                      <w:sz w:val="18"/>
                      <w:szCs w:val="18"/>
                    </w:rPr>
                    <w:t>运行时间</w:t>
                  </w:r>
                </w:p>
              </w:tc>
              <w:tc>
                <w:tcPr>
                  <w:tcW w:w="510" w:type="pct"/>
                  <w:vAlign w:val="center"/>
                </w:tcPr>
                <w:p>
                  <w:pPr>
                    <w:spacing w:before="8"/>
                    <w:jc w:val="center"/>
                    <w:rPr>
                      <w:bCs/>
                      <w:color w:val="auto"/>
                      <w:kern w:val="0"/>
                      <w:sz w:val="18"/>
                      <w:szCs w:val="18"/>
                    </w:rPr>
                  </w:pPr>
                  <w:r>
                    <w:rPr>
                      <w:rFonts w:hint="eastAsia"/>
                      <w:bCs/>
                      <w:color w:val="auto"/>
                      <w:kern w:val="0"/>
                      <w:sz w:val="18"/>
                      <w:szCs w:val="18"/>
                    </w:rPr>
                    <w:t>收集措施</w:t>
                  </w:r>
                </w:p>
              </w:tc>
              <w:tc>
                <w:tcPr>
                  <w:tcW w:w="317" w:type="pct"/>
                  <w:vAlign w:val="center"/>
                </w:tcPr>
                <w:p>
                  <w:pPr>
                    <w:spacing w:before="8"/>
                    <w:jc w:val="center"/>
                    <w:rPr>
                      <w:bCs/>
                      <w:color w:val="auto"/>
                      <w:kern w:val="0"/>
                      <w:sz w:val="18"/>
                      <w:szCs w:val="18"/>
                    </w:rPr>
                  </w:pPr>
                  <w:r>
                    <w:rPr>
                      <w:bCs/>
                      <w:color w:val="auto"/>
                      <w:kern w:val="0"/>
                      <w:sz w:val="18"/>
                      <w:szCs w:val="18"/>
                    </w:rPr>
                    <w:t>收集效率</w:t>
                  </w:r>
                </w:p>
              </w:tc>
              <w:tc>
                <w:tcPr>
                  <w:tcW w:w="473" w:type="pct"/>
                  <w:vAlign w:val="center"/>
                </w:tcPr>
                <w:p>
                  <w:pPr>
                    <w:spacing w:before="8"/>
                    <w:jc w:val="center"/>
                    <w:rPr>
                      <w:bCs/>
                      <w:color w:val="auto"/>
                      <w:kern w:val="0"/>
                      <w:sz w:val="18"/>
                      <w:szCs w:val="18"/>
                    </w:rPr>
                  </w:pPr>
                  <w:r>
                    <w:rPr>
                      <w:bCs/>
                      <w:color w:val="auto"/>
                      <w:kern w:val="0"/>
                      <w:sz w:val="18"/>
                      <w:szCs w:val="18"/>
                    </w:rPr>
                    <w:t>治理工艺</w:t>
                  </w:r>
                </w:p>
              </w:tc>
              <w:tc>
                <w:tcPr>
                  <w:tcW w:w="193" w:type="pct"/>
                  <w:vAlign w:val="center"/>
                </w:tcPr>
                <w:p>
                  <w:pPr>
                    <w:spacing w:before="8"/>
                    <w:jc w:val="center"/>
                    <w:rPr>
                      <w:bCs/>
                      <w:color w:val="auto"/>
                      <w:kern w:val="0"/>
                      <w:sz w:val="18"/>
                      <w:szCs w:val="18"/>
                    </w:rPr>
                  </w:pPr>
                  <w:r>
                    <w:rPr>
                      <w:bCs/>
                      <w:color w:val="auto"/>
                      <w:kern w:val="0"/>
                      <w:sz w:val="18"/>
                      <w:szCs w:val="18"/>
                    </w:rPr>
                    <w:t>去除率</w:t>
                  </w:r>
                </w:p>
              </w:tc>
              <w:tc>
                <w:tcPr>
                  <w:tcW w:w="277" w:type="pct"/>
                  <w:vAlign w:val="center"/>
                </w:tcPr>
                <w:p>
                  <w:pPr>
                    <w:spacing w:before="8"/>
                    <w:jc w:val="center"/>
                    <w:rPr>
                      <w:bCs/>
                      <w:color w:val="auto"/>
                      <w:kern w:val="0"/>
                      <w:sz w:val="18"/>
                      <w:szCs w:val="18"/>
                    </w:rPr>
                  </w:pPr>
                  <w:r>
                    <w:rPr>
                      <w:bCs/>
                      <w:color w:val="auto"/>
                      <w:kern w:val="0"/>
                      <w:sz w:val="18"/>
                      <w:szCs w:val="18"/>
                    </w:rPr>
                    <w:t>是否为可行技术</w:t>
                  </w:r>
                </w:p>
              </w:tc>
              <w:tc>
                <w:tcPr>
                  <w:tcW w:w="289" w:type="pct"/>
                  <w:vAlign w:val="center"/>
                </w:tcPr>
                <w:p>
                  <w:pPr>
                    <w:spacing w:before="8"/>
                    <w:jc w:val="center"/>
                    <w:rPr>
                      <w:bCs/>
                      <w:color w:val="auto"/>
                      <w:kern w:val="0"/>
                      <w:sz w:val="18"/>
                      <w:szCs w:val="18"/>
                    </w:rPr>
                  </w:pPr>
                  <w:r>
                    <w:rPr>
                      <w:rFonts w:hint="eastAsia"/>
                      <w:bCs/>
                      <w:color w:val="auto"/>
                      <w:kern w:val="0"/>
                      <w:sz w:val="18"/>
                      <w:szCs w:val="18"/>
                    </w:rPr>
                    <w:t>总体去除率</w:t>
                  </w:r>
                </w:p>
              </w:tc>
              <w:tc>
                <w:tcPr>
                  <w:tcW w:w="284" w:type="pct"/>
                  <w:vMerge w:val="continue"/>
                  <w:vAlign w:val="center"/>
                </w:tcPr>
                <w:p>
                  <w:pPr>
                    <w:spacing w:before="8"/>
                    <w:jc w:val="center"/>
                    <w:rPr>
                      <w:rFonts w:hint="eastAsia"/>
                      <w:bCs/>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3" w:hRule="atLeast"/>
                <w:jc w:val="center"/>
              </w:trPr>
              <w:tc>
                <w:tcPr>
                  <w:tcW w:w="612" w:type="pct"/>
                  <w:vMerge w:val="restart"/>
                  <w:vAlign w:val="center"/>
                </w:tcPr>
                <w:p>
                  <w:pPr>
                    <w:spacing w:line="269" w:lineRule="exact"/>
                    <w:jc w:val="center"/>
                    <w:rPr>
                      <w:color w:val="auto"/>
                      <w:kern w:val="0"/>
                      <w:sz w:val="18"/>
                      <w:szCs w:val="18"/>
                    </w:rPr>
                  </w:pPr>
                  <w:r>
                    <w:rPr>
                      <w:rFonts w:hint="eastAsia"/>
                      <w:color w:val="auto"/>
                      <w:kern w:val="0"/>
                      <w:sz w:val="18"/>
                      <w:szCs w:val="18"/>
                    </w:rPr>
                    <w:t>干燥、后处理</w:t>
                  </w:r>
                </w:p>
              </w:tc>
              <w:tc>
                <w:tcPr>
                  <w:tcW w:w="620" w:type="pct"/>
                  <w:vMerge w:val="restart"/>
                  <w:vAlign w:val="center"/>
                </w:tcPr>
                <w:p>
                  <w:pPr>
                    <w:jc w:val="center"/>
                    <w:rPr>
                      <w:color w:val="auto"/>
                      <w:kern w:val="0"/>
                      <w:sz w:val="18"/>
                      <w:szCs w:val="18"/>
                    </w:rPr>
                  </w:pPr>
                  <w:r>
                    <w:rPr>
                      <w:rFonts w:hint="eastAsia"/>
                      <w:color w:val="auto"/>
                      <w:kern w:val="0"/>
                      <w:sz w:val="18"/>
                      <w:szCs w:val="18"/>
                    </w:rPr>
                    <w:t>非甲烷总烃</w:t>
                  </w:r>
                </w:p>
              </w:tc>
              <w:tc>
                <w:tcPr>
                  <w:tcW w:w="697" w:type="pct"/>
                  <w:vMerge w:val="restart"/>
                  <w:vAlign w:val="center"/>
                </w:tcPr>
                <w:p>
                  <w:pPr>
                    <w:spacing w:before="43"/>
                    <w:jc w:val="center"/>
                    <w:rPr>
                      <w:color w:val="auto"/>
                      <w:kern w:val="0"/>
                      <w:sz w:val="18"/>
                      <w:szCs w:val="18"/>
                    </w:rPr>
                  </w:pPr>
                  <w:r>
                    <w:rPr>
                      <w:color w:val="auto"/>
                      <w:kern w:val="0"/>
                      <w:sz w:val="18"/>
                      <w:szCs w:val="18"/>
                    </w:rPr>
                    <w:t>有组织</w:t>
                  </w:r>
                  <w:r>
                    <w:rPr>
                      <w:rFonts w:hint="eastAsia"/>
                      <w:color w:val="auto"/>
                      <w:kern w:val="0"/>
                      <w:sz w:val="18"/>
                      <w:szCs w:val="18"/>
                    </w:rPr>
                    <w:t>（</w:t>
                  </w:r>
                  <w:r>
                    <w:rPr>
                      <w:rFonts w:hint="eastAsia"/>
                      <w:color w:val="auto"/>
                      <w:sz w:val="18"/>
                      <w:szCs w:val="18"/>
                      <w:lang w:val="en-US" w:eastAsia="zh-CN"/>
                    </w:rPr>
                    <w:t>DA013</w:t>
                  </w:r>
                  <w:r>
                    <w:rPr>
                      <w:rFonts w:hint="eastAsia"/>
                      <w:color w:val="auto"/>
                      <w:kern w:val="0"/>
                      <w:sz w:val="18"/>
                      <w:szCs w:val="18"/>
                    </w:rPr>
                    <w:t>）</w:t>
                  </w:r>
                </w:p>
              </w:tc>
              <w:tc>
                <w:tcPr>
                  <w:tcW w:w="460" w:type="pct"/>
                  <w:vMerge w:val="restart"/>
                  <w:vAlign w:val="center"/>
                </w:tcPr>
                <w:p>
                  <w:pPr>
                    <w:spacing w:before="43"/>
                    <w:jc w:val="center"/>
                    <w:rPr>
                      <w:color w:val="auto"/>
                      <w:sz w:val="18"/>
                      <w:szCs w:val="18"/>
                    </w:rPr>
                  </w:pPr>
                  <w:r>
                    <w:rPr>
                      <w:rFonts w:hint="eastAsia"/>
                      <w:color w:val="auto"/>
                      <w:sz w:val="18"/>
                      <w:szCs w:val="18"/>
                    </w:rPr>
                    <w:t>100</w:t>
                  </w:r>
                  <w:r>
                    <w:rPr>
                      <w:color w:val="auto"/>
                      <w:sz w:val="18"/>
                      <w:szCs w:val="18"/>
                    </w:rPr>
                    <w:t>00m</w:t>
                  </w:r>
                  <w:r>
                    <w:rPr>
                      <w:color w:val="auto"/>
                      <w:sz w:val="18"/>
                      <w:szCs w:val="18"/>
                      <w:vertAlign w:val="superscript"/>
                    </w:rPr>
                    <w:t>3</w:t>
                  </w:r>
                  <w:r>
                    <w:rPr>
                      <w:color w:val="auto"/>
                      <w:sz w:val="18"/>
                      <w:szCs w:val="18"/>
                    </w:rPr>
                    <w:t>/h</w:t>
                  </w:r>
                </w:p>
              </w:tc>
              <w:tc>
                <w:tcPr>
                  <w:tcW w:w="262" w:type="pct"/>
                  <w:vMerge w:val="restart"/>
                  <w:vAlign w:val="center"/>
                </w:tcPr>
                <w:p>
                  <w:pPr>
                    <w:spacing w:before="43"/>
                    <w:jc w:val="center"/>
                    <w:rPr>
                      <w:color w:val="auto"/>
                      <w:sz w:val="18"/>
                      <w:szCs w:val="18"/>
                    </w:rPr>
                  </w:pPr>
                  <w:r>
                    <w:rPr>
                      <w:rFonts w:hint="eastAsia"/>
                      <w:color w:val="auto"/>
                      <w:sz w:val="18"/>
                      <w:szCs w:val="18"/>
                    </w:rPr>
                    <w:t>7200</w:t>
                  </w:r>
                  <w:r>
                    <w:rPr>
                      <w:color w:val="auto"/>
                      <w:sz w:val="18"/>
                      <w:szCs w:val="18"/>
                    </w:rPr>
                    <w:t>h</w:t>
                  </w:r>
                </w:p>
              </w:tc>
              <w:tc>
                <w:tcPr>
                  <w:tcW w:w="510" w:type="pct"/>
                  <w:vMerge w:val="restart"/>
                  <w:vAlign w:val="center"/>
                </w:tcPr>
                <w:p>
                  <w:pPr>
                    <w:spacing w:before="43"/>
                    <w:jc w:val="center"/>
                    <w:rPr>
                      <w:color w:val="auto"/>
                      <w:sz w:val="18"/>
                      <w:szCs w:val="18"/>
                    </w:rPr>
                  </w:pPr>
                  <w:r>
                    <w:rPr>
                      <w:rFonts w:hint="eastAsia"/>
                      <w:color w:val="auto"/>
                      <w:sz w:val="18"/>
                      <w:szCs w:val="18"/>
                    </w:rPr>
                    <w:t>密闭设备+带气闸的密闭洁净房，形成双层密闭体系</w:t>
                  </w:r>
                </w:p>
              </w:tc>
              <w:tc>
                <w:tcPr>
                  <w:tcW w:w="317" w:type="pct"/>
                  <w:vMerge w:val="restart"/>
                  <w:vAlign w:val="center"/>
                </w:tcPr>
                <w:p>
                  <w:pPr>
                    <w:spacing w:before="43"/>
                    <w:jc w:val="center"/>
                    <w:rPr>
                      <w:color w:val="auto"/>
                      <w:kern w:val="0"/>
                      <w:sz w:val="18"/>
                      <w:szCs w:val="18"/>
                    </w:rPr>
                  </w:pPr>
                  <w:r>
                    <w:rPr>
                      <w:rFonts w:hint="eastAsia"/>
                      <w:color w:val="auto"/>
                      <w:kern w:val="0"/>
                      <w:sz w:val="18"/>
                      <w:szCs w:val="18"/>
                    </w:rPr>
                    <w:t>98</w:t>
                  </w:r>
                  <w:r>
                    <w:rPr>
                      <w:color w:val="auto"/>
                      <w:kern w:val="0"/>
                      <w:sz w:val="18"/>
                      <w:szCs w:val="18"/>
                    </w:rPr>
                    <w:t>%</w:t>
                  </w:r>
                </w:p>
              </w:tc>
              <w:tc>
                <w:tcPr>
                  <w:tcW w:w="473" w:type="pct"/>
                  <w:vAlign w:val="center"/>
                </w:tcPr>
                <w:p>
                  <w:pPr>
                    <w:spacing w:before="43"/>
                    <w:jc w:val="center"/>
                    <w:rPr>
                      <w:color w:val="auto"/>
                    </w:rPr>
                  </w:pPr>
                  <w:r>
                    <w:rPr>
                      <w:rFonts w:hint="eastAsia"/>
                      <w:color w:val="auto"/>
                      <w:sz w:val="18"/>
                      <w:szCs w:val="21"/>
                    </w:rPr>
                    <w:t>二级冷凝</w:t>
                  </w:r>
                </w:p>
              </w:tc>
              <w:tc>
                <w:tcPr>
                  <w:tcW w:w="193" w:type="pct"/>
                  <w:vAlign w:val="center"/>
                </w:tcPr>
                <w:p>
                  <w:pPr>
                    <w:spacing w:before="43"/>
                    <w:jc w:val="center"/>
                    <w:rPr>
                      <w:color w:val="auto"/>
                      <w:kern w:val="0"/>
                      <w:sz w:val="18"/>
                      <w:szCs w:val="18"/>
                    </w:rPr>
                  </w:pPr>
                  <w:r>
                    <w:rPr>
                      <w:rFonts w:hint="eastAsia"/>
                      <w:color w:val="auto"/>
                      <w:kern w:val="0"/>
                      <w:sz w:val="18"/>
                      <w:szCs w:val="18"/>
                    </w:rPr>
                    <w:t>90%</w:t>
                  </w:r>
                </w:p>
              </w:tc>
              <w:tc>
                <w:tcPr>
                  <w:tcW w:w="277" w:type="pct"/>
                  <w:vAlign w:val="center"/>
                </w:tcPr>
                <w:p>
                  <w:pPr>
                    <w:spacing w:before="43"/>
                    <w:jc w:val="center"/>
                    <w:rPr>
                      <w:color w:val="auto"/>
                      <w:kern w:val="0"/>
                      <w:sz w:val="18"/>
                      <w:szCs w:val="18"/>
                    </w:rPr>
                  </w:pPr>
                  <w:r>
                    <w:rPr>
                      <w:color w:val="auto"/>
                      <w:kern w:val="0"/>
                      <w:sz w:val="18"/>
                      <w:szCs w:val="18"/>
                    </w:rPr>
                    <w:t>是</w:t>
                  </w:r>
                </w:p>
              </w:tc>
              <w:tc>
                <w:tcPr>
                  <w:tcW w:w="289" w:type="pct"/>
                  <w:vMerge w:val="restart"/>
                  <w:vAlign w:val="center"/>
                </w:tcPr>
                <w:p>
                  <w:pPr>
                    <w:spacing w:before="43"/>
                    <w:jc w:val="center"/>
                    <w:rPr>
                      <w:color w:val="auto"/>
                      <w:kern w:val="0"/>
                      <w:sz w:val="18"/>
                      <w:szCs w:val="18"/>
                    </w:rPr>
                  </w:pPr>
                  <w:r>
                    <w:rPr>
                      <w:rFonts w:hint="eastAsia"/>
                      <w:color w:val="auto"/>
                      <w:kern w:val="0"/>
                      <w:sz w:val="18"/>
                      <w:szCs w:val="18"/>
                    </w:rPr>
                    <w:t>99.3%</w:t>
                  </w:r>
                </w:p>
              </w:tc>
              <w:tc>
                <w:tcPr>
                  <w:tcW w:w="284" w:type="pct"/>
                  <w:vMerge w:val="restart"/>
                  <w:vAlign w:val="center"/>
                </w:tcPr>
                <w:p>
                  <w:pPr>
                    <w:spacing w:before="43"/>
                    <w:jc w:val="center"/>
                    <w:rPr>
                      <w:rFonts w:hint="default" w:eastAsia="宋体"/>
                      <w:color w:val="auto"/>
                      <w:kern w:val="0"/>
                      <w:sz w:val="18"/>
                      <w:szCs w:val="18"/>
                      <w:lang w:val="en-US" w:eastAsia="zh-CN"/>
                    </w:rPr>
                  </w:pPr>
                  <w:r>
                    <w:rPr>
                      <w:rFonts w:hint="eastAsia"/>
                      <w:color w:val="auto"/>
                      <w:kern w:val="0"/>
                      <w:sz w:val="18"/>
                      <w:szCs w:val="18"/>
                      <w:lang w:val="en-US" w:eastAsia="zh-CN"/>
                    </w:rPr>
                    <w:t>新增措施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612" w:type="pct"/>
                  <w:vMerge w:val="continue"/>
                  <w:vAlign w:val="center"/>
                </w:tcPr>
                <w:p>
                  <w:pPr>
                    <w:spacing w:line="269" w:lineRule="exact"/>
                    <w:jc w:val="center"/>
                    <w:rPr>
                      <w:color w:val="auto"/>
                      <w:kern w:val="0"/>
                      <w:sz w:val="18"/>
                      <w:szCs w:val="18"/>
                    </w:rPr>
                  </w:pPr>
                </w:p>
              </w:tc>
              <w:tc>
                <w:tcPr>
                  <w:tcW w:w="620" w:type="pct"/>
                  <w:vMerge w:val="continue"/>
                  <w:vAlign w:val="center"/>
                </w:tcPr>
                <w:p>
                  <w:pPr>
                    <w:jc w:val="center"/>
                    <w:rPr>
                      <w:color w:val="auto"/>
                      <w:kern w:val="0"/>
                      <w:sz w:val="18"/>
                      <w:szCs w:val="18"/>
                    </w:rPr>
                  </w:pPr>
                </w:p>
              </w:tc>
              <w:tc>
                <w:tcPr>
                  <w:tcW w:w="697" w:type="pct"/>
                  <w:vMerge w:val="continue"/>
                  <w:vAlign w:val="center"/>
                </w:tcPr>
                <w:p>
                  <w:pPr>
                    <w:spacing w:before="43"/>
                    <w:jc w:val="center"/>
                    <w:rPr>
                      <w:color w:val="auto"/>
                      <w:kern w:val="0"/>
                      <w:sz w:val="18"/>
                      <w:szCs w:val="18"/>
                    </w:rPr>
                  </w:pPr>
                </w:p>
              </w:tc>
              <w:tc>
                <w:tcPr>
                  <w:tcW w:w="460" w:type="pct"/>
                  <w:vMerge w:val="continue"/>
                  <w:vAlign w:val="center"/>
                </w:tcPr>
                <w:p>
                  <w:pPr>
                    <w:spacing w:before="43"/>
                    <w:jc w:val="center"/>
                    <w:rPr>
                      <w:color w:val="auto"/>
                      <w:sz w:val="18"/>
                      <w:szCs w:val="18"/>
                    </w:rPr>
                  </w:pPr>
                </w:p>
              </w:tc>
              <w:tc>
                <w:tcPr>
                  <w:tcW w:w="262" w:type="pct"/>
                  <w:vMerge w:val="continue"/>
                  <w:vAlign w:val="center"/>
                </w:tcPr>
                <w:p>
                  <w:pPr>
                    <w:spacing w:before="43"/>
                    <w:jc w:val="center"/>
                    <w:rPr>
                      <w:color w:val="auto"/>
                      <w:sz w:val="18"/>
                      <w:szCs w:val="18"/>
                    </w:rPr>
                  </w:pPr>
                </w:p>
              </w:tc>
              <w:tc>
                <w:tcPr>
                  <w:tcW w:w="510" w:type="pct"/>
                  <w:vMerge w:val="continue"/>
                  <w:vAlign w:val="center"/>
                </w:tcPr>
                <w:p>
                  <w:pPr>
                    <w:spacing w:before="43"/>
                    <w:jc w:val="center"/>
                    <w:rPr>
                      <w:color w:val="auto"/>
                      <w:kern w:val="0"/>
                      <w:sz w:val="18"/>
                      <w:szCs w:val="18"/>
                    </w:rPr>
                  </w:pPr>
                </w:p>
              </w:tc>
              <w:tc>
                <w:tcPr>
                  <w:tcW w:w="317" w:type="pct"/>
                  <w:vMerge w:val="continue"/>
                  <w:vAlign w:val="center"/>
                </w:tcPr>
                <w:p>
                  <w:pPr>
                    <w:spacing w:before="43"/>
                    <w:jc w:val="center"/>
                    <w:rPr>
                      <w:color w:val="auto"/>
                      <w:kern w:val="0"/>
                      <w:sz w:val="18"/>
                      <w:szCs w:val="18"/>
                    </w:rPr>
                  </w:pPr>
                </w:p>
              </w:tc>
              <w:tc>
                <w:tcPr>
                  <w:tcW w:w="473" w:type="pct"/>
                  <w:vAlign w:val="center"/>
                </w:tcPr>
                <w:p>
                  <w:pPr>
                    <w:spacing w:before="43"/>
                    <w:jc w:val="center"/>
                    <w:rPr>
                      <w:color w:val="auto"/>
                      <w:kern w:val="0"/>
                      <w:sz w:val="18"/>
                      <w:szCs w:val="18"/>
                    </w:rPr>
                  </w:pPr>
                  <w:r>
                    <w:rPr>
                      <w:rFonts w:hint="eastAsia"/>
                      <w:color w:val="auto"/>
                      <w:kern w:val="0"/>
                      <w:sz w:val="18"/>
                      <w:szCs w:val="18"/>
                    </w:rPr>
                    <w:t>一级水喷淋</w:t>
                  </w:r>
                </w:p>
              </w:tc>
              <w:tc>
                <w:tcPr>
                  <w:tcW w:w="193" w:type="pct"/>
                  <w:vAlign w:val="center"/>
                </w:tcPr>
                <w:p>
                  <w:pPr>
                    <w:spacing w:before="43"/>
                    <w:jc w:val="center"/>
                    <w:rPr>
                      <w:color w:val="auto"/>
                      <w:kern w:val="0"/>
                      <w:sz w:val="18"/>
                      <w:szCs w:val="18"/>
                    </w:rPr>
                  </w:pPr>
                  <w:r>
                    <w:rPr>
                      <w:rFonts w:hint="eastAsia"/>
                      <w:color w:val="auto"/>
                      <w:kern w:val="0"/>
                      <w:sz w:val="18"/>
                      <w:szCs w:val="18"/>
                    </w:rPr>
                    <w:t>90%</w:t>
                  </w:r>
                </w:p>
              </w:tc>
              <w:tc>
                <w:tcPr>
                  <w:tcW w:w="277" w:type="pct"/>
                  <w:vAlign w:val="center"/>
                </w:tcPr>
                <w:p>
                  <w:pPr>
                    <w:spacing w:before="43"/>
                    <w:jc w:val="center"/>
                    <w:rPr>
                      <w:color w:val="auto"/>
                      <w:kern w:val="0"/>
                      <w:sz w:val="18"/>
                      <w:szCs w:val="18"/>
                    </w:rPr>
                  </w:pPr>
                  <w:r>
                    <w:rPr>
                      <w:color w:val="auto"/>
                      <w:kern w:val="0"/>
                      <w:sz w:val="18"/>
                      <w:szCs w:val="18"/>
                    </w:rPr>
                    <w:t>是</w:t>
                  </w:r>
                </w:p>
              </w:tc>
              <w:tc>
                <w:tcPr>
                  <w:tcW w:w="289" w:type="pct"/>
                  <w:vMerge w:val="continue"/>
                  <w:vAlign w:val="center"/>
                </w:tcPr>
                <w:p>
                  <w:pPr>
                    <w:spacing w:before="43"/>
                    <w:jc w:val="center"/>
                    <w:rPr>
                      <w:color w:val="auto"/>
                      <w:kern w:val="0"/>
                      <w:sz w:val="18"/>
                      <w:szCs w:val="18"/>
                    </w:rPr>
                  </w:pPr>
                </w:p>
              </w:tc>
              <w:tc>
                <w:tcPr>
                  <w:tcW w:w="284" w:type="pct"/>
                  <w:vMerge w:val="continue"/>
                  <w:vAlign w:val="center"/>
                </w:tcPr>
                <w:p>
                  <w:pPr>
                    <w:spacing w:before="43"/>
                    <w:jc w:val="center"/>
                    <w:rPr>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3" w:hRule="atLeast"/>
                <w:jc w:val="center"/>
              </w:trPr>
              <w:tc>
                <w:tcPr>
                  <w:tcW w:w="612" w:type="pct"/>
                  <w:vMerge w:val="continue"/>
                  <w:vAlign w:val="center"/>
                </w:tcPr>
                <w:p>
                  <w:pPr>
                    <w:spacing w:line="269" w:lineRule="exact"/>
                    <w:jc w:val="center"/>
                    <w:rPr>
                      <w:color w:val="auto"/>
                      <w:kern w:val="0"/>
                      <w:sz w:val="18"/>
                      <w:szCs w:val="18"/>
                    </w:rPr>
                  </w:pPr>
                </w:p>
              </w:tc>
              <w:tc>
                <w:tcPr>
                  <w:tcW w:w="620" w:type="pct"/>
                  <w:vMerge w:val="continue"/>
                  <w:vAlign w:val="center"/>
                </w:tcPr>
                <w:p>
                  <w:pPr>
                    <w:jc w:val="center"/>
                    <w:rPr>
                      <w:color w:val="auto"/>
                      <w:kern w:val="0"/>
                      <w:sz w:val="18"/>
                      <w:szCs w:val="18"/>
                    </w:rPr>
                  </w:pPr>
                </w:p>
              </w:tc>
              <w:tc>
                <w:tcPr>
                  <w:tcW w:w="697" w:type="pct"/>
                  <w:vMerge w:val="continue"/>
                  <w:vAlign w:val="center"/>
                </w:tcPr>
                <w:p>
                  <w:pPr>
                    <w:spacing w:before="43"/>
                    <w:jc w:val="center"/>
                    <w:rPr>
                      <w:color w:val="auto"/>
                      <w:kern w:val="0"/>
                      <w:sz w:val="18"/>
                      <w:szCs w:val="18"/>
                    </w:rPr>
                  </w:pPr>
                </w:p>
              </w:tc>
              <w:tc>
                <w:tcPr>
                  <w:tcW w:w="460" w:type="pct"/>
                  <w:vMerge w:val="continue"/>
                  <w:vAlign w:val="center"/>
                </w:tcPr>
                <w:p>
                  <w:pPr>
                    <w:spacing w:before="43"/>
                    <w:jc w:val="center"/>
                    <w:rPr>
                      <w:color w:val="auto"/>
                      <w:sz w:val="18"/>
                      <w:szCs w:val="18"/>
                    </w:rPr>
                  </w:pPr>
                </w:p>
              </w:tc>
              <w:tc>
                <w:tcPr>
                  <w:tcW w:w="262" w:type="pct"/>
                  <w:vMerge w:val="continue"/>
                  <w:vAlign w:val="center"/>
                </w:tcPr>
                <w:p>
                  <w:pPr>
                    <w:spacing w:before="43"/>
                    <w:jc w:val="center"/>
                    <w:rPr>
                      <w:color w:val="auto"/>
                      <w:sz w:val="18"/>
                      <w:szCs w:val="18"/>
                    </w:rPr>
                  </w:pPr>
                </w:p>
              </w:tc>
              <w:tc>
                <w:tcPr>
                  <w:tcW w:w="510" w:type="pct"/>
                  <w:vMerge w:val="continue"/>
                  <w:vAlign w:val="center"/>
                </w:tcPr>
                <w:p>
                  <w:pPr>
                    <w:spacing w:before="43"/>
                    <w:jc w:val="center"/>
                    <w:rPr>
                      <w:color w:val="auto"/>
                      <w:kern w:val="0"/>
                      <w:sz w:val="18"/>
                      <w:szCs w:val="18"/>
                    </w:rPr>
                  </w:pPr>
                </w:p>
              </w:tc>
              <w:tc>
                <w:tcPr>
                  <w:tcW w:w="317" w:type="pct"/>
                  <w:vMerge w:val="continue"/>
                  <w:vAlign w:val="center"/>
                </w:tcPr>
                <w:p>
                  <w:pPr>
                    <w:spacing w:before="43"/>
                    <w:jc w:val="center"/>
                    <w:rPr>
                      <w:color w:val="auto"/>
                      <w:kern w:val="0"/>
                      <w:sz w:val="18"/>
                      <w:szCs w:val="18"/>
                    </w:rPr>
                  </w:pPr>
                </w:p>
              </w:tc>
              <w:tc>
                <w:tcPr>
                  <w:tcW w:w="473" w:type="pct"/>
                  <w:vAlign w:val="center"/>
                </w:tcPr>
                <w:p>
                  <w:pPr>
                    <w:spacing w:before="43"/>
                    <w:jc w:val="center"/>
                    <w:rPr>
                      <w:color w:val="auto"/>
                      <w:kern w:val="0"/>
                      <w:sz w:val="18"/>
                      <w:szCs w:val="18"/>
                    </w:rPr>
                  </w:pPr>
                  <w:r>
                    <w:rPr>
                      <w:rFonts w:hint="eastAsia"/>
                      <w:color w:val="auto"/>
                      <w:kern w:val="0"/>
                      <w:sz w:val="18"/>
                      <w:szCs w:val="18"/>
                    </w:rPr>
                    <w:t>活性炭吸附</w:t>
                  </w:r>
                </w:p>
              </w:tc>
              <w:tc>
                <w:tcPr>
                  <w:tcW w:w="193" w:type="pct"/>
                  <w:vAlign w:val="center"/>
                </w:tcPr>
                <w:p>
                  <w:pPr>
                    <w:spacing w:before="43"/>
                    <w:jc w:val="center"/>
                    <w:rPr>
                      <w:color w:val="auto"/>
                      <w:kern w:val="0"/>
                      <w:sz w:val="18"/>
                      <w:szCs w:val="18"/>
                    </w:rPr>
                  </w:pPr>
                  <w:r>
                    <w:rPr>
                      <w:rFonts w:hint="eastAsia"/>
                      <w:color w:val="auto"/>
                      <w:kern w:val="0"/>
                      <w:sz w:val="18"/>
                      <w:szCs w:val="18"/>
                    </w:rPr>
                    <w:t>30%</w:t>
                  </w:r>
                </w:p>
              </w:tc>
              <w:tc>
                <w:tcPr>
                  <w:tcW w:w="277" w:type="pct"/>
                  <w:vAlign w:val="center"/>
                </w:tcPr>
                <w:p>
                  <w:pPr>
                    <w:spacing w:before="43"/>
                    <w:jc w:val="center"/>
                    <w:rPr>
                      <w:color w:val="auto"/>
                      <w:kern w:val="0"/>
                      <w:sz w:val="18"/>
                      <w:szCs w:val="18"/>
                    </w:rPr>
                  </w:pPr>
                  <w:r>
                    <w:rPr>
                      <w:color w:val="auto"/>
                      <w:kern w:val="0"/>
                      <w:sz w:val="18"/>
                      <w:szCs w:val="18"/>
                    </w:rPr>
                    <w:t>是</w:t>
                  </w:r>
                </w:p>
              </w:tc>
              <w:tc>
                <w:tcPr>
                  <w:tcW w:w="289" w:type="pct"/>
                  <w:vMerge w:val="continue"/>
                  <w:vAlign w:val="center"/>
                </w:tcPr>
                <w:p>
                  <w:pPr>
                    <w:spacing w:before="43"/>
                    <w:jc w:val="center"/>
                    <w:rPr>
                      <w:color w:val="auto"/>
                      <w:kern w:val="0"/>
                      <w:sz w:val="18"/>
                      <w:szCs w:val="18"/>
                    </w:rPr>
                  </w:pPr>
                </w:p>
              </w:tc>
              <w:tc>
                <w:tcPr>
                  <w:tcW w:w="284" w:type="pct"/>
                  <w:vMerge w:val="continue"/>
                  <w:vAlign w:val="center"/>
                </w:tcPr>
                <w:p>
                  <w:pPr>
                    <w:spacing w:before="43"/>
                    <w:jc w:val="center"/>
                    <w:rPr>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3" w:hRule="atLeast"/>
                <w:jc w:val="center"/>
              </w:trPr>
              <w:tc>
                <w:tcPr>
                  <w:tcW w:w="612" w:type="pct"/>
                  <w:vAlign w:val="center"/>
                </w:tcPr>
                <w:p>
                  <w:pPr>
                    <w:spacing w:line="269" w:lineRule="exact"/>
                    <w:jc w:val="center"/>
                    <w:rPr>
                      <w:color w:val="auto"/>
                      <w:kern w:val="0"/>
                      <w:sz w:val="18"/>
                      <w:szCs w:val="18"/>
                    </w:rPr>
                  </w:pPr>
                  <w:r>
                    <w:rPr>
                      <w:rFonts w:hint="eastAsia"/>
                      <w:color w:val="auto"/>
                      <w:kern w:val="0"/>
                      <w:sz w:val="18"/>
                      <w:szCs w:val="18"/>
                    </w:rPr>
                    <w:t>精馏</w:t>
                  </w:r>
                </w:p>
              </w:tc>
              <w:tc>
                <w:tcPr>
                  <w:tcW w:w="620" w:type="pct"/>
                  <w:vAlign w:val="center"/>
                </w:tcPr>
                <w:p>
                  <w:pPr>
                    <w:jc w:val="center"/>
                    <w:rPr>
                      <w:color w:val="auto"/>
                      <w:kern w:val="0"/>
                      <w:sz w:val="18"/>
                      <w:szCs w:val="18"/>
                    </w:rPr>
                  </w:pPr>
                  <w:r>
                    <w:rPr>
                      <w:rFonts w:hint="eastAsia"/>
                      <w:color w:val="auto"/>
                      <w:kern w:val="0"/>
                      <w:sz w:val="18"/>
                      <w:szCs w:val="18"/>
                    </w:rPr>
                    <w:t>非甲烷总烃</w:t>
                  </w:r>
                </w:p>
              </w:tc>
              <w:tc>
                <w:tcPr>
                  <w:tcW w:w="697" w:type="pct"/>
                  <w:vAlign w:val="center"/>
                </w:tcPr>
                <w:p>
                  <w:pPr>
                    <w:spacing w:before="43"/>
                    <w:jc w:val="center"/>
                    <w:rPr>
                      <w:color w:val="auto"/>
                      <w:kern w:val="0"/>
                      <w:sz w:val="18"/>
                      <w:szCs w:val="18"/>
                    </w:rPr>
                  </w:pPr>
                  <w:r>
                    <w:rPr>
                      <w:color w:val="auto"/>
                      <w:kern w:val="0"/>
                      <w:sz w:val="18"/>
                      <w:szCs w:val="18"/>
                    </w:rPr>
                    <w:t>有组织</w:t>
                  </w:r>
                  <w:r>
                    <w:rPr>
                      <w:rFonts w:hint="eastAsia"/>
                      <w:color w:val="auto"/>
                      <w:kern w:val="0"/>
                      <w:sz w:val="18"/>
                      <w:szCs w:val="18"/>
                    </w:rPr>
                    <w:t>（</w:t>
                  </w:r>
                  <w:r>
                    <w:rPr>
                      <w:rFonts w:hint="eastAsia"/>
                      <w:color w:val="auto"/>
                      <w:sz w:val="18"/>
                      <w:szCs w:val="18"/>
                      <w:lang w:val="en-US" w:eastAsia="zh-CN"/>
                    </w:rPr>
                    <w:t>DA002</w:t>
                  </w:r>
                  <w:r>
                    <w:rPr>
                      <w:rFonts w:hint="eastAsia"/>
                      <w:color w:val="auto"/>
                      <w:kern w:val="0"/>
                      <w:sz w:val="18"/>
                      <w:szCs w:val="18"/>
                    </w:rPr>
                    <w:t>）</w:t>
                  </w:r>
                </w:p>
              </w:tc>
              <w:tc>
                <w:tcPr>
                  <w:tcW w:w="460" w:type="pct"/>
                  <w:vAlign w:val="center"/>
                </w:tcPr>
                <w:p>
                  <w:pPr>
                    <w:spacing w:before="43"/>
                    <w:jc w:val="center"/>
                    <w:rPr>
                      <w:color w:val="auto"/>
                      <w:sz w:val="18"/>
                      <w:szCs w:val="18"/>
                    </w:rPr>
                  </w:pPr>
                  <w:r>
                    <w:rPr>
                      <w:rFonts w:hint="eastAsia"/>
                      <w:color w:val="auto"/>
                      <w:sz w:val="18"/>
                      <w:szCs w:val="18"/>
                    </w:rPr>
                    <w:t>7728</w:t>
                  </w:r>
                  <w:r>
                    <w:rPr>
                      <w:color w:val="auto"/>
                      <w:sz w:val="18"/>
                      <w:szCs w:val="18"/>
                    </w:rPr>
                    <w:t>m</w:t>
                  </w:r>
                  <w:r>
                    <w:rPr>
                      <w:color w:val="auto"/>
                      <w:sz w:val="18"/>
                      <w:szCs w:val="18"/>
                      <w:vertAlign w:val="superscript"/>
                    </w:rPr>
                    <w:t>3</w:t>
                  </w:r>
                  <w:r>
                    <w:rPr>
                      <w:color w:val="auto"/>
                      <w:sz w:val="18"/>
                      <w:szCs w:val="18"/>
                    </w:rPr>
                    <w:t>/h</w:t>
                  </w:r>
                </w:p>
              </w:tc>
              <w:tc>
                <w:tcPr>
                  <w:tcW w:w="262" w:type="pct"/>
                  <w:vAlign w:val="center"/>
                </w:tcPr>
                <w:p>
                  <w:pPr>
                    <w:spacing w:before="43"/>
                    <w:jc w:val="center"/>
                    <w:rPr>
                      <w:color w:val="auto"/>
                      <w:sz w:val="18"/>
                      <w:szCs w:val="18"/>
                    </w:rPr>
                  </w:pPr>
                  <w:r>
                    <w:rPr>
                      <w:rFonts w:hint="eastAsia"/>
                      <w:color w:val="auto"/>
                      <w:sz w:val="18"/>
                      <w:szCs w:val="18"/>
                    </w:rPr>
                    <w:t>480h</w:t>
                  </w:r>
                </w:p>
              </w:tc>
              <w:tc>
                <w:tcPr>
                  <w:tcW w:w="510" w:type="pct"/>
                  <w:vAlign w:val="center"/>
                </w:tcPr>
                <w:p>
                  <w:pPr>
                    <w:spacing w:before="43"/>
                    <w:jc w:val="center"/>
                    <w:rPr>
                      <w:color w:val="auto"/>
                      <w:kern w:val="0"/>
                      <w:sz w:val="18"/>
                      <w:szCs w:val="18"/>
                    </w:rPr>
                  </w:pPr>
                  <w:r>
                    <w:rPr>
                      <w:rFonts w:hint="eastAsia"/>
                      <w:color w:val="auto"/>
                      <w:kern w:val="0"/>
                      <w:sz w:val="18"/>
                      <w:szCs w:val="18"/>
                    </w:rPr>
                    <w:t>精馏塔直接接入处理设施</w:t>
                  </w:r>
                </w:p>
              </w:tc>
              <w:tc>
                <w:tcPr>
                  <w:tcW w:w="317" w:type="pct"/>
                  <w:vAlign w:val="center"/>
                </w:tcPr>
                <w:p>
                  <w:pPr>
                    <w:spacing w:before="43"/>
                    <w:jc w:val="center"/>
                    <w:rPr>
                      <w:color w:val="auto"/>
                      <w:kern w:val="0"/>
                      <w:sz w:val="18"/>
                      <w:szCs w:val="18"/>
                    </w:rPr>
                  </w:pPr>
                  <w:r>
                    <w:rPr>
                      <w:rFonts w:hint="eastAsia"/>
                      <w:color w:val="auto"/>
                      <w:kern w:val="0"/>
                      <w:sz w:val="18"/>
                      <w:szCs w:val="18"/>
                    </w:rPr>
                    <w:t>/</w:t>
                  </w:r>
                </w:p>
              </w:tc>
              <w:tc>
                <w:tcPr>
                  <w:tcW w:w="473" w:type="pct"/>
                  <w:vAlign w:val="center"/>
                </w:tcPr>
                <w:p>
                  <w:pPr>
                    <w:spacing w:before="43"/>
                    <w:jc w:val="center"/>
                    <w:rPr>
                      <w:rFonts w:hint="default" w:eastAsia="宋体"/>
                      <w:color w:val="auto"/>
                      <w:kern w:val="0"/>
                      <w:sz w:val="18"/>
                      <w:szCs w:val="18"/>
                      <w:lang w:val="en-US" w:eastAsia="zh-CN"/>
                    </w:rPr>
                  </w:pPr>
                  <w:r>
                    <w:rPr>
                      <w:rFonts w:hint="eastAsia"/>
                      <w:color w:val="auto"/>
                      <w:kern w:val="0"/>
                      <w:sz w:val="18"/>
                      <w:szCs w:val="18"/>
                    </w:rPr>
                    <w:t>一级水喷淋</w:t>
                  </w:r>
                  <w:r>
                    <w:rPr>
                      <w:rFonts w:hint="eastAsia"/>
                      <w:color w:val="auto"/>
                      <w:kern w:val="0"/>
                      <w:sz w:val="18"/>
                      <w:szCs w:val="18"/>
                      <w:lang w:val="en-US" w:eastAsia="zh-CN"/>
                    </w:rPr>
                    <w:t>+活性炭吸附</w:t>
                  </w:r>
                </w:p>
              </w:tc>
              <w:tc>
                <w:tcPr>
                  <w:tcW w:w="193" w:type="pct"/>
                  <w:vAlign w:val="center"/>
                </w:tcPr>
                <w:p>
                  <w:pPr>
                    <w:spacing w:before="43"/>
                    <w:jc w:val="center"/>
                    <w:rPr>
                      <w:color w:val="auto"/>
                      <w:kern w:val="0"/>
                      <w:sz w:val="18"/>
                      <w:szCs w:val="18"/>
                    </w:rPr>
                  </w:pPr>
                  <w:r>
                    <w:rPr>
                      <w:rFonts w:hint="eastAsia"/>
                      <w:color w:val="auto"/>
                      <w:kern w:val="0"/>
                      <w:sz w:val="18"/>
                      <w:szCs w:val="18"/>
                      <w:lang w:val="en-US" w:eastAsia="zh-CN"/>
                    </w:rPr>
                    <w:t>8</w:t>
                  </w:r>
                  <w:r>
                    <w:rPr>
                      <w:rFonts w:hint="eastAsia"/>
                      <w:color w:val="auto"/>
                      <w:kern w:val="0"/>
                      <w:sz w:val="18"/>
                      <w:szCs w:val="18"/>
                    </w:rPr>
                    <w:t>0%</w:t>
                  </w:r>
                </w:p>
              </w:tc>
              <w:tc>
                <w:tcPr>
                  <w:tcW w:w="277" w:type="pct"/>
                  <w:vAlign w:val="center"/>
                </w:tcPr>
                <w:p>
                  <w:pPr>
                    <w:spacing w:before="43"/>
                    <w:jc w:val="center"/>
                    <w:rPr>
                      <w:color w:val="auto"/>
                      <w:kern w:val="0"/>
                      <w:sz w:val="18"/>
                      <w:szCs w:val="18"/>
                    </w:rPr>
                  </w:pPr>
                  <w:r>
                    <w:rPr>
                      <w:color w:val="auto"/>
                      <w:kern w:val="0"/>
                      <w:sz w:val="18"/>
                      <w:szCs w:val="18"/>
                    </w:rPr>
                    <w:t>是</w:t>
                  </w:r>
                </w:p>
              </w:tc>
              <w:tc>
                <w:tcPr>
                  <w:tcW w:w="289" w:type="pct"/>
                  <w:vAlign w:val="center"/>
                </w:tcPr>
                <w:p>
                  <w:pPr>
                    <w:spacing w:before="43"/>
                    <w:jc w:val="center"/>
                    <w:rPr>
                      <w:color w:val="auto"/>
                      <w:kern w:val="0"/>
                      <w:sz w:val="18"/>
                      <w:szCs w:val="18"/>
                    </w:rPr>
                  </w:pPr>
                  <w:r>
                    <w:rPr>
                      <w:rFonts w:hint="eastAsia"/>
                      <w:color w:val="auto"/>
                      <w:kern w:val="0"/>
                      <w:sz w:val="18"/>
                      <w:szCs w:val="18"/>
                      <w:lang w:val="en-US" w:eastAsia="zh-CN"/>
                    </w:rPr>
                    <w:t>8</w:t>
                  </w:r>
                  <w:r>
                    <w:rPr>
                      <w:rFonts w:hint="eastAsia"/>
                      <w:color w:val="auto"/>
                      <w:kern w:val="0"/>
                      <w:sz w:val="18"/>
                      <w:szCs w:val="18"/>
                    </w:rPr>
                    <w:t>0%</w:t>
                  </w:r>
                </w:p>
              </w:tc>
              <w:tc>
                <w:tcPr>
                  <w:tcW w:w="284" w:type="pct"/>
                  <w:vAlign w:val="center"/>
                </w:tcPr>
                <w:p>
                  <w:pPr>
                    <w:spacing w:before="43"/>
                    <w:jc w:val="center"/>
                    <w:rPr>
                      <w:rFonts w:hint="default" w:eastAsia="宋体"/>
                      <w:color w:val="auto"/>
                      <w:kern w:val="0"/>
                      <w:sz w:val="18"/>
                      <w:szCs w:val="18"/>
                      <w:lang w:val="en-US" w:eastAsia="zh-CN"/>
                    </w:rPr>
                  </w:pPr>
                  <w:r>
                    <w:rPr>
                      <w:rFonts w:hint="eastAsia"/>
                      <w:color w:val="auto"/>
                      <w:kern w:val="0"/>
                      <w:sz w:val="18"/>
                      <w:szCs w:val="18"/>
                      <w:lang w:val="en-US" w:eastAsia="zh-CN"/>
                    </w:rPr>
                    <w:t>依托已建措施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3" w:hRule="atLeast"/>
                <w:jc w:val="center"/>
              </w:trPr>
              <w:tc>
                <w:tcPr>
                  <w:tcW w:w="5000" w:type="pct"/>
                  <w:gridSpan w:val="12"/>
                  <w:vAlign w:val="center"/>
                </w:tcPr>
                <w:p>
                  <w:pPr>
                    <w:spacing w:before="43"/>
                    <w:jc w:val="center"/>
                    <w:rPr>
                      <w:rFonts w:hint="eastAsia"/>
                      <w:color w:val="auto"/>
                      <w:kern w:val="0"/>
                      <w:sz w:val="18"/>
                      <w:szCs w:val="18"/>
                      <w:lang w:val="en-US" w:eastAsia="zh-CN"/>
                    </w:rPr>
                  </w:pPr>
                  <w:r>
                    <w:rPr>
                      <w:rFonts w:hint="eastAsia"/>
                      <w:color w:val="auto"/>
                      <w:kern w:val="0"/>
                      <w:sz w:val="18"/>
                      <w:szCs w:val="18"/>
                      <w:lang w:val="en-US" w:eastAsia="zh-CN"/>
                    </w:rPr>
                    <w:t>注：项目有机废气污染物为溶剂，本次评价以非甲烷总烃计。</w:t>
                  </w:r>
                </w:p>
              </w:tc>
            </w:tr>
          </w:tbl>
          <w:p>
            <w:pPr>
              <w:spacing w:before="194" w:beforeLines="50"/>
              <w:jc w:val="center"/>
              <w:outlineLvl w:val="5"/>
              <w:rPr>
                <w:rFonts w:hint="eastAsia"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表4-5  G1废气污染源产排情况一览表</w:t>
            </w:r>
          </w:p>
          <w:tbl>
            <w:tblPr>
              <w:tblStyle w:val="20"/>
              <w:tblW w:w="136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881"/>
              <w:gridCol w:w="558"/>
              <w:gridCol w:w="433"/>
              <w:gridCol w:w="708"/>
              <w:gridCol w:w="835"/>
              <w:gridCol w:w="656"/>
              <w:gridCol w:w="640"/>
              <w:gridCol w:w="565"/>
              <w:gridCol w:w="631"/>
              <w:gridCol w:w="681"/>
              <w:gridCol w:w="752"/>
              <w:gridCol w:w="595"/>
              <w:gridCol w:w="554"/>
              <w:gridCol w:w="601"/>
              <w:gridCol w:w="743"/>
              <w:gridCol w:w="585"/>
              <w:gridCol w:w="1979"/>
              <w:gridCol w:w="4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19" w:type="dxa"/>
                  <w:vMerge w:val="restart"/>
                  <w:vAlign w:val="center"/>
                </w:tcPr>
                <w:p>
                  <w:pPr>
                    <w:keepNext/>
                    <w:snapToGrid w:val="0"/>
                    <w:jc w:val="center"/>
                    <w:rPr>
                      <w:b/>
                      <w:bCs/>
                      <w:color w:val="auto"/>
                      <w:sz w:val="18"/>
                      <w:szCs w:val="18"/>
                    </w:rPr>
                  </w:pPr>
                  <w:r>
                    <w:rPr>
                      <w:b/>
                      <w:bCs/>
                      <w:color w:val="auto"/>
                      <w:sz w:val="18"/>
                      <w:szCs w:val="18"/>
                    </w:rPr>
                    <w:t>产污环节</w:t>
                  </w:r>
                </w:p>
              </w:tc>
              <w:tc>
                <w:tcPr>
                  <w:tcW w:w="881" w:type="dxa"/>
                  <w:vMerge w:val="restart"/>
                  <w:vAlign w:val="center"/>
                </w:tcPr>
                <w:p>
                  <w:pPr>
                    <w:keepNext/>
                    <w:snapToGrid w:val="0"/>
                    <w:jc w:val="center"/>
                    <w:rPr>
                      <w:b/>
                      <w:bCs/>
                      <w:color w:val="auto"/>
                      <w:sz w:val="18"/>
                      <w:szCs w:val="18"/>
                    </w:rPr>
                  </w:pPr>
                  <w:r>
                    <w:rPr>
                      <w:b/>
                      <w:bCs/>
                      <w:color w:val="auto"/>
                      <w:sz w:val="18"/>
                      <w:szCs w:val="18"/>
                    </w:rPr>
                    <w:t>污染源</w:t>
                  </w:r>
                </w:p>
              </w:tc>
              <w:tc>
                <w:tcPr>
                  <w:tcW w:w="558" w:type="dxa"/>
                  <w:vMerge w:val="restart"/>
                  <w:vAlign w:val="center"/>
                </w:tcPr>
                <w:p>
                  <w:pPr>
                    <w:keepNext/>
                    <w:snapToGrid w:val="0"/>
                    <w:jc w:val="center"/>
                    <w:rPr>
                      <w:b/>
                      <w:bCs/>
                      <w:color w:val="auto"/>
                      <w:sz w:val="18"/>
                      <w:szCs w:val="18"/>
                    </w:rPr>
                  </w:pPr>
                  <w:r>
                    <w:rPr>
                      <w:b/>
                      <w:bCs/>
                      <w:color w:val="auto"/>
                      <w:sz w:val="18"/>
                      <w:szCs w:val="18"/>
                    </w:rPr>
                    <w:t>污染物</w:t>
                  </w:r>
                </w:p>
              </w:tc>
              <w:tc>
                <w:tcPr>
                  <w:tcW w:w="3272" w:type="dxa"/>
                  <w:gridSpan w:val="5"/>
                  <w:vAlign w:val="center"/>
                </w:tcPr>
                <w:p>
                  <w:pPr>
                    <w:keepNext/>
                    <w:snapToGrid w:val="0"/>
                    <w:jc w:val="center"/>
                    <w:rPr>
                      <w:b/>
                      <w:bCs/>
                      <w:color w:val="auto"/>
                      <w:sz w:val="18"/>
                      <w:szCs w:val="18"/>
                    </w:rPr>
                  </w:pPr>
                  <w:r>
                    <w:rPr>
                      <w:b/>
                      <w:bCs/>
                      <w:color w:val="auto"/>
                      <w:sz w:val="18"/>
                      <w:szCs w:val="18"/>
                    </w:rPr>
                    <w:t>污染物产生</w:t>
                  </w:r>
                </w:p>
              </w:tc>
              <w:tc>
                <w:tcPr>
                  <w:tcW w:w="565" w:type="dxa"/>
                  <w:vMerge w:val="restart"/>
                  <w:vAlign w:val="center"/>
                </w:tcPr>
                <w:p>
                  <w:pPr>
                    <w:keepNext/>
                    <w:snapToGrid w:val="0"/>
                    <w:jc w:val="center"/>
                    <w:rPr>
                      <w:b/>
                      <w:bCs/>
                      <w:color w:val="auto"/>
                      <w:sz w:val="18"/>
                      <w:szCs w:val="18"/>
                    </w:rPr>
                  </w:pPr>
                  <w:r>
                    <w:rPr>
                      <w:b/>
                      <w:bCs/>
                      <w:color w:val="auto"/>
                      <w:sz w:val="18"/>
                      <w:szCs w:val="18"/>
                    </w:rPr>
                    <w:t>收集效率</w:t>
                  </w:r>
                </w:p>
              </w:tc>
              <w:tc>
                <w:tcPr>
                  <w:tcW w:w="1312" w:type="dxa"/>
                  <w:gridSpan w:val="2"/>
                  <w:vAlign w:val="center"/>
                </w:tcPr>
                <w:p>
                  <w:pPr>
                    <w:keepNext/>
                    <w:snapToGrid w:val="0"/>
                    <w:jc w:val="center"/>
                    <w:rPr>
                      <w:b/>
                      <w:bCs/>
                      <w:color w:val="auto"/>
                      <w:sz w:val="18"/>
                      <w:szCs w:val="18"/>
                    </w:rPr>
                  </w:pPr>
                  <w:r>
                    <w:rPr>
                      <w:b/>
                      <w:bCs/>
                      <w:color w:val="auto"/>
                      <w:sz w:val="18"/>
                      <w:szCs w:val="18"/>
                    </w:rPr>
                    <w:t>治理措施</w:t>
                  </w:r>
                </w:p>
              </w:tc>
              <w:tc>
                <w:tcPr>
                  <w:tcW w:w="1901" w:type="dxa"/>
                  <w:gridSpan w:val="3"/>
                  <w:vAlign w:val="center"/>
                </w:tcPr>
                <w:p>
                  <w:pPr>
                    <w:keepNext/>
                    <w:snapToGrid w:val="0"/>
                    <w:jc w:val="center"/>
                    <w:rPr>
                      <w:b/>
                      <w:bCs/>
                      <w:color w:val="auto"/>
                      <w:sz w:val="18"/>
                      <w:szCs w:val="18"/>
                    </w:rPr>
                  </w:pPr>
                  <w:r>
                    <w:rPr>
                      <w:b/>
                      <w:bCs/>
                      <w:color w:val="auto"/>
                      <w:sz w:val="18"/>
                      <w:szCs w:val="18"/>
                    </w:rPr>
                    <w:t>污染物排放</w:t>
                  </w:r>
                </w:p>
              </w:tc>
              <w:tc>
                <w:tcPr>
                  <w:tcW w:w="601" w:type="dxa"/>
                  <w:vMerge w:val="restart"/>
                  <w:vAlign w:val="center"/>
                </w:tcPr>
                <w:p>
                  <w:pPr>
                    <w:keepNext/>
                    <w:snapToGrid w:val="0"/>
                    <w:jc w:val="center"/>
                    <w:rPr>
                      <w:b/>
                      <w:bCs/>
                      <w:color w:val="auto"/>
                      <w:sz w:val="18"/>
                      <w:szCs w:val="18"/>
                    </w:rPr>
                  </w:pPr>
                  <w:r>
                    <w:rPr>
                      <w:b/>
                      <w:bCs/>
                      <w:color w:val="auto"/>
                      <w:sz w:val="18"/>
                      <w:szCs w:val="18"/>
                    </w:rPr>
                    <w:t>排放时间h</w:t>
                  </w:r>
                </w:p>
              </w:tc>
              <w:tc>
                <w:tcPr>
                  <w:tcW w:w="3307" w:type="dxa"/>
                  <w:gridSpan w:val="3"/>
                  <w:vAlign w:val="center"/>
                </w:tcPr>
                <w:p>
                  <w:pPr>
                    <w:keepNext/>
                    <w:snapToGrid w:val="0"/>
                    <w:jc w:val="center"/>
                    <w:rPr>
                      <w:b/>
                      <w:bCs/>
                      <w:color w:val="auto"/>
                      <w:sz w:val="18"/>
                      <w:szCs w:val="18"/>
                    </w:rPr>
                  </w:pPr>
                  <w:r>
                    <w:rPr>
                      <w:b/>
                      <w:bCs/>
                      <w:color w:val="auto"/>
                      <w:sz w:val="18"/>
                      <w:szCs w:val="18"/>
                    </w:rPr>
                    <w:t>排放标准</w:t>
                  </w:r>
                </w:p>
              </w:tc>
              <w:tc>
                <w:tcPr>
                  <w:tcW w:w="499" w:type="dxa"/>
                  <w:vMerge w:val="restart"/>
                  <w:vAlign w:val="center"/>
                </w:tcPr>
                <w:p>
                  <w:pPr>
                    <w:keepNext/>
                    <w:snapToGrid w:val="0"/>
                    <w:jc w:val="center"/>
                    <w:rPr>
                      <w:b/>
                      <w:bCs/>
                      <w:color w:val="auto"/>
                      <w:sz w:val="18"/>
                      <w:szCs w:val="18"/>
                    </w:rPr>
                  </w:pPr>
                  <w:r>
                    <w:rPr>
                      <w:b/>
                      <w:bCs/>
                      <w:color w:val="auto"/>
                      <w:sz w:val="18"/>
                      <w:szCs w:val="18"/>
                    </w:rPr>
                    <w:t>是否达标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19" w:type="dxa"/>
                  <w:vMerge w:val="continue"/>
                  <w:vAlign w:val="center"/>
                </w:tcPr>
                <w:p>
                  <w:pPr>
                    <w:keepNext/>
                    <w:snapToGrid w:val="0"/>
                    <w:jc w:val="center"/>
                    <w:rPr>
                      <w:b/>
                      <w:bCs/>
                      <w:color w:val="auto"/>
                      <w:sz w:val="18"/>
                    </w:rPr>
                  </w:pPr>
                </w:p>
              </w:tc>
              <w:tc>
                <w:tcPr>
                  <w:tcW w:w="881" w:type="dxa"/>
                  <w:vMerge w:val="continue"/>
                  <w:vAlign w:val="center"/>
                </w:tcPr>
                <w:p>
                  <w:pPr>
                    <w:keepNext/>
                    <w:snapToGrid w:val="0"/>
                    <w:jc w:val="center"/>
                    <w:rPr>
                      <w:b/>
                      <w:bCs/>
                      <w:color w:val="auto"/>
                      <w:sz w:val="18"/>
                    </w:rPr>
                  </w:pPr>
                </w:p>
              </w:tc>
              <w:tc>
                <w:tcPr>
                  <w:tcW w:w="558" w:type="dxa"/>
                  <w:vMerge w:val="continue"/>
                  <w:vAlign w:val="center"/>
                </w:tcPr>
                <w:p>
                  <w:pPr>
                    <w:keepNext/>
                    <w:snapToGrid w:val="0"/>
                    <w:jc w:val="center"/>
                    <w:rPr>
                      <w:b/>
                      <w:bCs/>
                      <w:color w:val="auto"/>
                      <w:sz w:val="18"/>
                    </w:rPr>
                  </w:pPr>
                </w:p>
              </w:tc>
              <w:tc>
                <w:tcPr>
                  <w:tcW w:w="433" w:type="dxa"/>
                  <w:vAlign w:val="center"/>
                </w:tcPr>
                <w:p>
                  <w:pPr>
                    <w:keepNext/>
                    <w:snapToGrid w:val="0"/>
                    <w:jc w:val="center"/>
                    <w:rPr>
                      <w:b/>
                      <w:bCs/>
                      <w:color w:val="auto"/>
                      <w:sz w:val="18"/>
                      <w:szCs w:val="18"/>
                    </w:rPr>
                  </w:pPr>
                  <w:r>
                    <w:rPr>
                      <w:rFonts w:hint="eastAsia"/>
                      <w:b/>
                      <w:bCs/>
                      <w:color w:val="auto"/>
                      <w:sz w:val="18"/>
                      <w:szCs w:val="18"/>
                    </w:rPr>
                    <w:t>核算方法</w:t>
                  </w:r>
                </w:p>
              </w:tc>
              <w:tc>
                <w:tcPr>
                  <w:tcW w:w="708" w:type="dxa"/>
                  <w:vAlign w:val="center"/>
                </w:tcPr>
                <w:p>
                  <w:pPr>
                    <w:keepNext/>
                    <w:snapToGrid w:val="0"/>
                    <w:jc w:val="center"/>
                    <w:rPr>
                      <w:b/>
                      <w:bCs/>
                      <w:color w:val="auto"/>
                      <w:sz w:val="18"/>
                      <w:szCs w:val="18"/>
                    </w:rPr>
                  </w:pPr>
                  <w:r>
                    <w:rPr>
                      <w:b/>
                      <w:bCs/>
                      <w:color w:val="auto"/>
                      <w:sz w:val="18"/>
                      <w:szCs w:val="18"/>
                    </w:rPr>
                    <w:t>废气产生量m</w:t>
                  </w:r>
                  <w:r>
                    <w:rPr>
                      <w:b/>
                      <w:bCs/>
                      <w:color w:val="auto"/>
                      <w:sz w:val="18"/>
                      <w:szCs w:val="18"/>
                      <w:vertAlign w:val="superscript"/>
                    </w:rPr>
                    <w:t>3</w:t>
                  </w:r>
                  <w:r>
                    <w:rPr>
                      <w:b/>
                      <w:bCs/>
                      <w:color w:val="auto"/>
                      <w:sz w:val="18"/>
                      <w:szCs w:val="18"/>
                    </w:rPr>
                    <w:t>/h</w:t>
                  </w:r>
                </w:p>
              </w:tc>
              <w:tc>
                <w:tcPr>
                  <w:tcW w:w="835" w:type="dxa"/>
                  <w:vAlign w:val="center"/>
                </w:tcPr>
                <w:p>
                  <w:pPr>
                    <w:keepNext/>
                    <w:snapToGrid w:val="0"/>
                    <w:jc w:val="center"/>
                    <w:rPr>
                      <w:b/>
                      <w:bCs/>
                      <w:color w:val="auto"/>
                      <w:sz w:val="18"/>
                      <w:szCs w:val="18"/>
                    </w:rPr>
                  </w:pPr>
                  <w:r>
                    <w:rPr>
                      <w:b/>
                      <w:bCs/>
                      <w:color w:val="auto"/>
                      <w:sz w:val="18"/>
                      <w:szCs w:val="18"/>
                    </w:rPr>
                    <w:t>产生浓度mg/m</w:t>
                  </w:r>
                  <w:r>
                    <w:rPr>
                      <w:b/>
                      <w:bCs/>
                      <w:color w:val="auto"/>
                      <w:sz w:val="18"/>
                      <w:szCs w:val="18"/>
                      <w:vertAlign w:val="superscript"/>
                    </w:rPr>
                    <w:t>3</w:t>
                  </w:r>
                </w:p>
              </w:tc>
              <w:tc>
                <w:tcPr>
                  <w:tcW w:w="656" w:type="dxa"/>
                  <w:vAlign w:val="center"/>
                </w:tcPr>
                <w:p>
                  <w:pPr>
                    <w:keepNext/>
                    <w:snapToGrid w:val="0"/>
                    <w:jc w:val="center"/>
                    <w:rPr>
                      <w:b/>
                      <w:bCs/>
                      <w:color w:val="auto"/>
                      <w:sz w:val="18"/>
                      <w:szCs w:val="18"/>
                    </w:rPr>
                  </w:pPr>
                  <w:r>
                    <w:rPr>
                      <w:b/>
                      <w:bCs/>
                      <w:color w:val="auto"/>
                      <w:sz w:val="18"/>
                      <w:szCs w:val="18"/>
                    </w:rPr>
                    <w:t>产生速率kg/h</w:t>
                  </w:r>
                </w:p>
              </w:tc>
              <w:tc>
                <w:tcPr>
                  <w:tcW w:w="640" w:type="dxa"/>
                  <w:vAlign w:val="center"/>
                </w:tcPr>
                <w:p>
                  <w:pPr>
                    <w:keepNext/>
                    <w:snapToGrid w:val="0"/>
                    <w:jc w:val="center"/>
                    <w:rPr>
                      <w:b/>
                      <w:bCs/>
                      <w:color w:val="auto"/>
                      <w:sz w:val="18"/>
                      <w:szCs w:val="18"/>
                    </w:rPr>
                  </w:pPr>
                  <w:r>
                    <w:rPr>
                      <w:b/>
                      <w:bCs/>
                      <w:color w:val="auto"/>
                      <w:sz w:val="18"/>
                      <w:szCs w:val="18"/>
                    </w:rPr>
                    <w:t>产生量t/a</w:t>
                  </w:r>
                </w:p>
              </w:tc>
              <w:tc>
                <w:tcPr>
                  <w:tcW w:w="565" w:type="dxa"/>
                  <w:vMerge w:val="continue"/>
                  <w:vAlign w:val="center"/>
                </w:tcPr>
                <w:p>
                  <w:pPr>
                    <w:keepNext/>
                    <w:snapToGrid w:val="0"/>
                    <w:spacing w:before="8"/>
                    <w:jc w:val="center"/>
                    <w:rPr>
                      <w:b/>
                      <w:bCs/>
                      <w:color w:val="auto"/>
                      <w:kern w:val="0"/>
                      <w:sz w:val="18"/>
                      <w:szCs w:val="18"/>
                    </w:rPr>
                  </w:pPr>
                </w:p>
              </w:tc>
              <w:tc>
                <w:tcPr>
                  <w:tcW w:w="631" w:type="dxa"/>
                  <w:vAlign w:val="center"/>
                </w:tcPr>
                <w:p>
                  <w:pPr>
                    <w:keepNext/>
                    <w:snapToGrid w:val="0"/>
                    <w:spacing w:before="8"/>
                    <w:jc w:val="center"/>
                    <w:rPr>
                      <w:b/>
                      <w:bCs/>
                      <w:color w:val="auto"/>
                      <w:sz w:val="18"/>
                      <w:szCs w:val="18"/>
                    </w:rPr>
                  </w:pPr>
                  <w:r>
                    <w:rPr>
                      <w:b/>
                      <w:bCs/>
                      <w:color w:val="auto"/>
                      <w:kern w:val="0"/>
                      <w:sz w:val="18"/>
                      <w:szCs w:val="18"/>
                    </w:rPr>
                    <w:t>处理设施</w:t>
                  </w:r>
                </w:p>
              </w:tc>
              <w:tc>
                <w:tcPr>
                  <w:tcW w:w="681" w:type="dxa"/>
                  <w:vAlign w:val="center"/>
                </w:tcPr>
                <w:p>
                  <w:pPr>
                    <w:keepNext/>
                    <w:snapToGrid w:val="0"/>
                    <w:spacing w:before="8"/>
                    <w:jc w:val="center"/>
                    <w:rPr>
                      <w:b/>
                      <w:bCs/>
                      <w:color w:val="auto"/>
                      <w:sz w:val="18"/>
                      <w:szCs w:val="18"/>
                    </w:rPr>
                  </w:pPr>
                  <w:r>
                    <w:rPr>
                      <w:b/>
                      <w:bCs/>
                      <w:color w:val="auto"/>
                      <w:kern w:val="0"/>
                      <w:sz w:val="18"/>
                      <w:szCs w:val="18"/>
                    </w:rPr>
                    <w:t>效率</w:t>
                  </w:r>
                </w:p>
              </w:tc>
              <w:tc>
                <w:tcPr>
                  <w:tcW w:w="752" w:type="dxa"/>
                  <w:vAlign w:val="center"/>
                </w:tcPr>
                <w:p>
                  <w:pPr>
                    <w:keepNext/>
                    <w:snapToGrid w:val="0"/>
                    <w:spacing w:before="8"/>
                    <w:jc w:val="center"/>
                    <w:rPr>
                      <w:b/>
                      <w:bCs/>
                      <w:color w:val="auto"/>
                      <w:sz w:val="18"/>
                      <w:szCs w:val="18"/>
                    </w:rPr>
                  </w:pPr>
                  <w:r>
                    <w:rPr>
                      <w:b/>
                      <w:bCs/>
                      <w:color w:val="auto"/>
                      <w:kern w:val="0"/>
                      <w:sz w:val="18"/>
                      <w:szCs w:val="18"/>
                    </w:rPr>
                    <w:t>排放浓度mg/m</w:t>
                  </w:r>
                  <w:r>
                    <w:rPr>
                      <w:b/>
                      <w:bCs/>
                      <w:color w:val="auto"/>
                      <w:kern w:val="0"/>
                      <w:sz w:val="18"/>
                      <w:szCs w:val="18"/>
                      <w:vertAlign w:val="superscript"/>
                    </w:rPr>
                    <w:t>3</w:t>
                  </w:r>
                </w:p>
              </w:tc>
              <w:tc>
                <w:tcPr>
                  <w:tcW w:w="595" w:type="dxa"/>
                  <w:vAlign w:val="center"/>
                </w:tcPr>
                <w:p>
                  <w:pPr>
                    <w:keepNext/>
                    <w:snapToGrid w:val="0"/>
                    <w:spacing w:before="8"/>
                    <w:jc w:val="center"/>
                    <w:rPr>
                      <w:b/>
                      <w:bCs/>
                      <w:color w:val="auto"/>
                      <w:sz w:val="18"/>
                      <w:szCs w:val="18"/>
                    </w:rPr>
                  </w:pPr>
                  <w:r>
                    <w:rPr>
                      <w:b/>
                      <w:bCs/>
                      <w:color w:val="auto"/>
                      <w:kern w:val="0"/>
                      <w:sz w:val="18"/>
                      <w:szCs w:val="18"/>
                    </w:rPr>
                    <w:t>排放速率kg/h</w:t>
                  </w:r>
                </w:p>
              </w:tc>
              <w:tc>
                <w:tcPr>
                  <w:tcW w:w="554" w:type="dxa"/>
                  <w:vAlign w:val="center"/>
                </w:tcPr>
                <w:p>
                  <w:pPr>
                    <w:keepNext/>
                    <w:snapToGrid w:val="0"/>
                    <w:spacing w:before="8"/>
                    <w:jc w:val="center"/>
                    <w:rPr>
                      <w:b/>
                      <w:bCs/>
                      <w:color w:val="auto"/>
                      <w:sz w:val="18"/>
                      <w:szCs w:val="18"/>
                    </w:rPr>
                  </w:pPr>
                  <w:r>
                    <w:rPr>
                      <w:b/>
                      <w:bCs/>
                      <w:color w:val="auto"/>
                      <w:kern w:val="0"/>
                      <w:sz w:val="18"/>
                      <w:szCs w:val="18"/>
                    </w:rPr>
                    <w:t>排放量t/a</w:t>
                  </w:r>
                </w:p>
              </w:tc>
              <w:tc>
                <w:tcPr>
                  <w:tcW w:w="601" w:type="dxa"/>
                  <w:vMerge w:val="continue"/>
                  <w:vAlign w:val="center"/>
                </w:tcPr>
                <w:p>
                  <w:pPr>
                    <w:keepNext/>
                    <w:snapToGrid w:val="0"/>
                    <w:jc w:val="center"/>
                    <w:rPr>
                      <w:b/>
                      <w:bCs/>
                      <w:color w:val="auto"/>
                      <w:sz w:val="18"/>
                      <w:szCs w:val="18"/>
                    </w:rPr>
                  </w:pPr>
                </w:p>
              </w:tc>
              <w:tc>
                <w:tcPr>
                  <w:tcW w:w="743" w:type="dxa"/>
                  <w:vAlign w:val="center"/>
                </w:tcPr>
                <w:p>
                  <w:pPr>
                    <w:keepNext/>
                    <w:snapToGrid w:val="0"/>
                    <w:jc w:val="center"/>
                    <w:rPr>
                      <w:b/>
                      <w:bCs/>
                      <w:color w:val="auto"/>
                      <w:sz w:val="18"/>
                      <w:szCs w:val="18"/>
                    </w:rPr>
                  </w:pPr>
                  <w:r>
                    <w:rPr>
                      <w:b/>
                      <w:bCs/>
                      <w:color w:val="auto"/>
                      <w:sz w:val="18"/>
                      <w:szCs w:val="18"/>
                    </w:rPr>
                    <w:t>浓度mg/m</w:t>
                  </w:r>
                  <w:r>
                    <w:rPr>
                      <w:b/>
                      <w:bCs/>
                      <w:color w:val="auto"/>
                      <w:sz w:val="18"/>
                      <w:szCs w:val="18"/>
                      <w:vertAlign w:val="superscript"/>
                    </w:rPr>
                    <w:t>3</w:t>
                  </w:r>
                </w:p>
              </w:tc>
              <w:tc>
                <w:tcPr>
                  <w:tcW w:w="585" w:type="dxa"/>
                  <w:vAlign w:val="center"/>
                </w:tcPr>
                <w:p>
                  <w:pPr>
                    <w:keepNext/>
                    <w:snapToGrid w:val="0"/>
                    <w:jc w:val="center"/>
                    <w:rPr>
                      <w:b/>
                      <w:bCs/>
                      <w:color w:val="auto"/>
                      <w:sz w:val="18"/>
                      <w:szCs w:val="18"/>
                    </w:rPr>
                  </w:pPr>
                  <w:r>
                    <w:rPr>
                      <w:b/>
                      <w:bCs/>
                      <w:color w:val="auto"/>
                      <w:sz w:val="18"/>
                      <w:szCs w:val="18"/>
                    </w:rPr>
                    <w:t>速率kg/h</w:t>
                  </w:r>
                </w:p>
              </w:tc>
              <w:tc>
                <w:tcPr>
                  <w:tcW w:w="1979" w:type="dxa"/>
                  <w:vAlign w:val="center"/>
                </w:tcPr>
                <w:p>
                  <w:pPr>
                    <w:keepNext/>
                    <w:snapToGrid w:val="0"/>
                    <w:jc w:val="center"/>
                    <w:rPr>
                      <w:b/>
                      <w:bCs/>
                      <w:color w:val="auto"/>
                      <w:sz w:val="18"/>
                      <w:szCs w:val="18"/>
                    </w:rPr>
                  </w:pPr>
                  <w:r>
                    <w:rPr>
                      <w:b/>
                      <w:bCs/>
                      <w:color w:val="auto"/>
                      <w:sz w:val="18"/>
                      <w:szCs w:val="18"/>
                    </w:rPr>
                    <w:t>标准</w:t>
                  </w:r>
                </w:p>
              </w:tc>
              <w:tc>
                <w:tcPr>
                  <w:tcW w:w="499" w:type="dxa"/>
                  <w:vMerge w:val="continue"/>
                  <w:vAlign w:val="center"/>
                </w:tcPr>
                <w:p>
                  <w:pPr>
                    <w:keepNext/>
                    <w:snapToGrid w:val="0"/>
                    <w:jc w:val="center"/>
                    <w:rPr>
                      <w:b/>
                      <w:bCs/>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719" w:type="dxa"/>
                  <w:vMerge w:val="restart"/>
                  <w:vAlign w:val="center"/>
                </w:tcPr>
                <w:p>
                  <w:pPr>
                    <w:keepNext/>
                    <w:snapToGrid w:val="0"/>
                    <w:jc w:val="center"/>
                    <w:rPr>
                      <w:color w:val="auto"/>
                      <w:sz w:val="18"/>
                      <w:szCs w:val="18"/>
                    </w:rPr>
                  </w:pPr>
                  <w:r>
                    <w:rPr>
                      <w:rFonts w:hint="eastAsia"/>
                      <w:color w:val="auto"/>
                      <w:kern w:val="0"/>
                      <w:sz w:val="18"/>
                      <w:szCs w:val="18"/>
                    </w:rPr>
                    <w:t>干燥、后处理</w:t>
                  </w:r>
                </w:p>
              </w:tc>
              <w:tc>
                <w:tcPr>
                  <w:tcW w:w="881" w:type="dxa"/>
                  <w:vAlign w:val="center"/>
                </w:tcPr>
                <w:p>
                  <w:pPr>
                    <w:keepNext/>
                    <w:snapToGrid w:val="0"/>
                    <w:jc w:val="center"/>
                    <w:rPr>
                      <w:rFonts w:hint="default" w:eastAsia="宋体"/>
                      <w:color w:val="auto"/>
                      <w:sz w:val="18"/>
                      <w:szCs w:val="18"/>
                      <w:lang w:val="en-US" w:eastAsia="zh-CN"/>
                    </w:rPr>
                  </w:pPr>
                  <w:r>
                    <w:rPr>
                      <w:rFonts w:hint="eastAsia"/>
                      <w:color w:val="auto"/>
                      <w:sz w:val="18"/>
                      <w:szCs w:val="18"/>
                      <w:lang w:val="en-US" w:eastAsia="zh-CN"/>
                    </w:rPr>
                    <w:t>DA013（新增）</w:t>
                  </w:r>
                </w:p>
              </w:tc>
              <w:tc>
                <w:tcPr>
                  <w:tcW w:w="558" w:type="dxa"/>
                  <w:vAlign w:val="center"/>
                </w:tcPr>
                <w:p>
                  <w:pPr>
                    <w:keepNext/>
                    <w:snapToGrid w:val="0"/>
                    <w:jc w:val="center"/>
                    <w:rPr>
                      <w:color w:val="auto"/>
                      <w:sz w:val="18"/>
                      <w:szCs w:val="18"/>
                    </w:rPr>
                  </w:pPr>
                  <w:r>
                    <w:rPr>
                      <w:rFonts w:hint="eastAsia"/>
                      <w:color w:val="auto"/>
                      <w:kern w:val="0"/>
                      <w:sz w:val="18"/>
                      <w:szCs w:val="18"/>
                    </w:rPr>
                    <w:t>非甲烷总烃</w:t>
                  </w:r>
                </w:p>
              </w:tc>
              <w:tc>
                <w:tcPr>
                  <w:tcW w:w="433" w:type="dxa"/>
                  <w:vAlign w:val="center"/>
                </w:tcPr>
                <w:p>
                  <w:pPr>
                    <w:keepNext/>
                    <w:snapToGrid w:val="0"/>
                    <w:jc w:val="center"/>
                    <w:rPr>
                      <w:color w:val="auto"/>
                      <w:sz w:val="18"/>
                      <w:szCs w:val="18"/>
                    </w:rPr>
                  </w:pPr>
                  <w:r>
                    <w:rPr>
                      <w:rFonts w:hint="eastAsia"/>
                      <w:color w:val="auto"/>
                      <w:sz w:val="18"/>
                      <w:szCs w:val="18"/>
                    </w:rPr>
                    <w:t>物料衡算法</w:t>
                  </w:r>
                </w:p>
              </w:tc>
              <w:tc>
                <w:tcPr>
                  <w:tcW w:w="708" w:type="dxa"/>
                  <w:vAlign w:val="center"/>
                </w:tcPr>
                <w:p>
                  <w:pPr>
                    <w:widowControl/>
                    <w:jc w:val="center"/>
                    <w:textAlignment w:val="center"/>
                    <w:rPr>
                      <w:color w:val="auto"/>
                      <w:sz w:val="18"/>
                      <w:szCs w:val="18"/>
                    </w:rPr>
                  </w:pPr>
                  <w:r>
                    <w:rPr>
                      <w:color w:val="auto"/>
                      <w:kern w:val="0"/>
                      <w:sz w:val="18"/>
                      <w:szCs w:val="18"/>
                      <w:lang w:bidi="ar"/>
                    </w:rPr>
                    <w:t>10000</w:t>
                  </w:r>
                </w:p>
              </w:tc>
              <w:tc>
                <w:tcPr>
                  <w:tcW w:w="835" w:type="dxa"/>
                  <w:vAlign w:val="center"/>
                </w:tcPr>
                <w:p>
                  <w:pPr>
                    <w:widowControl/>
                    <w:jc w:val="center"/>
                    <w:textAlignment w:val="center"/>
                    <w:rPr>
                      <w:rFonts w:hint="default" w:eastAsia="宋体"/>
                      <w:color w:val="auto"/>
                      <w:sz w:val="18"/>
                      <w:szCs w:val="18"/>
                      <w:lang w:val="en-US" w:eastAsia="zh-CN"/>
                    </w:rPr>
                  </w:pPr>
                  <w:r>
                    <w:rPr>
                      <w:rFonts w:hint="eastAsia"/>
                      <w:color w:val="auto"/>
                      <w:kern w:val="0"/>
                      <w:sz w:val="18"/>
                      <w:szCs w:val="18"/>
                      <w:lang w:val="en-US" w:eastAsia="zh-CN" w:bidi="ar"/>
                    </w:rPr>
                    <w:t>3811.11</w:t>
                  </w:r>
                </w:p>
              </w:tc>
              <w:tc>
                <w:tcPr>
                  <w:tcW w:w="656" w:type="dxa"/>
                  <w:vAlign w:val="center"/>
                </w:tcPr>
                <w:p>
                  <w:pPr>
                    <w:widowControl/>
                    <w:jc w:val="center"/>
                    <w:textAlignment w:val="center"/>
                    <w:rPr>
                      <w:rFonts w:hint="default" w:eastAsia="宋体"/>
                      <w:color w:val="auto"/>
                      <w:sz w:val="18"/>
                      <w:szCs w:val="18"/>
                      <w:lang w:val="en-US" w:eastAsia="zh-CN"/>
                    </w:rPr>
                  </w:pPr>
                  <w:r>
                    <w:rPr>
                      <w:color w:val="auto"/>
                      <w:kern w:val="0"/>
                      <w:sz w:val="18"/>
                      <w:szCs w:val="18"/>
                      <w:lang w:bidi="ar"/>
                    </w:rPr>
                    <w:t>38.</w:t>
                  </w:r>
                  <w:r>
                    <w:rPr>
                      <w:rFonts w:hint="eastAsia"/>
                      <w:color w:val="auto"/>
                      <w:kern w:val="0"/>
                      <w:sz w:val="18"/>
                      <w:szCs w:val="18"/>
                      <w:lang w:val="en-US" w:eastAsia="zh-CN" w:bidi="ar"/>
                    </w:rPr>
                    <w:t>11</w:t>
                  </w:r>
                </w:p>
              </w:tc>
              <w:tc>
                <w:tcPr>
                  <w:tcW w:w="640" w:type="dxa"/>
                  <w:vAlign w:val="center"/>
                </w:tcPr>
                <w:p>
                  <w:pPr>
                    <w:widowControl/>
                    <w:jc w:val="center"/>
                    <w:textAlignment w:val="center"/>
                    <w:rPr>
                      <w:rFonts w:hint="default" w:eastAsia="宋体"/>
                      <w:color w:val="auto"/>
                      <w:sz w:val="18"/>
                      <w:szCs w:val="18"/>
                      <w:lang w:val="en-US" w:eastAsia="zh-CN"/>
                    </w:rPr>
                  </w:pPr>
                  <w:r>
                    <w:rPr>
                      <w:rFonts w:hint="eastAsia"/>
                      <w:b w:val="0"/>
                      <w:bCs w:val="0"/>
                      <w:color w:val="auto"/>
                      <w:kern w:val="0"/>
                      <w:sz w:val="18"/>
                      <w:szCs w:val="18"/>
                      <w:highlight w:val="none"/>
                      <w:lang w:eastAsia="zh-CN" w:bidi="ar"/>
                    </w:rPr>
                    <w:t>2</w:t>
                  </w:r>
                  <w:r>
                    <w:rPr>
                      <w:rFonts w:hint="eastAsia"/>
                      <w:b w:val="0"/>
                      <w:bCs w:val="0"/>
                      <w:color w:val="auto"/>
                      <w:kern w:val="0"/>
                      <w:sz w:val="18"/>
                      <w:szCs w:val="18"/>
                      <w:highlight w:val="none"/>
                      <w:lang w:val="en-US" w:eastAsia="zh-CN" w:bidi="ar"/>
                    </w:rPr>
                    <w:t>74.4</w:t>
                  </w:r>
                </w:p>
              </w:tc>
              <w:tc>
                <w:tcPr>
                  <w:tcW w:w="565" w:type="dxa"/>
                  <w:vAlign w:val="center"/>
                </w:tcPr>
                <w:p>
                  <w:pPr>
                    <w:keepNext/>
                    <w:snapToGrid w:val="0"/>
                    <w:jc w:val="center"/>
                    <w:rPr>
                      <w:color w:val="auto"/>
                      <w:sz w:val="18"/>
                      <w:szCs w:val="18"/>
                    </w:rPr>
                  </w:pPr>
                  <w:r>
                    <w:rPr>
                      <w:rFonts w:hint="eastAsia"/>
                      <w:color w:val="auto"/>
                      <w:sz w:val="18"/>
                      <w:szCs w:val="18"/>
                    </w:rPr>
                    <w:t>98%</w:t>
                  </w:r>
                </w:p>
              </w:tc>
              <w:tc>
                <w:tcPr>
                  <w:tcW w:w="631" w:type="dxa"/>
                  <w:vAlign w:val="center"/>
                </w:tcPr>
                <w:p>
                  <w:pPr>
                    <w:keepNext/>
                    <w:snapToGrid w:val="0"/>
                    <w:jc w:val="center"/>
                    <w:rPr>
                      <w:color w:val="auto"/>
                      <w:sz w:val="18"/>
                      <w:szCs w:val="18"/>
                    </w:rPr>
                  </w:pPr>
                  <w:r>
                    <w:rPr>
                      <w:color w:val="auto"/>
                      <w:sz w:val="18"/>
                      <w:szCs w:val="18"/>
                    </w:rPr>
                    <w:t>二级冷凝+</w:t>
                  </w:r>
                  <w:r>
                    <w:rPr>
                      <w:rFonts w:hint="eastAsia"/>
                      <w:color w:val="auto"/>
                      <w:sz w:val="18"/>
                      <w:szCs w:val="18"/>
                    </w:rPr>
                    <w:t>一级</w:t>
                  </w:r>
                  <w:r>
                    <w:rPr>
                      <w:color w:val="auto"/>
                      <w:sz w:val="18"/>
                      <w:szCs w:val="18"/>
                    </w:rPr>
                    <w:t>循环水喷淋+活性炭吸附</w:t>
                  </w:r>
                </w:p>
              </w:tc>
              <w:tc>
                <w:tcPr>
                  <w:tcW w:w="681" w:type="dxa"/>
                  <w:vAlign w:val="center"/>
                </w:tcPr>
                <w:p>
                  <w:pPr>
                    <w:keepNext/>
                    <w:snapToGrid w:val="0"/>
                    <w:jc w:val="center"/>
                    <w:rPr>
                      <w:color w:val="auto"/>
                      <w:sz w:val="18"/>
                      <w:szCs w:val="18"/>
                    </w:rPr>
                  </w:pPr>
                  <w:r>
                    <w:rPr>
                      <w:rFonts w:hint="eastAsia"/>
                      <w:color w:val="auto"/>
                      <w:sz w:val="18"/>
                      <w:szCs w:val="18"/>
                    </w:rPr>
                    <w:t>99.3%</w:t>
                  </w:r>
                </w:p>
              </w:tc>
              <w:tc>
                <w:tcPr>
                  <w:tcW w:w="752" w:type="dxa"/>
                  <w:vAlign w:val="center"/>
                </w:tcPr>
                <w:p>
                  <w:pPr>
                    <w:widowControl/>
                    <w:jc w:val="center"/>
                    <w:textAlignment w:val="center"/>
                    <w:rPr>
                      <w:color w:val="auto"/>
                      <w:sz w:val="18"/>
                      <w:szCs w:val="18"/>
                    </w:rPr>
                  </w:pPr>
                  <w:r>
                    <w:rPr>
                      <w:color w:val="auto"/>
                      <w:kern w:val="0"/>
                      <w:sz w:val="18"/>
                      <w:szCs w:val="18"/>
                      <w:lang w:bidi="ar"/>
                    </w:rPr>
                    <w:t>26.68</w:t>
                  </w:r>
                </w:p>
              </w:tc>
              <w:tc>
                <w:tcPr>
                  <w:tcW w:w="595" w:type="dxa"/>
                  <w:vAlign w:val="center"/>
                </w:tcPr>
                <w:p>
                  <w:pPr>
                    <w:widowControl/>
                    <w:jc w:val="center"/>
                    <w:textAlignment w:val="center"/>
                    <w:rPr>
                      <w:color w:val="auto"/>
                      <w:sz w:val="18"/>
                      <w:szCs w:val="18"/>
                    </w:rPr>
                  </w:pPr>
                  <w:r>
                    <w:rPr>
                      <w:color w:val="auto"/>
                      <w:kern w:val="0"/>
                      <w:sz w:val="18"/>
                      <w:szCs w:val="18"/>
                      <w:lang w:bidi="ar"/>
                    </w:rPr>
                    <w:t>0.27</w:t>
                  </w:r>
                </w:p>
              </w:tc>
              <w:tc>
                <w:tcPr>
                  <w:tcW w:w="554" w:type="dxa"/>
                  <w:vAlign w:val="center"/>
                </w:tcPr>
                <w:p>
                  <w:pPr>
                    <w:widowControl/>
                    <w:jc w:val="center"/>
                    <w:textAlignment w:val="center"/>
                    <w:rPr>
                      <w:color w:val="auto"/>
                      <w:sz w:val="18"/>
                      <w:szCs w:val="18"/>
                    </w:rPr>
                  </w:pPr>
                  <w:r>
                    <w:rPr>
                      <w:color w:val="auto"/>
                      <w:kern w:val="0"/>
                      <w:sz w:val="18"/>
                      <w:szCs w:val="18"/>
                      <w:lang w:bidi="ar"/>
                    </w:rPr>
                    <w:t>1.92</w:t>
                  </w:r>
                </w:p>
              </w:tc>
              <w:tc>
                <w:tcPr>
                  <w:tcW w:w="601" w:type="dxa"/>
                  <w:vAlign w:val="center"/>
                </w:tcPr>
                <w:p>
                  <w:pPr>
                    <w:keepNext/>
                    <w:snapToGrid w:val="0"/>
                    <w:jc w:val="center"/>
                    <w:rPr>
                      <w:color w:val="auto"/>
                      <w:sz w:val="18"/>
                      <w:szCs w:val="18"/>
                    </w:rPr>
                  </w:pPr>
                  <w:r>
                    <w:rPr>
                      <w:rFonts w:hint="eastAsia"/>
                      <w:color w:val="auto"/>
                      <w:sz w:val="18"/>
                      <w:szCs w:val="18"/>
                    </w:rPr>
                    <w:t>7200</w:t>
                  </w:r>
                </w:p>
              </w:tc>
              <w:tc>
                <w:tcPr>
                  <w:tcW w:w="743" w:type="dxa"/>
                  <w:vAlign w:val="center"/>
                </w:tcPr>
                <w:p>
                  <w:pPr>
                    <w:keepNext/>
                    <w:snapToGrid w:val="0"/>
                    <w:jc w:val="center"/>
                    <w:rPr>
                      <w:color w:val="auto"/>
                      <w:sz w:val="18"/>
                      <w:szCs w:val="18"/>
                    </w:rPr>
                  </w:pPr>
                  <w:r>
                    <w:rPr>
                      <w:rFonts w:hint="eastAsia"/>
                      <w:color w:val="auto"/>
                      <w:sz w:val="18"/>
                      <w:szCs w:val="18"/>
                    </w:rPr>
                    <w:t>100</w:t>
                  </w:r>
                </w:p>
              </w:tc>
              <w:tc>
                <w:tcPr>
                  <w:tcW w:w="585" w:type="dxa"/>
                  <w:vAlign w:val="center"/>
                </w:tcPr>
                <w:p>
                  <w:pPr>
                    <w:keepNext/>
                    <w:snapToGrid w:val="0"/>
                    <w:jc w:val="center"/>
                    <w:rPr>
                      <w:rFonts w:hint="eastAsia" w:eastAsia="宋体"/>
                      <w:color w:val="auto"/>
                      <w:sz w:val="18"/>
                      <w:szCs w:val="18"/>
                      <w:lang w:eastAsia="zh-CN"/>
                    </w:rPr>
                  </w:pPr>
                  <w:r>
                    <w:rPr>
                      <w:rFonts w:hint="eastAsia"/>
                      <w:color w:val="auto"/>
                      <w:sz w:val="18"/>
                      <w:szCs w:val="18"/>
                      <w:lang w:val="en-US" w:eastAsia="zh-CN"/>
                    </w:rPr>
                    <w:t>/</w:t>
                  </w:r>
                </w:p>
              </w:tc>
              <w:tc>
                <w:tcPr>
                  <w:tcW w:w="1979" w:type="dxa"/>
                  <w:vAlign w:val="center"/>
                </w:tcPr>
                <w:p>
                  <w:pPr>
                    <w:keepNext/>
                    <w:snapToGrid w:val="0"/>
                    <w:jc w:val="center"/>
                    <w:rPr>
                      <w:color w:val="auto"/>
                      <w:sz w:val="18"/>
                      <w:szCs w:val="18"/>
                    </w:rPr>
                  </w:pPr>
                  <w:r>
                    <w:rPr>
                      <w:rFonts w:hint="eastAsia"/>
                      <w:color w:val="auto"/>
                      <w:sz w:val="18"/>
                      <w:szCs w:val="18"/>
                    </w:rPr>
                    <w:t>《合成树脂工业污染物排放标准》（GB31572—2015（含2024年修改单））表4大气污染物排放限值</w:t>
                  </w:r>
                </w:p>
              </w:tc>
              <w:tc>
                <w:tcPr>
                  <w:tcW w:w="499" w:type="dxa"/>
                  <w:vAlign w:val="center"/>
                </w:tcPr>
                <w:p>
                  <w:pPr>
                    <w:keepNext/>
                    <w:snapToGrid w:val="0"/>
                    <w:jc w:val="center"/>
                    <w:rPr>
                      <w:color w:val="auto"/>
                      <w:sz w:val="18"/>
                      <w:szCs w:val="18"/>
                    </w:rPr>
                  </w:pPr>
                  <w:r>
                    <w:rPr>
                      <w:rFonts w:hint="eastAsia"/>
                      <w:color w:val="auto"/>
                      <w:sz w:val="18"/>
                      <w:szCs w:val="18"/>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pPr>
                    <w:keepNext/>
                    <w:snapToGrid w:val="0"/>
                    <w:jc w:val="center"/>
                    <w:rPr>
                      <w:color w:val="auto"/>
                      <w:sz w:val="18"/>
                    </w:rPr>
                  </w:pPr>
                </w:p>
              </w:tc>
              <w:tc>
                <w:tcPr>
                  <w:tcW w:w="881" w:type="dxa"/>
                  <w:vAlign w:val="center"/>
                </w:tcPr>
                <w:p>
                  <w:pPr>
                    <w:keepNext/>
                    <w:snapToGrid w:val="0"/>
                    <w:jc w:val="center"/>
                    <w:rPr>
                      <w:color w:val="auto"/>
                      <w:sz w:val="18"/>
                      <w:szCs w:val="18"/>
                    </w:rPr>
                  </w:pPr>
                  <w:r>
                    <w:rPr>
                      <w:color w:val="auto"/>
                      <w:sz w:val="18"/>
                      <w:szCs w:val="18"/>
                    </w:rPr>
                    <w:t>Gm1</w:t>
                  </w:r>
                </w:p>
              </w:tc>
              <w:tc>
                <w:tcPr>
                  <w:tcW w:w="558" w:type="dxa"/>
                  <w:vAlign w:val="center"/>
                </w:tcPr>
                <w:p>
                  <w:pPr>
                    <w:keepNext/>
                    <w:snapToGrid w:val="0"/>
                    <w:jc w:val="center"/>
                    <w:rPr>
                      <w:color w:val="auto"/>
                      <w:sz w:val="18"/>
                      <w:szCs w:val="18"/>
                    </w:rPr>
                  </w:pPr>
                  <w:r>
                    <w:rPr>
                      <w:rFonts w:hint="eastAsia"/>
                      <w:color w:val="auto"/>
                      <w:kern w:val="0"/>
                      <w:sz w:val="18"/>
                      <w:szCs w:val="18"/>
                    </w:rPr>
                    <w:t>非甲烷总烃</w:t>
                  </w:r>
                </w:p>
              </w:tc>
              <w:tc>
                <w:tcPr>
                  <w:tcW w:w="433" w:type="dxa"/>
                  <w:vAlign w:val="center"/>
                </w:tcPr>
                <w:p>
                  <w:pPr>
                    <w:keepNext/>
                    <w:snapToGrid w:val="0"/>
                    <w:jc w:val="center"/>
                    <w:rPr>
                      <w:color w:val="auto"/>
                      <w:sz w:val="18"/>
                      <w:szCs w:val="18"/>
                    </w:rPr>
                  </w:pPr>
                  <w:r>
                    <w:rPr>
                      <w:rFonts w:hint="eastAsia"/>
                      <w:color w:val="auto"/>
                      <w:sz w:val="18"/>
                      <w:szCs w:val="18"/>
                    </w:rPr>
                    <w:t>物料衡算法</w:t>
                  </w:r>
                </w:p>
              </w:tc>
              <w:tc>
                <w:tcPr>
                  <w:tcW w:w="708" w:type="dxa"/>
                  <w:vAlign w:val="center"/>
                </w:tcPr>
                <w:p>
                  <w:pPr>
                    <w:widowControl/>
                    <w:jc w:val="center"/>
                    <w:textAlignment w:val="center"/>
                    <w:rPr>
                      <w:color w:val="auto"/>
                      <w:sz w:val="18"/>
                      <w:szCs w:val="18"/>
                    </w:rPr>
                  </w:pPr>
                  <w:r>
                    <w:rPr>
                      <w:color w:val="auto"/>
                      <w:kern w:val="0"/>
                      <w:sz w:val="18"/>
                      <w:szCs w:val="18"/>
                      <w:lang w:bidi="ar"/>
                    </w:rPr>
                    <w:t>/</w:t>
                  </w:r>
                </w:p>
              </w:tc>
              <w:tc>
                <w:tcPr>
                  <w:tcW w:w="835" w:type="dxa"/>
                  <w:vAlign w:val="center"/>
                </w:tcPr>
                <w:p>
                  <w:pPr>
                    <w:widowControl/>
                    <w:jc w:val="center"/>
                    <w:textAlignment w:val="center"/>
                    <w:rPr>
                      <w:color w:val="auto"/>
                      <w:sz w:val="18"/>
                      <w:szCs w:val="18"/>
                    </w:rPr>
                  </w:pPr>
                  <w:r>
                    <w:rPr>
                      <w:color w:val="auto"/>
                      <w:kern w:val="0"/>
                      <w:sz w:val="18"/>
                      <w:szCs w:val="18"/>
                      <w:lang w:bidi="ar"/>
                    </w:rPr>
                    <w:t>/</w:t>
                  </w:r>
                </w:p>
              </w:tc>
              <w:tc>
                <w:tcPr>
                  <w:tcW w:w="656" w:type="dxa"/>
                  <w:vAlign w:val="center"/>
                </w:tcPr>
                <w:p>
                  <w:pPr>
                    <w:widowControl/>
                    <w:jc w:val="center"/>
                    <w:textAlignment w:val="center"/>
                    <w:rPr>
                      <w:color w:val="auto"/>
                      <w:sz w:val="18"/>
                      <w:szCs w:val="18"/>
                    </w:rPr>
                  </w:pPr>
                  <w:r>
                    <w:rPr>
                      <w:color w:val="auto"/>
                      <w:kern w:val="0"/>
                      <w:sz w:val="18"/>
                      <w:szCs w:val="18"/>
                      <w:lang w:bidi="ar"/>
                    </w:rPr>
                    <w:t>0.78</w:t>
                  </w:r>
                </w:p>
              </w:tc>
              <w:tc>
                <w:tcPr>
                  <w:tcW w:w="640" w:type="dxa"/>
                  <w:vAlign w:val="center"/>
                </w:tcPr>
                <w:p>
                  <w:pPr>
                    <w:widowControl/>
                    <w:jc w:val="center"/>
                    <w:textAlignment w:val="center"/>
                    <w:rPr>
                      <w:color w:val="auto"/>
                      <w:sz w:val="18"/>
                      <w:szCs w:val="18"/>
                    </w:rPr>
                  </w:pPr>
                  <w:r>
                    <w:rPr>
                      <w:color w:val="auto"/>
                      <w:kern w:val="0"/>
                      <w:sz w:val="18"/>
                      <w:szCs w:val="18"/>
                      <w:lang w:bidi="ar"/>
                    </w:rPr>
                    <w:t>5.6</w:t>
                  </w:r>
                </w:p>
              </w:tc>
              <w:tc>
                <w:tcPr>
                  <w:tcW w:w="565" w:type="dxa"/>
                  <w:vAlign w:val="center"/>
                </w:tcPr>
                <w:p>
                  <w:pPr>
                    <w:keepNext/>
                    <w:snapToGrid w:val="0"/>
                    <w:jc w:val="center"/>
                    <w:rPr>
                      <w:color w:val="auto"/>
                      <w:sz w:val="18"/>
                      <w:szCs w:val="18"/>
                    </w:rPr>
                  </w:pPr>
                  <w:r>
                    <w:rPr>
                      <w:rFonts w:hint="eastAsia"/>
                      <w:color w:val="auto"/>
                      <w:sz w:val="18"/>
                      <w:szCs w:val="18"/>
                    </w:rPr>
                    <w:t>/</w:t>
                  </w:r>
                </w:p>
              </w:tc>
              <w:tc>
                <w:tcPr>
                  <w:tcW w:w="631" w:type="dxa"/>
                  <w:vAlign w:val="center"/>
                </w:tcPr>
                <w:p>
                  <w:pPr>
                    <w:keepNext/>
                    <w:snapToGrid w:val="0"/>
                    <w:jc w:val="center"/>
                    <w:rPr>
                      <w:color w:val="auto"/>
                      <w:sz w:val="18"/>
                      <w:szCs w:val="18"/>
                    </w:rPr>
                  </w:pPr>
                  <w:r>
                    <w:rPr>
                      <w:rFonts w:hint="eastAsia"/>
                      <w:color w:val="auto"/>
                      <w:sz w:val="18"/>
                      <w:szCs w:val="18"/>
                    </w:rPr>
                    <w:t>/</w:t>
                  </w:r>
                </w:p>
              </w:tc>
              <w:tc>
                <w:tcPr>
                  <w:tcW w:w="681" w:type="dxa"/>
                  <w:vAlign w:val="center"/>
                </w:tcPr>
                <w:p>
                  <w:pPr>
                    <w:keepNext/>
                    <w:snapToGrid w:val="0"/>
                    <w:jc w:val="center"/>
                    <w:rPr>
                      <w:color w:val="auto"/>
                      <w:sz w:val="18"/>
                      <w:szCs w:val="18"/>
                    </w:rPr>
                  </w:pPr>
                  <w:r>
                    <w:rPr>
                      <w:rFonts w:hint="eastAsia"/>
                      <w:color w:val="auto"/>
                      <w:sz w:val="18"/>
                      <w:szCs w:val="18"/>
                    </w:rPr>
                    <w:t>/</w:t>
                  </w:r>
                </w:p>
              </w:tc>
              <w:tc>
                <w:tcPr>
                  <w:tcW w:w="752" w:type="dxa"/>
                  <w:vAlign w:val="center"/>
                </w:tcPr>
                <w:p>
                  <w:pPr>
                    <w:widowControl/>
                    <w:jc w:val="center"/>
                    <w:textAlignment w:val="center"/>
                    <w:rPr>
                      <w:color w:val="auto"/>
                      <w:sz w:val="18"/>
                      <w:szCs w:val="18"/>
                    </w:rPr>
                  </w:pPr>
                  <w:r>
                    <w:rPr>
                      <w:color w:val="auto"/>
                      <w:kern w:val="0"/>
                      <w:sz w:val="18"/>
                      <w:szCs w:val="18"/>
                      <w:lang w:bidi="ar"/>
                    </w:rPr>
                    <w:t>/</w:t>
                  </w:r>
                </w:p>
              </w:tc>
              <w:tc>
                <w:tcPr>
                  <w:tcW w:w="595" w:type="dxa"/>
                  <w:vAlign w:val="center"/>
                </w:tcPr>
                <w:p>
                  <w:pPr>
                    <w:widowControl/>
                    <w:jc w:val="center"/>
                    <w:textAlignment w:val="center"/>
                    <w:rPr>
                      <w:color w:val="auto"/>
                      <w:sz w:val="18"/>
                      <w:szCs w:val="18"/>
                    </w:rPr>
                  </w:pPr>
                  <w:r>
                    <w:rPr>
                      <w:color w:val="auto"/>
                      <w:kern w:val="0"/>
                      <w:sz w:val="18"/>
                      <w:szCs w:val="18"/>
                      <w:lang w:bidi="ar"/>
                    </w:rPr>
                    <w:t>0.78</w:t>
                  </w:r>
                </w:p>
              </w:tc>
              <w:tc>
                <w:tcPr>
                  <w:tcW w:w="554" w:type="dxa"/>
                  <w:vAlign w:val="center"/>
                </w:tcPr>
                <w:p>
                  <w:pPr>
                    <w:widowControl/>
                    <w:jc w:val="center"/>
                    <w:textAlignment w:val="center"/>
                    <w:rPr>
                      <w:color w:val="auto"/>
                      <w:sz w:val="18"/>
                      <w:szCs w:val="18"/>
                    </w:rPr>
                  </w:pPr>
                  <w:r>
                    <w:rPr>
                      <w:color w:val="auto"/>
                      <w:kern w:val="0"/>
                      <w:sz w:val="18"/>
                      <w:szCs w:val="18"/>
                      <w:lang w:bidi="ar"/>
                    </w:rPr>
                    <w:t>5.6</w:t>
                  </w:r>
                </w:p>
              </w:tc>
              <w:tc>
                <w:tcPr>
                  <w:tcW w:w="601" w:type="dxa"/>
                  <w:vAlign w:val="center"/>
                </w:tcPr>
                <w:p>
                  <w:pPr>
                    <w:keepNext/>
                    <w:snapToGrid w:val="0"/>
                    <w:jc w:val="center"/>
                    <w:rPr>
                      <w:color w:val="auto"/>
                      <w:sz w:val="18"/>
                      <w:szCs w:val="18"/>
                    </w:rPr>
                  </w:pPr>
                  <w:r>
                    <w:rPr>
                      <w:rFonts w:hint="eastAsia"/>
                      <w:color w:val="auto"/>
                      <w:sz w:val="18"/>
                      <w:szCs w:val="18"/>
                    </w:rPr>
                    <w:t>7200</w:t>
                  </w:r>
                </w:p>
              </w:tc>
              <w:tc>
                <w:tcPr>
                  <w:tcW w:w="743" w:type="dxa"/>
                  <w:vAlign w:val="center"/>
                </w:tcPr>
                <w:p>
                  <w:pPr>
                    <w:keepNext/>
                    <w:snapToGrid w:val="0"/>
                    <w:jc w:val="center"/>
                    <w:rPr>
                      <w:rFonts w:hint="eastAsia" w:eastAsia="宋体"/>
                      <w:color w:val="auto"/>
                      <w:sz w:val="18"/>
                      <w:szCs w:val="18"/>
                      <w:lang w:eastAsia="zh-CN"/>
                    </w:rPr>
                  </w:pPr>
                  <w:r>
                    <w:rPr>
                      <w:rFonts w:hint="eastAsia"/>
                      <w:color w:val="auto"/>
                      <w:sz w:val="18"/>
                      <w:szCs w:val="18"/>
                      <w:lang w:val="en-US" w:eastAsia="zh-CN"/>
                    </w:rPr>
                    <w:t>4</w:t>
                  </w:r>
                </w:p>
              </w:tc>
              <w:tc>
                <w:tcPr>
                  <w:tcW w:w="585" w:type="dxa"/>
                  <w:vAlign w:val="center"/>
                </w:tcPr>
                <w:p>
                  <w:pPr>
                    <w:keepNext/>
                    <w:snapToGrid w:val="0"/>
                    <w:jc w:val="center"/>
                    <w:rPr>
                      <w:color w:val="auto"/>
                      <w:sz w:val="18"/>
                      <w:szCs w:val="18"/>
                    </w:rPr>
                  </w:pPr>
                  <w:r>
                    <w:rPr>
                      <w:rFonts w:hint="eastAsia"/>
                      <w:color w:val="auto"/>
                      <w:sz w:val="18"/>
                      <w:szCs w:val="18"/>
                    </w:rPr>
                    <w:t>/</w:t>
                  </w:r>
                </w:p>
              </w:tc>
              <w:tc>
                <w:tcPr>
                  <w:tcW w:w="1979" w:type="dxa"/>
                  <w:vAlign w:val="center"/>
                </w:tcPr>
                <w:p>
                  <w:pPr>
                    <w:keepNext/>
                    <w:snapToGrid w:val="0"/>
                    <w:jc w:val="center"/>
                    <w:rPr>
                      <w:color w:val="auto"/>
                      <w:sz w:val="18"/>
                      <w:szCs w:val="18"/>
                    </w:rPr>
                  </w:pPr>
                  <w:r>
                    <w:rPr>
                      <w:rFonts w:hint="eastAsia"/>
                      <w:color w:val="auto"/>
                      <w:sz w:val="18"/>
                      <w:szCs w:val="18"/>
                    </w:rPr>
                    <w:t>《合成树脂工业污染物排放标准》（GB41616-2022）表9限值</w:t>
                  </w:r>
                </w:p>
              </w:tc>
              <w:tc>
                <w:tcPr>
                  <w:tcW w:w="499" w:type="dxa"/>
                  <w:vAlign w:val="center"/>
                </w:tcPr>
                <w:p>
                  <w:pPr>
                    <w:keepNext/>
                    <w:snapToGrid w:val="0"/>
                    <w:jc w:val="center"/>
                    <w:rPr>
                      <w:color w:val="auto"/>
                      <w:sz w:val="18"/>
                      <w:szCs w:val="18"/>
                    </w:rPr>
                  </w:pPr>
                  <w:r>
                    <w:rPr>
                      <w:rFonts w:hint="eastAsia"/>
                      <w:color w:val="auto"/>
                      <w:sz w:val="18"/>
                      <w:szCs w:val="18"/>
                    </w:rPr>
                    <w:t>/</w:t>
                  </w:r>
                </w:p>
              </w:tc>
            </w:tr>
          </w:tbl>
          <w:p>
            <w:pPr>
              <w:snapToGrid w:val="0"/>
              <w:spacing w:line="360" w:lineRule="auto"/>
              <w:jc w:val="center"/>
              <w:rPr>
                <w:rFonts w:hint="eastAsia"/>
                <w:b/>
                <w:bCs/>
                <w:color w:val="auto"/>
                <w:szCs w:val="21"/>
                <w:lang w:val="en-US" w:eastAsia="zh-CN"/>
              </w:rPr>
            </w:pPr>
          </w:p>
          <w:p>
            <w:pPr>
              <w:spacing w:before="194" w:beforeLines="50"/>
              <w:jc w:val="center"/>
              <w:outlineLvl w:val="5"/>
              <w:rPr>
                <w:rFonts w:hint="eastAsia"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表4-6  G2废气污染源产排情况一览表</w:t>
            </w:r>
          </w:p>
          <w:tbl>
            <w:tblPr>
              <w:tblStyle w:val="20"/>
              <w:tblW w:w="136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900"/>
              <w:gridCol w:w="539"/>
              <w:gridCol w:w="433"/>
              <w:gridCol w:w="708"/>
              <w:gridCol w:w="835"/>
              <w:gridCol w:w="656"/>
              <w:gridCol w:w="640"/>
              <w:gridCol w:w="565"/>
              <w:gridCol w:w="631"/>
              <w:gridCol w:w="681"/>
              <w:gridCol w:w="752"/>
              <w:gridCol w:w="595"/>
              <w:gridCol w:w="554"/>
              <w:gridCol w:w="601"/>
              <w:gridCol w:w="743"/>
              <w:gridCol w:w="585"/>
              <w:gridCol w:w="1979"/>
              <w:gridCol w:w="4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19" w:type="dxa"/>
                  <w:vMerge w:val="restart"/>
                  <w:vAlign w:val="center"/>
                </w:tcPr>
                <w:p>
                  <w:pPr>
                    <w:keepNext/>
                    <w:snapToGrid w:val="0"/>
                    <w:jc w:val="center"/>
                    <w:rPr>
                      <w:b/>
                      <w:bCs/>
                      <w:color w:val="auto"/>
                      <w:sz w:val="18"/>
                      <w:szCs w:val="18"/>
                    </w:rPr>
                  </w:pPr>
                  <w:r>
                    <w:rPr>
                      <w:b/>
                      <w:bCs/>
                      <w:color w:val="auto"/>
                      <w:sz w:val="18"/>
                      <w:szCs w:val="18"/>
                    </w:rPr>
                    <w:t>产污环节</w:t>
                  </w:r>
                </w:p>
              </w:tc>
              <w:tc>
                <w:tcPr>
                  <w:tcW w:w="900" w:type="dxa"/>
                  <w:vMerge w:val="restart"/>
                  <w:vAlign w:val="center"/>
                </w:tcPr>
                <w:p>
                  <w:pPr>
                    <w:keepNext/>
                    <w:snapToGrid w:val="0"/>
                    <w:jc w:val="center"/>
                    <w:rPr>
                      <w:b/>
                      <w:bCs/>
                      <w:color w:val="auto"/>
                      <w:sz w:val="18"/>
                      <w:szCs w:val="18"/>
                    </w:rPr>
                  </w:pPr>
                  <w:r>
                    <w:rPr>
                      <w:b/>
                      <w:bCs/>
                      <w:color w:val="auto"/>
                      <w:sz w:val="18"/>
                      <w:szCs w:val="18"/>
                    </w:rPr>
                    <w:t>污染源</w:t>
                  </w:r>
                </w:p>
              </w:tc>
              <w:tc>
                <w:tcPr>
                  <w:tcW w:w="539" w:type="dxa"/>
                  <w:vMerge w:val="restart"/>
                  <w:vAlign w:val="center"/>
                </w:tcPr>
                <w:p>
                  <w:pPr>
                    <w:keepNext/>
                    <w:snapToGrid w:val="0"/>
                    <w:jc w:val="center"/>
                    <w:rPr>
                      <w:b/>
                      <w:bCs/>
                      <w:color w:val="auto"/>
                      <w:sz w:val="18"/>
                      <w:szCs w:val="18"/>
                    </w:rPr>
                  </w:pPr>
                  <w:r>
                    <w:rPr>
                      <w:b/>
                      <w:bCs/>
                      <w:color w:val="auto"/>
                      <w:sz w:val="18"/>
                      <w:szCs w:val="18"/>
                    </w:rPr>
                    <w:t>污染物</w:t>
                  </w:r>
                </w:p>
              </w:tc>
              <w:tc>
                <w:tcPr>
                  <w:tcW w:w="3272" w:type="dxa"/>
                  <w:gridSpan w:val="5"/>
                  <w:vAlign w:val="center"/>
                </w:tcPr>
                <w:p>
                  <w:pPr>
                    <w:keepNext/>
                    <w:snapToGrid w:val="0"/>
                    <w:jc w:val="center"/>
                    <w:rPr>
                      <w:b/>
                      <w:bCs/>
                      <w:color w:val="auto"/>
                      <w:sz w:val="18"/>
                      <w:szCs w:val="18"/>
                    </w:rPr>
                  </w:pPr>
                  <w:r>
                    <w:rPr>
                      <w:b/>
                      <w:bCs/>
                      <w:color w:val="auto"/>
                      <w:sz w:val="18"/>
                      <w:szCs w:val="18"/>
                    </w:rPr>
                    <w:t>污染物产生</w:t>
                  </w:r>
                </w:p>
              </w:tc>
              <w:tc>
                <w:tcPr>
                  <w:tcW w:w="565" w:type="dxa"/>
                  <w:vMerge w:val="restart"/>
                  <w:vAlign w:val="center"/>
                </w:tcPr>
                <w:p>
                  <w:pPr>
                    <w:keepNext/>
                    <w:snapToGrid w:val="0"/>
                    <w:jc w:val="center"/>
                    <w:rPr>
                      <w:b/>
                      <w:bCs/>
                      <w:color w:val="auto"/>
                      <w:sz w:val="18"/>
                      <w:szCs w:val="18"/>
                    </w:rPr>
                  </w:pPr>
                  <w:r>
                    <w:rPr>
                      <w:b/>
                      <w:bCs/>
                      <w:color w:val="auto"/>
                      <w:sz w:val="18"/>
                      <w:szCs w:val="18"/>
                    </w:rPr>
                    <w:t>收集效率</w:t>
                  </w:r>
                </w:p>
              </w:tc>
              <w:tc>
                <w:tcPr>
                  <w:tcW w:w="1312" w:type="dxa"/>
                  <w:gridSpan w:val="2"/>
                  <w:vAlign w:val="center"/>
                </w:tcPr>
                <w:p>
                  <w:pPr>
                    <w:keepNext/>
                    <w:snapToGrid w:val="0"/>
                    <w:jc w:val="center"/>
                    <w:rPr>
                      <w:b/>
                      <w:bCs/>
                      <w:color w:val="auto"/>
                      <w:sz w:val="18"/>
                      <w:szCs w:val="18"/>
                    </w:rPr>
                  </w:pPr>
                  <w:r>
                    <w:rPr>
                      <w:b/>
                      <w:bCs/>
                      <w:color w:val="auto"/>
                      <w:sz w:val="18"/>
                      <w:szCs w:val="18"/>
                    </w:rPr>
                    <w:t>治理措施</w:t>
                  </w:r>
                </w:p>
              </w:tc>
              <w:tc>
                <w:tcPr>
                  <w:tcW w:w="1901" w:type="dxa"/>
                  <w:gridSpan w:val="3"/>
                  <w:vAlign w:val="center"/>
                </w:tcPr>
                <w:p>
                  <w:pPr>
                    <w:keepNext/>
                    <w:snapToGrid w:val="0"/>
                    <w:jc w:val="center"/>
                    <w:rPr>
                      <w:b/>
                      <w:bCs/>
                      <w:color w:val="auto"/>
                      <w:sz w:val="18"/>
                      <w:szCs w:val="18"/>
                    </w:rPr>
                  </w:pPr>
                  <w:r>
                    <w:rPr>
                      <w:rFonts w:hint="eastAsia"/>
                      <w:b/>
                      <w:bCs/>
                      <w:color w:val="auto"/>
                      <w:sz w:val="18"/>
                      <w:szCs w:val="18"/>
                      <w:lang w:val="en-US" w:eastAsia="zh-CN"/>
                    </w:rPr>
                    <w:t>溶剂废水精馏</w:t>
                  </w:r>
                  <w:r>
                    <w:rPr>
                      <w:b/>
                      <w:bCs/>
                      <w:color w:val="auto"/>
                      <w:sz w:val="18"/>
                      <w:szCs w:val="18"/>
                    </w:rPr>
                    <w:t>污染物排放</w:t>
                  </w:r>
                </w:p>
              </w:tc>
              <w:tc>
                <w:tcPr>
                  <w:tcW w:w="601" w:type="dxa"/>
                  <w:vMerge w:val="restart"/>
                  <w:vAlign w:val="center"/>
                </w:tcPr>
                <w:p>
                  <w:pPr>
                    <w:keepNext/>
                    <w:snapToGrid w:val="0"/>
                    <w:jc w:val="center"/>
                    <w:rPr>
                      <w:b/>
                      <w:bCs/>
                      <w:color w:val="auto"/>
                      <w:sz w:val="18"/>
                      <w:szCs w:val="18"/>
                    </w:rPr>
                  </w:pPr>
                  <w:r>
                    <w:rPr>
                      <w:b/>
                      <w:bCs/>
                      <w:color w:val="auto"/>
                      <w:sz w:val="18"/>
                      <w:szCs w:val="18"/>
                    </w:rPr>
                    <w:t>排放时间h</w:t>
                  </w:r>
                </w:p>
              </w:tc>
              <w:tc>
                <w:tcPr>
                  <w:tcW w:w="3307" w:type="dxa"/>
                  <w:gridSpan w:val="3"/>
                  <w:vAlign w:val="center"/>
                </w:tcPr>
                <w:p>
                  <w:pPr>
                    <w:keepNext/>
                    <w:snapToGrid w:val="0"/>
                    <w:jc w:val="center"/>
                    <w:rPr>
                      <w:b/>
                      <w:bCs/>
                      <w:color w:val="auto"/>
                      <w:sz w:val="18"/>
                      <w:szCs w:val="18"/>
                    </w:rPr>
                  </w:pPr>
                  <w:r>
                    <w:rPr>
                      <w:b/>
                      <w:bCs/>
                      <w:color w:val="auto"/>
                      <w:sz w:val="18"/>
                      <w:szCs w:val="18"/>
                    </w:rPr>
                    <w:t>排放标准</w:t>
                  </w:r>
                </w:p>
              </w:tc>
              <w:tc>
                <w:tcPr>
                  <w:tcW w:w="499" w:type="dxa"/>
                  <w:vMerge w:val="restart"/>
                  <w:vAlign w:val="center"/>
                </w:tcPr>
                <w:p>
                  <w:pPr>
                    <w:keepNext/>
                    <w:snapToGrid w:val="0"/>
                    <w:jc w:val="center"/>
                    <w:rPr>
                      <w:b/>
                      <w:bCs/>
                      <w:color w:val="auto"/>
                      <w:sz w:val="18"/>
                      <w:szCs w:val="18"/>
                    </w:rPr>
                  </w:pPr>
                  <w:r>
                    <w:rPr>
                      <w:b/>
                      <w:bCs/>
                      <w:color w:val="auto"/>
                      <w:sz w:val="18"/>
                      <w:szCs w:val="18"/>
                    </w:rPr>
                    <w:t>是否达标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19" w:type="dxa"/>
                  <w:vMerge w:val="continue"/>
                  <w:vAlign w:val="center"/>
                </w:tcPr>
                <w:p>
                  <w:pPr>
                    <w:keepNext/>
                    <w:snapToGrid w:val="0"/>
                    <w:jc w:val="center"/>
                    <w:rPr>
                      <w:b/>
                      <w:bCs/>
                      <w:color w:val="auto"/>
                      <w:sz w:val="18"/>
                    </w:rPr>
                  </w:pPr>
                </w:p>
              </w:tc>
              <w:tc>
                <w:tcPr>
                  <w:tcW w:w="900" w:type="dxa"/>
                  <w:vMerge w:val="continue"/>
                  <w:vAlign w:val="center"/>
                </w:tcPr>
                <w:p>
                  <w:pPr>
                    <w:keepNext/>
                    <w:snapToGrid w:val="0"/>
                    <w:jc w:val="center"/>
                    <w:rPr>
                      <w:b/>
                      <w:bCs/>
                      <w:color w:val="auto"/>
                      <w:sz w:val="18"/>
                    </w:rPr>
                  </w:pPr>
                </w:p>
              </w:tc>
              <w:tc>
                <w:tcPr>
                  <w:tcW w:w="539" w:type="dxa"/>
                  <w:vMerge w:val="continue"/>
                  <w:vAlign w:val="center"/>
                </w:tcPr>
                <w:p>
                  <w:pPr>
                    <w:keepNext/>
                    <w:snapToGrid w:val="0"/>
                    <w:jc w:val="center"/>
                    <w:rPr>
                      <w:b/>
                      <w:bCs/>
                      <w:color w:val="auto"/>
                      <w:sz w:val="18"/>
                    </w:rPr>
                  </w:pPr>
                </w:p>
              </w:tc>
              <w:tc>
                <w:tcPr>
                  <w:tcW w:w="433" w:type="dxa"/>
                  <w:vAlign w:val="center"/>
                </w:tcPr>
                <w:p>
                  <w:pPr>
                    <w:keepNext/>
                    <w:snapToGrid w:val="0"/>
                    <w:jc w:val="center"/>
                    <w:rPr>
                      <w:b/>
                      <w:bCs/>
                      <w:color w:val="auto"/>
                      <w:sz w:val="18"/>
                      <w:szCs w:val="18"/>
                    </w:rPr>
                  </w:pPr>
                  <w:r>
                    <w:rPr>
                      <w:rFonts w:hint="eastAsia"/>
                      <w:b/>
                      <w:bCs/>
                      <w:color w:val="auto"/>
                      <w:sz w:val="18"/>
                      <w:szCs w:val="18"/>
                    </w:rPr>
                    <w:t>核算方法</w:t>
                  </w:r>
                </w:p>
              </w:tc>
              <w:tc>
                <w:tcPr>
                  <w:tcW w:w="708" w:type="dxa"/>
                  <w:vAlign w:val="center"/>
                </w:tcPr>
                <w:p>
                  <w:pPr>
                    <w:keepNext/>
                    <w:snapToGrid w:val="0"/>
                    <w:jc w:val="center"/>
                    <w:rPr>
                      <w:b/>
                      <w:bCs/>
                      <w:color w:val="auto"/>
                      <w:sz w:val="18"/>
                      <w:szCs w:val="18"/>
                    </w:rPr>
                  </w:pPr>
                  <w:r>
                    <w:rPr>
                      <w:b/>
                      <w:bCs/>
                      <w:color w:val="auto"/>
                      <w:sz w:val="18"/>
                      <w:szCs w:val="18"/>
                    </w:rPr>
                    <w:t>废气产生量m</w:t>
                  </w:r>
                  <w:r>
                    <w:rPr>
                      <w:b/>
                      <w:bCs/>
                      <w:color w:val="auto"/>
                      <w:sz w:val="18"/>
                      <w:szCs w:val="18"/>
                      <w:vertAlign w:val="superscript"/>
                    </w:rPr>
                    <w:t>3</w:t>
                  </w:r>
                  <w:r>
                    <w:rPr>
                      <w:b/>
                      <w:bCs/>
                      <w:color w:val="auto"/>
                      <w:sz w:val="18"/>
                      <w:szCs w:val="18"/>
                    </w:rPr>
                    <w:t>/h</w:t>
                  </w:r>
                </w:p>
              </w:tc>
              <w:tc>
                <w:tcPr>
                  <w:tcW w:w="835" w:type="dxa"/>
                  <w:vAlign w:val="center"/>
                </w:tcPr>
                <w:p>
                  <w:pPr>
                    <w:keepNext/>
                    <w:snapToGrid w:val="0"/>
                    <w:jc w:val="center"/>
                    <w:rPr>
                      <w:b/>
                      <w:bCs/>
                      <w:color w:val="auto"/>
                      <w:sz w:val="18"/>
                      <w:szCs w:val="18"/>
                    </w:rPr>
                  </w:pPr>
                  <w:r>
                    <w:rPr>
                      <w:b/>
                      <w:bCs/>
                      <w:color w:val="auto"/>
                      <w:sz w:val="18"/>
                      <w:szCs w:val="18"/>
                    </w:rPr>
                    <w:t>产生浓度mg/m</w:t>
                  </w:r>
                  <w:r>
                    <w:rPr>
                      <w:b/>
                      <w:bCs/>
                      <w:color w:val="auto"/>
                      <w:sz w:val="18"/>
                      <w:szCs w:val="18"/>
                      <w:vertAlign w:val="superscript"/>
                    </w:rPr>
                    <w:t>3</w:t>
                  </w:r>
                </w:p>
              </w:tc>
              <w:tc>
                <w:tcPr>
                  <w:tcW w:w="656" w:type="dxa"/>
                  <w:vAlign w:val="center"/>
                </w:tcPr>
                <w:p>
                  <w:pPr>
                    <w:keepNext/>
                    <w:snapToGrid w:val="0"/>
                    <w:jc w:val="center"/>
                    <w:rPr>
                      <w:b/>
                      <w:bCs/>
                      <w:color w:val="auto"/>
                      <w:sz w:val="18"/>
                      <w:szCs w:val="18"/>
                    </w:rPr>
                  </w:pPr>
                  <w:r>
                    <w:rPr>
                      <w:b/>
                      <w:bCs/>
                      <w:color w:val="auto"/>
                      <w:sz w:val="18"/>
                      <w:szCs w:val="18"/>
                    </w:rPr>
                    <w:t>产生速率kg/h</w:t>
                  </w:r>
                </w:p>
              </w:tc>
              <w:tc>
                <w:tcPr>
                  <w:tcW w:w="640" w:type="dxa"/>
                  <w:vAlign w:val="center"/>
                </w:tcPr>
                <w:p>
                  <w:pPr>
                    <w:keepNext/>
                    <w:snapToGrid w:val="0"/>
                    <w:jc w:val="center"/>
                    <w:rPr>
                      <w:b/>
                      <w:bCs/>
                      <w:color w:val="auto"/>
                      <w:sz w:val="18"/>
                      <w:szCs w:val="18"/>
                    </w:rPr>
                  </w:pPr>
                  <w:r>
                    <w:rPr>
                      <w:b/>
                      <w:bCs/>
                      <w:color w:val="auto"/>
                      <w:sz w:val="18"/>
                      <w:szCs w:val="18"/>
                    </w:rPr>
                    <w:t>产生量t/a</w:t>
                  </w:r>
                </w:p>
              </w:tc>
              <w:tc>
                <w:tcPr>
                  <w:tcW w:w="565" w:type="dxa"/>
                  <w:vMerge w:val="continue"/>
                  <w:vAlign w:val="center"/>
                </w:tcPr>
                <w:p>
                  <w:pPr>
                    <w:keepNext/>
                    <w:snapToGrid w:val="0"/>
                    <w:spacing w:before="8"/>
                    <w:jc w:val="center"/>
                    <w:rPr>
                      <w:b/>
                      <w:bCs/>
                      <w:color w:val="auto"/>
                      <w:kern w:val="0"/>
                      <w:sz w:val="18"/>
                      <w:szCs w:val="18"/>
                    </w:rPr>
                  </w:pPr>
                </w:p>
              </w:tc>
              <w:tc>
                <w:tcPr>
                  <w:tcW w:w="631" w:type="dxa"/>
                  <w:vAlign w:val="center"/>
                </w:tcPr>
                <w:p>
                  <w:pPr>
                    <w:keepNext/>
                    <w:snapToGrid w:val="0"/>
                    <w:spacing w:before="8"/>
                    <w:jc w:val="center"/>
                    <w:rPr>
                      <w:b/>
                      <w:bCs/>
                      <w:color w:val="auto"/>
                      <w:sz w:val="18"/>
                      <w:szCs w:val="18"/>
                    </w:rPr>
                  </w:pPr>
                  <w:r>
                    <w:rPr>
                      <w:b/>
                      <w:bCs/>
                      <w:color w:val="auto"/>
                      <w:kern w:val="0"/>
                      <w:sz w:val="18"/>
                      <w:szCs w:val="18"/>
                    </w:rPr>
                    <w:t>处理设施</w:t>
                  </w:r>
                </w:p>
              </w:tc>
              <w:tc>
                <w:tcPr>
                  <w:tcW w:w="681" w:type="dxa"/>
                  <w:vAlign w:val="center"/>
                </w:tcPr>
                <w:p>
                  <w:pPr>
                    <w:keepNext/>
                    <w:snapToGrid w:val="0"/>
                    <w:spacing w:before="8"/>
                    <w:jc w:val="center"/>
                    <w:rPr>
                      <w:b/>
                      <w:bCs/>
                      <w:color w:val="auto"/>
                      <w:sz w:val="18"/>
                      <w:szCs w:val="18"/>
                    </w:rPr>
                  </w:pPr>
                  <w:r>
                    <w:rPr>
                      <w:b/>
                      <w:bCs/>
                      <w:color w:val="auto"/>
                      <w:kern w:val="0"/>
                      <w:sz w:val="18"/>
                      <w:szCs w:val="18"/>
                    </w:rPr>
                    <w:t>效率</w:t>
                  </w:r>
                </w:p>
              </w:tc>
              <w:tc>
                <w:tcPr>
                  <w:tcW w:w="752" w:type="dxa"/>
                  <w:vAlign w:val="center"/>
                </w:tcPr>
                <w:p>
                  <w:pPr>
                    <w:keepNext/>
                    <w:snapToGrid w:val="0"/>
                    <w:spacing w:before="8"/>
                    <w:jc w:val="center"/>
                    <w:rPr>
                      <w:b/>
                      <w:bCs/>
                      <w:color w:val="auto"/>
                      <w:sz w:val="18"/>
                      <w:szCs w:val="18"/>
                    </w:rPr>
                  </w:pPr>
                  <w:r>
                    <w:rPr>
                      <w:b/>
                      <w:bCs/>
                      <w:color w:val="auto"/>
                      <w:kern w:val="0"/>
                      <w:sz w:val="18"/>
                      <w:szCs w:val="18"/>
                    </w:rPr>
                    <w:t>排放浓度mg/m</w:t>
                  </w:r>
                  <w:r>
                    <w:rPr>
                      <w:b/>
                      <w:bCs/>
                      <w:color w:val="auto"/>
                      <w:kern w:val="0"/>
                      <w:sz w:val="18"/>
                      <w:szCs w:val="18"/>
                      <w:vertAlign w:val="superscript"/>
                    </w:rPr>
                    <w:t>3</w:t>
                  </w:r>
                </w:p>
              </w:tc>
              <w:tc>
                <w:tcPr>
                  <w:tcW w:w="595" w:type="dxa"/>
                  <w:vAlign w:val="center"/>
                </w:tcPr>
                <w:p>
                  <w:pPr>
                    <w:keepNext/>
                    <w:snapToGrid w:val="0"/>
                    <w:spacing w:before="8"/>
                    <w:jc w:val="center"/>
                    <w:rPr>
                      <w:b/>
                      <w:bCs/>
                      <w:color w:val="auto"/>
                      <w:sz w:val="18"/>
                      <w:szCs w:val="18"/>
                    </w:rPr>
                  </w:pPr>
                  <w:r>
                    <w:rPr>
                      <w:b/>
                      <w:bCs/>
                      <w:color w:val="auto"/>
                      <w:kern w:val="0"/>
                      <w:sz w:val="18"/>
                      <w:szCs w:val="18"/>
                    </w:rPr>
                    <w:t>排放速率kg/h</w:t>
                  </w:r>
                </w:p>
              </w:tc>
              <w:tc>
                <w:tcPr>
                  <w:tcW w:w="554" w:type="dxa"/>
                  <w:vAlign w:val="center"/>
                </w:tcPr>
                <w:p>
                  <w:pPr>
                    <w:keepNext/>
                    <w:snapToGrid w:val="0"/>
                    <w:spacing w:before="8"/>
                    <w:jc w:val="center"/>
                    <w:rPr>
                      <w:b/>
                      <w:bCs/>
                      <w:color w:val="auto"/>
                      <w:sz w:val="18"/>
                      <w:szCs w:val="18"/>
                    </w:rPr>
                  </w:pPr>
                  <w:r>
                    <w:rPr>
                      <w:b/>
                      <w:bCs/>
                      <w:color w:val="auto"/>
                      <w:kern w:val="0"/>
                      <w:sz w:val="18"/>
                      <w:szCs w:val="18"/>
                    </w:rPr>
                    <w:t>排放量t/a</w:t>
                  </w:r>
                </w:p>
              </w:tc>
              <w:tc>
                <w:tcPr>
                  <w:tcW w:w="601" w:type="dxa"/>
                  <w:vMerge w:val="continue"/>
                  <w:vAlign w:val="center"/>
                </w:tcPr>
                <w:p>
                  <w:pPr>
                    <w:keepNext/>
                    <w:snapToGrid w:val="0"/>
                    <w:jc w:val="center"/>
                    <w:rPr>
                      <w:b/>
                      <w:bCs/>
                      <w:color w:val="auto"/>
                      <w:sz w:val="18"/>
                      <w:szCs w:val="18"/>
                    </w:rPr>
                  </w:pPr>
                </w:p>
              </w:tc>
              <w:tc>
                <w:tcPr>
                  <w:tcW w:w="743" w:type="dxa"/>
                  <w:vAlign w:val="center"/>
                </w:tcPr>
                <w:p>
                  <w:pPr>
                    <w:keepNext/>
                    <w:snapToGrid w:val="0"/>
                    <w:jc w:val="center"/>
                    <w:rPr>
                      <w:b/>
                      <w:bCs/>
                      <w:color w:val="auto"/>
                      <w:sz w:val="18"/>
                      <w:szCs w:val="18"/>
                    </w:rPr>
                  </w:pPr>
                  <w:r>
                    <w:rPr>
                      <w:b/>
                      <w:bCs/>
                      <w:color w:val="auto"/>
                      <w:sz w:val="18"/>
                      <w:szCs w:val="18"/>
                    </w:rPr>
                    <w:t>浓度mg/m</w:t>
                  </w:r>
                  <w:r>
                    <w:rPr>
                      <w:b/>
                      <w:bCs/>
                      <w:color w:val="auto"/>
                      <w:sz w:val="18"/>
                      <w:szCs w:val="18"/>
                      <w:vertAlign w:val="superscript"/>
                    </w:rPr>
                    <w:t>3</w:t>
                  </w:r>
                </w:p>
              </w:tc>
              <w:tc>
                <w:tcPr>
                  <w:tcW w:w="585" w:type="dxa"/>
                  <w:vAlign w:val="center"/>
                </w:tcPr>
                <w:p>
                  <w:pPr>
                    <w:keepNext/>
                    <w:snapToGrid w:val="0"/>
                    <w:jc w:val="center"/>
                    <w:rPr>
                      <w:b/>
                      <w:bCs/>
                      <w:color w:val="auto"/>
                      <w:sz w:val="18"/>
                      <w:szCs w:val="18"/>
                    </w:rPr>
                  </w:pPr>
                  <w:r>
                    <w:rPr>
                      <w:b/>
                      <w:bCs/>
                      <w:color w:val="auto"/>
                      <w:sz w:val="18"/>
                      <w:szCs w:val="18"/>
                    </w:rPr>
                    <w:t>速率kg/h</w:t>
                  </w:r>
                </w:p>
              </w:tc>
              <w:tc>
                <w:tcPr>
                  <w:tcW w:w="1979" w:type="dxa"/>
                  <w:vAlign w:val="center"/>
                </w:tcPr>
                <w:p>
                  <w:pPr>
                    <w:keepNext/>
                    <w:snapToGrid w:val="0"/>
                    <w:jc w:val="center"/>
                    <w:rPr>
                      <w:b/>
                      <w:bCs/>
                      <w:color w:val="auto"/>
                      <w:sz w:val="18"/>
                      <w:szCs w:val="18"/>
                    </w:rPr>
                  </w:pPr>
                  <w:r>
                    <w:rPr>
                      <w:b/>
                      <w:bCs/>
                      <w:color w:val="auto"/>
                      <w:sz w:val="18"/>
                      <w:szCs w:val="18"/>
                    </w:rPr>
                    <w:t>标准</w:t>
                  </w:r>
                </w:p>
              </w:tc>
              <w:tc>
                <w:tcPr>
                  <w:tcW w:w="499" w:type="dxa"/>
                  <w:vMerge w:val="continue"/>
                  <w:vAlign w:val="center"/>
                </w:tcPr>
                <w:p>
                  <w:pPr>
                    <w:keepNext/>
                    <w:snapToGrid w:val="0"/>
                    <w:jc w:val="center"/>
                    <w:rPr>
                      <w:b/>
                      <w:bCs/>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719" w:type="dxa"/>
                  <w:vAlign w:val="center"/>
                </w:tcPr>
                <w:p>
                  <w:pPr>
                    <w:keepNext/>
                    <w:snapToGrid w:val="0"/>
                    <w:jc w:val="center"/>
                    <w:rPr>
                      <w:color w:val="auto"/>
                      <w:sz w:val="18"/>
                      <w:szCs w:val="18"/>
                    </w:rPr>
                  </w:pPr>
                  <w:r>
                    <w:rPr>
                      <w:rFonts w:hint="eastAsia"/>
                      <w:color w:val="auto"/>
                      <w:kern w:val="0"/>
                      <w:sz w:val="18"/>
                      <w:szCs w:val="18"/>
                    </w:rPr>
                    <w:t>精馏</w:t>
                  </w:r>
                </w:p>
              </w:tc>
              <w:tc>
                <w:tcPr>
                  <w:tcW w:w="900" w:type="dxa"/>
                  <w:vAlign w:val="center"/>
                </w:tcPr>
                <w:p>
                  <w:pPr>
                    <w:keepNext/>
                    <w:snapToGrid w:val="0"/>
                    <w:jc w:val="center"/>
                    <w:rPr>
                      <w:rFonts w:hint="eastAsia" w:eastAsia="宋体"/>
                      <w:color w:val="auto"/>
                      <w:sz w:val="18"/>
                      <w:szCs w:val="18"/>
                      <w:lang w:eastAsia="zh-CN"/>
                    </w:rPr>
                  </w:pPr>
                  <w:r>
                    <w:rPr>
                      <w:rFonts w:hint="eastAsia"/>
                      <w:color w:val="auto"/>
                      <w:sz w:val="18"/>
                      <w:szCs w:val="18"/>
                      <w:lang w:val="en-US" w:eastAsia="zh-CN"/>
                    </w:rPr>
                    <w:t>DA</w:t>
                  </w:r>
                  <w:r>
                    <w:rPr>
                      <w:color w:val="auto"/>
                      <w:sz w:val="18"/>
                      <w:szCs w:val="18"/>
                    </w:rPr>
                    <w:t>00</w:t>
                  </w:r>
                  <w:r>
                    <w:rPr>
                      <w:rFonts w:hint="eastAsia"/>
                      <w:color w:val="auto"/>
                      <w:sz w:val="18"/>
                      <w:szCs w:val="18"/>
                    </w:rPr>
                    <w:t>2</w:t>
                  </w:r>
                  <w:r>
                    <w:rPr>
                      <w:rFonts w:hint="eastAsia"/>
                      <w:color w:val="auto"/>
                      <w:sz w:val="18"/>
                      <w:szCs w:val="18"/>
                      <w:lang w:eastAsia="zh-CN"/>
                    </w:rPr>
                    <w:t>（</w:t>
                  </w:r>
                  <w:r>
                    <w:rPr>
                      <w:rFonts w:hint="eastAsia"/>
                      <w:color w:val="auto"/>
                      <w:sz w:val="18"/>
                      <w:szCs w:val="18"/>
                      <w:lang w:val="en-US" w:eastAsia="zh-CN"/>
                    </w:rPr>
                    <w:t>已建</w:t>
                  </w:r>
                  <w:r>
                    <w:rPr>
                      <w:rFonts w:hint="eastAsia"/>
                      <w:color w:val="auto"/>
                      <w:sz w:val="18"/>
                      <w:szCs w:val="18"/>
                      <w:lang w:eastAsia="zh-CN"/>
                    </w:rPr>
                    <w:t>）</w:t>
                  </w:r>
                </w:p>
              </w:tc>
              <w:tc>
                <w:tcPr>
                  <w:tcW w:w="539" w:type="dxa"/>
                  <w:vAlign w:val="center"/>
                </w:tcPr>
                <w:p>
                  <w:pPr>
                    <w:keepNext/>
                    <w:snapToGrid w:val="0"/>
                    <w:jc w:val="center"/>
                    <w:rPr>
                      <w:color w:val="auto"/>
                      <w:sz w:val="18"/>
                      <w:szCs w:val="18"/>
                    </w:rPr>
                  </w:pPr>
                  <w:r>
                    <w:rPr>
                      <w:rFonts w:hint="eastAsia"/>
                      <w:color w:val="auto"/>
                      <w:kern w:val="0"/>
                      <w:sz w:val="18"/>
                      <w:szCs w:val="18"/>
                    </w:rPr>
                    <w:t>非甲烷总烃</w:t>
                  </w:r>
                </w:p>
              </w:tc>
              <w:tc>
                <w:tcPr>
                  <w:tcW w:w="433" w:type="dxa"/>
                  <w:vAlign w:val="center"/>
                </w:tcPr>
                <w:p>
                  <w:pPr>
                    <w:keepNext/>
                    <w:snapToGrid w:val="0"/>
                    <w:jc w:val="center"/>
                    <w:rPr>
                      <w:color w:val="auto"/>
                      <w:sz w:val="18"/>
                      <w:szCs w:val="18"/>
                    </w:rPr>
                  </w:pPr>
                  <w:r>
                    <w:rPr>
                      <w:rFonts w:hint="eastAsia"/>
                      <w:color w:val="auto"/>
                      <w:sz w:val="18"/>
                      <w:szCs w:val="18"/>
                    </w:rPr>
                    <w:t>物料衡算法</w:t>
                  </w:r>
                </w:p>
              </w:tc>
              <w:tc>
                <w:tcPr>
                  <w:tcW w:w="708" w:type="dxa"/>
                  <w:vAlign w:val="center"/>
                </w:tcPr>
                <w:p>
                  <w:pPr>
                    <w:keepNext w:val="0"/>
                    <w:keepLines w:val="0"/>
                    <w:widowControl/>
                    <w:suppressLineNumbers w:val="0"/>
                    <w:jc w:val="center"/>
                    <w:textAlignment w:val="center"/>
                    <w:rPr>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7728</w:t>
                  </w:r>
                </w:p>
              </w:tc>
              <w:tc>
                <w:tcPr>
                  <w:tcW w:w="835" w:type="dxa"/>
                  <w:vAlign w:val="center"/>
                </w:tcPr>
                <w:p>
                  <w:pPr>
                    <w:keepNext w:val="0"/>
                    <w:keepLines w:val="0"/>
                    <w:widowControl/>
                    <w:suppressLineNumbers w:val="0"/>
                    <w:jc w:val="center"/>
                    <w:textAlignment w:val="center"/>
                    <w:rPr>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53.92</w:t>
                  </w:r>
                </w:p>
              </w:tc>
              <w:tc>
                <w:tcPr>
                  <w:tcW w:w="656" w:type="dxa"/>
                  <w:vAlign w:val="center"/>
                </w:tcPr>
                <w:p>
                  <w:pPr>
                    <w:keepNext w:val="0"/>
                    <w:keepLines w:val="0"/>
                    <w:widowControl/>
                    <w:suppressLineNumbers w:val="0"/>
                    <w:jc w:val="center"/>
                    <w:textAlignment w:val="center"/>
                    <w:rPr>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0.42</w:t>
                  </w:r>
                </w:p>
              </w:tc>
              <w:tc>
                <w:tcPr>
                  <w:tcW w:w="640" w:type="dxa"/>
                  <w:vAlign w:val="center"/>
                </w:tcPr>
                <w:p>
                  <w:pPr>
                    <w:keepNext w:val="0"/>
                    <w:keepLines w:val="0"/>
                    <w:widowControl/>
                    <w:suppressLineNumbers w:val="0"/>
                    <w:jc w:val="center"/>
                    <w:textAlignment w:val="center"/>
                    <w:rPr>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0.20</w:t>
                  </w:r>
                </w:p>
              </w:tc>
              <w:tc>
                <w:tcPr>
                  <w:tcW w:w="565" w:type="dxa"/>
                  <w:vAlign w:val="center"/>
                </w:tcPr>
                <w:p>
                  <w:pPr>
                    <w:keepNext/>
                    <w:snapToGrid w:val="0"/>
                    <w:jc w:val="center"/>
                    <w:rPr>
                      <w:color w:val="auto"/>
                      <w:sz w:val="18"/>
                      <w:szCs w:val="18"/>
                    </w:rPr>
                  </w:pPr>
                  <w:r>
                    <w:rPr>
                      <w:rFonts w:hint="eastAsia"/>
                      <w:color w:val="auto"/>
                      <w:sz w:val="18"/>
                      <w:szCs w:val="18"/>
                    </w:rPr>
                    <w:t>/</w:t>
                  </w:r>
                </w:p>
              </w:tc>
              <w:tc>
                <w:tcPr>
                  <w:tcW w:w="631" w:type="dxa"/>
                  <w:vAlign w:val="center"/>
                </w:tcPr>
                <w:p>
                  <w:pPr>
                    <w:keepNext/>
                    <w:snapToGrid w:val="0"/>
                    <w:jc w:val="center"/>
                    <w:rPr>
                      <w:rFonts w:hint="default" w:eastAsia="宋体"/>
                      <w:color w:val="auto"/>
                      <w:sz w:val="18"/>
                      <w:szCs w:val="18"/>
                      <w:lang w:val="en-US" w:eastAsia="zh-CN"/>
                    </w:rPr>
                  </w:pPr>
                  <w:r>
                    <w:rPr>
                      <w:rFonts w:hint="eastAsia"/>
                      <w:color w:val="auto"/>
                      <w:sz w:val="18"/>
                      <w:szCs w:val="18"/>
                    </w:rPr>
                    <w:t>一级循环水喷淋</w:t>
                  </w:r>
                  <w:r>
                    <w:rPr>
                      <w:rFonts w:hint="eastAsia"/>
                      <w:color w:val="auto"/>
                      <w:sz w:val="18"/>
                      <w:szCs w:val="18"/>
                      <w:lang w:val="en-US" w:eastAsia="zh-CN"/>
                    </w:rPr>
                    <w:t>+活性炭吸附</w:t>
                  </w:r>
                </w:p>
              </w:tc>
              <w:tc>
                <w:tcPr>
                  <w:tcW w:w="681" w:type="dxa"/>
                  <w:vAlign w:val="center"/>
                </w:tcPr>
                <w:p>
                  <w:pPr>
                    <w:keepNext/>
                    <w:snapToGrid w:val="0"/>
                    <w:jc w:val="center"/>
                    <w:rPr>
                      <w:color w:val="auto"/>
                      <w:sz w:val="18"/>
                      <w:szCs w:val="18"/>
                    </w:rPr>
                  </w:pPr>
                  <w:r>
                    <w:rPr>
                      <w:rFonts w:hint="eastAsia"/>
                      <w:color w:val="auto"/>
                      <w:sz w:val="18"/>
                      <w:szCs w:val="18"/>
                      <w:lang w:val="en-US" w:eastAsia="zh-CN"/>
                    </w:rPr>
                    <w:t>8</w:t>
                  </w:r>
                  <w:r>
                    <w:rPr>
                      <w:rFonts w:hint="eastAsia"/>
                      <w:color w:val="auto"/>
                      <w:sz w:val="18"/>
                      <w:szCs w:val="18"/>
                    </w:rPr>
                    <w:t>0%</w:t>
                  </w:r>
                </w:p>
              </w:tc>
              <w:tc>
                <w:tcPr>
                  <w:tcW w:w="752" w:type="dxa"/>
                  <w:vAlign w:val="center"/>
                </w:tcPr>
                <w:p>
                  <w:pPr>
                    <w:keepNext w:val="0"/>
                    <w:keepLines w:val="0"/>
                    <w:widowControl/>
                    <w:suppressLineNumbers w:val="0"/>
                    <w:jc w:val="center"/>
                    <w:textAlignment w:val="center"/>
                    <w:rPr>
                      <w:rFonts w:hint="default"/>
                      <w:color w:val="auto"/>
                      <w:sz w:val="18"/>
                      <w:szCs w:val="18"/>
                      <w:lang w:val="en-US"/>
                    </w:rPr>
                  </w:pPr>
                  <w:r>
                    <w:rPr>
                      <w:rFonts w:hint="eastAsia" w:cs="Times New Roman"/>
                      <w:i w:val="0"/>
                      <w:iCs w:val="0"/>
                      <w:color w:val="auto"/>
                      <w:kern w:val="0"/>
                      <w:sz w:val="18"/>
                      <w:szCs w:val="18"/>
                      <w:u w:val="none"/>
                      <w:lang w:val="en-US" w:eastAsia="zh-CN" w:bidi="ar"/>
                    </w:rPr>
                    <w:t>10.78</w:t>
                  </w:r>
                </w:p>
              </w:tc>
              <w:tc>
                <w:tcPr>
                  <w:tcW w:w="595" w:type="dxa"/>
                  <w:vAlign w:val="center"/>
                </w:tcPr>
                <w:p>
                  <w:pPr>
                    <w:keepNext w:val="0"/>
                    <w:keepLines w:val="0"/>
                    <w:widowControl/>
                    <w:suppressLineNumbers w:val="0"/>
                    <w:jc w:val="center"/>
                    <w:textAlignment w:val="center"/>
                    <w:rPr>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0.0</w:t>
                  </w:r>
                  <w:r>
                    <w:rPr>
                      <w:rFonts w:hint="eastAsia" w:cs="Times New Roman"/>
                      <w:i w:val="0"/>
                      <w:iCs w:val="0"/>
                      <w:color w:val="auto"/>
                      <w:kern w:val="0"/>
                      <w:sz w:val="18"/>
                      <w:szCs w:val="18"/>
                      <w:u w:val="none"/>
                      <w:lang w:val="en-US" w:eastAsia="zh-CN" w:bidi="ar"/>
                    </w:rPr>
                    <w:t>8</w:t>
                  </w:r>
                </w:p>
              </w:tc>
              <w:tc>
                <w:tcPr>
                  <w:tcW w:w="554" w:type="dxa"/>
                  <w:vAlign w:val="center"/>
                </w:tcPr>
                <w:p>
                  <w:pPr>
                    <w:keepNext w:val="0"/>
                    <w:keepLines w:val="0"/>
                    <w:widowControl/>
                    <w:suppressLineNumbers w:val="0"/>
                    <w:jc w:val="center"/>
                    <w:textAlignment w:val="center"/>
                    <w:rPr>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0.0</w:t>
                  </w:r>
                  <w:r>
                    <w:rPr>
                      <w:rFonts w:hint="eastAsia" w:cs="Times New Roman"/>
                      <w:i w:val="0"/>
                      <w:iCs w:val="0"/>
                      <w:color w:val="auto"/>
                      <w:kern w:val="0"/>
                      <w:sz w:val="18"/>
                      <w:szCs w:val="18"/>
                      <w:u w:val="none"/>
                      <w:lang w:val="en-US" w:eastAsia="zh-CN" w:bidi="ar"/>
                    </w:rPr>
                    <w:t>4</w:t>
                  </w:r>
                </w:p>
              </w:tc>
              <w:tc>
                <w:tcPr>
                  <w:tcW w:w="601" w:type="dxa"/>
                  <w:vAlign w:val="center"/>
                </w:tcPr>
                <w:p>
                  <w:pPr>
                    <w:keepNext/>
                    <w:snapToGrid w:val="0"/>
                    <w:jc w:val="center"/>
                    <w:rPr>
                      <w:color w:val="auto"/>
                      <w:sz w:val="18"/>
                      <w:szCs w:val="18"/>
                    </w:rPr>
                  </w:pPr>
                  <w:r>
                    <w:rPr>
                      <w:rFonts w:hint="eastAsia"/>
                      <w:color w:val="auto"/>
                      <w:sz w:val="18"/>
                      <w:szCs w:val="18"/>
                    </w:rPr>
                    <w:t>480</w:t>
                  </w:r>
                </w:p>
              </w:tc>
              <w:tc>
                <w:tcPr>
                  <w:tcW w:w="743" w:type="dxa"/>
                  <w:vAlign w:val="center"/>
                </w:tcPr>
                <w:p>
                  <w:pPr>
                    <w:keepNext/>
                    <w:snapToGrid w:val="0"/>
                    <w:jc w:val="center"/>
                    <w:rPr>
                      <w:color w:val="auto"/>
                      <w:sz w:val="18"/>
                      <w:szCs w:val="18"/>
                    </w:rPr>
                  </w:pPr>
                  <w:r>
                    <w:rPr>
                      <w:rFonts w:hint="eastAsia"/>
                      <w:color w:val="auto"/>
                      <w:sz w:val="18"/>
                      <w:szCs w:val="18"/>
                    </w:rPr>
                    <w:t>100</w:t>
                  </w:r>
                </w:p>
              </w:tc>
              <w:tc>
                <w:tcPr>
                  <w:tcW w:w="585" w:type="dxa"/>
                  <w:vAlign w:val="center"/>
                </w:tcPr>
                <w:p>
                  <w:pPr>
                    <w:keepNext/>
                    <w:snapToGrid w:val="0"/>
                    <w:jc w:val="center"/>
                    <w:rPr>
                      <w:rFonts w:hint="default" w:eastAsia="宋体"/>
                      <w:color w:val="auto"/>
                      <w:sz w:val="18"/>
                      <w:szCs w:val="18"/>
                      <w:lang w:val="en-US" w:eastAsia="zh-CN"/>
                    </w:rPr>
                  </w:pPr>
                  <w:r>
                    <w:rPr>
                      <w:rFonts w:hint="eastAsia"/>
                      <w:color w:val="auto"/>
                      <w:sz w:val="18"/>
                      <w:szCs w:val="18"/>
                      <w:lang w:val="en-US" w:eastAsia="zh-CN"/>
                    </w:rPr>
                    <w:t>1.8</w:t>
                  </w:r>
                </w:p>
              </w:tc>
              <w:tc>
                <w:tcPr>
                  <w:tcW w:w="1979" w:type="dxa"/>
                  <w:vAlign w:val="center"/>
                </w:tcPr>
                <w:p>
                  <w:pPr>
                    <w:keepNext/>
                    <w:snapToGrid w:val="0"/>
                    <w:jc w:val="center"/>
                    <w:rPr>
                      <w:rFonts w:hint="default" w:eastAsia="宋体"/>
                      <w:color w:val="auto"/>
                      <w:sz w:val="18"/>
                      <w:szCs w:val="18"/>
                      <w:lang w:val="en-US" w:eastAsia="zh-CN"/>
                    </w:rPr>
                  </w:pPr>
                  <w:r>
                    <w:rPr>
                      <w:rFonts w:hint="eastAsia"/>
                      <w:color w:val="auto"/>
                      <w:sz w:val="18"/>
                      <w:szCs w:val="18"/>
                    </w:rPr>
                    <w:t>《工业企业挥发性有机物排放标准》（DB35/1782-2018）表1中其他行业标准排放标准</w:t>
                  </w:r>
                  <w:r>
                    <w:rPr>
                      <w:rFonts w:hint="eastAsia"/>
                      <w:color w:val="auto"/>
                      <w:sz w:val="18"/>
                      <w:szCs w:val="18"/>
                      <w:lang w:val="en-US" w:eastAsia="zh-CN"/>
                    </w:rPr>
                    <w:t>和15m高排气筒最高运行排放限值</w:t>
                  </w:r>
                </w:p>
              </w:tc>
              <w:tc>
                <w:tcPr>
                  <w:tcW w:w="499" w:type="dxa"/>
                  <w:vAlign w:val="center"/>
                </w:tcPr>
                <w:p>
                  <w:pPr>
                    <w:keepNext/>
                    <w:snapToGrid w:val="0"/>
                    <w:jc w:val="center"/>
                    <w:rPr>
                      <w:color w:val="auto"/>
                      <w:sz w:val="18"/>
                      <w:szCs w:val="18"/>
                    </w:rPr>
                  </w:pPr>
                  <w:r>
                    <w:rPr>
                      <w:rFonts w:hint="eastAsia"/>
                      <w:color w:val="auto"/>
                      <w:sz w:val="18"/>
                      <w:szCs w:val="18"/>
                    </w:rPr>
                    <w:t>是</w:t>
                  </w:r>
                </w:p>
              </w:tc>
            </w:tr>
          </w:tbl>
          <w:p>
            <w:pPr>
              <w:spacing w:line="336" w:lineRule="auto"/>
              <w:ind w:firstLine="420" w:firstLineChars="200"/>
              <w:rPr>
                <w:rFonts w:hint="eastAsia"/>
                <w:color w:val="auto"/>
                <w:szCs w:val="21"/>
              </w:rPr>
            </w:pPr>
            <w:r>
              <w:rPr>
                <w:rFonts w:hint="eastAsia"/>
                <w:color w:val="auto"/>
                <w:szCs w:val="21"/>
                <w:lang w:val="en-US" w:eastAsia="zh-CN"/>
              </w:rPr>
              <w:t>G2废气依托生产车间二已建废气处理措施和排气筒</w:t>
            </w:r>
            <w:r>
              <w:rPr>
                <w:rFonts w:hint="eastAsia"/>
                <w:color w:val="auto"/>
                <w:szCs w:val="21"/>
                <w:lang w:eastAsia="zh-CN"/>
              </w:rPr>
              <w:t>，</w:t>
            </w:r>
            <w:r>
              <w:rPr>
                <w:rFonts w:hint="eastAsia"/>
                <w:color w:val="auto"/>
                <w:szCs w:val="21"/>
              </w:rPr>
              <w:t>DA002现有污染物排放情况参照相关排污许可证计算书如下，DA002本次扩建工程后污染物排放情况如下</w:t>
            </w:r>
          </w:p>
          <w:p>
            <w:pPr>
              <w:spacing w:before="194" w:beforeLines="50"/>
              <w:jc w:val="center"/>
              <w:outlineLvl w:val="5"/>
              <w:rPr>
                <w:rFonts w:hint="eastAsia"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表4-7  G2废气依托生产车间二产排情况一览表</w:t>
            </w:r>
          </w:p>
          <w:tbl>
            <w:tblPr>
              <w:tblStyle w:val="20"/>
              <w:tblW w:w="135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440"/>
              <w:gridCol w:w="1238"/>
              <w:gridCol w:w="1203"/>
              <w:gridCol w:w="950"/>
              <w:gridCol w:w="886"/>
              <w:gridCol w:w="1120"/>
              <w:gridCol w:w="1027"/>
              <w:gridCol w:w="934"/>
              <w:gridCol w:w="3049"/>
              <w:gridCol w:w="9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81" w:type="pct"/>
                  <w:vMerge w:val="restart"/>
                  <w:shd w:val="clear" w:color="auto" w:fill="auto"/>
                  <w:vAlign w:val="center"/>
                </w:tcPr>
                <w:p>
                  <w:pPr>
                    <w:keepNext/>
                    <w:snapToGrid w:val="0"/>
                    <w:jc w:val="center"/>
                    <w:rPr>
                      <w:rFonts w:ascii="Times New Roman" w:hAnsi="Times New Roman" w:eastAsia="宋体" w:cs="Times New Roman"/>
                      <w:b/>
                      <w:bCs/>
                      <w:color w:val="auto"/>
                      <w:kern w:val="2"/>
                      <w:sz w:val="18"/>
                      <w:szCs w:val="18"/>
                      <w:lang w:val="en-US" w:eastAsia="zh-CN" w:bidi="ar-SA"/>
                    </w:rPr>
                  </w:pPr>
                  <w:r>
                    <w:rPr>
                      <w:b/>
                      <w:bCs/>
                      <w:color w:val="auto"/>
                      <w:sz w:val="18"/>
                      <w:szCs w:val="18"/>
                    </w:rPr>
                    <w:t>污染源</w:t>
                  </w:r>
                </w:p>
              </w:tc>
              <w:tc>
                <w:tcPr>
                  <w:tcW w:w="529" w:type="pct"/>
                  <w:vMerge w:val="restart"/>
                  <w:vAlign w:val="center"/>
                </w:tcPr>
                <w:p>
                  <w:pPr>
                    <w:keepNext/>
                    <w:snapToGrid w:val="0"/>
                    <w:jc w:val="center"/>
                    <w:rPr>
                      <w:b/>
                      <w:bCs/>
                      <w:color w:val="auto"/>
                      <w:sz w:val="18"/>
                      <w:szCs w:val="18"/>
                    </w:rPr>
                  </w:pPr>
                  <w:r>
                    <w:rPr>
                      <w:b/>
                      <w:bCs/>
                      <w:color w:val="auto"/>
                      <w:sz w:val="18"/>
                      <w:szCs w:val="18"/>
                    </w:rPr>
                    <w:t>产污环节</w:t>
                  </w:r>
                </w:p>
              </w:tc>
              <w:tc>
                <w:tcPr>
                  <w:tcW w:w="455" w:type="pct"/>
                  <w:vMerge w:val="restart"/>
                  <w:vAlign w:val="center"/>
                </w:tcPr>
                <w:p>
                  <w:pPr>
                    <w:keepNext/>
                    <w:snapToGrid w:val="0"/>
                    <w:jc w:val="center"/>
                    <w:rPr>
                      <w:b/>
                      <w:bCs/>
                      <w:color w:val="auto"/>
                      <w:sz w:val="18"/>
                      <w:szCs w:val="18"/>
                    </w:rPr>
                  </w:pPr>
                  <w:r>
                    <w:rPr>
                      <w:b/>
                      <w:bCs/>
                      <w:color w:val="auto"/>
                      <w:sz w:val="18"/>
                      <w:szCs w:val="18"/>
                    </w:rPr>
                    <w:t>污染物</w:t>
                  </w:r>
                </w:p>
              </w:tc>
              <w:tc>
                <w:tcPr>
                  <w:tcW w:w="1118" w:type="pct"/>
                  <w:gridSpan w:val="3"/>
                  <w:vAlign w:val="center"/>
                </w:tcPr>
                <w:p>
                  <w:pPr>
                    <w:keepNext/>
                    <w:snapToGrid w:val="0"/>
                    <w:jc w:val="center"/>
                    <w:rPr>
                      <w:b/>
                      <w:bCs/>
                      <w:color w:val="auto"/>
                      <w:sz w:val="18"/>
                      <w:szCs w:val="18"/>
                    </w:rPr>
                  </w:pPr>
                  <w:r>
                    <w:rPr>
                      <w:b/>
                      <w:bCs/>
                      <w:color w:val="auto"/>
                      <w:sz w:val="18"/>
                      <w:szCs w:val="18"/>
                    </w:rPr>
                    <w:t>污染物排放</w:t>
                  </w:r>
                </w:p>
              </w:tc>
              <w:tc>
                <w:tcPr>
                  <w:tcW w:w="412" w:type="pct"/>
                  <w:vMerge w:val="restart"/>
                  <w:vAlign w:val="center"/>
                </w:tcPr>
                <w:p>
                  <w:pPr>
                    <w:keepNext/>
                    <w:snapToGrid w:val="0"/>
                    <w:jc w:val="center"/>
                    <w:rPr>
                      <w:b/>
                      <w:bCs/>
                      <w:color w:val="auto"/>
                      <w:sz w:val="18"/>
                      <w:szCs w:val="18"/>
                    </w:rPr>
                  </w:pPr>
                  <w:r>
                    <w:rPr>
                      <w:b/>
                      <w:bCs/>
                      <w:color w:val="auto"/>
                      <w:sz w:val="18"/>
                      <w:szCs w:val="18"/>
                    </w:rPr>
                    <w:t>排放时间h</w:t>
                  </w:r>
                </w:p>
              </w:tc>
              <w:tc>
                <w:tcPr>
                  <w:tcW w:w="1843" w:type="pct"/>
                  <w:gridSpan w:val="3"/>
                  <w:vAlign w:val="center"/>
                </w:tcPr>
                <w:p>
                  <w:pPr>
                    <w:keepNext/>
                    <w:snapToGrid w:val="0"/>
                    <w:jc w:val="center"/>
                    <w:rPr>
                      <w:b/>
                      <w:bCs/>
                      <w:color w:val="auto"/>
                      <w:sz w:val="18"/>
                      <w:szCs w:val="18"/>
                    </w:rPr>
                  </w:pPr>
                  <w:r>
                    <w:rPr>
                      <w:b/>
                      <w:bCs/>
                      <w:color w:val="auto"/>
                      <w:sz w:val="18"/>
                      <w:szCs w:val="18"/>
                    </w:rPr>
                    <w:t>排放标准</w:t>
                  </w:r>
                </w:p>
              </w:tc>
              <w:tc>
                <w:tcPr>
                  <w:tcW w:w="359" w:type="pct"/>
                  <w:vMerge w:val="restart"/>
                  <w:vAlign w:val="center"/>
                </w:tcPr>
                <w:p>
                  <w:pPr>
                    <w:keepNext/>
                    <w:snapToGrid w:val="0"/>
                    <w:jc w:val="center"/>
                    <w:rPr>
                      <w:b/>
                      <w:bCs/>
                      <w:color w:val="auto"/>
                      <w:sz w:val="18"/>
                      <w:szCs w:val="18"/>
                    </w:rPr>
                  </w:pPr>
                  <w:r>
                    <w:rPr>
                      <w:b/>
                      <w:bCs/>
                      <w:color w:val="auto"/>
                      <w:sz w:val="18"/>
                      <w:szCs w:val="18"/>
                    </w:rPr>
                    <w:t>是否达标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81" w:type="pct"/>
                  <w:vMerge w:val="continue"/>
                  <w:shd w:val="clear" w:color="auto" w:fill="auto"/>
                  <w:vAlign w:val="center"/>
                </w:tcPr>
                <w:p>
                  <w:pPr>
                    <w:keepNext/>
                    <w:snapToGrid w:val="0"/>
                    <w:jc w:val="center"/>
                    <w:rPr>
                      <w:rFonts w:ascii="Times New Roman" w:hAnsi="Times New Roman" w:eastAsia="宋体" w:cs="Times New Roman"/>
                      <w:b/>
                      <w:bCs/>
                      <w:color w:val="auto"/>
                      <w:kern w:val="2"/>
                      <w:sz w:val="18"/>
                      <w:szCs w:val="24"/>
                      <w:lang w:val="en-US" w:eastAsia="zh-CN" w:bidi="ar-SA"/>
                    </w:rPr>
                  </w:pPr>
                </w:p>
              </w:tc>
              <w:tc>
                <w:tcPr>
                  <w:tcW w:w="529" w:type="pct"/>
                  <w:vMerge w:val="continue"/>
                  <w:vAlign w:val="center"/>
                </w:tcPr>
                <w:p>
                  <w:pPr>
                    <w:keepNext/>
                    <w:snapToGrid w:val="0"/>
                    <w:jc w:val="center"/>
                    <w:rPr>
                      <w:b/>
                      <w:bCs/>
                      <w:color w:val="auto"/>
                      <w:sz w:val="18"/>
                    </w:rPr>
                  </w:pPr>
                </w:p>
              </w:tc>
              <w:tc>
                <w:tcPr>
                  <w:tcW w:w="455" w:type="pct"/>
                  <w:vMerge w:val="continue"/>
                  <w:vAlign w:val="center"/>
                </w:tcPr>
                <w:p>
                  <w:pPr>
                    <w:keepNext/>
                    <w:snapToGrid w:val="0"/>
                    <w:jc w:val="center"/>
                    <w:rPr>
                      <w:b/>
                      <w:bCs/>
                      <w:color w:val="auto"/>
                      <w:sz w:val="18"/>
                    </w:rPr>
                  </w:pPr>
                </w:p>
              </w:tc>
              <w:tc>
                <w:tcPr>
                  <w:tcW w:w="442" w:type="pct"/>
                  <w:vAlign w:val="center"/>
                </w:tcPr>
                <w:p>
                  <w:pPr>
                    <w:keepNext/>
                    <w:snapToGrid w:val="0"/>
                    <w:spacing w:before="8"/>
                    <w:jc w:val="center"/>
                    <w:rPr>
                      <w:b/>
                      <w:bCs/>
                      <w:color w:val="auto"/>
                      <w:sz w:val="18"/>
                      <w:szCs w:val="18"/>
                    </w:rPr>
                  </w:pPr>
                  <w:r>
                    <w:rPr>
                      <w:b/>
                      <w:bCs/>
                      <w:color w:val="auto"/>
                      <w:kern w:val="0"/>
                      <w:sz w:val="18"/>
                      <w:szCs w:val="18"/>
                    </w:rPr>
                    <w:t>排放浓度mg/m</w:t>
                  </w:r>
                  <w:r>
                    <w:rPr>
                      <w:b/>
                      <w:bCs/>
                      <w:color w:val="auto"/>
                      <w:kern w:val="0"/>
                      <w:sz w:val="18"/>
                      <w:szCs w:val="18"/>
                      <w:vertAlign w:val="superscript"/>
                    </w:rPr>
                    <w:t>3</w:t>
                  </w:r>
                </w:p>
              </w:tc>
              <w:tc>
                <w:tcPr>
                  <w:tcW w:w="349" w:type="pct"/>
                  <w:vAlign w:val="center"/>
                </w:tcPr>
                <w:p>
                  <w:pPr>
                    <w:keepNext/>
                    <w:snapToGrid w:val="0"/>
                    <w:spacing w:before="8"/>
                    <w:jc w:val="center"/>
                    <w:rPr>
                      <w:b/>
                      <w:bCs/>
                      <w:color w:val="auto"/>
                      <w:sz w:val="18"/>
                      <w:szCs w:val="18"/>
                    </w:rPr>
                  </w:pPr>
                  <w:r>
                    <w:rPr>
                      <w:b/>
                      <w:bCs/>
                      <w:color w:val="auto"/>
                      <w:kern w:val="0"/>
                      <w:sz w:val="18"/>
                      <w:szCs w:val="18"/>
                    </w:rPr>
                    <w:t>排放速率kg/h</w:t>
                  </w:r>
                </w:p>
              </w:tc>
              <w:tc>
                <w:tcPr>
                  <w:tcW w:w="325" w:type="pct"/>
                  <w:vAlign w:val="center"/>
                </w:tcPr>
                <w:p>
                  <w:pPr>
                    <w:keepNext/>
                    <w:snapToGrid w:val="0"/>
                    <w:spacing w:before="8"/>
                    <w:jc w:val="center"/>
                    <w:rPr>
                      <w:b/>
                      <w:bCs/>
                      <w:color w:val="auto"/>
                      <w:sz w:val="18"/>
                      <w:szCs w:val="18"/>
                    </w:rPr>
                  </w:pPr>
                  <w:r>
                    <w:rPr>
                      <w:b/>
                      <w:bCs/>
                      <w:color w:val="auto"/>
                      <w:kern w:val="0"/>
                      <w:sz w:val="18"/>
                      <w:szCs w:val="18"/>
                    </w:rPr>
                    <w:t>排放量t/a</w:t>
                  </w:r>
                </w:p>
              </w:tc>
              <w:tc>
                <w:tcPr>
                  <w:tcW w:w="412" w:type="pct"/>
                  <w:vMerge w:val="continue"/>
                  <w:vAlign w:val="center"/>
                </w:tcPr>
                <w:p>
                  <w:pPr>
                    <w:keepNext/>
                    <w:snapToGrid w:val="0"/>
                    <w:jc w:val="center"/>
                    <w:rPr>
                      <w:b/>
                      <w:bCs/>
                      <w:color w:val="auto"/>
                      <w:sz w:val="18"/>
                      <w:szCs w:val="18"/>
                    </w:rPr>
                  </w:pPr>
                </w:p>
              </w:tc>
              <w:tc>
                <w:tcPr>
                  <w:tcW w:w="377" w:type="pct"/>
                  <w:vAlign w:val="center"/>
                </w:tcPr>
                <w:p>
                  <w:pPr>
                    <w:keepNext/>
                    <w:snapToGrid w:val="0"/>
                    <w:jc w:val="center"/>
                    <w:rPr>
                      <w:b/>
                      <w:bCs/>
                      <w:color w:val="auto"/>
                      <w:sz w:val="18"/>
                      <w:szCs w:val="18"/>
                    </w:rPr>
                  </w:pPr>
                  <w:r>
                    <w:rPr>
                      <w:b/>
                      <w:bCs/>
                      <w:color w:val="auto"/>
                      <w:sz w:val="18"/>
                      <w:szCs w:val="18"/>
                    </w:rPr>
                    <w:t>浓度mg/m</w:t>
                  </w:r>
                  <w:r>
                    <w:rPr>
                      <w:b/>
                      <w:bCs/>
                      <w:color w:val="auto"/>
                      <w:sz w:val="18"/>
                      <w:szCs w:val="18"/>
                      <w:vertAlign w:val="superscript"/>
                    </w:rPr>
                    <w:t>3</w:t>
                  </w:r>
                </w:p>
              </w:tc>
              <w:tc>
                <w:tcPr>
                  <w:tcW w:w="343" w:type="pct"/>
                  <w:vAlign w:val="center"/>
                </w:tcPr>
                <w:p>
                  <w:pPr>
                    <w:keepNext/>
                    <w:snapToGrid w:val="0"/>
                    <w:jc w:val="center"/>
                    <w:rPr>
                      <w:b/>
                      <w:bCs/>
                      <w:color w:val="auto"/>
                      <w:sz w:val="18"/>
                      <w:szCs w:val="18"/>
                    </w:rPr>
                  </w:pPr>
                  <w:r>
                    <w:rPr>
                      <w:b/>
                      <w:bCs/>
                      <w:color w:val="auto"/>
                      <w:sz w:val="18"/>
                      <w:szCs w:val="18"/>
                    </w:rPr>
                    <w:t>速率kg/h</w:t>
                  </w:r>
                </w:p>
              </w:tc>
              <w:tc>
                <w:tcPr>
                  <w:tcW w:w="1121" w:type="pct"/>
                  <w:vAlign w:val="center"/>
                </w:tcPr>
                <w:p>
                  <w:pPr>
                    <w:keepNext/>
                    <w:snapToGrid w:val="0"/>
                    <w:jc w:val="center"/>
                    <w:rPr>
                      <w:b/>
                      <w:bCs/>
                      <w:color w:val="auto"/>
                      <w:sz w:val="18"/>
                      <w:szCs w:val="18"/>
                    </w:rPr>
                  </w:pPr>
                  <w:r>
                    <w:rPr>
                      <w:b/>
                      <w:bCs/>
                      <w:color w:val="auto"/>
                      <w:sz w:val="18"/>
                      <w:szCs w:val="18"/>
                    </w:rPr>
                    <w:t>标准</w:t>
                  </w:r>
                </w:p>
              </w:tc>
              <w:tc>
                <w:tcPr>
                  <w:tcW w:w="359" w:type="pct"/>
                  <w:vMerge w:val="continue"/>
                  <w:vAlign w:val="center"/>
                </w:tcPr>
                <w:p>
                  <w:pPr>
                    <w:keepNext/>
                    <w:snapToGrid w:val="0"/>
                    <w:jc w:val="center"/>
                    <w:rPr>
                      <w:b/>
                      <w:bCs/>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281" w:type="pct"/>
                  <w:vMerge w:val="restart"/>
                  <w:shd w:val="clear" w:color="auto" w:fill="auto"/>
                  <w:vAlign w:val="center"/>
                </w:tcPr>
                <w:p>
                  <w:pPr>
                    <w:keepNext/>
                    <w:snapToGrid w:val="0"/>
                    <w:jc w:val="center"/>
                    <w:rPr>
                      <w:rFonts w:hint="eastAsia"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DA</w:t>
                  </w:r>
                  <w:r>
                    <w:rPr>
                      <w:color w:val="auto"/>
                      <w:sz w:val="18"/>
                      <w:szCs w:val="18"/>
                    </w:rPr>
                    <w:t>00</w:t>
                  </w:r>
                  <w:r>
                    <w:rPr>
                      <w:rFonts w:hint="eastAsia"/>
                      <w:color w:val="auto"/>
                      <w:sz w:val="18"/>
                      <w:szCs w:val="18"/>
                    </w:rPr>
                    <w:t>2</w:t>
                  </w:r>
                </w:p>
              </w:tc>
              <w:tc>
                <w:tcPr>
                  <w:tcW w:w="529" w:type="pct"/>
                  <w:vAlign w:val="center"/>
                </w:tcPr>
                <w:p>
                  <w:pPr>
                    <w:keepNext/>
                    <w:snapToGrid w:val="0"/>
                    <w:jc w:val="center"/>
                    <w:rPr>
                      <w:color w:val="auto"/>
                      <w:sz w:val="18"/>
                      <w:szCs w:val="18"/>
                    </w:rPr>
                  </w:pPr>
                  <w:r>
                    <w:rPr>
                      <w:rFonts w:hint="eastAsia"/>
                      <w:color w:val="auto"/>
                      <w:kern w:val="0"/>
                      <w:sz w:val="18"/>
                      <w:szCs w:val="18"/>
                    </w:rPr>
                    <w:t>精馏</w:t>
                  </w:r>
                </w:p>
              </w:tc>
              <w:tc>
                <w:tcPr>
                  <w:tcW w:w="455" w:type="pct"/>
                  <w:vAlign w:val="center"/>
                </w:tcPr>
                <w:p>
                  <w:pPr>
                    <w:keepNext/>
                    <w:snapToGrid w:val="0"/>
                    <w:jc w:val="center"/>
                    <w:rPr>
                      <w:color w:val="auto"/>
                      <w:sz w:val="18"/>
                      <w:szCs w:val="18"/>
                    </w:rPr>
                  </w:pPr>
                  <w:r>
                    <w:rPr>
                      <w:rFonts w:hint="eastAsia"/>
                      <w:color w:val="auto"/>
                      <w:kern w:val="0"/>
                      <w:sz w:val="18"/>
                      <w:szCs w:val="18"/>
                    </w:rPr>
                    <w:t>非甲烷总烃</w:t>
                  </w:r>
                </w:p>
              </w:tc>
              <w:tc>
                <w:tcPr>
                  <w:tcW w:w="442" w:type="pct"/>
                  <w:vAlign w:val="center"/>
                </w:tcPr>
                <w:p>
                  <w:pPr>
                    <w:keepNext w:val="0"/>
                    <w:keepLines w:val="0"/>
                    <w:widowControl/>
                    <w:suppressLineNumbers w:val="0"/>
                    <w:jc w:val="center"/>
                    <w:textAlignment w:val="center"/>
                    <w:rPr>
                      <w:rFonts w:hint="default"/>
                      <w:color w:val="auto"/>
                      <w:sz w:val="18"/>
                      <w:szCs w:val="18"/>
                      <w:lang w:val="en-US"/>
                    </w:rPr>
                  </w:pPr>
                  <w:r>
                    <w:rPr>
                      <w:rFonts w:hint="eastAsia" w:cs="Times New Roman"/>
                      <w:i w:val="0"/>
                      <w:iCs w:val="0"/>
                      <w:color w:val="auto"/>
                      <w:kern w:val="0"/>
                      <w:sz w:val="18"/>
                      <w:szCs w:val="18"/>
                      <w:u w:val="none"/>
                      <w:lang w:val="en-US" w:eastAsia="zh-CN" w:bidi="ar"/>
                    </w:rPr>
                    <w:t>10.78</w:t>
                  </w:r>
                </w:p>
              </w:tc>
              <w:tc>
                <w:tcPr>
                  <w:tcW w:w="349" w:type="pct"/>
                  <w:vAlign w:val="center"/>
                </w:tcPr>
                <w:p>
                  <w:pPr>
                    <w:keepNext w:val="0"/>
                    <w:keepLines w:val="0"/>
                    <w:widowControl/>
                    <w:suppressLineNumbers w:val="0"/>
                    <w:jc w:val="center"/>
                    <w:textAlignment w:val="center"/>
                    <w:rPr>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0.0</w:t>
                  </w:r>
                  <w:r>
                    <w:rPr>
                      <w:rFonts w:hint="eastAsia" w:cs="Times New Roman"/>
                      <w:i w:val="0"/>
                      <w:iCs w:val="0"/>
                      <w:color w:val="auto"/>
                      <w:kern w:val="0"/>
                      <w:sz w:val="18"/>
                      <w:szCs w:val="18"/>
                      <w:u w:val="none"/>
                      <w:lang w:val="en-US" w:eastAsia="zh-CN" w:bidi="ar"/>
                    </w:rPr>
                    <w:t>8</w:t>
                  </w:r>
                </w:p>
              </w:tc>
              <w:tc>
                <w:tcPr>
                  <w:tcW w:w="325" w:type="pct"/>
                  <w:vAlign w:val="center"/>
                </w:tcPr>
                <w:p>
                  <w:pPr>
                    <w:keepNext w:val="0"/>
                    <w:keepLines w:val="0"/>
                    <w:widowControl/>
                    <w:suppressLineNumbers w:val="0"/>
                    <w:jc w:val="center"/>
                    <w:textAlignment w:val="center"/>
                    <w:rPr>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0.0</w:t>
                  </w:r>
                  <w:r>
                    <w:rPr>
                      <w:rFonts w:hint="eastAsia" w:cs="Times New Roman"/>
                      <w:i w:val="0"/>
                      <w:iCs w:val="0"/>
                      <w:color w:val="auto"/>
                      <w:kern w:val="0"/>
                      <w:sz w:val="18"/>
                      <w:szCs w:val="18"/>
                      <w:u w:val="none"/>
                      <w:lang w:val="en-US" w:eastAsia="zh-CN" w:bidi="ar"/>
                    </w:rPr>
                    <w:t>4</w:t>
                  </w:r>
                </w:p>
              </w:tc>
              <w:tc>
                <w:tcPr>
                  <w:tcW w:w="412" w:type="pct"/>
                  <w:vAlign w:val="center"/>
                </w:tcPr>
                <w:p>
                  <w:pPr>
                    <w:keepNext/>
                    <w:snapToGrid w:val="0"/>
                    <w:jc w:val="center"/>
                    <w:rPr>
                      <w:color w:val="auto"/>
                      <w:sz w:val="18"/>
                      <w:szCs w:val="18"/>
                    </w:rPr>
                  </w:pPr>
                  <w:r>
                    <w:rPr>
                      <w:rFonts w:hint="eastAsia"/>
                      <w:color w:val="auto"/>
                      <w:sz w:val="18"/>
                      <w:szCs w:val="18"/>
                    </w:rPr>
                    <w:t>480</w:t>
                  </w:r>
                </w:p>
              </w:tc>
              <w:tc>
                <w:tcPr>
                  <w:tcW w:w="377" w:type="pct"/>
                  <w:vMerge w:val="restart"/>
                  <w:vAlign w:val="center"/>
                </w:tcPr>
                <w:p>
                  <w:pPr>
                    <w:keepNext/>
                    <w:snapToGrid w:val="0"/>
                    <w:jc w:val="center"/>
                    <w:rPr>
                      <w:color w:val="auto"/>
                      <w:sz w:val="18"/>
                      <w:szCs w:val="18"/>
                    </w:rPr>
                  </w:pPr>
                  <w:r>
                    <w:rPr>
                      <w:rFonts w:hint="eastAsia"/>
                      <w:color w:val="auto"/>
                      <w:sz w:val="18"/>
                      <w:szCs w:val="18"/>
                    </w:rPr>
                    <w:t>100</w:t>
                  </w:r>
                </w:p>
              </w:tc>
              <w:tc>
                <w:tcPr>
                  <w:tcW w:w="343" w:type="pct"/>
                  <w:vMerge w:val="restart"/>
                  <w:vAlign w:val="center"/>
                </w:tcPr>
                <w:p>
                  <w:pPr>
                    <w:keepNext/>
                    <w:snapToGrid w:val="0"/>
                    <w:jc w:val="center"/>
                    <w:rPr>
                      <w:rFonts w:hint="default" w:eastAsia="宋体"/>
                      <w:color w:val="auto"/>
                      <w:sz w:val="18"/>
                      <w:szCs w:val="18"/>
                      <w:lang w:val="en-US" w:eastAsia="zh-CN"/>
                    </w:rPr>
                  </w:pPr>
                  <w:r>
                    <w:rPr>
                      <w:rFonts w:hint="eastAsia"/>
                      <w:color w:val="auto"/>
                      <w:sz w:val="18"/>
                      <w:szCs w:val="18"/>
                      <w:lang w:val="en-US" w:eastAsia="zh-CN"/>
                    </w:rPr>
                    <w:t>1.8</w:t>
                  </w:r>
                </w:p>
              </w:tc>
              <w:tc>
                <w:tcPr>
                  <w:tcW w:w="1121" w:type="pct"/>
                  <w:vMerge w:val="restart"/>
                  <w:vAlign w:val="center"/>
                </w:tcPr>
                <w:p>
                  <w:pPr>
                    <w:keepNext/>
                    <w:snapToGrid w:val="0"/>
                    <w:jc w:val="center"/>
                    <w:rPr>
                      <w:color w:val="auto"/>
                      <w:sz w:val="18"/>
                      <w:szCs w:val="18"/>
                    </w:rPr>
                  </w:pPr>
                  <w:r>
                    <w:rPr>
                      <w:rFonts w:hint="eastAsia"/>
                      <w:color w:val="auto"/>
                      <w:sz w:val="18"/>
                      <w:szCs w:val="18"/>
                    </w:rPr>
                    <w:t>《工业企业挥发性有机物排放标准》（DB35/1782-2018）表1中其他行业标准排放标准</w:t>
                  </w:r>
                  <w:r>
                    <w:rPr>
                      <w:rFonts w:hint="eastAsia"/>
                      <w:color w:val="auto"/>
                      <w:sz w:val="18"/>
                      <w:szCs w:val="18"/>
                      <w:lang w:val="en-US" w:eastAsia="zh-CN"/>
                    </w:rPr>
                    <w:t>和15m高排气筒最高运行排放限值</w:t>
                  </w:r>
                </w:p>
              </w:tc>
              <w:tc>
                <w:tcPr>
                  <w:tcW w:w="359" w:type="pct"/>
                  <w:vMerge w:val="restart"/>
                  <w:vAlign w:val="center"/>
                </w:tcPr>
                <w:p>
                  <w:pPr>
                    <w:keepNext/>
                    <w:snapToGrid w:val="0"/>
                    <w:jc w:val="center"/>
                    <w:rPr>
                      <w:color w:val="auto"/>
                      <w:sz w:val="18"/>
                      <w:szCs w:val="18"/>
                    </w:rPr>
                  </w:pPr>
                  <w:r>
                    <w:rPr>
                      <w:rFonts w:hint="eastAsia"/>
                      <w:color w:val="auto"/>
                      <w:sz w:val="18"/>
                      <w:szCs w:val="18"/>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281" w:type="pct"/>
                  <w:vMerge w:val="continue"/>
                  <w:shd w:val="clear" w:color="auto" w:fill="auto"/>
                  <w:vAlign w:val="center"/>
                </w:tcPr>
                <w:p>
                  <w:pPr>
                    <w:keepNext/>
                    <w:snapToGrid w:val="0"/>
                    <w:jc w:val="center"/>
                    <w:rPr>
                      <w:rFonts w:hint="eastAsia" w:ascii="Times New Roman" w:hAnsi="Times New Roman" w:eastAsia="宋体" w:cs="Times New Roman"/>
                      <w:color w:val="auto"/>
                      <w:kern w:val="2"/>
                      <w:sz w:val="18"/>
                      <w:szCs w:val="18"/>
                      <w:lang w:val="en-US" w:eastAsia="zh-CN" w:bidi="ar-SA"/>
                    </w:rPr>
                  </w:pPr>
                </w:p>
              </w:tc>
              <w:tc>
                <w:tcPr>
                  <w:tcW w:w="529" w:type="pct"/>
                  <w:vAlign w:val="center"/>
                </w:tcPr>
                <w:p>
                  <w:pPr>
                    <w:keepNext/>
                    <w:snapToGrid w:val="0"/>
                    <w:jc w:val="center"/>
                    <w:rPr>
                      <w:rFonts w:hint="default" w:eastAsia="宋体"/>
                      <w:color w:val="auto"/>
                      <w:kern w:val="0"/>
                      <w:sz w:val="18"/>
                      <w:szCs w:val="18"/>
                      <w:lang w:val="en-US" w:eastAsia="zh-CN"/>
                    </w:rPr>
                  </w:pPr>
                  <w:r>
                    <w:rPr>
                      <w:rFonts w:hint="eastAsia"/>
                      <w:color w:val="auto"/>
                      <w:kern w:val="0"/>
                      <w:sz w:val="18"/>
                      <w:szCs w:val="18"/>
                      <w:lang w:val="en-US" w:eastAsia="zh-CN"/>
                    </w:rPr>
                    <w:t>现有工程</w:t>
                  </w:r>
                </w:p>
              </w:tc>
              <w:tc>
                <w:tcPr>
                  <w:tcW w:w="455" w:type="pct"/>
                  <w:vAlign w:val="center"/>
                </w:tcPr>
                <w:p>
                  <w:pPr>
                    <w:keepNext/>
                    <w:snapToGrid w:val="0"/>
                    <w:jc w:val="center"/>
                    <w:rPr>
                      <w:rFonts w:hint="eastAsia" w:eastAsia="宋体"/>
                      <w:color w:val="auto"/>
                      <w:kern w:val="0"/>
                      <w:sz w:val="18"/>
                      <w:szCs w:val="18"/>
                      <w:lang w:val="en-US" w:eastAsia="zh-CN"/>
                    </w:rPr>
                  </w:pPr>
                  <w:r>
                    <w:rPr>
                      <w:rFonts w:hint="eastAsia"/>
                      <w:color w:val="auto"/>
                      <w:kern w:val="0"/>
                      <w:sz w:val="18"/>
                      <w:szCs w:val="18"/>
                      <w:lang w:val="en-US" w:eastAsia="zh-CN"/>
                    </w:rPr>
                    <w:t>非甲烷总烃</w:t>
                  </w:r>
                </w:p>
              </w:tc>
              <w:tc>
                <w:tcPr>
                  <w:tcW w:w="442" w:type="pct"/>
                  <w:vAlign w:val="center"/>
                </w:tcPr>
                <w:p>
                  <w:pPr>
                    <w:widowControl/>
                    <w:snapToGrid w:val="0"/>
                    <w:jc w:val="center"/>
                    <w:textAlignment w:val="center"/>
                    <w:rPr>
                      <w:rFonts w:hint="default" w:eastAsia="宋体"/>
                      <w:color w:val="auto"/>
                      <w:sz w:val="18"/>
                      <w:szCs w:val="18"/>
                      <w:lang w:val="en-US" w:eastAsia="zh-CN"/>
                    </w:rPr>
                  </w:pPr>
                  <w:r>
                    <w:rPr>
                      <w:rFonts w:hint="eastAsia"/>
                      <w:color w:val="auto"/>
                      <w:sz w:val="18"/>
                      <w:szCs w:val="18"/>
                      <w:lang w:val="en-US" w:eastAsia="zh-CN"/>
                    </w:rPr>
                    <w:t>13.054</w:t>
                  </w:r>
                </w:p>
              </w:tc>
              <w:tc>
                <w:tcPr>
                  <w:tcW w:w="349" w:type="pct"/>
                  <w:vAlign w:val="center"/>
                </w:tcPr>
                <w:p>
                  <w:pPr>
                    <w:widowControl/>
                    <w:snapToGrid w:val="0"/>
                    <w:jc w:val="center"/>
                    <w:textAlignment w:val="center"/>
                    <w:rPr>
                      <w:rFonts w:hint="default" w:eastAsia="宋体"/>
                      <w:color w:val="auto"/>
                      <w:sz w:val="18"/>
                      <w:szCs w:val="18"/>
                      <w:lang w:val="en-US" w:eastAsia="zh-CN"/>
                    </w:rPr>
                  </w:pPr>
                  <w:r>
                    <w:rPr>
                      <w:rFonts w:hint="eastAsia"/>
                      <w:color w:val="auto"/>
                      <w:sz w:val="18"/>
                      <w:szCs w:val="18"/>
                      <w:lang w:val="en-US" w:eastAsia="zh-CN"/>
                    </w:rPr>
                    <w:t>0.1014</w:t>
                  </w:r>
                </w:p>
              </w:tc>
              <w:tc>
                <w:tcPr>
                  <w:tcW w:w="325" w:type="pct"/>
                  <w:vAlign w:val="center"/>
                </w:tcPr>
                <w:p>
                  <w:pPr>
                    <w:widowControl/>
                    <w:snapToGrid w:val="0"/>
                    <w:jc w:val="center"/>
                    <w:textAlignment w:val="center"/>
                    <w:rPr>
                      <w:rFonts w:hint="default" w:eastAsia="宋体"/>
                      <w:color w:val="auto"/>
                      <w:sz w:val="18"/>
                      <w:szCs w:val="18"/>
                      <w:lang w:val="en-US" w:eastAsia="zh-CN"/>
                    </w:rPr>
                  </w:pPr>
                  <w:r>
                    <w:rPr>
                      <w:rFonts w:hint="eastAsia"/>
                      <w:color w:val="auto"/>
                      <w:sz w:val="18"/>
                      <w:szCs w:val="18"/>
                      <w:lang w:val="en-US" w:eastAsia="zh-CN"/>
                    </w:rPr>
                    <w:t>0.73</w:t>
                  </w:r>
                </w:p>
              </w:tc>
              <w:tc>
                <w:tcPr>
                  <w:tcW w:w="412" w:type="pct"/>
                  <w:vAlign w:val="center"/>
                </w:tcPr>
                <w:p>
                  <w:pPr>
                    <w:keepNext/>
                    <w:snapToGrid w:val="0"/>
                    <w:jc w:val="center"/>
                    <w:rPr>
                      <w:rFonts w:hint="default" w:eastAsia="宋体"/>
                      <w:color w:val="auto"/>
                      <w:sz w:val="18"/>
                      <w:szCs w:val="18"/>
                      <w:lang w:val="en-US" w:eastAsia="zh-CN"/>
                    </w:rPr>
                  </w:pPr>
                  <w:r>
                    <w:rPr>
                      <w:rFonts w:hint="eastAsia"/>
                      <w:color w:val="auto"/>
                      <w:sz w:val="18"/>
                      <w:szCs w:val="18"/>
                      <w:lang w:val="en-US" w:eastAsia="zh-CN"/>
                    </w:rPr>
                    <w:t>7200</w:t>
                  </w:r>
                </w:p>
              </w:tc>
              <w:tc>
                <w:tcPr>
                  <w:tcW w:w="377" w:type="pct"/>
                  <w:vMerge w:val="continue"/>
                  <w:vAlign w:val="center"/>
                </w:tcPr>
                <w:p>
                  <w:pPr>
                    <w:keepNext/>
                    <w:snapToGrid w:val="0"/>
                    <w:jc w:val="center"/>
                    <w:rPr>
                      <w:rFonts w:hint="eastAsia"/>
                      <w:color w:val="auto"/>
                      <w:sz w:val="18"/>
                      <w:szCs w:val="18"/>
                    </w:rPr>
                  </w:pPr>
                </w:p>
              </w:tc>
              <w:tc>
                <w:tcPr>
                  <w:tcW w:w="343" w:type="pct"/>
                  <w:vMerge w:val="continue"/>
                  <w:vAlign w:val="center"/>
                </w:tcPr>
                <w:p>
                  <w:pPr>
                    <w:keepNext/>
                    <w:snapToGrid w:val="0"/>
                    <w:jc w:val="center"/>
                    <w:rPr>
                      <w:rFonts w:hint="eastAsia"/>
                      <w:color w:val="auto"/>
                      <w:sz w:val="18"/>
                      <w:szCs w:val="18"/>
                    </w:rPr>
                  </w:pPr>
                </w:p>
              </w:tc>
              <w:tc>
                <w:tcPr>
                  <w:tcW w:w="1121" w:type="pct"/>
                  <w:vMerge w:val="continue"/>
                  <w:vAlign w:val="center"/>
                </w:tcPr>
                <w:p>
                  <w:pPr>
                    <w:keepNext/>
                    <w:snapToGrid w:val="0"/>
                    <w:jc w:val="center"/>
                    <w:rPr>
                      <w:color w:val="auto"/>
                      <w:sz w:val="18"/>
                      <w:szCs w:val="18"/>
                    </w:rPr>
                  </w:pPr>
                </w:p>
              </w:tc>
              <w:tc>
                <w:tcPr>
                  <w:tcW w:w="359" w:type="pct"/>
                  <w:vMerge w:val="continue"/>
                  <w:vAlign w:val="center"/>
                </w:tcPr>
                <w:p>
                  <w:pPr>
                    <w:keepNext/>
                    <w:snapToGrid w:val="0"/>
                    <w:jc w:val="center"/>
                    <w:rPr>
                      <w:rFonts w:hint="eastAsia"/>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281" w:type="pct"/>
                  <w:vMerge w:val="continue"/>
                  <w:shd w:val="clear" w:color="auto" w:fill="auto"/>
                  <w:vAlign w:val="center"/>
                </w:tcPr>
                <w:p>
                  <w:pPr>
                    <w:keepNext/>
                    <w:snapToGrid w:val="0"/>
                    <w:jc w:val="center"/>
                    <w:rPr>
                      <w:rFonts w:hint="eastAsia" w:ascii="Times New Roman" w:hAnsi="Times New Roman" w:eastAsia="宋体" w:cs="Times New Roman"/>
                      <w:color w:val="auto"/>
                      <w:kern w:val="2"/>
                      <w:sz w:val="18"/>
                      <w:szCs w:val="18"/>
                      <w:lang w:val="en-US" w:eastAsia="zh-CN" w:bidi="ar-SA"/>
                    </w:rPr>
                  </w:pPr>
                </w:p>
              </w:tc>
              <w:tc>
                <w:tcPr>
                  <w:tcW w:w="529" w:type="pct"/>
                  <w:shd w:val="clear" w:color="auto" w:fill="CFCECE" w:themeFill="background2" w:themeFillShade="E5"/>
                  <w:vAlign w:val="center"/>
                </w:tcPr>
                <w:p>
                  <w:pPr>
                    <w:keepNext/>
                    <w:snapToGrid w:val="0"/>
                    <w:jc w:val="center"/>
                    <w:rPr>
                      <w:rFonts w:hint="eastAsia"/>
                      <w:b/>
                      <w:bCs/>
                      <w:color w:val="auto"/>
                      <w:kern w:val="0"/>
                      <w:sz w:val="18"/>
                      <w:szCs w:val="18"/>
                      <w:lang w:val="en-US" w:eastAsia="zh-CN"/>
                    </w:rPr>
                  </w:pPr>
                  <w:r>
                    <w:rPr>
                      <w:rFonts w:hint="eastAsia"/>
                      <w:b/>
                      <w:bCs/>
                      <w:color w:val="auto"/>
                      <w:kern w:val="0"/>
                      <w:sz w:val="18"/>
                      <w:szCs w:val="18"/>
                      <w:lang w:val="en-US" w:eastAsia="zh-CN"/>
                    </w:rPr>
                    <w:t>本次扩建后</w:t>
                  </w:r>
                </w:p>
                <w:p>
                  <w:pPr>
                    <w:keepNext/>
                    <w:snapToGrid w:val="0"/>
                    <w:jc w:val="both"/>
                    <w:rPr>
                      <w:rFonts w:hint="default"/>
                      <w:b/>
                      <w:bCs/>
                      <w:color w:val="auto"/>
                      <w:kern w:val="0"/>
                      <w:sz w:val="18"/>
                      <w:szCs w:val="18"/>
                      <w:lang w:val="en-US" w:eastAsia="zh-CN"/>
                    </w:rPr>
                  </w:pPr>
                  <w:r>
                    <w:rPr>
                      <w:rFonts w:hint="eastAsia"/>
                      <w:b/>
                      <w:bCs/>
                      <w:color w:val="auto"/>
                      <w:kern w:val="0"/>
                      <w:sz w:val="18"/>
                      <w:szCs w:val="18"/>
                      <w:lang w:val="en-US" w:eastAsia="zh-CN"/>
                    </w:rPr>
                    <w:t>（排放浓度和排放速率以精馏+现有工程同时运行的最不利情况考虑）</w:t>
                  </w:r>
                </w:p>
              </w:tc>
              <w:tc>
                <w:tcPr>
                  <w:tcW w:w="455" w:type="pct"/>
                  <w:shd w:val="clear" w:color="auto" w:fill="CFCECE" w:themeFill="background2" w:themeFillShade="E5"/>
                  <w:vAlign w:val="center"/>
                </w:tcPr>
                <w:p>
                  <w:pPr>
                    <w:keepNext/>
                    <w:snapToGrid w:val="0"/>
                    <w:jc w:val="center"/>
                    <w:rPr>
                      <w:rFonts w:hint="eastAsia"/>
                      <w:b/>
                      <w:bCs/>
                      <w:color w:val="auto"/>
                      <w:kern w:val="0"/>
                      <w:sz w:val="18"/>
                      <w:szCs w:val="18"/>
                      <w:lang w:val="en-US" w:eastAsia="zh-CN"/>
                    </w:rPr>
                  </w:pPr>
                  <w:r>
                    <w:rPr>
                      <w:rFonts w:hint="eastAsia"/>
                      <w:b/>
                      <w:bCs/>
                      <w:color w:val="auto"/>
                      <w:kern w:val="0"/>
                      <w:sz w:val="18"/>
                      <w:szCs w:val="18"/>
                    </w:rPr>
                    <w:t>非甲烷总烃</w:t>
                  </w:r>
                </w:p>
              </w:tc>
              <w:tc>
                <w:tcPr>
                  <w:tcW w:w="442" w:type="pct"/>
                  <w:shd w:val="clear" w:color="auto" w:fill="CFCECE" w:themeFill="background2" w:themeFillShade="E5"/>
                  <w:vAlign w:val="center"/>
                </w:tcPr>
                <w:p>
                  <w:pPr>
                    <w:widowControl/>
                    <w:snapToGrid w:val="0"/>
                    <w:jc w:val="center"/>
                    <w:textAlignment w:val="center"/>
                    <w:rPr>
                      <w:rFonts w:hint="default" w:eastAsia="宋体"/>
                      <w:b/>
                      <w:bCs/>
                      <w:color w:val="auto"/>
                      <w:sz w:val="18"/>
                      <w:szCs w:val="18"/>
                      <w:lang w:val="en-US" w:eastAsia="zh-CN"/>
                    </w:rPr>
                  </w:pPr>
                  <w:r>
                    <w:rPr>
                      <w:rFonts w:hint="eastAsia"/>
                      <w:b/>
                      <w:bCs/>
                      <w:color w:val="auto"/>
                      <w:sz w:val="18"/>
                      <w:szCs w:val="18"/>
                      <w:lang w:val="en-US" w:eastAsia="zh-CN"/>
                    </w:rPr>
                    <w:t>13.8386</w:t>
                  </w:r>
                </w:p>
              </w:tc>
              <w:tc>
                <w:tcPr>
                  <w:tcW w:w="349" w:type="pct"/>
                  <w:shd w:val="clear" w:color="auto" w:fill="CFCECE" w:themeFill="background2" w:themeFillShade="E5"/>
                  <w:vAlign w:val="center"/>
                </w:tcPr>
                <w:p>
                  <w:pPr>
                    <w:widowControl/>
                    <w:snapToGrid w:val="0"/>
                    <w:jc w:val="center"/>
                    <w:textAlignment w:val="center"/>
                    <w:rPr>
                      <w:rFonts w:hint="default" w:eastAsia="宋体"/>
                      <w:b/>
                      <w:bCs/>
                      <w:color w:val="auto"/>
                      <w:sz w:val="18"/>
                      <w:szCs w:val="18"/>
                      <w:lang w:val="en-US" w:eastAsia="zh-CN"/>
                    </w:rPr>
                  </w:pPr>
                  <w:r>
                    <w:rPr>
                      <w:rFonts w:hint="eastAsia"/>
                      <w:b/>
                      <w:bCs/>
                      <w:color w:val="auto"/>
                      <w:sz w:val="18"/>
                      <w:szCs w:val="18"/>
                      <w:lang w:val="en-US" w:eastAsia="zh-CN"/>
                    </w:rPr>
                    <w:t>0.1069</w:t>
                  </w:r>
                </w:p>
              </w:tc>
              <w:tc>
                <w:tcPr>
                  <w:tcW w:w="325" w:type="pct"/>
                  <w:shd w:val="clear" w:color="auto" w:fill="CFCECE" w:themeFill="background2" w:themeFillShade="E5"/>
                  <w:vAlign w:val="center"/>
                </w:tcPr>
                <w:p>
                  <w:pPr>
                    <w:widowControl/>
                    <w:snapToGrid w:val="0"/>
                    <w:jc w:val="center"/>
                    <w:textAlignment w:val="center"/>
                    <w:rPr>
                      <w:rFonts w:hint="default" w:eastAsia="宋体"/>
                      <w:b/>
                      <w:bCs/>
                      <w:color w:val="auto"/>
                      <w:sz w:val="18"/>
                      <w:szCs w:val="18"/>
                      <w:lang w:val="en-US" w:eastAsia="zh-CN"/>
                    </w:rPr>
                  </w:pPr>
                  <w:r>
                    <w:rPr>
                      <w:rFonts w:hint="eastAsia"/>
                      <w:b/>
                      <w:bCs/>
                      <w:color w:val="auto"/>
                      <w:sz w:val="18"/>
                      <w:szCs w:val="18"/>
                      <w:lang w:val="en-US" w:eastAsia="zh-CN"/>
                    </w:rPr>
                    <w:t>0.77</w:t>
                  </w:r>
                </w:p>
              </w:tc>
              <w:tc>
                <w:tcPr>
                  <w:tcW w:w="412" w:type="pct"/>
                  <w:shd w:val="clear" w:color="auto" w:fill="CFCECE" w:themeFill="background2" w:themeFillShade="E5"/>
                  <w:vAlign w:val="center"/>
                </w:tcPr>
                <w:p>
                  <w:pPr>
                    <w:keepNext/>
                    <w:snapToGrid w:val="0"/>
                    <w:jc w:val="center"/>
                    <w:rPr>
                      <w:rFonts w:hint="default" w:eastAsia="宋体"/>
                      <w:b/>
                      <w:bCs/>
                      <w:color w:val="auto"/>
                      <w:sz w:val="18"/>
                      <w:szCs w:val="18"/>
                      <w:lang w:val="en-US" w:eastAsia="zh-CN"/>
                    </w:rPr>
                  </w:pPr>
                  <w:r>
                    <w:rPr>
                      <w:rFonts w:hint="eastAsia"/>
                      <w:b/>
                      <w:bCs/>
                      <w:color w:val="auto"/>
                      <w:sz w:val="18"/>
                      <w:szCs w:val="18"/>
                      <w:lang w:val="en-US" w:eastAsia="zh-CN"/>
                    </w:rPr>
                    <w:t>7200</w:t>
                  </w:r>
                </w:p>
              </w:tc>
              <w:tc>
                <w:tcPr>
                  <w:tcW w:w="377" w:type="pct"/>
                  <w:vMerge w:val="continue"/>
                  <w:vAlign w:val="center"/>
                </w:tcPr>
                <w:p>
                  <w:pPr>
                    <w:keepNext/>
                    <w:snapToGrid w:val="0"/>
                    <w:jc w:val="center"/>
                    <w:rPr>
                      <w:rFonts w:hint="eastAsia"/>
                      <w:color w:val="auto"/>
                      <w:sz w:val="18"/>
                      <w:szCs w:val="18"/>
                    </w:rPr>
                  </w:pPr>
                </w:p>
              </w:tc>
              <w:tc>
                <w:tcPr>
                  <w:tcW w:w="343" w:type="pct"/>
                  <w:vMerge w:val="continue"/>
                  <w:vAlign w:val="center"/>
                </w:tcPr>
                <w:p>
                  <w:pPr>
                    <w:keepNext/>
                    <w:snapToGrid w:val="0"/>
                    <w:jc w:val="center"/>
                    <w:rPr>
                      <w:rFonts w:hint="eastAsia"/>
                      <w:color w:val="auto"/>
                      <w:sz w:val="18"/>
                      <w:szCs w:val="18"/>
                    </w:rPr>
                  </w:pPr>
                </w:p>
              </w:tc>
              <w:tc>
                <w:tcPr>
                  <w:tcW w:w="1121" w:type="pct"/>
                  <w:vMerge w:val="continue"/>
                  <w:vAlign w:val="center"/>
                </w:tcPr>
                <w:p>
                  <w:pPr>
                    <w:keepNext/>
                    <w:snapToGrid w:val="0"/>
                    <w:jc w:val="center"/>
                    <w:rPr>
                      <w:color w:val="auto"/>
                      <w:sz w:val="18"/>
                      <w:szCs w:val="18"/>
                    </w:rPr>
                  </w:pPr>
                </w:p>
              </w:tc>
              <w:tc>
                <w:tcPr>
                  <w:tcW w:w="359" w:type="pct"/>
                  <w:vMerge w:val="continue"/>
                  <w:vAlign w:val="center"/>
                </w:tcPr>
                <w:p>
                  <w:pPr>
                    <w:keepNext/>
                    <w:snapToGrid w:val="0"/>
                    <w:jc w:val="center"/>
                    <w:rPr>
                      <w:rFonts w:hint="eastAsia"/>
                      <w:color w:val="auto"/>
                      <w:sz w:val="18"/>
                      <w:szCs w:val="18"/>
                    </w:rPr>
                  </w:pPr>
                </w:p>
              </w:tc>
            </w:tr>
          </w:tbl>
          <w:p>
            <w:pPr>
              <w:spacing w:line="336" w:lineRule="auto"/>
              <w:ind w:firstLine="0" w:firstLineChars="0"/>
              <w:rPr>
                <w:rFonts w:hint="eastAsia"/>
                <w:color w:val="auto"/>
                <w:szCs w:val="21"/>
              </w:rPr>
            </w:pPr>
          </w:p>
        </w:tc>
      </w:tr>
    </w:tbl>
    <w:p>
      <w:pPr>
        <w:rPr>
          <w:rFonts w:eastAsia="黑体"/>
          <w:snapToGrid w:val="0"/>
          <w:sz w:val="30"/>
          <w:szCs w:val="30"/>
        </w:rPr>
        <w:sectPr>
          <w:pgSz w:w="16838" w:h="11906" w:orient="landscape"/>
          <w:pgMar w:top="1463" w:right="1440" w:bottom="1463"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19"/>
        <w:tblW w:w="898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21"/>
        <w:gridCol w:w="835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158" w:hRule="atLeast"/>
          <w:jc w:val="center"/>
        </w:trPr>
        <w:tc>
          <w:tcPr>
            <w:tcW w:w="621" w:type="dxa"/>
            <w:tcMar>
              <w:left w:w="28" w:type="dxa"/>
              <w:right w:w="28" w:type="dxa"/>
            </w:tcMar>
            <w:vAlign w:val="center"/>
          </w:tcPr>
          <w:p>
            <w:pPr>
              <w:adjustRightInd w:val="0"/>
              <w:snapToGrid w:val="0"/>
              <w:jc w:val="center"/>
              <w:rPr>
                <w:bCs/>
                <w:color w:val="auto"/>
                <w:szCs w:val="21"/>
              </w:rPr>
            </w:pPr>
            <w:r>
              <w:rPr>
                <w:bCs/>
                <w:color w:val="auto"/>
                <w:szCs w:val="21"/>
              </w:rPr>
              <w:t>运营</w:t>
            </w:r>
          </w:p>
          <w:p>
            <w:pPr>
              <w:adjustRightInd w:val="0"/>
              <w:snapToGrid w:val="0"/>
              <w:jc w:val="center"/>
              <w:rPr>
                <w:bCs/>
                <w:color w:val="auto"/>
                <w:szCs w:val="21"/>
              </w:rPr>
            </w:pPr>
            <w:r>
              <w:rPr>
                <w:bCs/>
                <w:color w:val="auto"/>
                <w:szCs w:val="21"/>
              </w:rPr>
              <w:t>期环</w:t>
            </w:r>
          </w:p>
          <w:p>
            <w:pPr>
              <w:adjustRightInd w:val="0"/>
              <w:snapToGrid w:val="0"/>
              <w:jc w:val="center"/>
              <w:rPr>
                <w:bCs/>
                <w:color w:val="auto"/>
                <w:szCs w:val="21"/>
              </w:rPr>
            </w:pPr>
            <w:r>
              <w:rPr>
                <w:bCs/>
                <w:color w:val="auto"/>
                <w:szCs w:val="21"/>
              </w:rPr>
              <w:t>境影</w:t>
            </w:r>
          </w:p>
          <w:p>
            <w:pPr>
              <w:adjustRightInd w:val="0"/>
              <w:snapToGrid w:val="0"/>
              <w:jc w:val="center"/>
              <w:rPr>
                <w:bCs/>
                <w:color w:val="auto"/>
                <w:szCs w:val="21"/>
              </w:rPr>
            </w:pPr>
            <w:r>
              <w:rPr>
                <w:bCs/>
                <w:color w:val="auto"/>
                <w:szCs w:val="21"/>
              </w:rPr>
              <w:t>响和</w:t>
            </w:r>
          </w:p>
          <w:p>
            <w:pPr>
              <w:adjustRightInd w:val="0"/>
              <w:snapToGrid w:val="0"/>
              <w:jc w:val="center"/>
              <w:rPr>
                <w:bCs/>
                <w:color w:val="auto"/>
                <w:szCs w:val="21"/>
              </w:rPr>
            </w:pPr>
            <w:r>
              <w:rPr>
                <w:bCs/>
                <w:color w:val="auto"/>
                <w:szCs w:val="21"/>
              </w:rPr>
              <w:t>保护</w:t>
            </w:r>
          </w:p>
          <w:p>
            <w:pPr>
              <w:adjustRightInd w:val="0"/>
              <w:snapToGrid w:val="0"/>
              <w:jc w:val="center"/>
              <w:rPr>
                <w:color w:val="auto"/>
                <w:szCs w:val="21"/>
              </w:rPr>
            </w:pPr>
            <w:r>
              <w:rPr>
                <w:bCs/>
                <w:color w:val="auto"/>
                <w:szCs w:val="21"/>
              </w:rPr>
              <w:t>措施</w:t>
            </w:r>
          </w:p>
        </w:tc>
        <w:tc>
          <w:tcPr>
            <w:tcW w:w="8359" w:type="dxa"/>
          </w:tcPr>
          <w:p>
            <w:pPr>
              <w:pStyle w:val="35"/>
              <w:ind w:firstLine="422"/>
              <w:rPr>
                <w:rFonts w:ascii="Times New Roman" w:hAnsi="Times New Roman" w:cs="Times New Roman"/>
                <w:b/>
                <w:color w:val="auto"/>
                <w:kern w:val="2"/>
                <w:sz w:val="21"/>
                <w:szCs w:val="21"/>
              </w:rPr>
            </w:pPr>
            <w:r>
              <w:rPr>
                <w:rFonts w:hint="eastAsia" w:ascii="Times New Roman" w:hAnsi="Times New Roman" w:cs="Times New Roman"/>
                <w:b/>
                <w:color w:val="auto"/>
                <w:kern w:val="2"/>
                <w:sz w:val="21"/>
                <w:szCs w:val="21"/>
              </w:rPr>
              <w:t>（2）排气筒设置情况</w:t>
            </w:r>
          </w:p>
          <w:p>
            <w:pPr>
              <w:spacing w:line="360" w:lineRule="auto"/>
              <w:ind w:firstLine="420" w:firstLineChars="200"/>
              <w:rPr>
                <w:color w:val="auto"/>
                <w:szCs w:val="21"/>
              </w:rPr>
            </w:pPr>
            <w:r>
              <w:rPr>
                <w:rFonts w:hint="eastAsia"/>
                <w:color w:val="auto"/>
                <w:szCs w:val="21"/>
              </w:rPr>
              <w:t>根据《排污许可证申请与核发技术规范 橡胶和塑料制品工业》（HJ1122-2020）及《排污许可证申请与核发技术规范 总则》（HJ942-2018），本项目废气污染防治措施见下表。</w:t>
            </w:r>
          </w:p>
          <w:p>
            <w:pPr>
              <w:spacing w:before="194" w:beforeLines="50"/>
              <w:jc w:val="center"/>
              <w:outlineLvl w:val="5"/>
              <w:rPr>
                <w:rFonts w:hint="eastAsia"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表4-8  项目排气筒参数</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4"/>
              <w:gridCol w:w="930"/>
              <w:gridCol w:w="787"/>
              <w:gridCol w:w="860"/>
              <w:gridCol w:w="426"/>
              <w:gridCol w:w="464"/>
              <w:gridCol w:w="680"/>
              <w:gridCol w:w="960"/>
              <w:gridCol w:w="1208"/>
              <w:gridCol w:w="524"/>
              <w:gridCol w:w="4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94" w:type="pct"/>
                  <w:vMerge w:val="restart"/>
                  <w:vAlign w:val="center"/>
                </w:tcPr>
                <w:p>
                  <w:pPr>
                    <w:pStyle w:val="15"/>
                    <w:snapToGrid w:val="0"/>
                    <w:spacing w:before="0" w:beforeAutospacing="0" w:after="0" w:afterAutospacing="0" w:line="276" w:lineRule="auto"/>
                    <w:jc w:val="center"/>
                    <w:rPr>
                      <w:rFonts w:ascii="Times New Roman" w:hAnsi="Times New Roman"/>
                      <w:b/>
                      <w:bCs/>
                      <w:snapToGrid w:val="0"/>
                      <w:color w:val="auto"/>
                      <w:sz w:val="18"/>
                      <w:szCs w:val="18"/>
                    </w:rPr>
                  </w:pPr>
                  <w:r>
                    <w:rPr>
                      <w:rFonts w:hint="eastAsia" w:ascii="Times New Roman" w:hAnsi="Times New Roman"/>
                      <w:b/>
                      <w:bCs/>
                      <w:snapToGrid w:val="0"/>
                      <w:color w:val="auto"/>
                      <w:sz w:val="18"/>
                      <w:szCs w:val="18"/>
                    </w:rPr>
                    <w:t>排放口编号</w:t>
                  </w:r>
                </w:p>
              </w:tc>
              <w:tc>
                <w:tcPr>
                  <w:tcW w:w="571" w:type="pct"/>
                  <w:vMerge w:val="restart"/>
                  <w:vAlign w:val="center"/>
                </w:tcPr>
                <w:p>
                  <w:pPr>
                    <w:pStyle w:val="15"/>
                    <w:snapToGrid w:val="0"/>
                    <w:spacing w:before="0" w:beforeAutospacing="0" w:after="0" w:afterAutospacing="0" w:line="276" w:lineRule="auto"/>
                    <w:jc w:val="center"/>
                    <w:rPr>
                      <w:rFonts w:ascii="Times New Roman" w:hAnsi="Times New Roman"/>
                      <w:b/>
                      <w:bCs/>
                      <w:snapToGrid w:val="0"/>
                      <w:color w:val="auto"/>
                      <w:sz w:val="18"/>
                      <w:szCs w:val="18"/>
                    </w:rPr>
                  </w:pPr>
                  <w:r>
                    <w:rPr>
                      <w:rFonts w:hint="eastAsia" w:ascii="Times New Roman" w:hAnsi="Times New Roman"/>
                      <w:b/>
                      <w:bCs/>
                      <w:snapToGrid w:val="0"/>
                      <w:color w:val="auto"/>
                      <w:sz w:val="18"/>
                      <w:szCs w:val="18"/>
                    </w:rPr>
                    <w:t>生产单元</w:t>
                  </w:r>
                </w:p>
              </w:tc>
              <w:tc>
                <w:tcPr>
                  <w:tcW w:w="483" w:type="pct"/>
                  <w:vMerge w:val="restart"/>
                  <w:vAlign w:val="center"/>
                </w:tcPr>
                <w:p>
                  <w:pPr>
                    <w:pStyle w:val="15"/>
                    <w:snapToGrid w:val="0"/>
                    <w:spacing w:before="0" w:beforeAutospacing="0" w:after="0" w:afterAutospacing="0" w:line="276" w:lineRule="auto"/>
                    <w:jc w:val="center"/>
                    <w:rPr>
                      <w:rFonts w:ascii="Times New Roman" w:hAnsi="Times New Roman"/>
                      <w:b/>
                      <w:bCs/>
                      <w:snapToGrid w:val="0"/>
                      <w:color w:val="auto"/>
                      <w:sz w:val="18"/>
                      <w:szCs w:val="18"/>
                    </w:rPr>
                  </w:pPr>
                  <w:r>
                    <w:rPr>
                      <w:rFonts w:hint="eastAsia" w:ascii="Times New Roman" w:hAnsi="Times New Roman"/>
                      <w:b/>
                      <w:bCs/>
                      <w:snapToGrid w:val="0"/>
                      <w:color w:val="auto"/>
                      <w:sz w:val="18"/>
                      <w:szCs w:val="18"/>
                    </w:rPr>
                    <w:t>生产设施</w:t>
                  </w:r>
                </w:p>
              </w:tc>
              <w:tc>
                <w:tcPr>
                  <w:tcW w:w="528" w:type="pct"/>
                  <w:vMerge w:val="restart"/>
                  <w:vAlign w:val="center"/>
                </w:tcPr>
                <w:p>
                  <w:pPr>
                    <w:pStyle w:val="15"/>
                    <w:snapToGrid w:val="0"/>
                    <w:spacing w:before="0" w:beforeAutospacing="0" w:after="0" w:afterAutospacing="0" w:line="276" w:lineRule="auto"/>
                    <w:jc w:val="center"/>
                    <w:rPr>
                      <w:rFonts w:ascii="Times New Roman" w:hAnsi="Times New Roman"/>
                      <w:b/>
                      <w:bCs/>
                      <w:snapToGrid w:val="0"/>
                      <w:color w:val="auto"/>
                      <w:sz w:val="18"/>
                      <w:szCs w:val="18"/>
                    </w:rPr>
                  </w:pPr>
                  <w:r>
                    <w:rPr>
                      <w:rFonts w:hint="eastAsia" w:ascii="Times New Roman" w:hAnsi="Times New Roman"/>
                      <w:b/>
                      <w:bCs/>
                      <w:snapToGrid w:val="0"/>
                      <w:color w:val="auto"/>
                      <w:sz w:val="18"/>
                      <w:szCs w:val="18"/>
                    </w:rPr>
                    <w:t>污染物种类</w:t>
                  </w:r>
                </w:p>
              </w:tc>
              <w:tc>
                <w:tcPr>
                  <w:tcW w:w="965" w:type="pct"/>
                  <w:gridSpan w:val="3"/>
                  <w:vAlign w:val="center"/>
                </w:tcPr>
                <w:p>
                  <w:pPr>
                    <w:pStyle w:val="15"/>
                    <w:snapToGrid w:val="0"/>
                    <w:spacing w:before="0" w:beforeAutospacing="0" w:after="0" w:afterAutospacing="0" w:line="276" w:lineRule="auto"/>
                    <w:jc w:val="center"/>
                    <w:rPr>
                      <w:rFonts w:ascii="Times New Roman" w:hAnsi="Times New Roman"/>
                      <w:b/>
                      <w:bCs/>
                      <w:snapToGrid w:val="0"/>
                      <w:color w:val="auto"/>
                      <w:sz w:val="18"/>
                      <w:szCs w:val="18"/>
                    </w:rPr>
                  </w:pPr>
                  <w:r>
                    <w:rPr>
                      <w:rFonts w:hint="eastAsia" w:ascii="Times New Roman" w:hAnsi="Times New Roman"/>
                      <w:b/>
                      <w:bCs/>
                      <w:snapToGrid w:val="0"/>
                      <w:color w:val="auto"/>
                      <w:sz w:val="18"/>
                      <w:szCs w:val="18"/>
                    </w:rPr>
                    <w:t>参数/m</w:t>
                  </w:r>
                </w:p>
              </w:tc>
              <w:tc>
                <w:tcPr>
                  <w:tcW w:w="590" w:type="pct"/>
                  <w:vMerge w:val="restart"/>
                  <w:vAlign w:val="center"/>
                </w:tcPr>
                <w:p>
                  <w:pPr>
                    <w:pStyle w:val="15"/>
                    <w:snapToGrid w:val="0"/>
                    <w:spacing w:before="0" w:beforeAutospacing="0" w:after="0" w:afterAutospacing="0" w:line="276" w:lineRule="auto"/>
                    <w:jc w:val="center"/>
                    <w:rPr>
                      <w:rFonts w:ascii="Times New Roman" w:hAnsi="Times New Roman"/>
                      <w:b/>
                      <w:bCs/>
                      <w:snapToGrid w:val="0"/>
                      <w:color w:val="auto"/>
                      <w:sz w:val="18"/>
                      <w:szCs w:val="18"/>
                    </w:rPr>
                  </w:pPr>
                  <w:r>
                    <w:rPr>
                      <w:rFonts w:hint="eastAsia" w:ascii="Times New Roman" w:hAnsi="Times New Roman"/>
                      <w:b/>
                      <w:bCs/>
                      <w:snapToGrid w:val="0"/>
                      <w:color w:val="auto"/>
                      <w:sz w:val="18"/>
                      <w:szCs w:val="18"/>
                    </w:rPr>
                    <w:t>执行标准</w:t>
                  </w:r>
                </w:p>
              </w:tc>
              <w:tc>
                <w:tcPr>
                  <w:tcW w:w="1064" w:type="pct"/>
                  <w:gridSpan w:val="2"/>
                  <w:vAlign w:val="center"/>
                </w:tcPr>
                <w:p>
                  <w:pPr>
                    <w:pStyle w:val="15"/>
                    <w:snapToGrid w:val="0"/>
                    <w:spacing w:before="0" w:beforeAutospacing="0" w:after="0" w:afterAutospacing="0" w:line="276" w:lineRule="auto"/>
                    <w:jc w:val="center"/>
                    <w:rPr>
                      <w:rFonts w:ascii="Times New Roman" w:hAnsi="Times New Roman"/>
                      <w:b/>
                      <w:bCs/>
                      <w:snapToGrid w:val="0"/>
                      <w:color w:val="auto"/>
                      <w:sz w:val="18"/>
                      <w:szCs w:val="18"/>
                    </w:rPr>
                  </w:pPr>
                  <w:r>
                    <w:rPr>
                      <w:rFonts w:hint="eastAsia" w:ascii="Times New Roman" w:hAnsi="Times New Roman"/>
                      <w:b/>
                      <w:bCs/>
                      <w:snapToGrid w:val="0"/>
                      <w:color w:val="auto"/>
                      <w:sz w:val="18"/>
                      <w:szCs w:val="18"/>
                    </w:rPr>
                    <w:t>污染防治设施</w:t>
                  </w:r>
                </w:p>
              </w:tc>
              <w:tc>
                <w:tcPr>
                  <w:tcW w:w="300" w:type="pct"/>
                  <w:vMerge w:val="restart"/>
                  <w:vAlign w:val="center"/>
                </w:tcPr>
                <w:p>
                  <w:pPr>
                    <w:pStyle w:val="15"/>
                    <w:snapToGrid w:val="0"/>
                    <w:spacing w:before="0" w:beforeAutospacing="0" w:after="0" w:afterAutospacing="0" w:line="276" w:lineRule="auto"/>
                    <w:jc w:val="center"/>
                    <w:rPr>
                      <w:rFonts w:ascii="Times New Roman" w:hAnsi="Times New Roman"/>
                      <w:b/>
                      <w:bCs/>
                      <w:snapToGrid w:val="0"/>
                      <w:color w:val="auto"/>
                      <w:sz w:val="18"/>
                      <w:szCs w:val="18"/>
                    </w:rPr>
                  </w:pPr>
                  <w:r>
                    <w:rPr>
                      <w:rFonts w:hint="eastAsia" w:ascii="Times New Roman" w:hAnsi="Times New Roman"/>
                      <w:b/>
                      <w:bCs/>
                      <w:snapToGrid w:val="0"/>
                      <w:color w:val="auto"/>
                      <w:sz w:val="18"/>
                      <w:szCs w:val="18"/>
                    </w:rPr>
                    <w:t>排放口类型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94" w:type="pct"/>
                  <w:vMerge w:val="continue"/>
                  <w:vAlign w:val="center"/>
                </w:tcPr>
                <w:p>
                  <w:pPr>
                    <w:pStyle w:val="15"/>
                    <w:snapToGrid w:val="0"/>
                    <w:spacing w:before="0" w:beforeAutospacing="0" w:after="0" w:afterAutospacing="0" w:line="276" w:lineRule="auto"/>
                    <w:jc w:val="center"/>
                    <w:rPr>
                      <w:rFonts w:ascii="Times New Roman" w:hAnsi="Times New Roman"/>
                      <w:b/>
                      <w:bCs/>
                      <w:snapToGrid w:val="0"/>
                      <w:color w:val="auto"/>
                      <w:sz w:val="18"/>
                      <w:szCs w:val="18"/>
                    </w:rPr>
                  </w:pPr>
                </w:p>
              </w:tc>
              <w:tc>
                <w:tcPr>
                  <w:tcW w:w="571" w:type="pct"/>
                  <w:vMerge w:val="continue"/>
                  <w:vAlign w:val="center"/>
                </w:tcPr>
                <w:p>
                  <w:pPr>
                    <w:pStyle w:val="15"/>
                    <w:snapToGrid w:val="0"/>
                    <w:spacing w:before="0" w:beforeAutospacing="0" w:after="0" w:afterAutospacing="0" w:line="276" w:lineRule="auto"/>
                    <w:jc w:val="center"/>
                    <w:rPr>
                      <w:rFonts w:ascii="Times New Roman" w:hAnsi="Times New Roman"/>
                      <w:b/>
                      <w:bCs/>
                      <w:snapToGrid w:val="0"/>
                      <w:color w:val="auto"/>
                      <w:sz w:val="18"/>
                      <w:szCs w:val="18"/>
                    </w:rPr>
                  </w:pPr>
                </w:p>
              </w:tc>
              <w:tc>
                <w:tcPr>
                  <w:tcW w:w="483" w:type="pct"/>
                  <w:vMerge w:val="continue"/>
                  <w:vAlign w:val="center"/>
                </w:tcPr>
                <w:p>
                  <w:pPr>
                    <w:pStyle w:val="15"/>
                    <w:snapToGrid w:val="0"/>
                    <w:spacing w:before="0" w:beforeAutospacing="0" w:after="0" w:afterAutospacing="0" w:line="276" w:lineRule="auto"/>
                    <w:jc w:val="center"/>
                    <w:rPr>
                      <w:rFonts w:ascii="Times New Roman" w:hAnsi="Times New Roman"/>
                      <w:b/>
                      <w:bCs/>
                      <w:snapToGrid w:val="0"/>
                      <w:color w:val="auto"/>
                      <w:sz w:val="18"/>
                      <w:szCs w:val="18"/>
                    </w:rPr>
                  </w:pPr>
                </w:p>
              </w:tc>
              <w:tc>
                <w:tcPr>
                  <w:tcW w:w="528" w:type="pct"/>
                  <w:vMerge w:val="continue"/>
                  <w:vAlign w:val="center"/>
                </w:tcPr>
                <w:p>
                  <w:pPr>
                    <w:pStyle w:val="15"/>
                    <w:snapToGrid w:val="0"/>
                    <w:spacing w:before="0" w:beforeAutospacing="0" w:after="0" w:afterAutospacing="0" w:line="276" w:lineRule="auto"/>
                    <w:jc w:val="center"/>
                    <w:rPr>
                      <w:rFonts w:ascii="Times New Roman" w:hAnsi="Times New Roman"/>
                      <w:b/>
                      <w:bCs/>
                      <w:snapToGrid w:val="0"/>
                      <w:color w:val="auto"/>
                      <w:sz w:val="18"/>
                      <w:szCs w:val="18"/>
                    </w:rPr>
                  </w:pPr>
                </w:p>
              </w:tc>
              <w:tc>
                <w:tcPr>
                  <w:tcW w:w="261" w:type="pct"/>
                  <w:vAlign w:val="center"/>
                </w:tcPr>
                <w:p>
                  <w:pPr>
                    <w:pStyle w:val="15"/>
                    <w:snapToGrid w:val="0"/>
                    <w:spacing w:before="0" w:beforeAutospacing="0" w:after="0" w:afterAutospacing="0" w:line="276" w:lineRule="auto"/>
                    <w:jc w:val="center"/>
                    <w:rPr>
                      <w:rFonts w:ascii="Times New Roman" w:hAnsi="Times New Roman"/>
                      <w:b/>
                      <w:bCs/>
                      <w:snapToGrid w:val="0"/>
                      <w:color w:val="auto"/>
                      <w:sz w:val="18"/>
                      <w:szCs w:val="18"/>
                    </w:rPr>
                  </w:pPr>
                  <w:r>
                    <w:rPr>
                      <w:rFonts w:hint="eastAsia" w:ascii="Times New Roman" w:hAnsi="Times New Roman"/>
                      <w:b/>
                      <w:bCs/>
                      <w:snapToGrid w:val="0"/>
                      <w:color w:val="auto"/>
                      <w:sz w:val="18"/>
                      <w:szCs w:val="18"/>
                    </w:rPr>
                    <w:t>高度m</w:t>
                  </w:r>
                </w:p>
              </w:tc>
              <w:tc>
                <w:tcPr>
                  <w:tcW w:w="285" w:type="pct"/>
                  <w:vAlign w:val="center"/>
                </w:tcPr>
                <w:p>
                  <w:pPr>
                    <w:pStyle w:val="15"/>
                    <w:snapToGrid w:val="0"/>
                    <w:spacing w:before="0" w:beforeAutospacing="0" w:after="0" w:afterAutospacing="0" w:line="276" w:lineRule="auto"/>
                    <w:jc w:val="center"/>
                    <w:rPr>
                      <w:rFonts w:ascii="Times New Roman" w:hAnsi="Times New Roman"/>
                      <w:b/>
                      <w:bCs/>
                      <w:snapToGrid w:val="0"/>
                      <w:color w:val="auto"/>
                      <w:sz w:val="18"/>
                      <w:szCs w:val="18"/>
                    </w:rPr>
                  </w:pPr>
                  <w:r>
                    <w:rPr>
                      <w:rFonts w:hint="eastAsia" w:ascii="Times New Roman" w:hAnsi="Times New Roman"/>
                      <w:b/>
                      <w:bCs/>
                      <w:snapToGrid w:val="0"/>
                      <w:color w:val="auto"/>
                      <w:sz w:val="18"/>
                      <w:szCs w:val="18"/>
                    </w:rPr>
                    <w:t>内径m</w:t>
                  </w:r>
                </w:p>
              </w:tc>
              <w:tc>
                <w:tcPr>
                  <w:tcW w:w="418" w:type="pct"/>
                  <w:vAlign w:val="center"/>
                </w:tcPr>
                <w:p>
                  <w:pPr>
                    <w:pStyle w:val="15"/>
                    <w:snapToGrid w:val="0"/>
                    <w:spacing w:before="0" w:beforeAutospacing="0" w:after="0" w:afterAutospacing="0" w:line="276" w:lineRule="auto"/>
                    <w:jc w:val="center"/>
                    <w:rPr>
                      <w:rFonts w:ascii="Times New Roman" w:hAnsi="Times New Roman"/>
                      <w:b/>
                      <w:bCs/>
                      <w:snapToGrid w:val="0"/>
                      <w:color w:val="auto"/>
                      <w:sz w:val="18"/>
                      <w:szCs w:val="18"/>
                    </w:rPr>
                  </w:pPr>
                  <w:r>
                    <w:rPr>
                      <w:rFonts w:hint="eastAsia" w:ascii="Times New Roman" w:hAnsi="Times New Roman"/>
                      <w:b/>
                      <w:bCs/>
                      <w:snapToGrid w:val="0"/>
                      <w:color w:val="auto"/>
                      <w:sz w:val="18"/>
                      <w:szCs w:val="18"/>
                    </w:rPr>
                    <w:t>风量m</w:t>
                  </w:r>
                  <w:r>
                    <w:rPr>
                      <w:rFonts w:hint="eastAsia" w:ascii="Times New Roman" w:hAnsi="Times New Roman"/>
                      <w:b/>
                      <w:bCs/>
                      <w:snapToGrid w:val="0"/>
                      <w:color w:val="auto"/>
                      <w:sz w:val="18"/>
                      <w:szCs w:val="18"/>
                      <w:vertAlign w:val="superscript"/>
                    </w:rPr>
                    <w:t>3</w:t>
                  </w:r>
                  <w:r>
                    <w:rPr>
                      <w:rFonts w:hint="eastAsia" w:ascii="Times New Roman" w:hAnsi="Times New Roman"/>
                      <w:b/>
                      <w:bCs/>
                      <w:snapToGrid w:val="0"/>
                      <w:color w:val="auto"/>
                      <w:sz w:val="18"/>
                      <w:szCs w:val="18"/>
                    </w:rPr>
                    <w:t>/h</w:t>
                  </w:r>
                </w:p>
              </w:tc>
              <w:tc>
                <w:tcPr>
                  <w:tcW w:w="590" w:type="pct"/>
                  <w:vMerge w:val="continue"/>
                  <w:vAlign w:val="center"/>
                </w:tcPr>
                <w:p>
                  <w:pPr>
                    <w:pStyle w:val="15"/>
                    <w:snapToGrid w:val="0"/>
                    <w:spacing w:before="0" w:beforeAutospacing="0" w:after="0" w:afterAutospacing="0" w:line="276" w:lineRule="auto"/>
                    <w:jc w:val="center"/>
                    <w:rPr>
                      <w:rFonts w:ascii="Times New Roman" w:hAnsi="Times New Roman"/>
                      <w:b/>
                      <w:bCs/>
                      <w:snapToGrid w:val="0"/>
                      <w:color w:val="auto"/>
                      <w:sz w:val="18"/>
                      <w:szCs w:val="18"/>
                    </w:rPr>
                  </w:pPr>
                </w:p>
              </w:tc>
              <w:tc>
                <w:tcPr>
                  <w:tcW w:w="742" w:type="pct"/>
                  <w:vAlign w:val="center"/>
                </w:tcPr>
                <w:p>
                  <w:pPr>
                    <w:pStyle w:val="15"/>
                    <w:snapToGrid w:val="0"/>
                    <w:spacing w:before="0" w:beforeAutospacing="0" w:after="0" w:afterAutospacing="0" w:line="276" w:lineRule="auto"/>
                    <w:jc w:val="center"/>
                    <w:rPr>
                      <w:rFonts w:ascii="Times New Roman" w:hAnsi="Times New Roman"/>
                      <w:b/>
                      <w:bCs/>
                      <w:snapToGrid w:val="0"/>
                      <w:color w:val="auto"/>
                      <w:sz w:val="18"/>
                      <w:szCs w:val="18"/>
                    </w:rPr>
                  </w:pPr>
                  <w:r>
                    <w:rPr>
                      <w:rFonts w:hint="eastAsia" w:ascii="Times New Roman" w:hAnsi="Times New Roman"/>
                      <w:b/>
                      <w:bCs/>
                      <w:snapToGrid w:val="0"/>
                      <w:color w:val="auto"/>
                      <w:sz w:val="18"/>
                      <w:szCs w:val="18"/>
                    </w:rPr>
                    <w:t>污染防治设施名称及工艺</w:t>
                  </w:r>
                </w:p>
              </w:tc>
              <w:tc>
                <w:tcPr>
                  <w:tcW w:w="322" w:type="pct"/>
                  <w:vAlign w:val="center"/>
                </w:tcPr>
                <w:p>
                  <w:pPr>
                    <w:pStyle w:val="15"/>
                    <w:snapToGrid w:val="0"/>
                    <w:spacing w:before="0" w:beforeAutospacing="0" w:after="0" w:afterAutospacing="0" w:line="276" w:lineRule="auto"/>
                    <w:jc w:val="center"/>
                    <w:rPr>
                      <w:rFonts w:ascii="Times New Roman" w:hAnsi="Times New Roman"/>
                      <w:b/>
                      <w:bCs/>
                      <w:snapToGrid w:val="0"/>
                      <w:color w:val="auto"/>
                      <w:sz w:val="18"/>
                      <w:szCs w:val="18"/>
                    </w:rPr>
                  </w:pPr>
                  <w:r>
                    <w:rPr>
                      <w:rFonts w:hint="eastAsia" w:ascii="Times New Roman" w:hAnsi="Times New Roman"/>
                      <w:b/>
                      <w:bCs/>
                      <w:snapToGrid w:val="0"/>
                      <w:color w:val="auto"/>
                      <w:sz w:val="18"/>
                      <w:szCs w:val="18"/>
                    </w:rPr>
                    <w:t>是否为可行技术</w:t>
                  </w:r>
                </w:p>
              </w:tc>
              <w:tc>
                <w:tcPr>
                  <w:tcW w:w="300" w:type="pct"/>
                  <w:vMerge w:val="continue"/>
                  <w:vAlign w:val="center"/>
                </w:tcPr>
                <w:p>
                  <w:pPr>
                    <w:pStyle w:val="15"/>
                    <w:snapToGrid w:val="0"/>
                    <w:spacing w:before="0" w:beforeAutospacing="0" w:after="0" w:afterAutospacing="0" w:line="276" w:lineRule="auto"/>
                    <w:jc w:val="center"/>
                    <w:rPr>
                      <w:rFonts w:ascii="Times New Roman" w:hAnsi="Times New Roman"/>
                      <w:b/>
                      <w:bCs/>
                      <w:snapToGrid w:val="0"/>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94" w:type="pct"/>
                  <w:vAlign w:val="center"/>
                </w:tcPr>
                <w:p>
                  <w:pPr>
                    <w:pStyle w:val="15"/>
                    <w:snapToGrid w:val="0"/>
                    <w:spacing w:before="0" w:beforeAutospacing="0" w:after="0" w:afterAutospacing="0" w:line="276" w:lineRule="auto"/>
                    <w:jc w:val="center"/>
                    <w:rPr>
                      <w:rFonts w:hint="default" w:ascii="Times New Roman" w:hAnsi="Times New Roman" w:eastAsia="宋体"/>
                      <w:snapToGrid w:val="0"/>
                      <w:color w:val="auto"/>
                      <w:sz w:val="18"/>
                      <w:szCs w:val="18"/>
                      <w:lang w:val="en-US" w:eastAsia="zh-CN"/>
                    </w:rPr>
                  </w:pPr>
                  <w:r>
                    <w:rPr>
                      <w:rFonts w:hint="eastAsia" w:ascii="Times New Roman" w:hAnsi="Times New Roman"/>
                      <w:snapToGrid w:val="0"/>
                      <w:color w:val="auto"/>
                      <w:sz w:val="18"/>
                      <w:szCs w:val="18"/>
                      <w:lang w:val="en-US" w:eastAsia="zh-CN"/>
                    </w:rPr>
                    <w:t>DA013（新增）</w:t>
                  </w:r>
                </w:p>
              </w:tc>
              <w:tc>
                <w:tcPr>
                  <w:tcW w:w="571" w:type="pct"/>
                  <w:vAlign w:val="center"/>
                </w:tcPr>
                <w:p>
                  <w:pPr>
                    <w:pStyle w:val="15"/>
                    <w:snapToGrid w:val="0"/>
                    <w:spacing w:before="0" w:beforeAutospacing="0" w:after="0" w:afterAutospacing="0" w:line="276" w:lineRule="auto"/>
                    <w:jc w:val="center"/>
                    <w:rPr>
                      <w:rFonts w:ascii="Times New Roman" w:hAnsi="Times New Roman"/>
                      <w:snapToGrid w:val="0"/>
                      <w:color w:val="auto"/>
                      <w:sz w:val="18"/>
                      <w:szCs w:val="18"/>
                    </w:rPr>
                  </w:pPr>
                  <w:r>
                    <w:rPr>
                      <w:rFonts w:hint="eastAsia" w:ascii="Times New Roman" w:hAnsi="Times New Roman"/>
                      <w:snapToGrid w:val="0"/>
                      <w:color w:val="auto"/>
                      <w:sz w:val="18"/>
                      <w:szCs w:val="18"/>
                    </w:rPr>
                    <w:t>干燥、后处理</w:t>
                  </w:r>
                </w:p>
              </w:tc>
              <w:tc>
                <w:tcPr>
                  <w:tcW w:w="483" w:type="pct"/>
                  <w:vAlign w:val="center"/>
                </w:tcPr>
                <w:p>
                  <w:pPr>
                    <w:pStyle w:val="15"/>
                    <w:snapToGrid w:val="0"/>
                    <w:spacing w:line="276" w:lineRule="auto"/>
                    <w:jc w:val="center"/>
                    <w:rPr>
                      <w:rFonts w:hint="eastAsia" w:ascii="Times New Roman" w:hAnsi="Times New Roman" w:eastAsia="宋体"/>
                      <w:snapToGrid w:val="0"/>
                      <w:color w:val="auto"/>
                      <w:sz w:val="18"/>
                      <w:szCs w:val="18"/>
                      <w:lang w:val="en-US" w:eastAsia="zh-CN"/>
                    </w:rPr>
                  </w:pPr>
                  <w:r>
                    <w:rPr>
                      <w:rFonts w:hint="eastAsia" w:ascii="Times New Roman" w:hAnsi="Times New Roman"/>
                      <w:snapToGrid w:val="0"/>
                      <w:color w:val="auto"/>
                      <w:sz w:val="18"/>
                      <w:szCs w:val="18"/>
                      <w:lang w:val="en-US" w:eastAsia="zh-CN"/>
                    </w:rPr>
                    <w:t>设备</w:t>
                  </w:r>
                </w:p>
              </w:tc>
              <w:tc>
                <w:tcPr>
                  <w:tcW w:w="528" w:type="pct"/>
                  <w:vAlign w:val="center"/>
                </w:tcPr>
                <w:p>
                  <w:pPr>
                    <w:pStyle w:val="15"/>
                    <w:snapToGrid w:val="0"/>
                    <w:spacing w:before="0" w:beforeAutospacing="0" w:after="0" w:afterAutospacing="0" w:line="276" w:lineRule="auto"/>
                    <w:jc w:val="center"/>
                    <w:rPr>
                      <w:rFonts w:ascii="Times New Roman" w:hAnsi="Times New Roman"/>
                      <w:snapToGrid w:val="0"/>
                      <w:color w:val="auto"/>
                      <w:sz w:val="18"/>
                      <w:szCs w:val="18"/>
                    </w:rPr>
                  </w:pPr>
                  <w:r>
                    <w:rPr>
                      <w:rFonts w:hint="eastAsia" w:ascii="Times New Roman" w:hAnsi="Times New Roman"/>
                      <w:snapToGrid w:val="0"/>
                      <w:color w:val="auto"/>
                      <w:sz w:val="18"/>
                      <w:szCs w:val="18"/>
                      <w:lang w:eastAsia="zh-CN"/>
                    </w:rPr>
                    <w:t>溶剂</w:t>
                  </w:r>
                  <w:r>
                    <w:rPr>
                      <w:rFonts w:hint="eastAsia" w:ascii="Times New Roman" w:hAnsi="Times New Roman"/>
                      <w:snapToGrid w:val="0"/>
                      <w:color w:val="auto"/>
                      <w:sz w:val="18"/>
                      <w:szCs w:val="18"/>
                    </w:rPr>
                    <w:t>（以非甲烷总烃计）</w:t>
                  </w:r>
                </w:p>
              </w:tc>
              <w:tc>
                <w:tcPr>
                  <w:tcW w:w="261" w:type="pct"/>
                  <w:vAlign w:val="center"/>
                </w:tcPr>
                <w:p>
                  <w:pPr>
                    <w:pStyle w:val="15"/>
                    <w:snapToGrid w:val="0"/>
                    <w:spacing w:before="0" w:beforeAutospacing="0" w:after="0" w:afterAutospacing="0" w:line="276" w:lineRule="auto"/>
                    <w:jc w:val="center"/>
                    <w:rPr>
                      <w:rFonts w:ascii="Times New Roman" w:hAnsi="Times New Roman"/>
                      <w:snapToGrid w:val="0"/>
                      <w:color w:val="auto"/>
                      <w:sz w:val="18"/>
                      <w:szCs w:val="18"/>
                    </w:rPr>
                  </w:pPr>
                  <w:r>
                    <w:rPr>
                      <w:rFonts w:hint="eastAsia" w:ascii="Times New Roman" w:hAnsi="Times New Roman"/>
                      <w:snapToGrid w:val="0"/>
                      <w:color w:val="auto"/>
                      <w:sz w:val="18"/>
                      <w:szCs w:val="18"/>
                    </w:rPr>
                    <w:t>1</w:t>
                  </w:r>
                  <w:r>
                    <w:rPr>
                      <w:rFonts w:ascii="Times New Roman" w:hAnsi="Times New Roman"/>
                      <w:snapToGrid w:val="0"/>
                      <w:color w:val="auto"/>
                      <w:sz w:val="18"/>
                      <w:szCs w:val="18"/>
                    </w:rPr>
                    <w:t>5</w:t>
                  </w:r>
                </w:p>
              </w:tc>
              <w:tc>
                <w:tcPr>
                  <w:tcW w:w="285" w:type="pct"/>
                  <w:vAlign w:val="center"/>
                </w:tcPr>
                <w:p>
                  <w:pPr>
                    <w:pStyle w:val="15"/>
                    <w:snapToGrid w:val="0"/>
                    <w:spacing w:before="0" w:beforeAutospacing="0" w:after="0" w:afterAutospacing="0" w:line="276" w:lineRule="auto"/>
                    <w:jc w:val="center"/>
                    <w:rPr>
                      <w:rFonts w:ascii="Times New Roman" w:hAnsi="Times New Roman"/>
                      <w:snapToGrid w:val="0"/>
                      <w:color w:val="auto"/>
                      <w:sz w:val="18"/>
                      <w:szCs w:val="18"/>
                    </w:rPr>
                  </w:pPr>
                  <w:r>
                    <w:rPr>
                      <w:rFonts w:hint="eastAsia" w:ascii="Times New Roman" w:hAnsi="Times New Roman"/>
                      <w:snapToGrid w:val="0"/>
                      <w:color w:val="auto"/>
                      <w:sz w:val="18"/>
                      <w:szCs w:val="18"/>
                    </w:rPr>
                    <w:t>0</w:t>
                  </w:r>
                  <w:r>
                    <w:rPr>
                      <w:rFonts w:ascii="Times New Roman" w:hAnsi="Times New Roman"/>
                      <w:snapToGrid w:val="0"/>
                      <w:color w:val="auto"/>
                      <w:sz w:val="18"/>
                      <w:szCs w:val="18"/>
                    </w:rPr>
                    <w:t>.5</w:t>
                  </w:r>
                </w:p>
              </w:tc>
              <w:tc>
                <w:tcPr>
                  <w:tcW w:w="418" w:type="pct"/>
                  <w:vAlign w:val="center"/>
                </w:tcPr>
                <w:p>
                  <w:pPr>
                    <w:pStyle w:val="15"/>
                    <w:snapToGrid w:val="0"/>
                    <w:spacing w:before="0" w:beforeAutospacing="0" w:after="0" w:afterAutospacing="0" w:line="276" w:lineRule="auto"/>
                    <w:jc w:val="center"/>
                    <w:rPr>
                      <w:rFonts w:ascii="Times New Roman" w:hAnsi="Times New Roman"/>
                      <w:snapToGrid w:val="0"/>
                      <w:color w:val="auto"/>
                      <w:sz w:val="18"/>
                      <w:szCs w:val="18"/>
                    </w:rPr>
                  </w:pPr>
                  <w:r>
                    <w:rPr>
                      <w:rFonts w:ascii="Times New Roman" w:hAnsi="Times New Roman"/>
                      <w:snapToGrid w:val="0"/>
                      <w:color w:val="auto"/>
                      <w:sz w:val="18"/>
                      <w:szCs w:val="18"/>
                    </w:rPr>
                    <w:t>1</w:t>
                  </w:r>
                  <w:r>
                    <w:rPr>
                      <w:rFonts w:hint="eastAsia" w:ascii="Times New Roman" w:hAnsi="Times New Roman"/>
                      <w:snapToGrid w:val="0"/>
                      <w:color w:val="auto"/>
                      <w:sz w:val="18"/>
                      <w:szCs w:val="18"/>
                    </w:rPr>
                    <w:t>0000</w:t>
                  </w:r>
                </w:p>
              </w:tc>
              <w:tc>
                <w:tcPr>
                  <w:tcW w:w="590" w:type="pct"/>
                  <w:vAlign w:val="center"/>
                </w:tcPr>
                <w:p>
                  <w:pPr>
                    <w:pStyle w:val="15"/>
                    <w:snapToGrid w:val="0"/>
                    <w:spacing w:before="0" w:beforeAutospacing="0" w:after="0" w:afterAutospacing="0" w:line="276" w:lineRule="auto"/>
                    <w:jc w:val="center"/>
                    <w:rPr>
                      <w:rFonts w:ascii="Times New Roman" w:hAnsi="Times New Roman"/>
                      <w:snapToGrid w:val="0"/>
                      <w:color w:val="auto"/>
                      <w:sz w:val="18"/>
                      <w:szCs w:val="18"/>
                    </w:rPr>
                  </w:pPr>
                  <w:r>
                    <w:rPr>
                      <w:rFonts w:hint="eastAsia" w:ascii="Times New Roman" w:hAnsi="Times New Roman"/>
                      <w:color w:val="auto"/>
                      <w:sz w:val="18"/>
                      <w:szCs w:val="18"/>
                    </w:rPr>
                    <w:t>GB31572—2015（含2024年修改单）</w:t>
                  </w:r>
                </w:p>
              </w:tc>
              <w:tc>
                <w:tcPr>
                  <w:tcW w:w="742" w:type="pct"/>
                  <w:vAlign w:val="center"/>
                </w:tcPr>
                <w:p>
                  <w:pPr>
                    <w:pStyle w:val="15"/>
                    <w:snapToGrid w:val="0"/>
                    <w:spacing w:before="0" w:beforeAutospacing="0" w:after="0" w:afterAutospacing="0" w:line="276" w:lineRule="auto"/>
                    <w:jc w:val="center"/>
                    <w:rPr>
                      <w:rFonts w:ascii="Times New Roman" w:hAnsi="Times New Roman"/>
                      <w:snapToGrid w:val="0"/>
                      <w:color w:val="auto"/>
                      <w:sz w:val="18"/>
                      <w:szCs w:val="18"/>
                    </w:rPr>
                  </w:pPr>
                  <w:r>
                    <w:rPr>
                      <w:rFonts w:ascii="Times New Roman" w:hAnsi="Times New Roman"/>
                      <w:color w:val="auto"/>
                      <w:sz w:val="18"/>
                      <w:szCs w:val="18"/>
                    </w:rPr>
                    <w:t>二级冷凝+</w:t>
                  </w:r>
                  <w:r>
                    <w:rPr>
                      <w:rFonts w:hint="eastAsia"/>
                      <w:color w:val="auto"/>
                      <w:sz w:val="18"/>
                      <w:szCs w:val="18"/>
                    </w:rPr>
                    <w:t>一级</w:t>
                  </w:r>
                  <w:r>
                    <w:rPr>
                      <w:rFonts w:ascii="Times New Roman" w:hAnsi="Times New Roman"/>
                      <w:color w:val="auto"/>
                      <w:sz w:val="18"/>
                      <w:szCs w:val="18"/>
                    </w:rPr>
                    <w:t>循环水喷淋+活性炭吸附</w:t>
                  </w:r>
                </w:p>
              </w:tc>
              <w:tc>
                <w:tcPr>
                  <w:tcW w:w="322" w:type="pct"/>
                  <w:vAlign w:val="center"/>
                </w:tcPr>
                <w:p>
                  <w:pPr>
                    <w:pStyle w:val="15"/>
                    <w:snapToGrid w:val="0"/>
                    <w:spacing w:before="0" w:beforeAutospacing="0" w:after="0" w:afterAutospacing="0" w:line="276" w:lineRule="auto"/>
                    <w:jc w:val="center"/>
                    <w:rPr>
                      <w:rFonts w:ascii="Times New Roman" w:hAnsi="Times New Roman"/>
                      <w:snapToGrid w:val="0"/>
                      <w:color w:val="auto"/>
                      <w:sz w:val="18"/>
                      <w:szCs w:val="18"/>
                    </w:rPr>
                  </w:pPr>
                  <w:r>
                    <w:rPr>
                      <w:rFonts w:hint="eastAsia" w:ascii="Times New Roman" w:hAnsi="Times New Roman"/>
                      <w:snapToGrid w:val="0"/>
                      <w:color w:val="auto"/>
                      <w:sz w:val="18"/>
                      <w:szCs w:val="18"/>
                    </w:rPr>
                    <w:t>是</w:t>
                  </w:r>
                </w:p>
              </w:tc>
              <w:tc>
                <w:tcPr>
                  <w:tcW w:w="300" w:type="pct"/>
                  <w:vAlign w:val="center"/>
                </w:tcPr>
                <w:p>
                  <w:pPr>
                    <w:pStyle w:val="15"/>
                    <w:snapToGrid w:val="0"/>
                    <w:spacing w:before="0" w:beforeAutospacing="0" w:after="0" w:afterAutospacing="0" w:line="276" w:lineRule="auto"/>
                    <w:jc w:val="center"/>
                    <w:rPr>
                      <w:rFonts w:ascii="Times New Roman" w:hAnsi="Times New Roman"/>
                      <w:snapToGrid w:val="0"/>
                      <w:color w:val="auto"/>
                      <w:sz w:val="18"/>
                      <w:szCs w:val="18"/>
                    </w:rPr>
                  </w:pPr>
                  <w:r>
                    <w:rPr>
                      <w:rFonts w:hint="eastAsia" w:ascii="Times New Roman" w:hAnsi="Times New Roman"/>
                      <w:snapToGrid w:val="0"/>
                      <w:color w:val="auto"/>
                      <w:sz w:val="18"/>
                      <w:szCs w:val="18"/>
                    </w:rP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94" w:type="pct"/>
                  <w:vAlign w:val="center"/>
                </w:tcPr>
                <w:p>
                  <w:pPr>
                    <w:pStyle w:val="15"/>
                    <w:snapToGrid w:val="0"/>
                    <w:spacing w:before="0" w:beforeAutospacing="0" w:after="0" w:afterAutospacing="0" w:line="276" w:lineRule="auto"/>
                    <w:jc w:val="center"/>
                    <w:rPr>
                      <w:rFonts w:hint="eastAsia" w:ascii="Times New Roman" w:hAnsi="Times New Roman"/>
                      <w:snapToGrid w:val="0"/>
                      <w:color w:val="auto"/>
                      <w:sz w:val="18"/>
                      <w:szCs w:val="18"/>
                      <w:lang w:val="en-US" w:eastAsia="zh-CN"/>
                    </w:rPr>
                  </w:pPr>
                  <w:r>
                    <w:rPr>
                      <w:rFonts w:hint="eastAsia" w:ascii="Times New Roman" w:hAnsi="Times New Roman"/>
                      <w:snapToGrid w:val="0"/>
                      <w:color w:val="auto"/>
                      <w:sz w:val="18"/>
                      <w:szCs w:val="18"/>
                      <w:lang w:val="en-US" w:eastAsia="zh-CN"/>
                    </w:rPr>
                    <w:t>DA002</w:t>
                  </w:r>
                </w:p>
                <w:p>
                  <w:pPr>
                    <w:pStyle w:val="15"/>
                    <w:snapToGrid w:val="0"/>
                    <w:spacing w:before="0" w:beforeAutospacing="0" w:after="0" w:afterAutospacing="0" w:line="276" w:lineRule="auto"/>
                    <w:jc w:val="center"/>
                    <w:rPr>
                      <w:rFonts w:hint="default" w:ascii="Times New Roman" w:hAnsi="Times New Roman"/>
                      <w:snapToGrid w:val="0"/>
                      <w:color w:val="auto"/>
                      <w:sz w:val="18"/>
                      <w:szCs w:val="18"/>
                      <w:lang w:val="en-US" w:eastAsia="zh-CN"/>
                    </w:rPr>
                  </w:pPr>
                  <w:r>
                    <w:rPr>
                      <w:rFonts w:hint="eastAsia" w:ascii="Times New Roman" w:hAnsi="Times New Roman"/>
                      <w:snapToGrid w:val="0"/>
                      <w:color w:val="auto"/>
                      <w:sz w:val="18"/>
                      <w:szCs w:val="18"/>
                      <w:lang w:val="en-US" w:eastAsia="zh-CN"/>
                    </w:rPr>
                    <w:t>（已建）</w:t>
                  </w:r>
                </w:p>
              </w:tc>
              <w:tc>
                <w:tcPr>
                  <w:tcW w:w="571" w:type="pct"/>
                  <w:vAlign w:val="center"/>
                </w:tcPr>
                <w:p>
                  <w:pPr>
                    <w:pStyle w:val="15"/>
                    <w:snapToGrid w:val="0"/>
                    <w:spacing w:before="0" w:beforeAutospacing="0" w:after="0" w:afterAutospacing="0" w:line="276" w:lineRule="auto"/>
                    <w:jc w:val="center"/>
                    <w:rPr>
                      <w:rFonts w:ascii="Times New Roman" w:hAnsi="Times New Roman"/>
                      <w:snapToGrid w:val="0"/>
                      <w:color w:val="auto"/>
                      <w:sz w:val="18"/>
                      <w:szCs w:val="18"/>
                    </w:rPr>
                  </w:pPr>
                  <w:r>
                    <w:rPr>
                      <w:rFonts w:hint="eastAsia" w:ascii="Times New Roman" w:hAnsi="Times New Roman"/>
                      <w:snapToGrid w:val="0"/>
                      <w:color w:val="auto"/>
                      <w:sz w:val="18"/>
                      <w:szCs w:val="18"/>
                    </w:rPr>
                    <w:t>精馏</w:t>
                  </w:r>
                </w:p>
              </w:tc>
              <w:tc>
                <w:tcPr>
                  <w:tcW w:w="483" w:type="pct"/>
                  <w:vAlign w:val="center"/>
                </w:tcPr>
                <w:p>
                  <w:pPr>
                    <w:pStyle w:val="15"/>
                    <w:snapToGrid w:val="0"/>
                    <w:spacing w:line="276" w:lineRule="auto"/>
                    <w:jc w:val="center"/>
                    <w:rPr>
                      <w:rFonts w:ascii="Times New Roman" w:hAnsi="Times New Roman"/>
                      <w:snapToGrid w:val="0"/>
                      <w:color w:val="auto"/>
                      <w:sz w:val="18"/>
                      <w:szCs w:val="18"/>
                    </w:rPr>
                  </w:pPr>
                  <w:r>
                    <w:rPr>
                      <w:rFonts w:hint="eastAsia" w:ascii="Times New Roman" w:hAnsi="Times New Roman"/>
                      <w:snapToGrid w:val="0"/>
                      <w:color w:val="auto"/>
                      <w:sz w:val="18"/>
                      <w:szCs w:val="18"/>
                    </w:rPr>
                    <w:t>精馏塔</w:t>
                  </w:r>
                </w:p>
              </w:tc>
              <w:tc>
                <w:tcPr>
                  <w:tcW w:w="528" w:type="pct"/>
                  <w:vAlign w:val="center"/>
                </w:tcPr>
                <w:p>
                  <w:pPr>
                    <w:pStyle w:val="15"/>
                    <w:snapToGrid w:val="0"/>
                    <w:spacing w:before="0" w:beforeAutospacing="0" w:after="0" w:afterAutospacing="0" w:line="276" w:lineRule="auto"/>
                    <w:jc w:val="center"/>
                    <w:rPr>
                      <w:rFonts w:ascii="Times New Roman" w:hAnsi="Times New Roman"/>
                      <w:snapToGrid w:val="0"/>
                      <w:color w:val="auto"/>
                      <w:sz w:val="18"/>
                      <w:szCs w:val="18"/>
                    </w:rPr>
                  </w:pPr>
                  <w:r>
                    <w:rPr>
                      <w:rFonts w:hint="eastAsia" w:ascii="Times New Roman" w:hAnsi="Times New Roman"/>
                      <w:snapToGrid w:val="0"/>
                      <w:color w:val="auto"/>
                      <w:sz w:val="18"/>
                      <w:szCs w:val="18"/>
                      <w:lang w:eastAsia="zh-CN"/>
                    </w:rPr>
                    <w:t>溶剂</w:t>
                  </w:r>
                  <w:r>
                    <w:rPr>
                      <w:rFonts w:hint="eastAsia" w:ascii="Times New Roman" w:hAnsi="Times New Roman"/>
                      <w:snapToGrid w:val="0"/>
                      <w:color w:val="auto"/>
                      <w:sz w:val="18"/>
                      <w:szCs w:val="18"/>
                    </w:rPr>
                    <w:t>（以非甲烷总烃计）</w:t>
                  </w:r>
                </w:p>
              </w:tc>
              <w:tc>
                <w:tcPr>
                  <w:tcW w:w="261" w:type="pct"/>
                  <w:vAlign w:val="center"/>
                </w:tcPr>
                <w:p>
                  <w:pPr>
                    <w:pStyle w:val="15"/>
                    <w:snapToGrid w:val="0"/>
                    <w:spacing w:before="0" w:beforeAutospacing="0" w:after="0" w:afterAutospacing="0" w:line="276" w:lineRule="auto"/>
                    <w:jc w:val="center"/>
                    <w:rPr>
                      <w:rFonts w:ascii="Times New Roman" w:hAnsi="Times New Roman"/>
                      <w:snapToGrid w:val="0"/>
                      <w:color w:val="auto"/>
                      <w:sz w:val="18"/>
                      <w:szCs w:val="18"/>
                    </w:rPr>
                  </w:pPr>
                  <w:r>
                    <w:rPr>
                      <w:rFonts w:hint="eastAsia" w:ascii="Times New Roman" w:hAnsi="Times New Roman"/>
                      <w:snapToGrid w:val="0"/>
                      <w:color w:val="auto"/>
                      <w:sz w:val="18"/>
                      <w:szCs w:val="18"/>
                    </w:rPr>
                    <w:t>1</w:t>
                  </w:r>
                  <w:r>
                    <w:rPr>
                      <w:rFonts w:ascii="Times New Roman" w:hAnsi="Times New Roman"/>
                      <w:snapToGrid w:val="0"/>
                      <w:color w:val="auto"/>
                      <w:sz w:val="18"/>
                      <w:szCs w:val="18"/>
                    </w:rPr>
                    <w:t>5</w:t>
                  </w:r>
                </w:p>
              </w:tc>
              <w:tc>
                <w:tcPr>
                  <w:tcW w:w="285" w:type="pct"/>
                  <w:vAlign w:val="center"/>
                </w:tcPr>
                <w:p>
                  <w:pPr>
                    <w:pStyle w:val="15"/>
                    <w:snapToGrid w:val="0"/>
                    <w:spacing w:before="0" w:beforeAutospacing="0" w:after="0" w:afterAutospacing="0" w:line="276" w:lineRule="auto"/>
                    <w:jc w:val="center"/>
                    <w:rPr>
                      <w:rFonts w:ascii="Times New Roman" w:hAnsi="Times New Roman"/>
                      <w:snapToGrid w:val="0"/>
                      <w:color w:val="auto"/>
                      <w:sz w:val="18"/>
                      <w:szCs w:val="18"/>
                    </w:rPr>
                  </w:pPr>
                  <w:r>
                    <w:rPr>
                      <w:rFonts w:hint="eastAsia" w:ascii="Times New Roman" w:hAnsi="Times New Roman"/>
                      <w:snapToGrid w:val="0"/>
                      <w:color w:val="auto"/>
                      <w:sz w:val="18"/>
                      <w:szCs w:val="18"/>
                    </w:rPr>
                    <w:t>0</w:t>
                  </w:r>
                  <w:r>
                    <w:rPr>
                      <w:rFonts w:ascii="Times New Roman" w:hAnsi="Times New Roman"/>
                      <w:snapToGrid w:val="0"/>
                      <w:color w:val="auto"/>
                      <w:sz w:val="18"/>
                      <w:szCs w:val="18"/>
                    </w:rPr>
                    <w:t>.5</w:t>
                  </w:r>
                </w:p>
              </w:tc>
              <w:tc>
                <w:tcPr>
                  <w:tcW w:w="418" w:type="pct"/>
                  <w:vAlign w:val="center"/>
                </w:tcPr>
                <w:p>
                  <w:pPr>
                    <w:pStyle w:val="15"/>
                    <w:snapToGrid w:val="0"/>
                    <w:spacing w:before="0" w:beforeAutospacing="0" w:after="0" w:afterAutospacing="0" w:line="276" w:lineRule="auto"/>
                    <w:jc w:val="center"/>
                    <w:rPr>
                      <w:rFonts w:hint="default" w:ascii="Times New Roman" w:hAnsi="Times New Roman" w:eastAsia="宋体"/>
                      <w:snapToGrid w:val="0"/>
                      <w:color w:val="auto"/>
                      <w:sz w:val="18"/>
                      <w:szCs w:val="18"/>
                      <w:lang w:val="en-US" w:eastAsia="zh-CN"/>
                    </w:rPr>
                  </w:pPr>
                  <w:r>
                    <w:rPr>
                      <w:rFonts w:hint="eastAsia" w:ascii="Times New Roman" w:hAnsi="Times New Roman"/>
                      <w:snapToGrid w:val="0"/>
                      <w:color w:val="auto"/>
                      <w:sz w:val="18"/>
                      <w:szCs w:val="18"/>
                      <w:lang w:val="en-US" w:eastAsia="zh-CN"/>
                    </w:rPr>
                    <w:t>7768</w:t>
                  </w:r>
                </w:p>
              </w:tc>
              <w:tc>
                <w:tcPr>
                  <w:tcW w:w="590" w:type="pct"/>
                  <w:vAlign w:val="center"/>
                </w:tcPr>
                <w:p>
                  <w:pPr>
                    <w:pStyle w:val="15"/>
                    <w:snapToGrid w:val="0"/>
                    <w:spacing w:before="0" w:beforeAutospacing="0" w:after="0" w:afterAutospacing="0" w:line="276" w:lineRule="auto"/>
                    <w:jc w:val="center"/>
                    <w:rPr>
                      <w:rFonts w:ascii="Times New Roman" w:hAnsi="Times New Roman"/>
                      <w:snapToGrid w:val="0"/>
                      <w:color w:val="auto"/>
                      <w:sz w:val="18"/>
                      <w:szCs w:val="18"/>
                    </w:rPr>
                  </w:pPr>
                  <w:r>
                    <w:rPr>
                      <w:rFonts w:hint="eastAsia" w:ascii="Times New Roman" w:hAnsi="Times New Roman"/>
                      <w:color w:val="auto"/>
                      <w:sz w:val="18"/>
                      <w:szCs w:val="18"/>
                    </w:rPr>
                    <w:t>DB35/1782-2018</w:t>
                  </w:r>
                </w:p>
              </w:tc>
              <w:tc>
                <w:tcPr>
                  <w:tcW w:w="742" w:type="pct"/>
                  <w:vAlign w:val="center"/>
                </w:tcPr>
                <w:p>
                  <w:pPr>
                    <w:pStyle w:val="15"/>
                    <w:snapToGrid w:val="0"/>
                    <w:spacing w:before="0" w:beforeAutospacing="0" w:after="0" w:afterAutospacing="0" w:line="276" w:lineRule="auto"/>
                    <w:jc w:val="center"/>
                    <w:rPr>
                      <w:rFonts w:ascii="Times New Roman" w:hAnsi="Times New Roman"/>
                      <w:snapToGrid w:val="0"/>
                      <w:color w:val="auto"/>
                      <w:sz w:val="18"/>
                      <w:szCs w:val="18"/>
                    </w:rPr>
                  </w:pPr>
                  <w:r>
                    <w:rPr>
                      <w:rFonts w:hint="eastAsia"/>
                      <w:color w:val="auto"/>
                      <w:sz w:val="18"/>
                      <w:szCs w:val="18"/>
                    </w:rPr>
                    <w:t>一级循环水喷淋</w:t>
                  </w:r>
                  <w:r>
                    <w:rPr>
                      <w:rFonts w:ascii="Times New Roman" w:hAnsi="Times New Roman"/>
                      <w:color w:val="auto"/>
                      <w:sz w:val="18"/>
                      <w:szCs w:val="18"/>
                    </w:rPr>
                    <w:t>+活性炭吸附</w:t>
                  </w:r>
                </w:p>
              </w:tc>
              <w:tc>
                <w:tcPr>
                  <w:tcW w:w="322" w:type="pct"/>
                  <w:vAlign w:val="center"/>
                </w:tcPr>
                <w:p>
                  <w:pPr>
                    <w:pStyle w:val="15"/>
                    <w:snapToGrid w:val="0"/>
                    <w:spacing w:before="0" w:beforeAutospacing="0" w:after="0" w:afterAutospacing="0" w:line="276" w:lineRule="auto"/>
                    <w:jc w:val="center"/>
                    <w:rPr>
                      <w:rFonts w:ascii="Times New Roman" w:hAnsi="Times New Roman"/>
                      <w:snapToGrid w:val="0"/>
                      <w:color w:val="auto"/>
                      <w:sz w:val="18"/>
                      <w:szCs w:val="18"/>
                    </w:rPr>
                  </w:pPr>
                  <w:r>
                    <w:rPr>
                      <w:rFonts w:hint="eastAsia" w:ascii="Times New Roman" w:hAnsi="Times New Roman"/>
                      <w:snapToGrid w:val="0"/>
                      <w:color w:val="auto"/>
                      <w:sz w:val="18"/>
                      <w:szCs w:val="18"/>
                    </w:rPr>
                    <w:t>是</w:t>
                  </w:r>
                </w:p>
              </w:tc>
              <w:tc>
                <w:tcPr>
                  <w:tcW w:w="300" w:type="pct"/>
                  <w:vAlign w:val="center"/>
                </w:tcPr>
                <w:p>
                  <w:pPr>
                    <w:pStyle w:val="15"/>
                    <w:snapToGrid w:val="0"/>
                    <w:spacing w:before="0" w:beforeAutospacing="0" w:after="0" w:afterAutospacing="0" w:line="276" w:lineRule="auto"/>
                    <w:jc w:val="center"/>
                    <w:rPr>
                      <w:rFonts w:ascii="Times New Roman" w:hAnsi="Times New Roman"/>
                      <w:snapToGrid w:val="0"/>
                      <w:color w:val="auto"/>
                      <w:sz w:val="18"/>
                      <w:szCs w:val="18"/>
                    </w:rPr>
                  </w:pPr>
                  <w:r>
                    <w:rPr>
                      <w:rFonts w:hint="eastAsia" w:ascii="Times New Roman" w:hAnsi="Times New Roman"/>
                      <w:snapToGrid w:val="0"/>
                      <w:color w:val="auto"/>
                      <w:sz w:val="18"/>
                      <w:szCs w:val="18"/>
                    </w:rP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11"/>
                  <w:vAlign w:val="center"/>
                </w:tcPr>
                <w:p>
                  <w:pPr>
                    <w:pStyle w:val="15"/>
                    <w:snapToGrid w:val="0"/>
                    <w:spacing w:before="0" w:beforeAutospacing="0" w:after="0" w:afterAutospacing="0" w:line="276" w:lineRule="auto"/>
                    <w:jc w:val="both"/>
                    <w:rPr>
                      <w:rFonts w:ascii="Times New Roman" w:hAnsi="Times New Roman"/>
                      <w:snapToGrid w:val="0"/>
                      <w:color w:val="auto"/>
                      <w:sz w:val="18"/>
                      <w:szCs w:val="18"/>
                    </w:rPr>
                  </w:pPr>
                  <w:r>
                    <w:rPr>
                      <w:rFonts w:hint="eastAsia" w:ascii="Times New Roman" w:hAnsi="Times New Roman"/>
                      <w:b/>
                      <w:bCs/>
                      <w:snapToGrid w:val="0"/>
                      <w:color w:val="auto"/>
                      <w:sz w:val="18"/>
                      <w:szCs w:val="18"/>
                    </w:rPr>
                    <w:t>注：</w:t>
                  </w:r>
                  <w:r>
                    <w:rPr>
                      <w:rFonts w:ascii="Times New Roman" w:hAnsi="Times New Roman"/>
                      <w:b/>
                      <w:bCs/>
                      <w:snapToGrid w:val="0"/>
                      <w:color w:val="auto"/>
                      <w:sz w:val="18"/>
                      <w:szCs w:val="18"/>
                    </w:rPr>
                    <w:t>精馏废气治理设施及排气筒均依托生产车间二现有措施。且精馏产生的不凝气量极少，为间歇运行（年运行时长仅480 h），对废气处理设施影响轻微，故仅体现引风机开启状态下该精馏废气依托处理的治理及排气筒设置情况。</w:t>
                  </w:r>
                </w:p>
              </w:tc>
            </w:tr>
          </w:tbl>
          <w:p>
            <w:pPr>
              <w:pStyle w:val="35"/>
              <w:ind w:firstLine="422"/>
              <w:rPr>
                <w:rFonts w:ascii="Times New Roman" w:hAnsi="Times New Roman" w:cs="Times New Roman"/>
                <w:b/>
                <w:color w:val="auto"/>
                <w:kern w:val="2"/>
                <w:sz w:val="21"/>
                <w:szCs w:val="21"/>
              </w:rPr>
            </w:pPr>
            <w:r>
              <w:rPr>
                <w:rFonts w:hint="eastAsia" w:ascii="Times New Roman" w:hAnsi="Times New Roman" w:cs="Times New Roman"/>
                <w:b/>
                <w:color w:val="auto"/>
                <w:kern w:val="2"/>
                <w:sz w:val="21"/>
                <w:szCs w:val="21"/>
              </w:rPr>
              <w:t>（3）废气非正常排放情况</w:t>
            </w:r>
          </w:p>
          <w:p>
            <w:pPr>
              <w:spacing w:line="360" w:lineRule="auto"/>
              <w:ind w:firstLine="420" w:firstLineChars="200"/>
              <w:jc w:val="left"/>
              <w:rPr>
                <w:color w:val="auto"/>
                <w:szCs w:val="21"/>
              </w:rPr>
            </w:pPr>
            <w:r>
              <w:rPr>
                <w:rFonts w:hint="eastAsia"/>
                <w:color w:val="auto"/>
                <w:szCs w:val="21"/>
              </w:rPr>
              <w:t>非正常排放指生产过程中开停产、设备检修、工艺设备运转异常等非正常工况下的污染物排放，以及污染物排放控制措施达不到应有效率等情况下的排放。根据本项目的情况，结合同类企业运营情况，确定项目非正常排放情况为二级冷凝系统失效，有机废气排放对周边环境造成影响，事故持续时间按1小时计。项目非正常工况下废气排放源强核算结果见下表。</w:t>
            </w:r>
          </w:p>
          <w:p>
            <w:pPr>
              <w:spacing w:before="194" w:beforeLines="50"/>
              <w:jc w:val="center"/>
              <w:outlineLvl w:val="5"/>
              <w:rPr>
                <w:rFonts w:hint="eastAsia"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表4-9  非正常工况废气排放一览表</w:t>
            </w:r>
          </w:p>
          <w:tbl>
            <w:tblPr>
              <w:tblStyle w:val="19"/>
              <w:tblW w:w="4996"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62"/>
              <w:gridCol w:w="1162"/>
              <w:gridCol w:w="1162"/>
              <w:gridCol w:w="1162"/>
              <w:gridCol w:w="1162"/>
              <w:gridCol w:w="1162"/>
              <w:gridCol w:w="116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4" w:type="pct"/>
                  <w:tcBorders>
                    <w:top w:val="single" w:color="auto" w:sz="4" w:space="0"/>
                    <w:left w:val="single" w:color="auto" w:sz="4" w:space="0"/>
                  </w:tcBorders>
                  <w:vAlign w:val="center"/>
                </w:tcPr>
                <w:p>
                  <w:pPr>
                    <w:pStyle w:val="18"/>
                    <w:spacing w:after="0"/>
                    <w:ind w:left="0" w:leftChars="0" w:firstLine="0"/>
                    <w:jc w:val="center"/>
                    <w:rPr>
                      <w:b/>
                      <w:bCs/>
                      <w:color w:val="auto"/>
                      <w:sz w:val="18"/>
                      <w:szCs w:val="18"/>
                    </w:rPr>
                  </w:pPr>
                  <w:r>
                    <w:rPr>
                      <w:rFonts w:hint="eastAsia"/>
                      <w:b/>
                      <w:bCs/>
                      <w:color w:val="auto"/>
                      <w:sz w:val="18"/>
                      <w:szCs w:val="18"/>
                    </w:rPr>
                    <w:t>污染源</w:t>
                  </w:r>
                </w:p>
              </w:tc>
              <w:tc>
                <w:tcPr>
                  <w:tcW w:w="714" w:type="pct"/>
                  <w:tcBorders>
                    <w:top w:val="single" w:color="auto" w:sz="4" w:space="0"/>
                  </w:tcBorders>
                  <w:vAlign w:val="center"/>
                </w:tcPr>
                <w:p>
                  <w:pPr>
                    <w:pStyle w:val="18"/>
                    <w:spacing w:after="0"/>
                    <w:ind w:left="0" w:leftChars="0" w:firstLine="0"/>
                    <w:jc w:val="center"/>
                    <w:rPr>
                      <w:b/>
                      <w:bCs/>
                      <w:color w:val="auto"/>
                      <w:sz w:val="18"/>
                      <w:szCs w:val="18"/>
                    </w:rPr>
                  </w:pPr>
                  <w:r>
                    <w:rPr>
                      <w:rFonts w:hint="eastAsia"/>
                      <w:b/>
                      <w:bCs/>
                      <w:color w:val="auto"/>
                      <w:sz w:val="18"/>
                      <w:szCs w:val="18"/>
                    </w:rPr>
                    <w:t>污染物</w:t>
                  </w:r>
                </w:p>
              </w:tc>
              <w:tc>
                <w:tcPr>
                  <w:tcW w:w="714" w:type="pct"/>
                  <w:tcBorders>
                    <w:top w:val="single" w:color="auto" w:sz="4" w:space="0"/>
                  </w:tcBorders>
                  <w:vAlign w:val="center"/>
                </w:tcPr>
                <w:p>
                  <w:pPr>
                    <w:pStyle w:val="18"/>
                    <w:spacing w:after="0"/>
                    <w:ind w:left="0" w:leftChars="0" w:firstLine="0"/>
                    <w:jc w:val="center"/>
                    <w:rPr>
                      <w:b/>
                      <w:bCs/>
                      <w:color w:val="auto"/>
                      <w:sz w:val="18"/>
                      <w:szCs w:val="18"/>
                    </w:rPr>
                  </w:pPr>
                  <w:r>
                    <w:rPr>
                      <w:rFonts w:hint="eastAsia"/>
                      <w:b/>
                      <w:bCs/>
                      <w:color w:val="auto"/>
                      <w:sz w:val="18"/>
                      <w:szCs w:val="18"/>
                    </w:rPr>
                    <w:t>排放方式</w:t>
                  </w:r>
                </w:p>
              </w:tc>
              <w:tc>
                <w:tcPr>
                  <w:tcW w:w="714" w:type="pct"/>
                  <w:tcBorders>
                    <w:top w:val="single" w:color="auto" w:sz="4" w:space="0"/>
                  </w:tcBorders>
                  <w:vAlign w:val="center"/>
                </w:tcPr>
                <w:p>
                  <w:pPr>
                    <w:pStyle w:val="18"/>
                    <w:spacing w:after="0"/>
                    <w:ind w:left="0" w:leftChars="0" w:firstLine="0"/>
                    <w:jc w:val="center"/>
                    <w:rPr>
                      <w:b/>
                      <w:bCs/>
                      <w:color w:val="auto"/>
                      <w:sz w:val="18"/>
                      <w:szCs w:val="18"/>
                    </w:rPr>
                  </w:pPr>
                  <w:r>
                    <w:rPr>
                      <w:rFonts w:hint="eastAsia"/>
                      <w:b/>
                      <w:bCs/>
                      <w:color w:val="auto"/>
                      <w:sz w:val="18"/>
                      <w:szCs w:val="18"/>
                    </w:rPr>
                    <w:t>持续时间</w:t>
                  </w:r>
                </w:p>
              </w:tc>
              <w:tc>
                <w:tcPr>
                  <w:tcW w:w="714" w:type="pct"/>
                  <w:tcBorders>
                    <w:top w:val="single" w:color="auto" w:sz="4" w:space="0"/>
                  </w:tcBorders>
                  <w:vAlign w:val="center"/>
                </w:tcPr>
                <w:p>
                  <w:pPr>
                    <w:jc w:val="center"/>
                    <w:rPr>
                      <w:b/>
                      <w:bCs/>
                      <w:color w:val="auto"/>
                      <w:sz w:val="18"/>
                      <w:szCs w:val="18"/>
                    </w:rPr>
                  </w:pPr>
                  <w:r>
                    <w:rPr>
                      <w:rFonts w:hint="eastAsia"/>
                      <w:b/>
                      <w:bCs/>
                      <w:color w:val="auto"/>
                      <w:kern w:val="0"/>
                      <w:sz w:val="18"/>
                      <w:szCs w:val="18"/>
                    </w:rPr>
                    <w:t>非正常排放</w:t>
                  </w:r>
                  <w:r>
                    <w:rPr>
                      <w:b/>
                      <w:bCs/>
                      <w:color w:val="auto"/>
                      <w:kern w:val="0"/>
                      <w:sz w:val="18"/>
                      <w:szCs w:val="18"/>
                    </w:rPr>
                    <w:t>浓度mg/m</w:t>
                  </w:r>
                  <w:r>
                    <w:rPr>
                      <w:b/>
                      <w:bCs/>
                      <w:color w:val="auto"/>
                      <w:kern w:val="0"/>
                      <w:sz w:val="18"/>
                      <w:szCs w:val="18"/>
                      <w:vertAlign w:val="superscript"/>
                    </w:rPr>
                    <w:t>3</w:t>
                  </w:r>
                </w:p>
              </w:tc>
              <w:tc>
                <w:tcPr>
                  <w:tcW w:w="714" w:type="pct"/>
                  <w:tcBorders>
                    <w:top w:val="single" w:color="auto" w:sz="4" w:space="0"/>
                  </w:tcBorders>
                  <w:vAlign w:val="center"/>
                </w:tcPr>
                <w:p>
                  <w:pPr>
                    <w:jc w:val="center"/>
                    <w:rPr>
                      <w:b/>
                      <w:bCs/>
                      <w:color w:val="auto"/>
                      <w:sz w:val="18"/>
                      <w:szCs w:val="18"/>
                    </w:rPr>
                  </w:pPr>
                  <w:r>
                    <w:rPr>
                      <w:rFonts w:hint="eastAsia"/>
                      <w:b/>
                      <w:bCs/>
                      <w:color w:val="auto"/>
                      <w:kern w:val="0"/>
                      <w:sz w:val="18"/>
                      <w:szCs w:val="18"/>
                    </w:rPr>
                    <w:t>非正常排放</w:t>
                  </w:r>
                  <w:r>
                    <w:rPr>
                      <w:b/>
                      <w:bCs/>
                      <w:color w:val="auto"/>
                      <w:kern w:val="0"/>
                      <w:sz w:val="18"/>
                      <w:szCs w:val="18"/>
                    </w:rPr>
                    <w:t>速率kg/h</w:t>
                  </w:r>
                </w:p>
              </w:tc>
              <w:tc>
                <w:tcPr>
                  <w:tcW w:w="715" w:type="pct"/>
                  <w:tcBorders>
                    <w:top w:val="single" w:color="auto" w:sz="4" w:space="0"/>
                    <w:right w:val="single" w:color="auto" w:sz="4" w:space="0"/>
                  </w:tcBorders>
                  <w:vAlign w:val="center"/>
                </w:tcPr>
                <w:p>
                  <w:pPr>
                    <w:pStyle w:val="18"/>
                    <w:spacing w:after="0"/>
                    <w:ind w:left="0" w:leftChars="0" w:firstLine="0"/>
                    <w:jc w:val="center"/>
                    <w:rPr>
                      <w:b/>
                      <w:bCs/>
                      <w:color w:val="auto"/>
                      <w:sz w:val="18"/>
                      <w:szCs w:val="18"/>
                    </w:rPr>
                  </w:pPr>
                  <w:r>
                    <w:rPr>
                      <w:rFonts w:hint="eastAsia"/>
                      <w:b/>
                      <w:bCs/>
                      <w:color w:val="auto"/>
                      <w:sz w:val="18"/>
                      <w:szCs w:val="18"/>
                    </w:rPr>
                    <w:t>发生频次</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714" w:type="pct"/>
                  <w:tcBorders>
                    <w:left w:val="single" w:color="auto" w:sz="4" w:space="0"/>
                    <w:bottom w:val="single" w:color="auto" w:sz="4" w:space="0"/>
                  </w:tcBorders>
                  <w:vAlign w:val="center"/>
                </w:tcPr>
                <w:p>
                  <w:pPr>
                    <w:widowControl/>
                    <w:jc w:val="center"/>
                    <w:textAlignment w:val="center"/>
                    <w:rPr>
                      <w:rFonts w:hint="default" w:eastAsia="宋体"/>
                      <w:color w:val="auto"/>
                      <w:kern w:val="0"/>
                      <w:sz w:val="18"/>
                      <w:szCs w:val="18"/>
                      <w:lang w:val="en-US" w:eastAsia="zh-CN" w:bidi="ar"/>
                    </w:rPr>
                  </w:pPr>
                  <w:r>
                    <w:rPr>
                      <w:rFonts w:hint="eastAsia"/>
                      <w:color w:val="auto"/>
                      <w:kern w:val="0"/>
                      <w:sz w:val="18"/>
                      <w:szCs w:val="18"/>
                      <w:lang w:val="en-US" w:eastAsia="zh-CN" w:bidi="ar"/>
                    </w:rPr>
                    <w:t>DA013</w:t>
                  </w:r>
                </w:p>
              </w:tc>
              <w:tc>
                <w:tcPr>
                  <w:tcW w:w="714" w:type="pct"/>
                  <w:tcBorders>
                    <w:bottom w:val="single" w:color="auto" w:sz="4" w:space="0"/>
                  </w:tcBorders>
                  <w:vAlign w:val="center"/>
                </w:tcPr>
                <w:p>
                  <w:pPr>
                    <w:widowControl/>
                    <w:jc w:val="center"/>
                    <w:textAlignment w:val="center"/>
                    <w:rPr>
                      <w:color w:val="auto"/>
                      <w:kern w:val="0"/>
                      <w:sz w:val="18"/>
                      <w:szCs w:val="18"/>
                      <w:lang w:bidi="ar"/>
                    </w:rPr>
                  </w:pPr>
                  <w:r>
                    <w:rPr>
                      <w:rFonts w:hint="eastAsia"/>
                      <w:color w:val="auto"/>
                      <w:kern w:val="0"/>
                      <w:sz w:val="18"/>
                      <w:szCs w:val="18"/>
                      <w:lang w:eastAsia="zh-CN" w:bidi="ar"/>
                    </w:rPr>
                    <w:t>溶剂</w:t>
                  </w:r>
                  <w:r>
                    <w:rPr>
                      <w:rFonts w:hint="eastAsia"/>
                      <w:color w:val="auto"/>
                      <w:kern w:val="0"/>
                      <w:sz w:val="18"/>
                      <w:szCs w:val="18"/>
                      <w:lang w:bidi="ar"/>
                    </w:rPr>
                    <w:t>（以</w:t>
                  </w:r>
                  <w:r>
                    <w:rPr>
                      <w:color w:val="auto"/>
                      <w:kern w:val="0"/>
                      <w:sz w:val="18"/>
                      <w:szCs w:val="18"/>
                      <w:lang w:bidi="ar"/>
                    </w:rPr>
                    <w:t>非甲烷总烃</w:t>
                  </w:r>
                  <w:r>
                    <w:rPr>
                      <w:rFonts w:hint="eastAsia"/>
                      <w:color w:val="auto"/>
                      <w:kern w:val="0"/>
                      <w:sz w:val="18"/>
                      <w:szCs w:val="18"/>
                      <w:lang w:bidi="ar"/>
                    </w:rPr>
                    <w:t>计）</w:t>
                  </w:r>
                </w:p>
              </w:tc>
              <w:tc>
                <w:tcPr>
                  <w:tcW w:w="714" w:type="pct"/>
                  <w:tcBorders>
                    <w:bottom w:val="single" w:color="auto" w:sz="4" w:space="0"/>
                  </w:tcBorders>
                  <w:vAlign w:val="center"/>
                </w:tcPr>
                <w:p>
                  <w:pPr>
                    <w:widowControl/>
                    <w:jc w:val="center"/>
                    <w:textAlignment w:val="center"/>
                    <w:rPr>
                      <w:color w:val="auto"/>
                      <w:kern w:val="0"/>
                      <w:sz w:val="18"/>
                      <w:szCs w:val="18"/>
                      <w:lang w:bidi="ar"/>
                    </w:rPr>
                  </w:pPr>
                  <w:r>
                    <w:rPr>
                      <w:rFonts w:hint="eastAsia"/>
                      <w:color w:val="auto"/>
                      <w:kern w:val="0"/>
                      <w:sz w:val="18"/>
                      <w:szCs w:val="18"/>
                      <w:lang w:bidi="ar"/>
                    </w:rPr>
                    <w:t>有组织</w:t>
                  </w:r>
                </w:p>
              </w:tc>
              <w:tc>
                <w:tcPr>
                  <w:tcW w:w="714" w:type="pct"/>
                  <w:tcBorders>
                    <w:bottom w:val="single" w:color="auto" w:sz="4" w:space="0"/>
                  </w:tcBorders>
                  <w:vAlign w:val="center"/>
                </w:tcPr>
                <w:p>
                  <w:pPr>
                    <w:widowControl/>
                    <w:jc w:val="center"/>
                    <w:textAlignment w:val="center"/>
                    <w:rPr>
                      <w:color w:val="auto"/>
                      <w:kern w:val="0"/>
                      <w:sz w:val="18"/>
                      <w:szCs w:val="18"/>
                      <w:lang w:bidi="ar"/>
                    </w:rPr>
                  </w:pPr>
                  <w:r>
                    <w:rPr>
                      <w:rFonts w:hint="eastAsia"/>
                      <w:color w:val="auto"/>
                      <w:kern w:val="0"/>
                      <w:sz w:val="18"/>
                      <w:szCs w:val="18"/>
                      <w:lang w:bidi="ar"/>
                    </w:rPr>
                    <w:t>1h</w:t>
                  </w:r>
                </w:p>
              </w:tc>
              <w:tc>
                <w:tcPr>
                  <w:tcW w:w="714" w:type="pct"/>
                  <w:tcBorders>
                    <w:bottom w:val="single" w:color="auto" w:sz="4" w:space="0"/>
                  </w:tcBorders>
                  <w:vAlign w:val="center"/>
                </w:tcPr>
                <w:p>
                  <w:pPr>
                    <w:widowControl/>
                    <w:jc w:val="center"/>
                    <w:textAlignment w:val="center"/>
                    <w:rPr>
                      <w:color w:val="auto"/>
                      <w:kern w:val="0"/>
                      <w:sz w:val="18"/>
                      <w:szCs w:val="18"/>
                      <w:lang w:bidi="ar"/>
                    </w:rPr>
                  </w:pPr>
                  <w:r>
                    <w:rPr>
                      <w:rFonts w:hint="eastAsia"/>
                      <w:color w:val="auto"/>
                      <w:kern w:val="0"/>
                      <w:sz w:val="18"/>
                      <w:szCs w:val="18"/>
                      <w:lang w:bidi="ar"/>
                    </w:rPr>
                    <w:t>266.78</w:t>
                  </w:r>
                </w:p>
              </w:tc>
              <w:tc>
                <w:tcPr>
                  <w:tcW w:w="714" w:type="pct"/>
                  <w:tcBorders>
                    <w:bottom w:val="single" w:color="auto" w:sz="4" w:space="0"/>
                  </w:tcBorders>
                  <w:vAlign w:val="center"/>
                </w:tcPr>
                <w:p>
                  <w:pPr>
                    <w:widowControl/>
                    <w:jc w:val="center"/>
                    <w:textAlignment w:val="center"/>
                    <w:rPr>
                      <w:color w:val="auto"/>
                      <w:kern w:val="0"/>
                      <w:sz w:val="18"/>
                      <w:szCs w:val="18"/>
                      <w:lang w:bidi="ar"/>
                    </w:rPr>
                  </w:pPr>
                  <w:r>
                    <w:rPr>
                      <w:rFonts w:hint="eastAsia"/>
                      <w:color w:val="auto"/>
                      <w:kern w:val="0"/>
                      <w:sz w:val="18"/>
                      <w:szCs w:val="18"/>
                      <w:lang w:bidi="ar"/>
                    </w:rPr>
                    <w:t>2.67</w:t>
                  </w:r>
                </w:p>
              </w:tc>
              <w:tc>
                <w:tcPr>
                  <w:tcW w:w="715" w:type="pct"/>
                  <w:tcBorders>
                    <w:bottom w:val="single" w:color="auto" w:sz="4" w:space="0"/>
                    <w:right w:val="single" w:color="auto" w:sz="4" w:space="0"/>
                  </w:tcBorders>
                  <w:vAlign w:val="center"/>
                </w:tcPr>
                <w:p>
                  <w:pPr>
                    <w:widowControl/>
                    <w:jc w:val="center"/>
                    <w:textAlignment w:val="center"/>
                    <w:rPr>
                      <w:color w:val="auto"/>
                      <w:kern w:val="0"/>
                      <w:sz w:val="18"/>
                      <w:szCs w:val="18"/>
                      <w:lang w:bidi="ar"/>
                    </w:rPr>
                  </w:pPr>
                  <w:r>
                    <w:rPr>
                      <w:rFonts w:hint="eastAsia"/>
                      <w:color w:val="auto"/>
                      <w:kern w:val="0"/>
                      <w:sz w:val="18"/>
                      <w:szCs w:val="18"/>
                      <w:lang w:bidi="ar"/>
                    </w:rPr>
                    <w:t>1次/年</w:t>
                  </w:r>
                </w:p>
              </w:tc>
            </w:tr>
          </w:tbl>
          <w:p>
            <w:pPr>
              <w:spacing w:line="360" w:lineRule="auto"/>
              <w:ind w:firstLine="420" w:firstLineChars="200"/>
              <w:jc w:val="left"/>
              <w:rPr>
                <w:color w:val="auto"/>
                <w:szCs w:val="21"/>
              </w:rPr>
            </w:pPr>
            <w:r>
              <w:rPr>
                <w:rFonts w:hint="eastAsia"/>
                <w:color w:val="auto"/>
                <w:szCs w:val="21"/>
              </w:rPr>
              <w:t>项目发生非正常排放时，经排气筒所排放的大气污染物明显增加且超过排放标准。因此，要求建设单位必须做好污染治理设施的日常维护与事故性排放的防护措施，尽量避免非正常排放的发生，一旦发生事故时，能及时维修并采取相应防护措施，将污染影响降低到最小，建议建设单位做好以下防范工作：</w:t>
            </w:r>
          </w:p>
          <w:p>
            <w:pPr>
              <w:spacing w:line="360" w:lineRule="auto"/>
              <w:ind w:firstLine="420" w:firstLineChars="200"/>
              <w:jc w:val="left"/>
              <w:rPr>
                <w:color w:val="auto"/>
                <w:szCs w:val="21"/>
              </w:rPr>
            </w:pPr>
            <w:r>
              <w:rPr>
                <w:rFonts w:hint="eastAsia"/>
                <w:color w:val="auto"/>
                <w:szCs w:val="21"/>
              </w:rPr>
              <w:t>①</w:t>
            </w:r>
            <w:bookmarkStart w:id="61" w:name="OLE_LINK127"/>
            <w:r>
              <w:rPr>
                <w:rFonts w:hint="eastAsia"/>
                <w:color w:val="auto"/>
                <w:szCs w:val="21"/>
              </w:rPr>
              <w:t>规范车间生产操作，避免因员工操作不当导致工艺设备、环保设施故障引发废气事故排放</w:t>
            </w:r>
            <w:bookmarkEnd w:id="61"/>
            <w:r>
              <w:rPr>
                <w:rFonts w:hint="eastAsia"/>
                <w:color w:val="auto"/>
                <w:szCs w:val="21"/>
              </w:rPr>
              <w:t>。</w:t>
            </w:r>
          </w:p>
          <w:p>
            <w:pPr>
              <w:spacing w:line="360" w:lineRule="auto"/>
              <w:ind w:firstLine="420" w:firstLineChars="200"/>
              <w:jc w:val="left"/>
              <w:rPr>
                <w:color w:val="auto"/>
                <w:szCs w:val="21"/>
              </w:rPr>
            </w:pPr>
            <w:r>
              <w:rPr>
                <w:rFonts w:hint="eastAsia"/>
                <w:color w:val="auto"/>
                <w:szCs w:val="21"/>
              </w:rPr>
              <w:t>②当生产设备开机时，废气处理系统必须先启动；在处理系统达到正常运行条件后方可启动生产设备，在生产设备停止、残留VOCs废气收集处理完毕后，方可停运治理设施。</w:t>
            </w:r>
          </w:p>
          <w:p>
            <w:pPr>
              <w:spacing w:line="360" w:lineRule="auto"/>
              <w:ind w:firstLine="420" w:firstLineChars="200"/>
              <w:jc w:val="left"/>
              <w:rPr>
                <w:color w:val="auto"/>
                <w:szCs w:val="21"/>
              </w:rPr>
            </w:pPr>
            <w:r>
              <w:rPr>
                <w:rFonts w:hint="eastAsia"/>
                <w:color w:val="auto"/>
                <w:szCs w:val="21"/>
              </w:rPr>
              <w:t>③建立严格的设备巡检和预防性维护制度，定期检查冷凝器、水喷淋塔、活性炭、阀门、管道等部件的状态，及时发现并消除潜在故障隐患，减少非正常工况发生，避免非正常排放出现后才采取维护措施。</w:t>
            </w:r>
          </w:p>
          <w:p>
            <w:pPr>
              <w:spacing w:line="360" w:lineRule="auto"/>
              <w:ind w:firstLine="420" w:firstLineChars="200"/>
              <w:jc w:val="left"/>
              <w:rPr>
                <w:color w:val="auto"/>
                <w:szCs w:val="21"/>
              </w:rPr>
            </w:pPr>
            <w:r>
              <w:rPr>
                <w:rFonts w:hint="eastAsia"/>
                <w:color w:val="auto"/>
                <w:szCs w:val="21"/>
              </w:rPr>
              <w:t>④若出现废气处理设施故障，应立即停产，按规定及时报告当地生态环境主管部门，从源头上最大程度减少污染物的产生和排放。</w:t>
            </w:r>
          </w:p>
          <w:p>
            <w:pPr>
              <w:pStyle w:val="35"/>
              <w:ind w:firstLine="422"/>
              <w:rPr>
                <w:rFonts w:ascii="Times New Roman" w:hAnsi="Times New Roman" w:cs="Times New Roman"/>
                <w:b/>
                <w:color w:val="auto"/>
                <w:kern w:val="2"/>
                <w:sz w:val="21"/>
                <w:szCs w:val="21"/>
              </w:rPr>
            </w:pPr>
            <w:r>
              <w:rPr>
                <w:rFonts w:hint="eastAsia" w:ascii="Times New Roman" w:hAnsi="Times New Roman" w:cs="Times New Roman"/>
                <w:b/>
                <w:color w:val="auto"/>
                <w:kern w:val="2"/>
                <w:sz w:val="21"/>
                <w:szCs w:val="21"/>
              </w:rPr>
              <w:t>（4）大气治理措施可行性分析</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jc w:val="left"/>
              <w:textAlignment w:val="auto"/>
              <w:rPr>
                <w:color w:val="auto"/>
                <w:szCs w:val="21"/>
              </w:rPr>
            </w:pPr>
            <w:r>
              <w:rPr>
                <w:rFonts w:hint="eastAsia"/>
                <w:color w:val="auto"/>
                <w:szCs w:val="21"/>
              </w:rPr>
              <w:t>①废气处理工艺</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jc w:val="left"/>
              <w:textAlignment w:val="auto"/>
              <w:rPr>
                <w:color w:val="auto"/>
                <w:szCs w:val="21"/>
              </w:rPr>
            </w:pPr>
            <w:r>
              <w:rPr>
                <w:rFonts w:hint="eastAsia"/>
                <w:color w:val="auto"/>
                <w:szCs w:val="21"/>
              </w:rPr>
              <w:t>项目生产废气主要有机废气（G1）和塔顶不凝气（G2）。G1来自</w:t>
            </w:r>
            <w:r>
              <w:rPr>
                <w:rFonts w:hint="eastAsia"/>
                <w:color w:val="auto"/>
                <w:szCs w:val="21"/>
                <w:lang w:eastAsia="zh-CN"/>
              </w:rPr>
              <w:t>原料</w:t>
            </w:r>
            <w:r>
              <w:rPr>
                <w:rFonts w:hint="eastAsia"/>
                <w:color w:val="auto"/>
                <w:szCs w:val="21"/>
              </w:rPr>
              <w:t>后处理阶段中溶剂</w:t>
            </w:r>
            <w:r>
              <w:rPr>
                <w:rFonts w:hint="eastAsia"/>
                <w:color w:val="auto"/>
                <w:szCs w:val="21"/>
                <w:lang w:eastAsia="zh-CN"/>
              </w:rPr>
              <w:t>溶剂</w:t>
            </w:r>
            <w:r>
              <w:rPr>
                <w:rFonts w:hint="eastAsia"/>
                <w:color w:val="auto"/>
                <w:szCs w:val="21"/>
              </w:rPr>
              <w:t>的挥发（以非甲烷总烃计）；G2来自喷淋废水精馏回收</w:t>
            </w:r>
            <w:r>
              <w:rPr>
                <w:rFonts w:hint="eastAsia"/>
                <w:color w:val="auto"/>
                <w:szCs w:val="21"/>
                <w:lang w:eastAsia="zh-CN"/>
              </w:rPr>
              <w:t>溶剂</w:t>
            </w:r>
            <w:r>
              <w:rPr>
                <w:rFonts w:hint="eastAsia"/>
                <w:color w:val="auto"/>
                <w:szCs w:val="21"/>
              </w:rPr>
              <w:t>时产生的塔顶不凝气，不凝气为</w:t>
            </w:r>
            <w:r>
              <w:rPr>
                <w:rFonts w:hint="eastAsia"/>
                <w:color w:val="auto"/>
                <w:szCs w:val="21"/>
                <w:lang w:eastAsia="zh-CN"/>
              </w:rPr>
              <w:t>溶剂</w:t>
            </w:r>
            <w:r>
              <w:rPr>
                <w:rFonts w:hint="eastAsia"/>
                <w:color w:val="auto"/>
                <w:szCs w:val="21"/>
              </w:rPr>
              <w:t>（以非甲烷总烃计）。</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jc w:val="left"/>
              <w:textAlignment w:val="auto"/>
              <w:rPr>
                <w:color w:val="auto"/>
                <w:szCs w:val="21"/>
              </w:rPr>
            </w:pPr>
            <w:r>
              <w:rPr>
                <w:rFonts w:hint="eastAsia"/>
                <w:color w:val="auto"/>
                <w:szCs w:val="21"/>
              </w:rPr>
              <w:t>G1废气拟通过密闭管道+带有气闸的密闭洁净房进行收集，收集效率为98%，依次通过二级冷凝+一级循环水喷淋+活性炭吸附处理，处理后尾气通过1根15m高排气筒排放，对</w:t>
            </w:r>
            <w:r>
              <w:rPr>
                <w:rFonts w:hint="eastAsia"/>
                <w:color w:val="auto"/>
                <w:szCs w:val="21"/>
                <w:lang w:eastAsia="zh-CN"/>
              </w:rPr>
              <w:t>溶剂</w:t>
            </w:r>
            <w:r>
              <w:rPr>
                <w:rFonts w:hint="eastAsia"/>
                <w:color w:val="auto"/>
                <w:szCs w:val="21"/>
              </w:rPr>
              <w:t>（以非甲烷总烃计）处理效率分别为90%、90%、30%，总处理效率为99.3%，风量为10000m</w:t>
            </w:r>
            <w:r>
              <w:rPr>
                <w:rFonts w:hint="eastAsia"/>
                <w:color w:val="auto"/>
                <w:szCs w:val="21"/>
                <w:vertAlign w:val="superscript"/>
              </w:rPr>
              <w:t>3</w:t>
            </w:r>
            <w:r>
              <w:rPr>
                <w:rFonts w:hint="eastAsia"/>
                <w:color w:val="auto"/>
                <w:szCs w:val="21"/>
              </w:rPr>
              <w:t>/h</w:t>
            </w:r>
            <w:r>
              <w:rPr>
                <w:rFonts w:hint="eastAsia"/>
                <w:color w:val="auto"/>
                <w:szCs w:val="21"/>
                <w:lang w:eastAsia="zh-CN"/>
              </w:rPr>
              <w:t>，</w:t>
            </w:r>
            <w:r>
              <w:rPr>
                <w:rFonts w:hint="eastAsia"/>
                <w:color w:val="auto"/>
                <w:szCs w:val="21"/>
                <w:lang w:val="en-US" w:eastAsia="zh-CN"/>
              </w:rPr>
              <w:t>G1废气经处理后排放浓度为26.68 mg/m</w:t>
            </w:r>
            <w:r>
              <w:rPr>
                <w:rFonts w:hint="eastAsia"/>
                <w:color w:val="auto"/>
                <w:szCs w:val="21"/>
                <w:vertAlign w:val="superscript"/>
                <w:lang w:val="en-US" w:eastAsia="zh-CN"/>
              </w:rPr>
              <w:t>3</w:t>
            </w:r>
            <w:r>
              <w:rPr>
                <w:rFonts w:hint="eastAsia"/>
                <w:color w:val="auto"/>
                <w:szCs w:val="21"/>
                <w:lang w:val="en-US" w:eastAsia="zh-CN"/>
              </w:rPr>
              <w:t>，排放速率为0.27 kg/h，满足</w:t>
            </w:r>
            <w:r>
              <w:rPr>
                <w:rFonts w:hint="eastAsia"/>
                <w:color w:val="auto"/>
                <w:szCs w:val="21"/>
              </w:rPr>
              <w:t>《合成树脂工业污染物排放标准》（GB31572—2015（含2024年修改单））表4大气污染物排放限值</w:t>
            </w:r>
            <w:r>
              <w:rPr>
                <w:rFonts w:hint="eastAsia"/>
                <w:color w:val="auto"/>
                <w:szCs w:val="21"/>
                <w:lang w:val="en-US" w:eastAsia="zh-CN"/>
              </w:rPr>
              <w:t>，达标排放</w:t>
            </w:r>
            <w:r>
              <w:rPr>
                <w:rFonts w:hint="eastAsia"/>
                <w:color w:val="auto"/>
                <w:szCs w:val="21"/>
              </w:rPr>
              <w:t>。</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jc w:val="both"/>
              <w:textAlignment w:val="auto"/>
              <w:rPr>
                <w:color w:val="auto"/>
                <w:szCs w:val="21"/>
              </w:rPr>
            </w:pPr>
            <w:r>
              <w:rPr>
                <w:rFonts w:hint="eastAsia"/>
                <w:color w:val="auto"/>
                <w:szCs w:val="21"/>
              </w:rPr>
              <w:t>G2塔顶不凝气经密闭管道由引风机引入生产车间二的一级水喷淋</w:t>
            </w:r>
            <w:r>
              <w:rPr>
                <w:rFonts w:hint="eastAsia"/>
                <w:color w:val="auto"/>
                <w:szCs w:val="21"/>
                <w:lang w:val="en-US" w:eastAsia="zh-CN"/>
              </w:rPr>
              <w:t>+活性炭吸附</w:t>
            </w:r>
            <w:r>
              <w:rPr>
                <w:rFonts w:hint="eastAsia"/>
                <w:color w:val="auto"/>
                <w:szCs w:val="21"/>
              </w:rPr>
              <w:t>系统处理，净化后依托该车间15m排气筒（</w:t>
            </w:r>
            <w:r>
              <w:rPr>
                <w:rFonts w:hint="eastAsia"/>
                <w:color w:val="auto"/>
                <w:szCs w:val="21"/>
                <w:lang w:val="en-US" w:eastAsia="zh-CN"/>
              </w:rPr>
              <w:t>DA002</w:t>
            </w:r>
            <w:r>
              <w:rPr>
                <w:rFonts w:hint="eastAsia"/>
                <w:color w:val="auto"/>
                <w:szCs w:val="21"/>
              </w:rPr>
              <w:t>）有组织排放，该一级水喷淋</w:t>
            </w:r>
            <w:r>
              <w:rPr>
                <w:rFonts w:hint="eastAsia"/>
                <w:color w:val="auto"/>
                <w:szCs w:val="21"/>
                <w:lang w:val="en-US" w:eastAsia="zh-CN"/>
              </w:rPr>
              <w:t>+活性炭吸附</w:t>
            </w:r>
            <w:r>
              <w:rPr>
                <w:rFonts w:hint="eastAsia"/>
                <w:color w:val="auto"/>
                <w:szCs w:val="21"/>
              </w:rPr>
              <w:t>系统处理效率</w:t>
            </w:r>
            <w:r>
              <w:rPr>
                <w:rFonts w:hint="eastAsia"/>
                <w:color w:val="auto"/>
                <w:szCs w:val="21"/>
                <w:lang w:val="en-US" w:eastAsia="zh-CN"/>
              </w:rPr>
              <w:t>取8</w:t>
            </w:r>
            <w:r>
              <w:rPr>
                <w:rFonts w:hint="eastAsia"/>
                <w:color w:val="auto"/>
                <w:szCs w:val="21"/>
              </w:rPr>
              <w:t>0%，风量为</w:t>
            </w:r>
            <w:r>
              <w:rPr>
                <w:rFonts w:hint="eastAsia"/>
                <w:color w:val="auto"/>
                <w:szCs w:val="21"/>
                <w:lang w:val="en-US" w:eastAsia="zh-CN"/>
              </w:rPr>
              <w:t>7728</w:t>
            </w:r>
            <w:r>
              <w:rPr>
                <w:rFonts w:hint="eastAsia"/>
                <w:color w:val="auto"/>
                <w:szCs w:val="21"/>
              </w:rPr>
              <w:t>m</w:t>
            </w:r>
            <w:r>
              <w:rPr>
                <w:rFonts w:hint="eastAsia"/>
                <w:color w:val="auto"/>
                <w:szCs w:val="21"/>
                <w:vertAlign w:val="superscript"/>
              </w:rPr>
              <w:t>3</w:t>
            </w:r>
            <w:r>
              <w:rPr>
                <w:rFonts w:hint="eastAsia"/>
                <w:color w:val="auto"/>
                <w:szCs w:val="21"/>
              </w:rPr>
              <w:t>/h</w:t>
            </w:r>
            <w:r>
              <w:rPr>
                <w:rFonts w:hint="eastAsia"/>
                <w:color w:val="auto"/>
                <w:szCs w:val="21"/>
                <w:lang w:eastAsia="zh-CN"/>
              </w:rPr>
              <w:t>，</w:t>
            </w:r>
            <w:r>
              <w:rPr>
                <w:rFonts w:hint="eastAsia"/>
                <w:color w:val="auto"/>
                <w:szCs w:val="21"/>
                <w:lang w:val="en-US" w:eastAsia="zh-CN"/>
              </w:rPr>
              <w:t>G2废气处理后和DA002其他废气汇合后的排放浓度为13.8386 mg/m</w:t>
            </w:r>
            <w:r>
              <w:rPr>
                <w:rFonts w:hint="eastAsia"/>
                <w:color w:val="auto"/>
                <w:szCs w:val="21"/>
                <w:vertAlign w:val="superscript"/>
                <w:lang w:val="en-US" w:eastAsia="zh-CN"/>
              </w:rPr>
              <w:t>3</w:t>
            </w:r>
            <w:r>
              <w:rPr>
                <w:rFonts w:hint="eastAsia"/>
                <w:color w:val="auto"/>
                <w:szCs w:val="21"/>
                <w:lang w:val="en-US" w:eastAsia="zh-CN"/>
              </w:rPr>
              <w:t>，排放速率为0.1069 kg/h，满足DA002现执行的</w:t>
            </w:r>
            <w:r>
              <w:rPr>
                <w:rFonts w:hint="eastAsia"/>
                <w:color w:val="auto"/>
                <w:szCs w:val="21"/>
              </w:rPr>
              <w:t>《工业企业挥发性有机物排放标准》（DB35/1782-2018）表1中其他行业标准</w:t>
            </w:r>
            <w:r>
              <w:rPr>
                <w:rFonts w:hint="eastAsia"/>
                <w:color w:val="auto"/>
                <w:szCs w:val="21"/>
                <w:lang w:val="en-US" w:eastAsia="zh-CN"/>
              </w:rPr>
              <w:t>排放标准和15m高排气筒最高允许排放速率，达标排放</w:t>
            </w:r>
            <w:r>
              <w:rPr>
                <w:rFonts w:hint="eastAsia"/>
                <w:color w:val="auto"/>
                <w:szCs w:val="21"/>
              </w:rPr>
              <w:t>。</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jc w:val="left"/>
              <w:textAlignment w:val="auto"/>
              <w:rPr>
                <w:color w:val="auto"/>
                <w:szCs w:val="21"/>
              </w:rPr>
            </w:pPr>
            <w:r>
              <w:rPr>
                <w:rFonts w:hint="eastAsia"/>
                <w:color w:val="auto"/>
                <w:szCs w:val="21"/>
              </w:rPr>
              <w:t>②措施可行性分析</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422" w:firstLineChars="200"/>
              <w:jc w:val="left"/>
              <w:textAlignment w:val="auto"/>
              <w:rPr>
                <w:rFonts w:hint="eastAsia"/>
                <w:b/>
                <w:bCs/>
                <w:color w:val="auto"/>
                <w:szCs w:val="21"/>
              </w:rPr>
            </w:pPr>
            <w:r>
              <w:rPr>
                <w:rFonts w:hint="eastAsia" w:ascii="Times New Roman" w:hAnsi="Times New Roman" w:eastAsia="宋体" w:cs="Times New Roman"/>
                <w:b/>
                <w:bCs/>
                <w:color w:val="auto"/>
                <w:kern w:val="2"/>
                <w:sz w:val="21"/>
                <w:szCs w:val="21"/>
                <w:lang w:val="en-US" w:eastAsia="zh-CN" w:bidi="ar-SA"/>
              </w:rPr>
              <w:t>a.</w:t>
            </w:r>
            <w:r>
              <w:rPr>
                <w:rFonts w:hint="eastAsia"/>
                <w:b/>
                <w:bCs/>
                <w:color w:val="auto"/>
                <w:szCs w:val="21"/>
              </w:rPr>
              <w:t>G1废气</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jc w:val="left"/>
              <w:textAlignment w:val="auto"/>
              <w:rPr>
                <w:rFonts w:hint="eastAsia"/>
                <w:b w:val="0"/>
                <w:bCs w:val="0"/>
                <w:color w:val="auto"/>
                <w:szCs w:val="21"/>
              </w:rPr>
            </w:pPr>
            <w:r>
              <w:rPr>
                <w:rFonts w:hint="eastAsia"/>
                <w:b w:val="0"/>
                <w:bCs w:val="0"/>
                <w:color w:val="auto"/>
                <w:szCs w:val="21"/>
                <w:lang w:val="en-US" w:eastAsia="zh-CN"/>
              </w:rPr>
              <w:t>本扩建项目产生的废气主要是有机废气，有机废气净化的方法有直接燃烧法、</w:t>
            </w:r>
            <w:r>
              <w:rPr>
                <w:rFonts w:hint="eastAsia"/>
                <w:b w:val="0"/>
                <w:bCs w:val="0"/>
                <w:color w:val="auto"/>
                <w:szCs w:val="21"/>
              </w:rPr>
              <w:t>蓄热式燃烧法、催化燃烧法、活性炭吸附法、吸收法、冷凝法等。各种方法的主要优缺点见表</w:t>
            </w:r>
            <w:r>
              <w:rPr>
                <w:rFonts w:hint="eastAsia"/>
                <w:b w:val="0"/>
                <w:bCs w:val="0"/>
                <w:color w:val="auto"/>
                <w:szCs w:val="21"/>
                <w:lang w:eastAsia="zh-CN"/>
              </w:rPr>
              <w:t>4</w:t>
            </w:r>
            <w:r>
              <w:rPr>
                <w:rFonts w:hint="eastAsia"/>
                <w:b w:val="0"/>
                <w:bCs w:val="0"/>
                <w:color w:val="auto"/>
                <w:szCs w:val="21"/>
              </w:rPr>
              <w:t>-</w:t>
            </w:r>
            <w:r>
              <w:rPr>
                <w:rFonts w:hint="eastAsia"/>
                <w:b w:val="0"/>
                <w:bCs w:val="0"/>
                <w:color w:val="auto"/>
                <w:szCs w:val="21"/>
                <w:lang w:eastAsia="zh-CN"/>
              </w:rPr>
              <w:t>1</w:t>
            </w:r>
            <w:r>
              <w:rPr>
                <w:rFonts w:hint="eastAsia"/>
                <w:b w:val="0"/>
                <w:bCs w:val="0"/>
                <w:color w:val="auto"/>
                <w:szCs w:val="21"/>
                <w:lang w:val="en-US" w:eastAsia="zh-CN"/>
              </w:rPr>
              <w:t>0</w:t>
            </w:r>
            <w:r>
              <w:rPr>
                <w:rFonts w:hint="eastAsia"/>
                <w:b w:val="0"/>
                <w:bCs w:val="0"/>
                <w:color w:val="auto"/>
                <w:szCs w:val="21"/>
              </w:rPr>
              <w:t>。</w:t>
            </w:r>
          </w:p>
          <w:p>
            <w:pPr>
              <w:spacing w:before="194" w:beforeLines="50"/>
              <w:jc w:val="center"/>
              <w:outlineLvl w:val="5"/>
              <w:rPr>
                <w:rFonts w:hint="eastAsia" w:eastAsia="宋体" w:cs="Times New Roman"/>
                <w:b/>
                <w:color w:val="auto"/>
                <w:spacing w:val="0"/>
                <w:sz w:val="21"/>
                <w:szCs w:val="21"/>
                <w:lang w:val="en-US" w:eastAsia="zh-CN"/>
              </w:rPr>
            </w:pPr>
            <w:r>
              <w:rPr>
                <w:rFonts w:hint="default" w:eastAsia="宋体" w:cs="Times New Roman"/>
                <w:b/>
                <w:color w:val="auto"/>
                <w:spacing w:val="0"/>
                <w:sz w:val="21"/>
                <w:szCs w:val="21"/>
                <w:lang w:val="en-US" w:eastAsia="zh-CN"/>
              </w:rPr>
              <w:t>表</w:t>
            </w:r>
            <w:r>
              <w:rPr>
                <w:rFonts w:hint="eastAsia" w:eastAsia="宋体" w:cs="Times New Roman"/>
                <w:b/>
                <w:color w:val="auto"/>
                <w:spacing w:val="0"/>
                <w:sz w:val="21"/>
                <w:szCs w:val="21"/>
                <w:lang w:val="en-US" w:eastAsia="zh-CN"/>
              </w:rPr>
              <w:t>4</w:t>
            </w:r>
            <w:r>
              <w:rPr>
                <w:rFonts w:hint="default" w:eastAsia="宋体" w:cs="Times New Roman"/>
                <w:b/>
                <w:color w:val="auto"/>
                <w:spacing w:val="0"/>
                <w:sz w:val="21"/>
                <w:szCs w:val="21"/>
                <w:lang w:val="en-US" w:eastAsia="zh-CN"/>
              </w:rPr>
              <w:t>-1</w:t>
            </w:r>
            <w:r>
              <w:rPr>
                <w:rFonts w:hint="eastAsia" w:eastAsia="宋体" w:cs="Times New Roman"/>
                <w:b/>
                <w:color w:val="auto"/>
                <w:spacing w:val="0"/>
                <w:sz w:val="21"/>
                <w:szCs w:val="21"/>
                <w:lang w:val="en-US" w:eastAsia="zh-CN"/>
              </w:rPr>
              <w:t>0</w:t>
            </w:r>
            <w:r>
              <w:rPr>
                <w:rFonts w:hint="default" w:eastAsia="宋体" w:cs="Times New Roman"/>
                <w:b/>
                <w:color w:val="auto"/>
                <w:spacing w:val="0"/>
                <w:sz w:val="21"/>
                <w:szCs w:val="21"/>
                <w:lang w:val="en-US" w:eastAsia="zh-CN"/>
              </w:rPr>
              <w:t xml:space="preserve">  有机废气主要净化方法比</w:t>
            </w:r>
            <w:r>
              <w:rPr>
                <w:rFonts w:hint="eastAsia" w:eastAsia="宋体" w:cs="Times New Roman"/>
                <w:b/>
                <w:color w:val="auto"/>
                <w:spacing w:val="0"/>
                <w:sz w:val="21"/>
                <w:szCs w:val="21"/>
                <w:lang w:val="en-US" w:eastAsia="zh-CN"/>
              </w:rPr>
              <w:t>选</w:t>
            </w:r>
          </w:p>
          <w:tbl>
            <w:tblPr>
              <w:tblStyle w:val="19"/>
              <w:tblW w:w="8138"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387"/>
              <w:gridCol w:w="1557"/>
              <w:gridCol w:w="1541"/>
              <w:gridCol w:w="1764"/>
              <w:gridCol w:w="1068"/>
              <w:gridCol w:w="862"/>
              <w:gridCol w:w="959"/>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tblHeader/>
                <w:jc w:val="center"/>
              </w:trPr>
              <w:tc>
                <w:tcPr>
                  <w:tcW w:w="238"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center"/>
                    <w:rPr>
                      <w:b/>
                      <w:bCs/>
                      <w:color w:val="auto"/>
                      <w:sz w:val="18"/>
                      <w:szCs w:val="18"/>
                      <w:highlight w:val="none"/>
                    </w:rPr>
                  </w:pPr>
                  <w:r>
                    <w:rPr>
                      <w:b/>
                      <w:bCs/>
                      <w:color w:val="auto"/>
                      <w:sz w:val="18"/>
                      <w:szCs w:val="18"/>
                      <w:highlight w:val="none"/>
                    </w:rPr>
                    <w:t>方法</w:t>
                  </w:r>
                </w:p>
              </w:tc>
              <w:tc>
                <w:tcPr>
                  <w:tcW w:w="956"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center"/>
                    <w:rPr>
                      <w:b/>
                      <w:bCs/>
                      <w:color w:val="auto"/>
                      <w:sz w:val="18"/>
                      <w:szCs w:val="18"/>
                      <w:highlight w:val="none"/>
                    </w:rPr>
                  </w:pPr>
                  <w:r>
                    <w:rPr>
                      <w:b/>
                      <w:bCs/>
                      <w:color w:val="auto"/>
                      <w:sz w:val="18"/>
                      <w:szCs w:val="18"/>
                      <w:highlight w:val="none"/>
                    </w:rPr>
                    <w:t>原理</w:t>
                  </w:r>
                </w:p>
              </w:tc>
              <w:tc>
                <w:tcPr>
                  <w:tcW w:w="946"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center"/>
                    <w:rPr>
                      <w:b/>
                      <w:bCs/>
                      <w:color w:val="auto"/>
                      <w:sz w:val="18"/>
                      <w:szCs w:val="18"/>
                      <w:highlight w:val="none"/>
                    </w:rPr>
                  </w:pPr>
                  <w:r>
                    <w:rPr>
                      <w:b/>
                      <w:bCs/>
                      <w:color w:val="auto"/>
                      <w:sz w:val="18"/>
                      <w:szCs w:val="18"/>
                      <w:highlight w:val="none"/>
                    </w:rPr>
                    <w:t>优点</w:t>
                  </w:r>
                </w:p>
              </w:tc>
              <w:tc>
                <w:tcPr>
                  <w:tcW w:w="1083"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center"/>
                    <w:rPr>
                      <w:b/>
                      <w:bCs/>
                      <w:color w:val="auto"/>
                      <w:sz w:val="18"/>
                      <w:szCs w:val="18"/>
                      <w:highlight w:val="none"/>
                    </w:rPr>
                  </w:pPr>
                  <w:r>
                    <w:rPr>
                      <w:b/>
                      <w:bCs/>
                      <w:color w:val="auto"/>
                      <w:sz w:val="18"/>
                      <w:szCs w:val="18"/>
                      <w:highlight w:val="none"/>
                    </w:rPr>
                    <w:t>缺点</w:t>
                  </w:r>
                </w:p>
              </w:tc>
              <w:tc>
                <w:tcPr>
                  <w:tcW w:w="656"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center"/>
                    <w:rPr>
                      <w:b/>
                      <w:bCs/>
                      <w:color w:val="auto"/>
                      <w:sz w:val="18"/>
                      <w:szCs w:val="18"/>
                      <w:highlight w:val="none"/>
                    </w:rPr>
                  </w:pPr>
                  <w:r>
                    <w:rPr>
                      <w:b/>
                      <w:bCs/>
                      <w:color w:val="auto"/>
                      <w:sz w:val="18"/>
                      <w:szCs w:val="18"/>
                      <w:highlight w:val="none"/>
                    </w:rPr>
                    <w:t>适用范围</w:t>
                  </w:r>
                </w:p>
              </w:tc>
              <w:tc>
                <w:tcPr>
                  <w:tcW w:w="529"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center"/>
                    <w:rPr>
                      <w:rFonts w:hint="eastAsia" w:eastAsia="宋体"/>
                      <w:b/>
                      <w:bCs/>
                      <w:color w:val="auto"/>
                      <w:sz w:val="18"/>
                      <w:szCs w:val="18"/>
                      <w:highlight w:val="none"/>
                      <w:lang w:val="en-US" w:eastAsia="zh-CN"/>
                    </w:rPr>
                  </w:pPr>
                  <w:r>
                    <w:rPr>
                      <w:rFonts w:hint="eastAsia"/>
                      <w:b/>
                      <w:bCs/>
                      <w:color w:val="auto"/>
                      <w:sz w:val="18"/>
                      <w:szCs w:val="18"/>
                      <w:highlight w:val="none"/>
                      <w:lang w:val="en-US" w:eastAsia="zh-CN"/>
                    </w:rPr>
                    <w:t>本项目</w:t>
                  </w:r>
                </w:p>
              </w:tc>
              <w:tc>
                <w:tcPr>
                  <w:tcW w:w="589"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center"/>
                    <w:rPr>
                      <w:rFonts w:hint="default"/>
                      <w:b/>
                      <w:bCs/>
                      <w:color w:val="auto"/>
                      <w:sz w:val="18"/>
                      <w:szCs w:val="18"/>
                      <w:highlight w:val="none"/>
                      <w:lang w:val="en-US" w:eastAsia="zh-CN"/>
                    </w:rPr>
                  </w:pPr>
                  <w:r>
                    <w:rPr>
                      <w:rFonts w:hint="eastAsia"/>
                      <w:b/>
                      <w:bCs/>
                      <w:color w:val="auto"/>
                      <w:sz w:val="18"/>
                      <w:szCs w:val="18"/>
                      <w:highlight w:val="none"/>
                      <w:lang w:val="en-US" w:eastAsia="zh-CN"/>
                    </w:rPr>
                    <w:t>适用性</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3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color w:val="auto"/>
                      <w:sz w:val="18"/>
                      <w:szCs w:val="18"/>
                      <w:highlight w:val="none"/>
                    </w:rPr>
                  </w:pPr>
                  <w:r>
                    <w:rPr>
                      <w:color w:val="auto"/>
                      <w:sz w:val="18"/>
                      <w:szCs w:val="18"/>
                      <w:highlight w:val="none"/>
                    </w:rPr>
                    <w:t>吸</w:t>
                  </w:r>
                </w:p>
                <w:p>
                  <w:pPr>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color w:val="auto"/>
                      <w:sz w:val="18"/>
                      <w:szCs w:val="18"/>
                      <w:highlight w:val="none"/>
                    </w:rPr>
                  </w:pPr>
                  <w:r>
                    <w:rPr>
                      <w:color w:val="auto"/>
                      <w:sz w:val="18"/>
                      <w:szCs w:val="18"/>
                      <w:highlight w:val="none"/>
                    </w:rPr>
                    <w:t>附</w:t>
                  </w:r>
                </w:p>
                <w:p>
                  <w:pPr>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color w:val="auto"/>
                      <w:sz w:val="18"/>
                      <w:szCs w:val="18"/>
                      <w:highlight w:val="none"/>
                    </w:rPr>
                  </w:pPr>
                  <w:r>
                    <w:rPr>
                      <w:color w:val="auto"/>
                      <w:sz w:val="18"/>
                      <w:szCs w:val="18"/>
                      <w:highlight w:val="none"/>
                    </w:rPr>
                    <w:t>法</w:t>
                  </w:r>
                </w:p>
              </w:tc>
              <w:tc>
                <w:tcPr>
                  <w:tcW w:w="956"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both"/>
                    <w:rPr>
                      <w:color w:val="auto"/>
                      <w:sz w:val="18"/>
                      <w:szCs w:val="18"/>
                      <w:highlight w:val="none"/>
                    </w:rPr>
                  </w:pPr>
                  <w:r>
                    <w:rPr>
                      <w:color w:val="auto"/>
                      <w:sz w:val="18"/>
                      <w:szCs w:val="18"/>
                      <w:highlight w:val="none"/>
                    </w:rPr>
                    <w:t>废气的分子扩散到固体吸附剂表面，有害成分被吸附而达到净化</w:t>
                  </w:r>
                </w:p>
              </w:tc>
              <w:tc>
                <w:tcPr>
                  <w:tcW w:w="946"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both"/>
                    <w:rPr>
                      <w:color w:val="auto"/>
                      <w:sz w:val="18"/>
                      <w:szCs w:val="18"/>
                      <w:highlight w:val="none"/>
                    </w:rPr>
                  </w:pPr>
                  <w:r>
                    <w:rPr>
                      <w:color w:val="auto"/>
                      <w:sz w:val="18"/>
                      <w:szCs w:val="18"/>
                      <w:highlight w:val="none"/>
                    </w:rPr>
                    <w:t>可处理含有低浓度的碳氢化合物和低温废气；溶剂可回收，进行有效利用；处理程度可以控制</w:t>
                  </w:r>
                </w:p>
              </w:tc>
              <w:tc>
                <w:tcPr>
                  <w:tcW w:w="1083"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both"/>
                    <w:rPr>
                      <w:color w:val="auto"/>
                      <w:sz w:val="18"/>
                      <w:szCs w:val="18"/>
                      <w:highlight w:val="none"/>
                    </w:rPr>
                  </w:pPr>
                  <w:r>
                    <w:rPr>
                      <w:color w:val="auto"/>
                      <w:sz w:val="18"/>
                      <w:szCs w:val="18"/>
                      <w:highlight w:val="none"/>
                    </w:rPr>
                    <w:t>活性炭的再生和补充需要花费的费用多；处理效率不高</w:t>
                  </w:r>
                </w:p>
              </w:tc>
              <w:tc>
                <w:tcPr>
                  <w:tcW w:w="656"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both"/>
                    <w:rPr>
                      <w:color w:val="auto"/>
                      <w:sz w:val="18"/>
                      <w:szCs w:val="18"/>
                      <w:highlight w:val="none"/>
                    </w:rPr>
                  </w:pPr>
                  <w:r>
                    <w:rPr>
                      <w:color w:val="auto"/>
                      <w:sz w:val="18"/>
                      <w:szCs w:val="18"/>
                      <w:highlight w:val="none"/>
                    </w:rPr>
                    <w:t>适用常温、低浓度、废气量较小时的废气治理</w:t>
                  </w:r>
                </w:p>
              </w:tc>
              <w:tc>
                <w:tcPr>
                  <w:tcW w:w="529" w:type="pct"/>
                  <w:vMerge w:val="restar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both"/>
                    <w:rPr>
                      <w:rFonts w:hint="default" w:eastAsia="宋体"/>
                      <w:color w:val="auto"/>
                      <w:sz w:val="18"/>
                      <w:szCs w:val="18"/>
                      <w:highlight w:val="none"/>
                      <w:lang w:val="en-US" w:eastAsia="zh-CN"/>
                    </w:rPr>
                  </w:pPr>
                  <w:r>
                    <w:rPr>
                      <w:rFonts w:hint="eastAsia" w:ascii="Times New Roman" w:hAnsi="Times New Roman" w:eastAsia="宋体" w:cs="Times New Roman"/>
                      <w:color w:val="auto"/>
                      <w:sz w:val="18"/>
                      <w:szCs w:val="18"/>
                    </w:rPr>
                    <w:t>废气组分单一，浓度高，</w:t>
                  </w:r>
                  <w:r>
                    <w:rPr>
                      <w:rFonts w:hint="eastAsia" w:ascii="Times New Roman" w:hAnsi="Times New Roman" w:eastAsia="宋体" w:cs="Times New Roman"/>
                      <w:color w:val="auto"/>
                      <w:sz w:val="18"/>
                      <w:szCs w:val="18"/>
                      <w:lang w:val="en-US" w:eastAsia="zh-CN"/>
                    </w:rPr>
                    <w:t>有回收循环使用的需要</w:t>
                  </w:r>
                </w:p>
              </w:tc>
              <w:tc>
                <w:tcPr>
                  <w:tcW w:w="589"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both"/>
                    <w:rPr>
                      <w:rFonts w:hint="default" w:eastAsia="宋体"/>
                      <w:color w:val="auto"/>
                      <w:sz w:val="18"/>
                      <w:szCs w:val="18"/>
                      <w:highlight w:val="none"/>
                      <w:lang w:val="en-US" w:eastAsia="zh-CN"/>
                    </w:rPr>
                  </w:pPr>
                  <w:r>
                    <w:rPr>
                      <w:rFonts w:hint="eastAsia"/>
                      <w:color w:val="auto"/>
                      <w:sz w:val="18"/>
                      <w:szCs w:val="18"/>
                      <w:highlight w:val="none"/>
                      <w:lang w:val="en-US" w:eastAsia="zh-CN"/>
                    </w:rPr>
                    <w:t>适合作为废气处理末端工序，进一步净化尾气</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360" w:hRule="atLeast"/>
                <w:jc w:val="center"/>
              </w:trPr>
              <w:tc>
                <w:tcPr>
                  <w:tcW w:w="23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color w:val="auto"/>
                      <w:sz w:val="18"/>
                      <w:szCs w:val="18"/>
                      <w:highlight w:val="none"/>
                    </w:rPr>
                  </w:pPr>
                  <w:r>
                    <w:rPr>
                      <w:color w:val="auto"/>
                      <w:sz w:val="18"/>
                      <w:szCs w:val="18"/>
                      <w:highlight w:val="none"/>
                    </w:rPr>
                    <w:t>直</w:t>
                  </w:r>
                </w:p>
                <w:p>
                  <w:pPr>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color w:val="auto"/>
                      <w:sz w:val="18"/>
                      <w:szCs w:val="18"/>
                      <w:highlight w:val="none"/>
                    </w:rPr>
                  </w:pPr>
                  <w:r>
                    <w:rPr>
                      <w:color w:val="auto"/>
                      <w:sz w:val="18"/>
                      <w:szCs w:val="18"/>
                      <w:highlight w:val="none"/>
                    </w:rPr>
                    <w:t>接</w:t>
                  </w:r>
                </w:p>
                <w:p>
                  <w:pPr>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color w:val="auto"/>
                      <w:sz w:val="18"/>
                      <w:szCs w:val="18"/>
                      <w:highlight w:val="none"/>
                    </w:rPr>
                  </w:pPr>
                  <w:r>
                    <w:rPr>
                      <w:color w:val="auto"/>
                      <w:sz w:val="18"/>
                      <w:szCs w:val="18"/>
                      <w:highlight w:val="none"/>
                    </w:rPr>
                    <w:t>燃</w:t>
                  </w:r>
                </w:p>
                <w:p>
                  <w:pPr>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color w:val="auto"/>
                      <w:sz w:val="18"/>
                      <w:szCs w:val="18"/>
                      <w:highlight w:val="none"/>
                    </w:rPr>
                  </w:pPr>
                  <w:r>
                    <w:rPr>
                      <w:color w:val="auto"/>
                      <w:sz w:val="18"/>
                      <w:szCs w:val="18"/>
                      <w:highlight w:val="none"/>
                    </w:rPr>
                    <w:t>烧</w:t>
                  </w:r>
                </w:p>
                <w:p>
                  <w:pPr>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color w:val="auto"/>
                      <w:sz w:val="18"/>
                      <w:szCs w:val="18"/>
                      <w:highlight w:val="none"/>
                    </w:rPr>
                  </w:pPr>
                  <w:r>
                    <w:rPr>
                      <w:color w:val="auto"/>
                      <w:sz w:val="18"/>
                      <w:szCs w:val="18"/>
                      <w:highlight w:val="none"/>
                    </w:rPr>
                    <w:t>法</w:t>
                  </w:r>
                </w:p>
              </w:tc>
              <w:tc>
                <w:tcPr>
                  <w:tcW w:w="956"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both"/>
                    <w:rPr>
                      <w:color w:val="auto"/>
                      <w:sz w:val="18"/>
                      <w:szCs w:val="18"/>
                      <w:highlight w:val="none"/>
                    </w:rPr>
                  </w:pPr>
                  <w:r>
                    <w:rPr>
                      <w:color w:val="auto"/>
                      <w:sz w:val="18"/>
                      <w:szCs w:val="18"/>
                      <w:highlight w:val="none"/>
                    </w:rPr>
                    <w:t>废气引入燃烧室与火焰直接接触，使有害物燃烧生成CO</w:t>
                  </w:r>
                  <w:r>
                    <w:rPr>
                      <w:color w:val="auto"/>
                      <w:sz w:val="18"/>
                      <w:szCs w:val="18"/>
                      <w:highlight w:val="none"/>
                      <w:vertAlign w:val="subscript"/>
                    </w:rPr>
                    <w:t>2</w:t>
                  </w:r>
                  <w:r>
                    <w:rPr>
                      <w:color w:val="auto"/>
                      <w:sz w:val="18"/>
                      <w:szCs w:val="18"/>
                      <w:highlight w:val="none"/>
                    </w:rPr>
                    <w:t>和H</w:t>
                  </w:r>
                  <w:r>
                    <w:rPr>
                      <w:color w:val="auto"/>
                      <w:sz w:val="18"/>
                      <w:szCs w:val="18"/>
                      <w:highlight w:val="none"/>
                      <w:vertAlign w:val="subscript"/>
                    </w:rPr>
                    <w:t>2</w:t>
                  </w:r>
                  <w:r>
                    <w:rPr>
                      <w:color w:val="auto"/>
                      <w:sz w:val="18"/>
                      <w:szCs w:val="18"/>
                      <w:highlight w:val="none"/>
                    </w:rPr>
                    <w:t>O，使废气净化</w:t>
                  </w:r>
                </w:p>
              </w:tc>
              <w:tc>
                <w:tcPr>
                  <w:tcW w:w="946"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both"/>
                    <w:rPr>
                      <w:color w:val="auto"/>
                      <w:sz w:val="18"/>
                      <w:szCs w:val="18"/>
                      <w:highlight w:val="none"/>
                    </w:rPr>
                  </w:pPr>
                  <w:r>
                    <w:rPr>
                      <w:color w:val="auto"/>
                      <w:sz w:val="18"/>
                      <w:szCs w:val="18"/>
                      <w:highlight w:val="none"/>
                    </w:rPr>
                    <w:t>燃烧效率高，管理容易；仅烧嘴需经常维护，维护简单；装置占地面积小；不稳定因素少，可靠性高</w:t>
                  </w:r>
                </w:p>
              </w:tc>
              <w:tc>
                <w:tcPr>
                  <w:tcW w:w="1083"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both"/>
                    <w:rPr>
                      <w:color w:val="auto"/>
                      <w:sz w:val="18"/>
                      <w:szCs w:val="18"/>
                      <w:highlight w:val="none"/>
                    </w:rPr>
                  </w:pPr>
                  <w:r>
                    <w:rPr>
                      <w:color w:val="auto"/>
                      <w:sz w:val="18"/>
                      <w:szCs w:val="18"/>
                      <w:highlight w:val="none"/>
                    </w:rPr>
                    <w:t>处理温度高，需燃料费高；燃烧装置、燃烧室、热回收装置等设备造价高；</w:t>
                  </w:r>
                </w:p>
              </w:tc>
              <w:tc>
                <w:tcPr>
                  <w:tcW w:w="656"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both"/>
                    <w:rPr>
                      <w:color w:val="auto"/>
                      <w:sz w:val="18"/>
                      <w:szCs w:val="18"/>
                      <w:highlight w:val="none"/>
                    </w:rPr>
                  </w:pPr>
                  <w:r>
                    <w:rPr>
                      <w:color w:val="auto"/>
                      <w:sz w:val="18"/>
                      <w:szCs w:val="18"/>
                      <w:highlight w:val="none"/>
                    </w:rPr>
                    <w:t>适用于有机溶剂含量高、湿度高的废气治理</w:t>
                  </w:r>
                </w:p>
              </w:tc>
              <w:tc>
                <w:tcPr>
                  <w:tcW w:w="529" w:type="pct"/>
                  <w:vMerge w:val="continue"/>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both"/>
                    <w:rPr>
                      <w:color w:val="auto"/>
                      <w:sz w:val="18"/>
                      <w:szCs w:val="18"/>
                      <w:highlight w:val="none"/>
                    </w:rPr>
                  </w:pPr>
                </w:p>
              </w:tc>
              <w:tc>
                <w:tcPr>
                  <w:tcW w:w="589"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不适用</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353" w:hRule="atLeast"/>
                <w:jc w:val="center"/>
              </w:trPr>
              <w:tc>
                <w:tcPr>
                  <w:tcW w:w="23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rFonts w:hint="eastAsia"/>
                      <w:color w:val="auto"/>
                      <w:sz w:val="18"/>
                      <w:szCs w:val="18"/>
                      <w:highlight w:val="none"/>
                    </w:rPr>
                  </w:pPr>
                  <w:r>
                    <w:rPr>
                      <w:rFonts w:hint="eastAsia"/>
                      <w:color w:val="auto"/>
                      <w:sz w:val="18"/>
                      <w:szCs w:val="18"/>
                      <w:highlight w:val="none"/>
                    </w:rPr>
                    <w:t>催</w:t>
                  </w:r>
                </w:p>
                <w:p>
                  <w:pPr>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rFonts w:hint="eastAsia"/>
                      <w:color w:val="auto"/>
                      <w:sz w:val="18"/>
                      <w:szCs w:val="18"/>
                      <w:highlight w:val="none"/>
                    </w:rPr>
                  </w:pPr>
                  <w:r>
                    <w:rPr>
                      <w:rFonts w:hint="eastAsia"/>
                      <w:color w:val="auto"/>
                      <w:sz w:val="18"/>
                      <w:szCs w:val="18"/>
                      <w:highlight w:val="none"/>
                    </w:rPr>
                    <w:t>化</w:t>
                  </w:r>
                </w:p>
                <w:p>
                  <w:pPr>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rFonts w:hint="eastAsia"/>
                      <w:color w:val="auto"/>
                      <w:sz w:val="18"/>
                      <w:szCs w:val="18"/>
                      <w:highlight w:val="none"/>
                    </w:rPr>
                  </w:pPr>
                  <w:r>
                    <w:rPr>
                      <w:rFonts w:hint="eastAsia"/>
                      <w:color w:val="auto"/>
                      <w:sz w:val="18"/>
                      <w:szCs w:val="18"/>
                      <w:highlight w:val="none"/>
                    </w:rPr>
                    <w:t>燃</w:t>
                  </w:r>
                </w:p>
                <w:p>
                  <w:pPr>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color w:val="auto"/>
                      <w:sz w:val="18"/>
                      <w:szCs w:val="18"/>
                      <w:highlight w:val="none"/>
                    </w:rPr>
                  </w:pPr>
                  <w:r>
                    <w:rPr>
                      <w:rFonts w:hint="eastAsia"/>
                      <w:color w:val="auto"/>
                      <w:sz w:val="18"/>
                      <w:szCs w:val="18"/>
                      <w:highlight w:val="none"/>
                    </w:rPr>
                    <w:t>烧</w:t>
                  </w:r>
                </w:p>
              </w:tc>
              <w:tc>
                <w:tcPr>
                  <w:tcW w:w="956"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both"/>
                    <w:rPr>
                      <w:color w:val="auto"/>
                      <w:sz w:val="18"/>
                      <w:szCs w:val="18"/>
                      <w:highlight w:val="none"/>
                    </w:rPr>
                  </w:pPr>
                  <w:r>
                    <w:rPr>
                      <w:color w:val="auto"/>
                      <w:sz w:val="18"/>
                      <w:szCs w:val="18"/>
                      <w:highlight w:val="none"/>
                    </w:rPr>
                    <w:t>在催化剂作用下，使有机物废气在引燃点温度以下燃烧生成CO</w:t>
                  </w:r>
                  <w:r>
                    <w:rPr>
                      <w:color w:val="auto"/>
                      <w:sz w:val="18"/>
                      <w:szCs w:val="18"/>
                      <w:highlight w:val="none"/>
                      <w:vertAlign w:val="subscript"/>
                    </w:rPr>
                    <w:t>2</w:t>
                  </w:r>
                  <w:r>
                    <w:rPr>
                      <w:color w:val="auto"/>
                      <w:sz w:val="18"/>
                      <w:szCs w:val="18"/>
                      <w:highlight w:val="none"/>
                    </w:rPr>
                    <w:t>和H</w:t>
                  </w:r>
                  <w:r>
                    <w:rPr>
                      <w:color w:val="auto"/>
                      <w:sz w:val="18"/>
                      <w:szCs w:val="18"/>
                      <w:highlight w:val="none"/>
                      <w:vertAlign w:val="subscript"/>
                    </w:rPr>
                    <w:t>2</w:t>
                  </w:r>
                  <w:r>
                    <w:rPr>
                      <w:color w:val="auto"/>
                      <w:sz w:val="18"/>
                      <w:szCs w:val="18"/>
                      <w:highlight w:val="none"/>
                    </w:rPr>
                    <w:t>O而被净化</w:t>
                  </w:r>
                </w:p>
              </w:tc>
              <w:tc>
                <w:tcPr>
                  <w:tcW w:w="946"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both"/>
                    <w:rPr>
                      <w:color w:val="auto"/>
                      <w:sz w:val="18"/>
                      <w:szCs w:val="18"/>
                      <w:highlight w:val="none"/>
                    </w:rPr>
                  </w:pPr>
                  <w:r>
                    <w:rPr>
                      <w:color w:val="auto"/>
                      <w:sz w:val="18"/>
                      <w:szCs w:val="18"/>
                      <w:highlight w:val="none"/>
                    </w:rPr>
                    <w:t>与直接燃烧法相比，能在低温下氧化分解，燃料费可省1/2；装置占地面积小；</w:t>
                  </w:r>
                  <w:r>
                    <w:rPr>
                      <w:rFonts w:hint="eastAsia"/>
                      <w:color w:val="auto"/>
                      <w:sz w:val="18"/>
                      <w:szCs w:val="18"/>
                      <w:highlight w:val="none"/>
                    </w:rPr>
                    <w:t>无热力型氮氧化物</w:t>
                  </w:r>
                </w:p>
              </w:tc>
              <w:tc>
                <w:tcPr>
                  <w:tcW w:w="1083"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both"/>
                    <w:rPr>
                      <w:color w:val="auto"/>
                      <w:sz w:val="18"/>
                      <w:szCs w:val="18"/>
                      <w:highlight w:val="none"/>
                    </w:rPr>
                  </w:pPr>
                  <w:r>
                    <w:rPr>
                      <w:color w:val="auto"/>
                      <w:sz w:val="18"/>
                      <w:szCs w:val="18"/>
                      <w:highlight w:val="none"/>
                    </w:rPr>
                    <w:t>催化剂价格高，需考虑催化剂中毒和催化剂寿命；必须进行前处理除去尘埃等；催化剂和设备价格高</w:t>
                  </w:r>
                </w:p>
              </w:tc>
              <w:tc>
                <w:tcPr>
                  <w:tcW w:w="656"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both"/>
                    <w:rPr>
                      <w:color w:val="auto"/>
                      <w:sz w:val="18"/>
                      <w:szCs w:val="18"/>
                      <w:highlight w:val="none"/>
                    </w:rPr>
                  </w:pPr>
                  <w:r>
                    <w:rPr>
                      <w:color w:val="auto"/>
                      <w:sz w:val="18"/>
                      <w:szCs w:val="18"/>
                      <w:highlight w:val="none"/>
                    </w:rPr>
                    <w:t>适用于大风量，低浓度有机废气</w:t>
                  </w:r>
                </w:p>
              </w:tc>
              <w:tc>
                <w:tcPr>
                  <w:tcW w:w="529" w:type="pct"/>
                  <w:vMerge w:val="continue"/>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both"/>
                    <w:rPr>
                      <w:color w:val="auto"/>
                      <w:sz w:val="18"/>
                      <w:szCs w:val="18"/>
                      <w:highlight w:val="none"/>
                    </w:rPr>
                  </w:pPr>
                </w:p>
              </w:tc>
              <w:tc>
                <w:tcPr>
                  <w:tcW w:w="589"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center"/>
                    <w:rPr>
                      <w:color w:val="auto"/>
                      <w:sz w:val="18"/>
                      <w:szCs w:val="18"/>
                      <w:highlight w:val="none"/>
                    </w:rPr>
                  </w:pPr>
                  <w:r>
                    <w:rPr>
                      <w:rFonts w:hint="eastAsia"/>
                      <w:color w:val="auto"/>
                      <w:sz w:val="18"/>
                      <w:szCs w:val="18"/>
                      <w:highlight w:val="none"/>
                      <w:lang w:val="en-US" w:eastAsia="zh-CN"/>
                    </w:rPr>
                    <w:t>不适用</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445" w:hRule="atLeast"/>
                <w:jc w:val="center"/>
              </w:trPr>
              <w:tc>
                <w:tcPr>
                  <w:tcW w:w="23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color w:val="auto"/>
                      <w:sz w:val="18"/>
                      <w:szCs w:val="18"/>
                      <w:highlight w:val="none"/>
                    </w:rPr>
                  </w:pPr>
                  <w:r>
                    <w:rPr>
                      <w:color w:val="auto"/>
                      <w:sz w:val="18"/>
                      <w:szCs w:val="18"/>
                      <w:highlight w:val="none"/>
                    </w:rPr>
                    <w:t>RTO</w:t>
                  </w:r>
                </w:p>
              </w:tc>
              <w:tc>
                <w:tcPr>
                  <w:tcW w:w="956"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both"/>
                    <w:rPr>
                      <w:color w:val="auto"/>
                      <w:sz w:val="18"/>
                      <w:szCs w:val="18"/>
                      <w:highlight w:val="none"/>
                    </w:rPr>
                  </w:pPr>
                  <w:r>
                    <w:rPr>
                      <w:color w:val="auto"/>
                      <w:sz w:val="18"/>
                      <w:szCs w:val="18"/>
                      <w:highlight w:val="none"/>
                    </w:rPr>
                    <w:t>利用蓄热陶瓷加热进气，辅以燃烧器加热至设定温度（大于800℃）进行氧化分解，在高温下将废气中有机物（TVOC）氧化成对应CO</w:t>
                  </w:r>
                  <w:r>
                    <w:rPr>
                      <w:color w:val="auto"/>
                      <w:sz w:val="18"/>
                      <w:szCs w:val="18"/>
                      <w:highlight w:val="none"/>
                      <w:vertAlign w:val="subscript"/>
                    </w:rPr>
                    <w:t>2</w:t>
                  </w:r>
                  <w:r>
                    <w:rPr>
                      <w:color w:val="auto"/>
                      <w:sz w:val="18"/>
                      <w:szCs w:val="18"/>
                      <w:highlight w:val="none"/>
                    </w:rPr>
                    <w:t>和H</w:t>
                  </w:r>
                  <w:r>
                    <w:rPr>
                      <w:color w:val="auto"/>
                      <w:sz w:val="18"/>
                      <w:szCs w:val="18"/>
                      <w:highlight w:val="none"/>
                      <w:vertAlign w:val="subscript"/>
                    </w:rPr>
                    <w:t>2</w:t>
                  </w:r>
                  <w:r>
                    <w:rPr>
                      <w:color w:val="auto"/>
                      <w:sz w:val="18"/>
                      <w:szCs w:val="18"/>
                      <w:highlight w:val="none"/>
                    </w:rPr>
                    <w:t>O</w:t>
                  </w:r>
                </w:p>
              </w:tc>
              <w:tc>
                <w:tcPr>
                  <w:tcW w:w="946"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both"/>
                    <w:rPr>
                      <w:color w:val="auto"/>
                      <w:sz w:val="18"/>
                      <w:szCs w:val="18"/>
                      <w:highlight w:val="none"/>
                    </w:rPr>
                  </w:pPr>
                  <w:r>
                    <w:rPr>
                      <w:color w:val="auto"/>
                      <w:sz w:val="18"/>
                      <w:szCs w:val="18"/>
                      <w:highlight w:val="none"/>
                    </w:rPr>
                    <w:t>热回收效率高（＞90%），运行费用低；净化效率不低于98%</w:t>
                  </w:r>
                </w:p>
              </w:tc>
              <w:tc>
                <w:tcPr>
                  <w:tcW w:w="1083"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both"/>
                    <w:rPr>
                      <w:color w:val="auto"/>
                      <w:sz w:val="18"/>
                      <w:szCs w:val="18"/>
                      <w:highlight w:val="none"/>
                    </w:rPr>
                  </w:pPr>
                  <w:r>
                    <w:rPr>
                      <w:color w:val="auto"/>
                      <w:sz w:val="18"/>
                      <w:szCs w:val="18"/>
                      <w:highlight w:val="none"/>
                    </w:rPr>
                    <w:t>陶瓷蓄热体床层压大且易阻塞；低VOCs浓度时加料费用高；不适合处理易自聚化合物，其会发生自聚现象，产生高沸点交联物质，造成蓄热体堵塞；不适合处理硅烷类物质，燃烧生成固体尘灰会堵塞蓄热陶瓷或切换阀密封面</w:t>
                  </w:r>
                </w:p>
              </w:tc>
              <w:tc>
                <w:tcPr>
                  <w:tcW w:w="656"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both"/>
                    <w:rPr>
                      <w:color w:val="auto"/>
                      <w:sz w:val="18"/>
                      <w:szCs w:val="18"/>
                      <w:highlight w:val="none"/>
                    </w:rPr>
                  </w:pPr>
                  <w:r>
                    <w:rPr>
                      <w:color w:val="auto"/>
                      <w:sz w:val="18"/>
                      <w:szCs w:val="18"/>
                      <w:highlight w:val="none"/>
                    </w:rPr>
                    <w:t>适用于废气量大且浓度较高的可燃废气</w:t>
                  </w:r>
                </w:p>
              </w:tc>
              <w:tc>
                <w:tcPr>
                  <w:tcW w:w="529" w:type="pct"/>
                  <w:vMerge w:val="continue"/>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both"/>
                    <w:rPr>
                      <w:color w:val="auto"/>
                      <w:sz w:val="18"/>
                      <w:szCs w:val="18"/>
                      <w:highlight w:val="none"/>
                    </w:rPr>
                  </w:pPr>
                </w:p>
              </w:tc>
              <w:tc>
                <w:tcPr>
                  <w:tcW w:w="589"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center"/>
                    <w:rPr>
                      <w:color w:val="auto"/>
                      <w:sz w:val="18"/>
                      <w:szCs w:val="18"/>
                      <w:highlight w:val="none"/>
                    </w:rPr>
                  </w:pPr>
                  <w:r>
                    <w:rPr>
                      <w:rFonts w:hint="eastAsia"/>
                      <w:color w:val="auto"/>
                      <w:sz w:val="18"/>
                      <w:szCs w:val="18"/>
                      <w:highlight w:val="none"/>
                      <w:lang w:val="en-US" w:eastAsia="zh-CN"/>
                    </w:rPr>
                    <w:t>不适用</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3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color w:val="auto"/>
                      <w:sz w:val="18"/>
                      <w:szCs w:val="18"/>
                      <w:highlight w:val="none"/>
                    </w:rPr>
                  </w:pPr>
                  <w:r>
                    <w:rPr>
                      <w:color w:val="auto"/>
                      <w:sz w:val="18"/>
                      <w:szCs w:val="18"/>
                      <w:highlight w:val="none"/>
                    </w:rPr>
                    <w:t>吸</w:t>
                  </w:r>
                </w:p>
                <w:p>
                  <w:pPr>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color w:val="auto"/>
                      <w:sz w:val="18"/>
                      <w:szCs w:val="18"/>
                      <w:highlight w:val="none"/>
                    </w:rPr>
                  </w:pPr>
                  <w:r>
                    <w:rPr>
                      <w:color w:val="auto"/>
                      <w:sz w:val="18"/>
                      <w:szCs w:val="18"/>
                      <w:highlight w:val="none"/>
                    </w:rPr>
                    <w:t>收</w:t>
                  </w:r>
                </w:p>
                <w:p>
                  <w:pPr>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color w:val="auto"/>
                      <w:sz w:val="18"/>
                      <w:szCs w:val="18"/>
                      <w:highlight w:val="none"/>
                    </w:rPr>
                  </w:pPr>
                  <w:r>
                    <w:rPr>
                      <w:color w:val="auto"/>
                      <w:sz w:val="18"/>
                      <w:szCs w:val="18"/>
                      <w:highlight w:val="none"/>
                    </w:rPr>
                    <w:t>法</w:t>
                  </w:r>
                </w:p>
              </w:tc>
              <w:tc>
                <w:tcPr>
                  <w:tcW w:w="956"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both"/>
                    <w:rPr>
                      <w:color w:val="auto"/>
                      <w:sz w:val="18"/>
                      <w:szCs w:val="18"/>
                      <w:highlight w:val="none"/>
                    </w:rPr>
                  </w:pPr>
                  <w:r>
                    <w:rPr>
                      <w:color w:val="auto"/>
                      <w:sz w:val="18"/>
                      <w:szCs w:val="18"/>
                      <w:highlight w:val="none"/>
                    </w:rPr>
                    <w:t>液体作为吸收剂，使废气中有害气体被吸收剂所吸收从而达到净化</w:t>
                  </w:r>
                </w:p>
              </w:tc>
              <w:tc>
                <w:tcPr>
                  <w:tcW w:w="946"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both"/>
                    <w:rPr>
                      <w:color w:val="auto"/>
                      <w:sz w:val="18"/>
                      <w:szCs w:val="18"/>
                      <w:highlight w:val="none"/>
                    </w:rPr>
                  </w:pPr>
                  <w:r>
                    <w:rPr>
                      <w:color w:val="auto"/>
                      <w:sz w:val="18"/>
                      <w:szCs w:val="18"/>
                      <w:highlight w:val="none"/>
                    </w:rPr>
                    <w:t>设备费用低，运转费用少；无爆炸、火灾等危险，安全性高；适宜处理喷漆室和挥发室排出废气</w:t>
                  </w:r>
                </w:p>
              </w:tc>
              <w:tc>
                <w:tcPr>
                  <w:tcW w:w="1083"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both"/>
                    <w:rPr>
                      <w:color w:val="auto"/>
                      <w:sz w:val="18"/>
                      <w:szCs w:val="18"/>
                      <w:highlight w:val="none"/>
                    </w:rPr>
                  </w:pPr>
                  <w:r>
                    <w:rPr>
                      <w:color w:val="auto"/>
                      <w:sz w:val="18"/>
                      <w:szCs w:val="18"/>
                      <w:highlight w:val="none"/>
                    </w:rPr>
                    <w:t>需要对产生废水进行二次处理</w:t>
                  </w:r>
                </w:p>
              </w:tc>
              <w:tc>
                <w:tcPr>
                  <w:tcW w:w="656"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both"/>
                    <w:rPr>
                      <w:color w:val="auto"/>
                      <w:sz w:val="18"/>
                      <w:szCs w:val="18"/>
                      <w:highlight w:val="none"/>
                    </w:rPr>
                  </w:pPr>
                  <w:r>
                    <w:rPr>
                      <w:color w:val="auto"/>
                      <w:sz w:val="18"/>
                      <w:szCs w:val="18"/>
                      <w:highlight w:val="none"/>
                    </w:rPr>
                    <w:t>适用于高、低浓度有机废气</w:t>
                  </w:r>
                </w:p>
              </w:tc>
              <w:tc>
                <w:tcPr>
                  <w:tcW w:w="529" w:type="pct"/>
                  <w:vMerge w:val="continue"/>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both"/>
                    <w:rPr>
                      <w:color w:val="auto"/>
                      <w:sz w:val="18"/>
                      <w:szCs w:val="18"/>
                      <w:highlight w:val="none"/>
                    </w:rPr>
                  </w:pPr>
                </w:p>
              </w:tc>
              <w:tc>
                <w:tcPr>
                  <w:tcW w:w="589"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both"/>
                    <w:rPr>
                      <w:rFonts w:hint="default" w:eastAsia="宋体"/>
                      <w:color w:val="auto"/>
                      <w:sz w:val="18"/>
                      <w:szCs w:val="18"/>
                      <w:highlight w:val="none"/>
                      <w:lang w:val="en-US" w:eastAsia="zh-CN"/>
                    </w:rPr>
                  </w:pPr>
                  <w:r>
                    <w:rPr>
                      <w:rFonts w:hint="eastAsia"/>
                      <w:color w:val="auto"/>
                      <w:sz w:val="18"/>
                      <w:szCs w:val="18"/>
                      <w:highlight w:val="none"/>
                      <w:lang w:val="en-US" w:eastAsia="zh-CN"/>
                    </w:rPr>
                    <w:t>适合作为废气回收后的第二道工序，有效进一步降低废气浓度</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381" w:hRule="atLeast"/>
                <w:jc w:val="center"/>
              </w:trPr>
              <w:tc>
                <w:tcPr>
                  <w:tcW w:w="23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color w:val="auto"/>
                      <w:sz w:val="18"/>
                      <w:szCs w:val="18"/>
                      <w:highlight w:val="none"/>
                    </w:rPr>
                  </w:pPr>
                  <w:r>
                    <w:rPr>
                      <w:color w:val="auto"/>
                      <w:sz w:val="18"/>
                      <w:szCs w:val="18"/>
                      <w:highlight w:val="none"/>
                    </w:rPr>
                    <w:t>冷</w:t>
                  </w:r>
                </w:p>
                <w:p>
                  <w:pPr>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color w:val="auto"/>
                      <w:sz w:val="18"/>
                      <w:szCs w:val="18"/>
                      <w:highlight w:val="none"/>
                    </w:rPr>
                  </w:pPr>
                  <w:r>
                    <w:rPr>
                      <w:color w:val="auto"/>
                      <w:sz w:val="18"/>
                      <w:szCs w:val="18"/>
                      <w:highlight w:val="none"/>
                    </w:rPr>
                    <w:t>凝</w:t>
                  </w:r>
                </w:p>
                <w:p>
                  <w:pPr>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color w:val="auto"/>
                      <w:sz w:val="18"/>
                      <w:szCs w:val="18"/>
                      <w:highlight w:val="none"/>
                    </w:rPr>
                  </w:pPr>
                  <w:r>
                    <w:rPr>
                      <w:color w:val="auto"/>
                      <w:sz w:val="18"/>
                      <w:szCs w:val="18"/>
                      <w:highlight w:val="none"/>
                    </w:rPr>
                    <w:t>法</w:t>
                  </w:r>
                </w:p>
              </w:tc>
              <w:tc>
                <w:tcPr>
                  <w:tcW w:w="956"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both"/>
                    <w:rPr>
                      <w:color w:val="auto"/>
                      <w:sz w:val="18"/>
                      <w:szCs w:val="18"/>
                      <w:highlight w:val="none"/>
                    </w:rPr>
                  </w:pPr>
                  <w:r>
                    <w:rPr>
                      <w:color w:val="auto"/>
                      <w:sz w:val="18"/>
                      <w:szCs w:val="18"/>
                      <w:highlight w:val="none"/>
                    </w:rPr>
                    <w:t>降低有害气体的温度，能使其某些成分冷凝成液体的原理</w:t>
                  </w:r>
                </w:p>
              </w:tc>
              <w:tc>
                <w:tcPr>
                  <w:tcW w:w="946"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both"/>
                    <w:rPr>
                      <w:color w:val="auto"/>
                      <w:sz w:val="18"/>
                      <w:szCs w:val="18"/>
                      <w:highlight w:val="none"/>
                    </w:rPr>
                  </w:pPr>
                  <w:r>
                    <w:rPr>
                      <w:color w:val="auto"/>
                      <w:sz w:val="18"/>
                      <w:szCs w:val="18"/>
                      <w:highlight w:val="none"/>
                    </w:rPr>
                    <w:t>设备、操作条件简单，回收物质纯度高</w:t>
                  </w:r>
                </w:p>
              </w:tc>
              <w:tc>
                <w:tcPr>
                  <w:tcW w:w="1083"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both"/>
                    <w:rPr>
                      <w:color w:val="auto"/>
                      <w:sz w:val="18"/>
                      <w:szCs w:val="18"/>
                      <w:highlight w:val="none"/>
                    </w:rPr>
                  </w:pPr>
                  <w:r>
                    <w:rPr>
                      <w:rFonts w:hint="eastAsia"/>
                      <w:color w:val="auto"/>
                      <w:sz w:val="18"/>
                      <w:szCs w:val="18"/>
                      <w:highlight w:val="none"/>
                      <w:lang w:val="en-US" w:eastAsia="zh-CN"/>
                    </w:rPr>
                    <w:t>针对不同有机物</w:t>
                  </w:r>
                  <w:r>
                    <w:rPr>
                      <w:color w:val="auto"/>
                      <w:sz w:val="18"/>
                      <w:szCs w:val="18"/>
                      <w:highlight w:val="none"/>
                    </w:rPr>
                    <w:t>净化效率</w:t>
                  </w:r>
                  <w:r>
                    <w:rPr>
                      <w:rFonts w:hint="eastAsia"/>
                      <w:color w:val="auto"/>
                      <w:sz w:val="18"/>
                      <w:szCs w:val="18"/>
                      <w:highlight w:val="none"/>
                      <w:lang w:val="en-US" w:eastAsia="zh-CN"/>
                    </w:rPr>
                    <w:t>不同</w:t>
                  </w:r>
                </w:p>
              </w:tc>
              <w:tc>
                <w:tcPr>
                  <w:tcW w:w="656"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both"/>
                    <w:rPr>
                      <w:color w:val="auto"/>
                      <w:sz w:val="18"/>
                      <w:szCs w:val="18"/>
                      <w:highlight w:val="none"/>
                    </w:rPr>
                  </w:pPr>
                  <w:r>
                    <w:rPr>
                      <w:color w:val="auto"/>
                      <w:sz w:val="18"/>
                      <w:szCs w:val="18"/>
                      <w:highlight w:val="none"/>
                    </w:rPr>
                    <w:t>适用于组分单一的高浓度有机废气</w:t>
                  </w:r>
                </w:p>
              </w:tc>
              <w:tc>
                <w:tcPr>
                  <w:tcW w:w="529" w:type="pct"/>
                  <w:vMerge w:val="continue"/>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both"/>
                    <w:rPr>
                      <w:color w:val="auto"/>
                      <w:sz w:val="18"/>
                      <w:szCs w:val="18"/>
                      <w:highlight w:val="none"/>
                    </w:rPr>
                  </w:pPr>
                </w:p>
              </w:tc>
              <w:tc>
                <w:tcPr>
                  <w:tcW w:w="589"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both"/>
                    <w:rPr>
                      <w:rFonts w:hint="default" w:eastAsia="宋体"/>
                      <w:color w:val="auto"/>
                      <w:sz w:val="18"/>
                      <w:szCs w:val="18"/>
                      <w:highlight w:val="none"/>
                      <w:lang w:val="en-US" w:eastAsia="zh-CN"/>
                    </w:rPr>
                  </w:pPr>
                  <w:r>
                    <w:rPr>
                      <w:rFonts w:hint="eastAsia"/>
                      <w:color w:val="auto"/>
                      <w:sz w:val="18"/>
                      <w:szCs w:val="18"/>
                      <w:highlight w:val="none"/>
                      <w:lang w:val="en-US" w:eastAsia="zh-CN"/>
                    </w:rPr>
                    <w:t>适合作为本项目废气处理第一道工序，对高浓度的溶剂废气进行回收</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3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color w:val="auto"/>
                      <w:sz w:val="18"/>
                      <w:szCs w:val="18"/>
                      <w:highlight w:val="none"/>
                    </w:rPr>
                  </w:pPr>
                  <w:r>
                    <w:rPr>
                      <w:color w:val="auto"/>
                      <w:sz w:val="18"/>
                      <w:szCs w:val="18"/>
                      <w:highlight w:val="none"/>
                    </w:rPr>
                    <w:t>UV</w:t>
                  </w:r>
                </w:p>
                <w:p>
                  <w:pPr>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color w:val="auto"/>
                      <w:sz w:val="18"/>
                      <w:szCs w:val="18"/>
                      <w:highlight w:val="none"/>
                    </w:rPr>
                  </w:pPr>
                  <w:r>
                    <w:rPr>
                      <w:color w:val="auto"/>
                      <w:sz w:val="18"/>
                      <w:szCs w:val="18"/>
                      <w:highlight w:val="none"/>
                    </w:rPr>
                    <w:t>催</w:t>
                  </w:r>
                </w:p>
                <w:p>
                  <w:pPr>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color w:val="auto"/>
                      <w:sz w:val="18"/>
                      <w:szCs w:val="18"/>
                      <w:highlight w:val="none"/>
                    </w:rPr>
                  </w:pPr>
                  <w:r>
                    <w:rPr>
                      <w:color w:val="auto"/>
                      <w:sz w:val="18"/>
                      <w:szCs w:val="18"/>
                      <w:highlight w:val="none"/>
                    </w:rPr>
                    <w:t>化</w:t>
                  </w:r>
                </w:p>
                <w:p>
                  <w:pPr>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color w:val="auto"/>
                      <w:sz w:val="18"/>
                      <w:szCs w:val="18"/>
                      <w:highlight w:val="none"/>
                    </w:rPr>
                  </w:pPr>
                  <w:r>
                    <w:rPr>
                      <w:color w:val="auto"/>
                      <w:sz w:val="18"/>
                      <w:szCs w:val="18"/>
                      <w:highlight w:val="none"/>
                    </w:rPr>
                    <w:t>氧</w:t>
                  </w:r>
                </w:p>
                <w:p>
                  <w:pPr>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color w:val="auto"/>
                      <w:sz w:val="18"/>
                      <w:szCs w:val="18"/>
                      <w:highlight w:val="none"/>
                    </w:rPr>
                  </w:pPr>
                  <w:r>
                    <w:rPr>
                      <w:color w:val="auto"/>
                      <w:sz w:val="18"/>
                      <w:szCs w:val="18"/>
                      <w:highlight w:val="none"/>
                    </w:rPr>
                    <w:t>化</w:t>
                  </w:r>
                </w:p>
              </w:tc>
              <w:tc>
                <w:tcPr>
                  <w:tcW w:w="956"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both"/>
                    <w:rPr>
                      <w:color w:val="auto"/>
                      <w:sz w:val="18"/>
                      <w:szCs w:val="18"/>
                      <w:highlight w:val="none"/>
                    </w:rPr>
                  </w:pPr>
                  <w:r>
                    <w:rPr>
                      <w:color w:val="auto"/>
                      <w:sz w:val="18"/>
                      <w:szCs w:val="18"/>
                      <w:highlight w:val="none"/>
                    </w:rPr>
                    <w:t>采用高能UV紫外线，在光解净化设备内，裂解氧化VOCs物质分子链，改变物质结构，将高分子污染物质裂解、氧化为低分子无害物质</w:t>
                  </w:r>
                </w:p>
              </w:tc>
              <w:tc>
                <w:tcPr>
                  <w:tcW w:w="946"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both"/>
                    <w:rPr>
                      <w:color w:val="auto"/>
                      <w:sz w:val="18"/>
                      <w:szCs w:val="18"/>
                      <w:highlight w:val="none"/>
                    </w:rPr>
                  </w:pPr>
                  <w:r>
                    <w:rPr>
                      <w:color w:val="auto"/>
                      <w:sz w:val="18"/>
                      <w:szCs w:val="18"/>
                      <w:highlight w:val="none"/>
                    </w:rPr>
                    <w:t>设备费用低，运转费用少；无爆炸、火灾等危险，安全性高；适宜处理喷漆室和挥发室排出废气</w:t>
                  </w:r>
                </w:p>
              </w:tc>
              <w:tc>
                <w:tcPr>
                  <w:tcW w:w="1083"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both"/>
                    <w:rPr>
                      <w:color w:val="auto"/>
                      <w:sz w:val="18"/>
                      <w:szCs w:val="18"/>
                      <w:highlight w:val="none"/>
                    </w:rPr>
                  </w:pPr>
                  <w:r>
                    <w:rPr>
                      <w:color w:val="auto"/>
                      <w:sz w:val="18"/>
                      <w:szCs w:val="18"/>
                      <w:highlight w:val="none"/>
                    </w:rPr>
                    <w:t>处理效率低</w:t>
                  </w:r>
                </w:p>
              </w:tc>
              <w:tc>
                <w:tcPr>
                  <w:tcW w:w="656"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both"/>
                    <w:rPr>
                      <w:color w:val="auto"/>
                      <w:sz w:val="18"/>
                      <w:szCs w:val="18"/>
                      <w:highlight w:val="none"/>
                    </w:rPr>
                  </w:pPr>
                  <w:r>
                    <w:rPr>
                      <w:color w:val="auto"/>
                      <w:sz w:val="18"/>
                      <w:szCs w:val="18"/>
                      <w:highlight w:val="none"/>
                    </w:rPr>
                    <w:t>适用常温、低浓度、废气量较小时的废气治理</w:t>
                  </w:r>
                </w:p>
              </w:tc>
              <w:tc>
                <w:tcPr>
                  <w:tcW w:w="529" w:type="pct"/>
                  <w:vMerge w:val="continue"/>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both"/>
                    <w:rPr>
                      <w:color w:val="auto"/>
                      <w:sz w:val="18"/>
                      <w:szCs w:val="18"/>
                      <w:highlight w:val="none"/>
                    </w:rPr>
                  </w:pPr>
                </w:p>
              </w:tc>
              <w:tc>
                <w:tcPr>
                  <w:tcW w:w="589"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center"/>
                    <w:rPr>
                      <w:color w:val="auto"/>
                      <w:sz w:val="18"/>
                      <w:szCs w:val="18"/>
                      <w:highlight w:val="none"/>
                    </w:rPr>
                  </w:pPr>
                  <w:r>
                    <w:rPr>
                      <w:rFonts w:hint="eastAsia"/>
                      <w:color w:val="auto"/>
                      <w:sz w:val="18"/>
                      <w:szCs w:val="18"/>
                      <w:highlight w:val="none"/>
                      <w:lang w:val="en-US" w:eastAsia="zh-CN"/>
                    </w:rPr>
                    <w:t>不适用</w:t>
                  </w:r>
                </w:p>
              </w:tc>
            </w:tr>
          </w:tbl>
          <w:p>
            <w:pPr>
              <w:spacing w:line="360" w:lineRule="auto"/>
              <w:ind w:firstLine="420" w:firstLineChars="200"/>
              <w:jc w:val="left"/>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本项目废气组分单一，浓度高，回收价值高</w:t>
            </w:r>
            <w:r>
              <w:rPr>
                <w:rFonts w:hint="eastAsia" w:cs="Times New Roman"/>
                <w:color w:val="auto"/>
                <w:szCs w:val="21"/>
                <w:lang w:eastAsia="zh-CN"/>
              </w:rPr>
              <w:t>，</w:t>
            </w:r>
            <w:r>
              <w:rPr>
                <w:rFonts w:hint="eastAsia" w:cs="Times New Roman"/>
                <w:color w:val="auto"/>
                <w:szCs w:val="21"/>
                <w:lang w:val="en-US" w:eastAsia="zh-CN"/>
              </w:rPr>
              <w:t>因此</w:t>
            </w:r>
            <w:r>
              <w:rPr>
                <w:rFonts w:hint="eastAsia" w:ascii="Times New Roman" w:hAnsi="Times New Roman" w:eastAsia="宋体" w:cs="Times New Roman"/>
                <w:color w:val="auto"/>
                <w:szCs w:val="21"/>
              </w:rPr>
              <w:t>采用“二级冷凝+一级循环水喷淋+活性炭”组合工艺，可有效回收</w:t>
            </w:r>
            <w:r>
              <w:rPr>
                <w:rFonts w:hint="eastAsia" w:ascii="Times New Roman" w:hAnsi="Times New Roman" w:eastAsia="宋体" w:cs="Times New Roman"/>
                <w:color w:val="auto"/>
                <w:szCs w:val="21"/>
                <w:lang w:val="en-US" w:eastAsia="zh-CN"/>
              </w:rPr>
              <w:t>处理</w:t>
            </w:r>
            <w:r>
              <w:rPr>
                <w:rFonts w:hint="eastAsia" w:ascii="Times New Roman" w:hAnsi="Times New Roman" w:eastAsia="宋体" w:cs="Times New Roman"/>
                <w:color w:val="auto"/>
                <w:szCs w:val="21"/>
              </w:rPr>
              <w:t>有机废气。</w:t>
            </w:r>
          </w:p>
          <w:p>
            <w:pPr>
              <w:spacing w:line="360" w:lineRule="auto"/>
              <w:ind w:firstLine="420" w:firstLineChars="200"/>
              <w:jc w:val="left"/>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废气处理原理：</w:t>
            </w:r>
          </w:p>
          <w:p>
            <w:pPr>
              <w:spacing w:line="360" w:lineRule="auto"/>
              <w:ind w:firstLine="420" w:firstLineChars="200"/>
              <w:jc w:val="left"/>
              <w:rPr>
                <w:color w:val="auto"/>
                <w:szCs w:val="21"/>
              </w:rPr>
            </w:pPr>
            <w:r>
              <w:rPr>
                <w:rFonts w:hint="eastAsia"/>
                <w:color w:val="auto"/>
                <w:szCs w:val="21"/>
              </w:rPr>
              <w:t>G1废气由风机引入二级冷凝器。冷却水在管内流动，高温废气在管外流经翅片表面，热量由废气传递给翅片，翅片再传递给管内冷却水。冷却水吸收热量后温度升高，流出冷凝器进入冷却水塔降温，降温后循环回流冷凝器继续使用。</w:t>
            </w:r>
            <w:r>
              <w:rPr>
                <w:rFonts w:hint="eastAsia"/>
                <w:color w:val="auto"/>
                <w:szCs w:val="21"/>
                <w:lang w:eastAsia="zh-CN"/>
              </w:rPr>
              <w:t>溶剂</w:t>
            </w:r>
            <w:r>
              <w:rPr>
                <w:rFonts w:hint="eastAsia"/>
                <w:color w:val="auto"/>
                <w:szCs w:val="21"/>
              </w:rPr>
              <w:t>废气经过二级冷凝逐步降温，利用其沸点较高、易冷凝的特性</w:t>
            </w:r>
            <w:r>
              <w:rPr>
                <w:rFonts w:hint="eastAsia"/>
                <w:color w:val="auto"/>
                <w:szCs w:val="21"/>
                <w:lang w:val="en-US" w:eastAsia="zh-CN"/>
              </w:rPr>
              <w:t>，</w:t>
            </w:r>
            <w:r>
              <w:rPr>
                <w:rFonts w:hint="eastAsia"/>
                <w:color w:val="auto"/>
                <w:szCs w:val="21"/>
              </w:rPr>
              <w:t>有90%以上的</w:t>
            </w:r>
            <w:r>
              <w:rPr>
                <w:rFonts w:hint="eastAsia"/>
                <w:color w:val="auto"/>
                <w:szCs w:val="21"/>
                <w:lang w:eastAsia="zh-CN"/>
              </w:rPr>
              <w:t>溶剂</w:t>
            </w:r>
            <w:r>
              <w:rPr>
                <w:rFonts w:hint="eastAsia"/>
                <w:color w:val="auto"/>
                <w:szCs w:val="21"/>
              </w:rPr>
              <w:t>被冷凝回收，实现废气中</w:t>
            </w:r>
            <w:r>
              <w:rPr>
                <w:rFonts w:hint="eastAsia"/>
                <w:color w:val="auto"/>
                <w:szCs w:val="21"/>
                <w:lang w:eastAsia="zh-CN"/>
              </w:rPr>
              <w:t>溶剂</w:t>
            </w:r>
            <w:r>
              <w:rPr>
                <w:rFonts w:hint="eastAsia"/>
                <w:color w:val="auto"/>
                <w:szCs w:val="21"/>
              </w:rPr>
              <w:t>的高效分离与回收。冷凝器示意图如下。</w:t>
            </w:r>
          </w:p>
          <w:p>
            <w:pPr>
              <w:spacing w:line="360" w:lineRule="auto"/>
              <w:jc w:val="center"/>
              <w:rPr>
                <w:color w:val="auto"/>
              </w:rPr>
            </w:pPr>
            <w:r>
              <w:rPr>
                <w:color w:val="auto"/>
              </w:rPr>
              <w:drawing>
                <wp:inline distT="0" distB="0" distL="114300" distR="114300">
                  <wp:extent cx="3180080" cy="2515870"/>
                  <wp:effectExtent l="0" t="0" r="1270" b="17780"/>
                  <wp:docPr id="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pic:cNvPicPr>
                            <a:picLocks noChangeAspect="1"/>
                          </pic:cNvPicPr>
                        </pic:nvPicPr>
                        <pic:blipFill>
                          <a:blip r:embed="rId11"/>
                          <a:stretch>
                            <a:fillRect/>
                          </a:stretch>
                        </pic:blipFill>
                        <pic:spPr>
                          <a:xfrm>
                            <a:off x="0" y="0"/>
                            <a:ext cx="3180080" cy="2515870"/>
                          </a:xfrm>
                          <a:prstGeom prst="rect">
                            <a:avLst/>
                          </a:prstGeom>
                          <a:noFill/>
                          <a:ln>
                            <a:noFill/>
                          </a:ln>
                        </pic:spPr>
                      </pic:pic>
                    </a:graphicData>
                  </a:graphic>
                </wp:inline>
              </w:drawing>
            </w:r>
          </w:p>
          <w:p>
            <w:pPr>
              <w:spacing w:line="360" w:lineRule="auto"/>
              <w:jc w:val="center"/>
              <w:rPr>
                <w:rFonts w:hint="eastAsia"/>
                <w:b/>
                <w:color w:val="auto"/>
                <w:lang w:val="en-US" w:eastAsia="zh-CN"/>
              </w:rPr>
            </w:pPr>
            <w:r>
              <w:rPr>
                <w:rFonts w:hint="eastAsia"/>
                <w:b/>
                <w:color w:val="auto"/>
                <w:lang w:val="en-US" w:eastAsia="zh-CN"/>
              </w:rPr>
              <w:t>图4-2  冷凝回收示意图</w:t>
            </w:r>
          </w:p>
          <w:p>
            <w:pPr>
              <w:spacing w:line="360" w:lineRule="auto"/>
              <w:ind w:firstLine="420" w:firstLineChars="200"/>
              <w:jc w:val="left"/>
              <w:rPr>
                <w:rFonts w:hint="eastAsia" w:ascii="Times New Roman" w:hAnsi="Times New Roman" w:eastAsia="宋体" w:cs="Times New Roman"/>
                <w:color w:val="auto"/>
                <w:szCs w:val="21"/>
              </w:rPr>
            </w:pPr>
            <w:r>
              <w:rPr>
                <w:rFonts w:hint="default" w:ascii="Times New Roman" w:hAnsi="Times New Roman" w:eastAsia="宋体" w:cs="Times New Roman"/>
                <w:color w:val="auto"/>
                <w:szCs w:val="21"/>
              </w:rPr>
              <w:t>废气经二级冷凝后，进入一级循环水喷淋系统处理。喷淋吸收是处理水溶性有机废气的常用方法。</w:t>
            </w:r>
            <w:r>
              <w:rPr>
                <w:rFonts w:hint="eastAsia" w:cs="Times New Roman"/>
                <w:color w:val="auto"/>
                <w:szCs w:val="21"/>
                <w:lang w:eastAsia="zh-CN"/>
              </w:rPr>
              <w:t>溶剂</w:t>
            </w:r>
            <w:r>
              <w:rPr>
                <w:rFonts w:hint="default" w:ascii="Times New Roman" w:hAnsi="Times New Roman" w:eastAsia="宋体" w:cs="Times New Roman"/>
                <w:color w:val="auto"/>
                <w:szCs w:val="21"/>
              </w:rPr>
              <w:t>可与水任意比例混溶，易于被水吸收。</w:t>
            </w:r>
          </w:p>
          <w:p>
            <w:pPr>
              <w:spacing w:line="360" w:lineRule="auto"/>
              <w:ind w:firstLine="420" w:firstLineChars="200"/>
              <w:jc w:val="left"/>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喷淋塔内，废气自下而上穿过填料层，循环水自上而下喷淋，在填料表面形成液膜，气液充分接触，</w:t>
            </w:r>
            <w:r>
              <w:rPr>
                <w:rFonts w:hint="eastAsia" w:cs="Times New Roman"/>
                <w:color w:val="auto"/>
                <w:szCs w:val="21"/>
                <w:lang w:eastAsia="zh-CN"/>
              </w:rPr>
              <w:t>溶剂</w:t>
            </w:r>
            <w:r>
              <w:rPr>
                <w:rFonts w:hint="default" w:ascii="Times New Roman" w:hAnsi="Times New Roman" w:eastAsia="宋体" w:cs="Times New Roman"/>
                <w:color w:val="auto"/>
                <w:szCs w:val="21"/>
              </w:rPr>
              <w:t>被水吸收。吸收后的水回流至塔底循环使用。一级水喷淋对</w:t>
            </w:r>
            <w:r>
              <w:rPr>
                <w:rFonts w:hint="eastAsia" w:cs="Times New Roman"/>
                <w:color w:val="auto"/>
                <w:szCs w:val="21"/>
                <w:lang w:eastAsia="zh-CN"/>
              </w:rPr>
              <w:t>溶剂</w:t>
            </w:r>
            <w:r>
              <w:rPr>
                <w:rFonts w:hint="default" w:ascii="Times New Roman" w:hAnsi="Times New Roman" w:eastAsia="宋体" w:cs="Times New Roman"/>
                <w:color w:val="auto"/>
                <w:szCs w:val="21"/>
              </w:rPr>
              <w:t>去除率约90%，但循环水使用多次后效率下降，需定期更换。</w:t>
            </w:r>
          </w:p>
          <w:p>
            <w:pPr>
              <w:spacing w:line="360" w:lineRule="auto"/>
              <w:ind w:firstLine="420" w:firstLineChars="200"/>
              <w:jc w:val="left"/>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根据物料衡算，每年有27.4吨</w:t>
            </w:r>
            <w:r>
              <w:rPr>
                <w:rFonts w:hint="eastAsia" w:cs="Times New Roman"/>
                <w:color w:val="auto"/>
                <w:szCs w:val="21"/>
                <w:lang w:eastAsia="zh-CN"/>
              </w:rPr>
              <w:t>溶剂</w:t>
            </w:r>
            <w:r>
              <w:rPr>
                <w:rFonts w:hint="default" w:ascii="Times New Roman" w:hAnsi="Times New Roman" w:eastAsia="宋体" w:cs="Times New Roman"/>
                <w:color w:val="auto"/>
                <w:szCs w:val="21"/>
              </w:rPr>
              <w:t>进入喷淋水。喷淋塔年用水150吨，年产生废水177.4吨。平均每20天更换一次喷淋水（年工作300天，更换15次），单次废水量11.83吨</w:t>
            </w:r>
            <w:r>
              <w:rPr>
                <w:rFonts w:hint="eastAsia" w:cs="Times New Roman"/>
                <w:color w:val="auto"/>
                <w:szCs w:val="21"/>
                <w:lang w:eastAsia="zh-CN"/>
              </w:rPr>
              <w:t>溶剂</w:t>
            </w:r>
            <w:r>
              <w:rPr>
                <w:rFonts w:hint="default" w:ascii="Times New Roman" w:hAnsi="Times New Roman" w:eastAsia="宋体" w:cs="Times New Roman"/>
                <w:color w:val="auto"/>
                <w:szCs w:val="21"/>
              </w:rPr>
              <w:t>浓度约15%（约1.78吨/次）。此更换周期可有效保证去除效率。</w:t>
            </w:r>
          </w:p>
          <w:p>
            <w:pPr>
              <w:spacing w:line="360" w:lineRule="auto"/>
              <w:ind w:firstLine="420" w:firstLineChars="200"/>
              <w:jc w:val="left"/>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一级循环水喷淋示意图如下。</w:t>
            </w:r>
          </w:p>
          <w:p>
            <w:pPr>
              <w:spacing w:line="360" w:lineRule="auto"/>
              <w:jc w:val="center"/>
              <w:rPr>
                <w:color w:val="auto"/>
              </w:rPr>
            </w:pPr>
            <w:r>
              <w:rPr>
                <w:color w:val="auto"/>
              </w:rPr>
              <w:drawing>
                <wp:inline distT="0" distB="0" distL="114300" distR="114300">
                  <wp:extent cx="3243580" cy="3954780"/>
                  <wp:effectExtent l="0" t="0" r="13970" b="7620"/>
                  <wp:docPr id="1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5"/>
                          <pic:cNvPicPr>
                            <a:picLocks noChangeAspect="1"/>
                          </pic:cNvPicPr>
                        </pic:nvPicPr>
                        <pic:blipFill>
                          <a:blip r:embed="rId12"/>
                          <a:srcRect r="1339"/>
                          <a:stretch>
                            <a:fillRect/>
                          </a:stretch>
                        </pic:blipFill>
                        <pic:spPr>
                          <a:xfrm>
                            <a:off x="0" y="0"/>
                            <a:ext cx="3243580" cy="3954780"/>
                          </a:xfrm>
                          <a:prstGeom prst="rect">
                            <a:avLst/>
                          </a:prstGeom>
                          <a:noFill/>
                          <a:ln>
                            <a:noFill/>
                          </a:ln>
                        </pic:spPr>
                      </pic:pic>
                    </a:graphicData>
                  </a:graphic>
                </wp:inline>
              </w:drawing>
            </w:r>
          </w:p>
          <w:p>
            <w:pPr>
              <w:spacing w:line="360" w:lineRule="auto"/>
              <w:jc w:val="center"/>
              <w:rPr>
                <w:rFonts w:hint="default" w:eastAsia="宋体"/>
                <w:b/>
                <w:color w:val="auto"/>
                <w:lang w:val="en-US" w:eastAsia="zh-CN"/>
              </w:rPr>
            </w:pPr>
            <w:r>
              <w:rPr>
                <w:rFonts w:hint="eastAsia"/>
                <w:b/>
                <w:color w:val="auto"/>
                <w:lang w:val="en-US" w:eastAsia="zh-CN"/>
              </w:rPr>
              <w:t>图4-3  水喷淋示意图</w:t>
            </w:r>
          </w:p>
          <w:p>
            <w:pPr>
              <w:spacing w:line="360" w:lineRule="auto"/>
              <w:ind w:firstLine="420" w:firstLineChars="200"/>
              <w:jc w:val="left"/>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废气经二级冷凝和一级水喷淋处理后，进入活性炭吸附系统进一步净化。该系统利用活性炭纤维的表面吸附作用，将废气中残留的</w:t>
            </w:r>
            <w:r>
              <w:rPr>
                <w:rFonts w:hint="eastAsia" w:cs="Times New Roman"/>
                <w:color w:val="auto"/>
                <w:szCs w:val="21"/>
                <w:lang w:eastAsia="zh-CN"/>
              </w:rPr>
              <w:t>溶剂</w:t>
            </w:r>
            <w:r>
              <w:rPr>
                <w:rFonts w:hint="default" w:ascii="Times New Roman" w:hAnsi="Times New Roman" w:eastAsia="宋体" w:cs="Times New Roman"/>
                <w:color w:val="auto"/>
                <w:szCs w:val="21"/>
              </w:rPr>
              <w:t>分子吸附去除，净化后的气体经排气筒排放。</w:t>
            </w:r>
          </w:p>
          <w:p>
            <w:pPr>
              <w:spacing w:line="360" w:lineRule="auto"/>
              <w:ind w:firstLine="420" w:firstLineChars="200"/>
              <w:rPr>
                <w:color w:val="auto"/>
                <w:szCs w:val="21"/>
              </w:rPr>
            </w:pPr>
            <w:r>
              <w:rPr>
                <w:rFonts w:hint="default" w:ascii="Times New Roman" w:hAnsi="Times New Roman" w:eastAsia="宋体" w:cs="Times New Roman"/>
                <w:color w:val="auto"/>
                <w:szCs w:val="21"/>
              </w:rPr>
              <w:t>活性炭会随运行时间延长逐渐饱和，需定期更换。根据本项目</w:t>
            </w:r>
            <w:r>
              <w:rPr>
                <w:rFonts w:hint="eastAsia" w:cs="Times New Roman"/>
                <w:color w:val="auto"/>
                <w:szCs w:val="21"/>
                <w:lang w:eastAsia="zh-CN"/>
              </w:rPr>
              <w:t>溶剂</w:t>
            </w:r>
            <w:r>
              <w:rPr>
                <w:rFonts w:hint="default" w:ascii="Times New Roman" w:hAnsi="Times New Roman" w:eastAsia="宋体" w:cs="Times New Roman"/>
                <w:color w:val="auto"/>
                <w:szCs w:val="21"/>
              </w:rPr>
              <w:t>的分子量和沸点较高的情况，活性炭吸附容量取30%，去除效率取30%。物料衡算显示，进入活性炭吸附装置的量为0.82 t/a，按吸附容量30%计算，需活性炭填充量约2.73 t/a。饱和后，废活性炭（含吸附的</w:t>
            </w:r>
            <w:r>
              <w:rPr>
                <w:rFonts w:hint="eastAsia" w:cs="Times New Roman"/>
                <w:color w:val="auto"/>
                <w:szCs w:val="21"/>
                <w:lang w:eastAsia="zh-CN"/>
              </w:rPr>
              <w:t>溶剂</w:t>
            </w:r>
            <w:r>
              <w:rPr>
                <w:rFonts w:hint="default" w:ascii="Times New Roman" w:hAnsi="Times New Roman" w:eastAsia="宋体" w:cs="Times New Roman"/>
                <w:color w:val="auto"/>
                <w:szCs w:val="21"/>
              </w:rPr>
              <w:t>）产生量约3.57 t/a。定期更换可确保尾气持续达标。活性炭吸附系统示意图如下。</w:t>
            </w:r>
          </w:p>
          <w:p>
            <w:pPr>
              <w:spacing w:line="360" w:lineRule="auto"/>
              <w:jc w:val="center"/>
              <w:rPr>
                <w:color w:val="auto"/>
              </w:rPr>
            </w:pPr>
            <w:r>
              <w:rPr>
                <w:color w:val="auto"/>
              </w:rPr>
              <w:drawing>
                <wp:inline distT="0" distB="0" distL="114300" distR="114300">
                  <wp:extent cx="3549015" cy="1970405"/>
                  <wp:effectExtent l="0" t="0" r="13335" b="10795"/>
                  <wp:docPr id="1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6"/>
                          <pic:cNvPicPr>
                            <a:picLocks noChangeAspect="1"/>
                          </pic:cNvPicPr>
                        </pic:nvPicPr>
                        <pic:blipFill>
                          <a:blip r:embed="rId13"/>
                          <a:stretch>
                            <a:fillRect/>
                          </a:stretch>
                        </pic:blipFill>
                        <pic:spPr>
                          <a:xfrm>
                            <a:off x="0" y="0"/>
                            <a:ext cx="3549015" cy="1970405"/>
                          </a:xfrm>
                          <a:prstGeom prst="rect">
                            <a:avLst/>
                          </a:prstGeom>
                          <a:noFill/>
                          <a:ln>
                            <a:noFill/>
                          </a:ln>
                        </pic:spPr>
                      </pic:pic>
                    </a:graphicData>
                  </a:graphic>
                </wp:inline>
              </w:drawing>
            </w:r>
          </w:p>
          <w:p>
            <w:pPr>
              <w:spacing w:line="360" w:lineRule="auto"/>
              <w:jc w:val="center"/>
              <w:rPr>
                <w:rFonts w:hint="eastAsia"/>
                <w:b/>
                <w:color w:val="auto"/>
                <w:lang w:val="en-US" w:eastAsia="zh-CN"/>
              </w:rPr>
            </w:pPr>
            <w:r>
              <w:rPr>
                <w:rFonts w:hint="eastAsia"/>
                <w:b/>
                <w:color w:val="auto"/>
                <w:lang w:val="en-US" w:eastAsia="zh-CN"/>
              </w:rPr>
              <w:t>图4-4  活性炭吸附示意图</w:t>
            </w:r>
          </w:p>
          <w:p>
            <w:pPr>
              <w:spacing w:before="194" w:beforeLines="50"/>
              <w:jc w:val="center"/>
              <w:outlineLvl w:val="5"/>
              <w:rPr>
                <w:rFonts w:hint="default" w:eastAsia="宋体"/>
                <w:b/>
                <w:color w:val="auto"/>
                <w:lang w:val="en-US" w:eastAsia="zh-CN"/>
              </w:rPr>
            </w:pPr>
            <w:r>
              <w:rPr>
                <w:rFonts w:hint="default" w:eastAsia="宋体" w:cs="Times New Roman"/>
                <w:b/>
                <w:color w:val="auto"/>
                <w:spacing w:val="0"/>
                <w:sz w:val="21"/>
                <w:szCs w:val="21"/>
                <w:lang w:val="en-US" w:eastAsia="zh-CN"/>
              </w:rPr>
              <w:t>表</w:t>
            </w:r>
            <w:r>
              <w:rPr>
                <w:rFonts w:hint="eastAsia" w:eastAsia="宋体" w:cs="Times New Roman"/>
                <w:b/>
                <w:color w:val="auto"/>
                <w:spacing w:val="0"/>
                <w:sz w:val="21"/>
                <w:szCs w:val="21"/>
                <w:lang w:val="en-US" w:eastAsia="zh-CN"/>
              </w:rPr>
              <w:t>4</w:t>
            </w:r>
            <w:r>
              <w:rPr>
                <w:rFonts w:hint="default" w:eastAsia="宋体" w:cs="Times New Roman"/>
                <w:b/>
                <w:color w:val="auto"/>
                <w:spacing w:val="0"/>
                <w:sz w:val="21"/>
                <w:szCs w:val="21"/>
                <w:lang w:val="en-US" w:eastAsia="zh-CN"/>
              </w:rPr>
              <w:t>-1</w:t>
            </w:r>
            <w:r>
              <w:rPr>
                <w:rFonts w:hint="eastAsia" w:eastAsia="宋体" w:cs="Times New Roman"/>
                <w:b/>
                <w:color w:val="auto"/>
                <w:spacing w:val="0"/>
                <w:sz w:val="21"/>
                <w:szCs w:val="21"/>
                <w:lang w:val="en-US" w:eastAsia="zh-CN"/>
              </w:rPr>
              <w:t>1</w:t>
            </w:r>
            <w:r>
              <w:rPr>
                <w:rFonts w:hint="default" w:eastAsia="宋体" w:cs="Times New Roman"/>
                <w:b/>
                <w:color w:val="auto"/>
                <w:spacing w:val="0"/>
                <w:sz w:val="21"/>
                <w:szCs w:val="21"/>
                <w:lang w:val="en-US" w:eastAsia="zh-CN"/>
              </w:rPr>
              <w:t xml:space="preserve">  </w:t>
            </w:r>
            <w:r>
              <w:rPr>
                <w:rFonts w:hint="eastAsia" w:eastAsia="宋体" w:cs="Times New Roman"/>
                <w:b/>
                <w:color w:val="auto"/>
                <w:spacing w:val="0"/>
                <w:sz w:val="21"/>
                <w:szCs w:val="21"/>
                <w:lang w:val="en-US" w:eastAsia="zh-CN"/>
              </w:rPr>
              <w:t>相关排污许可证可行性技术</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pPr>
                    <w:jc w:val="center"/>
                    <w:rPr>
                      <w:rFonts w:hint="default" w:eastAsiaTheme="minorEastAsia"/>
                      <w:b/>
                      <w:bCs/>
                      <w:color w:val="auto"/>
                      <w:sz w:val="18"/>
                      <w:szCs w:val="18"/>
                      <w:vertAlign w:val="baseline"/>
                      <w:lang w:val="en-US" w:eastAsia="zh-CN"/>
                    </w:rPr>
                  </w:pPr>
                  <w:r>
                    <w:rPr>
                      <w:rFonts w:hint="eastAsia"/>
                      <w:b/>
                      <w:bCs/>
                      <w:color w:val="auto"/>
                      <w:sz w:val="18"/>
                      <w:szCs w:val="18"/>
                      <w:vertAlign w:val="baseline"/>
                      <w:lang w:val="en-US" w:eastAsia="zh-CN"/>
                    </w:rPr>
                    <w:t>产排污环节</w:t>
                  </w:r>
                </w:p>
              </w:tc>
              <w:tc>
                <w:tcPr>
                  <w:tcW w:w="2841" w:type="dxa"/>
                  <w:vAlign w:val="center"/>
                </w:tcPr>
                <w:p>
                  <w:pPr>
                    <w:jc w:val="center"/>
                    <w:rPr>
                      <w:rFonts w:hint="default" w:eastAsiaTheme="minorEastAsia"/>
                      <w:b/>
                      <w:bCs/>
                      <w:color w:val="auto"/>
                      <w:sz w:val="18"/>
                      <w:szCs w:val="18"/>
                      <w:vertAlign w:val="baseline"/>
                      <w:lang w:val="en-US" w:eastAsia="zh-CN"/>
                    </w:rPr>
                  </w:pPr>
                  <w:r>
                    <w:rPr>
                      <w:rFonts w:hint="eastAsia"/>
                      <w:b/>
                      <w:bCs/>
                      <w:color w:val="auto"/>
                      <w:sz w:val="18"/>
                      <w:szCs w:val="18"/>
                      <w:vertAlign w:val="baseline"/>
                      <w:lang w:val="en-US" w:eastAsia="zh-CN"/>
                    </w:rPr>
                    <w:t>污染物种类</w:t>
                  </w:r>
                </w:p>
              </w:tc>
              <w:tc>
                <w:tcPr>
                  <w:tcW w:w="2841" w:type="dxa"/>
                  <w:vAlign w:val="center"/>
                </w:tcPr>
                <w:p>
                  <w:pPr>
                    <w:jc w:val="center"/>
                    <w:rPr>
                      <w:rFonts w:hint="default" w:eastAsiaTheme="minorEastAsia"/>
                      <w:b/>
                      <w:bCs/>
                      <w:color w:val="auto"/>
                      <w:sz w:val="18"/>
                      <w:szCs w:val="18"/>
                      <w:vertAlign w:val="baseline"/>
                      <w:lang w:val="en-US" w:eastAsia="zh-CN"/>
                    </w:rPr>
                  </w:pPr>
                  <w:r>
                    <w:rPr>
                      <w:rFonts w:hint="eastAsia"/>
                      <w:b/>
                      <w:bCs/>
                      <w:color w:val="auto"/>
                      <w:sz w:val="18"/>
                      <w:szCs w:val="18"/>
                      <w:vertAlign w:val="baseline"/>
                      <w:lang w:val="en-US" w:eastAsia="zh-CN"/>
                    </w:rPr>
                    <w:t>可行技术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2840" w:type="dxa"/>
                  <w:vMerge w:val="restart"/>
                  <w:vAlign w:val="center"/>
                </w:tcPr>
                <w:p>
                  <w:pPr>
                    <w:jc w:val="center"/>
                    <w:rPr>
                      <w:rFonts w:hint="default" w:eastAsiaTheme="minorEastAsia"/>
                      <w:color w:val="auto"/>
                      <w:sz w:val="18"/>
                      <w:szCs w:val="18"/>
                      <w:vertAlign w:val="baseline"/>
                      <w:lang w:val="en-US" w:eastAsia="zh-CN"/>
                    </w:rPr>
                  </w:pPr>
                  <w:r>
                    <w:rPr>
                      <w:rFonts w:hint="eastAsia"/>
                      <w:color w:val="auto"/>
                      <w:sz w:val="18"/>
                      <w:szCs w:val="18"/>
                      <w:vertAlign w:val="baseline"/>
                      <w:lang w:val="en-US" w:eastAsia="zh-CN"/>
                    </w:rPr>
                    <w:t>塑料薄膜制造</w:t>
                  </w:r>
                </w:p>
              </w:tc>
              <w:tc>
                <w:tcPr>
                  <w:tcW w:w="2841" w:type="dxa"/>
                  <w:vMerge w:val="restart"/>
                  <w:vAlign w:val="center"/>
                </w:tcPr>
                <w:p>
                  <w:pPr>
                    <w:jc w:val="center"/>
                    <w:rPr>
                      <w:rFonts w:hint="default" w:eastAsiaTheme="minorEastAsia"/>
                      <w:color w:val="auto"/>
                      <w:sz w:val="18"/>
                      <w:szCs w:val="18"/>
                      <w:vertAlign w:val="baseline"/>
                      <w:lang w:val="en-US" w:eastAsia="zh-CN"/>
                    </w:rPr>
                  </w:pPr>
                  <w:r>
                    <w:rPr>
                      <w:rFonts w:hint="eastAsia"/>
                      <w:color w:val="auto"/>
                      <w:sz w:val="18"/>
                      <w:szCs w:val="18"/>
                      <w:vertAlign w:val="baseline"/>
                      <w:lang w:val="en-US" w:eastAsia="zh-CN"/>
                    </w:rPr>
                    <w:t>溶剂（以非甲烷总烃计）</w:t>
                  </w:r>
                </w:p>
              </w:tc>
              <w:tc>
                <w:tcPr>
                  <w:tcW w:w="2841" w:type="dxa"/>
                  <w:vAlign w:val="center"/>
                </w:tcPr>
                <w:p>
                  <w:pPr>
                    <w:jc w:val="center"/>
                    <w:rPr>
                      <w:rFonts w:hint="eastAsia" w:eastAsiaTheme="minorEastAsia"/>
                      <w:color w:val="auto"/>
                      <w:sz w:val="18"/>
                      <w:szCs w:val="18"/>
                      <w:vertAlign w:val="baseline"/>
                      <w:lang w:val="en-US" w:eastAsia="zh-CN"/>
                    </w:rPr>
                  </w:pPr>
                  <w:r>
                    <w:rPr>
                      <w:rFonts w:hint="eastAsia"/>
                      <w:color w:val="auto"/>
                      <w:sz w:val="18"/>
                      <w:szCs w:val="18"/>
                      <w:vertAlign w:val="baseline"/>
                      <w:lang w:val="en-US" w:eastAsia="zh-CN"/>
                    </w:rPr>
                    <w:t>喷淋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2840" w:type="dxa"/>
                  <w:vMerge w:val="continue"/>
                  <w:vAlign w:val="center"/>
                </w:tcPr>
                <w:p>
                  <w:pPr>
                    <w:jc w:val="center"/>
                    <w:rPr>
                      <w:color w:val="auto"/>
                      <w:sz w:val="18"/>
                      <w:szCs w:val="18"/>
                    </w:rPr>
                  </w:pPr>
                </w:p>
              </w:tc>
              <w:tc>
                <w:tcPr>
                  <w:tcW w:w="2841" w:type="dxa"/>
                  <w:vMerge w:val="continue"/>
                  <w:vAlign w:val="center"/>
                </w:tcPr>
                <w:p>
                  <w:pPr>
                    <w:jc w:val="center"/>
                    <w:rPr>
                      <w:color w:val="auto"/>
                      <w:sz w:val="18"/>
                      <w:szCs w:val="18"/>
                    </w:rPr>
                  </w:pPr>
                </w:p>
              </w:tc>
              <w:tc>
                <w:tcPr>
                  <w:tcW w:w="2841" w:type="dxa"/>
                  <w:vAlign w:val="center"/>
                </w:tcPr>
                <w:p>
                  <w:pPr>
                    <w:jc w:val="center"/>
                    <w:rPr>
                      <w:rFonts w:hint="eastAsia" w:eastAsiaTheme="minorEastAsia"/>
                      <w:color w:val="auto"/>
                      <w:sz w:val="18"/>
                      <w:szCs w:val="18"/>
                      <w:vertAlign w:val="baseline"/>
                      <w:lang w:val="en-US" w:eastAsia="zh-CN"/>
                    </w:rPr>
                  </w:pPr>
                  <w:r>
                    <w:rPr>
                      <w:rFonts w:hint="eastAsia"/>
                      <w:color w:val="auto"/>
                      <w:sz w:val="18"/>
                      <w:szCs w:val="18"/>
                      <w:vertAlign w:val="baseline"/>
                      <w:lang w:val="en-US" w:eastAsia="zh-CN"/>
                    </w:rPr>
                    <w:t>吸附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2840" w:type="dxa"/>
                  <w:vMerge w:val="continue"/>
                  <w:vAlign w:val="center"/>
                </w:tcPr>
                <w:p>
                  <w:pPr>
                    <w:jc w:val="center"/>
                    <w:rPr>
                      <w:color w:val="auto"/>
                      <w:sz w:val="18"/>
                      <w:szCs w:val="18"/>
                      <w:vertAlign w:val="baseline"/>
                    </w:rPr>
                  </w:pPr>
                </w:p>
              </w:tc>
              <w:tc>
                <w:tcPr>
                  <w:tcW w:w="2841" w:type="dxa"/>
                  <w:vMerge w:val="continue"/>
                  <w:vAlign w:val="center"/>
                </w:tcPr>
                <w:p>
                  <w:pPr>
                    <w:jc w:val="center"/>
                    <w:rPr>
                      <w:color w:val="auto"/>
                      <w:sz w:val="18"/>
                      <w:szCs w:val="18"/>
                      <w:vertAlign w:val="baseline"/>
                    </w:rPr>
                  </w:pPr>
                </w:p>
              </w:tc>
              <w:tc>
                <w:tcPr>
                  <w:tcW w:w="2841" w:type="dxa"/>
                  <w:vAlign w:val="center"/>
                </w:tcPr>
                <w:p>
                  <w:pPr>
                    <w:jc w:val="center"/>
                    <w:rPr>
                      <w:rFonts w:hint="default" w:eastAsiaTheme="minorEastAsia"/>
                      <w:color w:val="auto"/>
                      <w:sz w:val="18"/>
                      <w:szCs w:val="18"/>
                      <w:vertAlign w:val="baseline"/>
                      <w:lang w:val="en-US" w:eastAsia="zh-CN"/>
                    </w:rPr>
                  </w:pPr>
                  <w:r>
                    <w:rPr>
                      <w:rFonts w:hint="eastAsia"/>
                      <w:color w:val="auto"/>
                      <w:sz w:val="18"/>
                      <w:szCs w:val="18"/>
                      <w:vertAlign w:val="baseline"/>
                      <w:lang w:val="en-US" w:eastAsia="zh-CN"/>
                    </w:rPr>
                    <w:t>冷凝回收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2840" w:type="dxa"/>
                  <w:vMerge w:val="continue"/>
                  <w:vAlign w:val="center"/>
                </w:tcPr>
                <w:p>
                  <w:pPr>
                    <w:jc w:val="center"/>
                    <w:rPr>
                      <w:color w:val="auto"/>
                      <w:sz w:val="18"/>
                      <w:szCs w:val="18"/>
                      <w:vertAlign w:val="baseline"/>
                    </w:rPr>
                  </w:pPr>
                </w:p>
              </w:tc>
              <w:tc>
                <w:tcPr>
                  <w:tcW w:w="2841" w:type="dxa"/>
                  <w:vMerge w:val="continue"/>
                  <w:vAlign w:val="center"/>
                </w:tcPr>
                <w:p>
                  <w:pPr>
                    <w:jc w:val="center"/>
                    <w:rPr>
                      <w:color w:val="auto"/>
                      <w:sz w:val="18"/>
                      <w:szCs w:val="18"/>
                      <w:vertAlign w:val="baseline"/>
                    </w:rPr>
                  </w:pPr>
                </w:p>
              </w:tc>
              <w:tc>
                <w:tcPr>
                  <w:tcW w:w="2841" w:type="dxa"/>
                  <w:vAlign w:val="center"/>
                </w:tcPr>
                <w:p>
                  <w:pPr>
                    <w:jc w:val="center"/>
                    <w:rPr>
                      <w:color w:val="auto"/>
                      <w:sz w:val="18"/>
                      <w:szCs w:val="18"/>
                      <w:vertAlign w:val="baseline"/>
                    </w:rPr>
                  </w:pPr>
                  <w:r>
                    <w:rPr>
                      <w:rFonts w:hint="eastAsia"/>
                      <w:color w:val="auto"/>
                      <w:sz w:val="18"/>
                      <w:szCs w:val="18"/>
                      <w:vertAlign w:val="baseline"/>
                    </w:rPr>
                    <w:t>吸附浓缩+热力燃烧/催化燃烧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vAlign w:val="center"/>
                </w:tcPr>
                <w:p>
                  <w:pPr>
                    <w:jc w:val="center"/>
                    <w:rPr>
                      <w:rFonts w:hint="default" w:eastAsiaTheme="minorEastAsia"/>
                      <w:color w:val="auto"/>
                      <w:sz w:val="18"/>
                      <w:szCs w:val="18"/>
                      <w:vertAlign w:val="baseline"/>
                      <w:lang w:val="en-US" w:eastAsia="zh-CN"/>
                    </w:rPr>
                  </w:pPr>
                  <w:r>
                    <w:rPr>
                      <w:rFonts w:hint="eastAsia"/>
                      <w:color w:val="auto"/>
                      <w:sz w:val="18"/>
                      <w:szCs w:val="18"/>
                      <w:vertAlign w:val="baseline"/>
                      <w:lang w:val="en-US" w:eastAsia="zh-CN"/>
                    </w:rPr>
                    <w:t>注：溶剂的处理可行性技术参考塑料人造革与合成革制造中的二甲基甲酰胺的处理</w:t>
                  </w:r>
                </w:p>
              </w:tc>
            </w:tr>
          </w:tbl>
          <w:p>
            <w:pPr>
              <w:spacing w:line="360" w:lineRule="auto"/>
              <w:ind w:firstLine="420" w:firstLineChars="200"/>
              <w:jc w:val="left"/>
              <w:rPr>
                <w:color w:val="auto"/>
                <w:szCs w:val="21"/>
              </w:rPr>
            </w:pPr>
            <w:r>
              <w:rPr>
                <w:rFonts w:hint="eastAsia"/>
                <w:color w:val="auto"/>
                <w:szCs w:val="21"/>
              </w:rPr>
              <w:t>G1废气采用“二级冷凝+一级循环水喷淋+活性炭吸附”组合处理工艺。</w:t>
            </w:r>
            <w:r>
              <w:rPr>
                <w:rFonts w:hint="eastAsia"/>
                <w:color w:val="auto"/>
                <w:szCs w:val="21"/>
                <w:lang w:val="en-US" w:eastAsia="zh-CN"/>
              </w:rPr>
              <w:t>参考</w:t>
            </w:r>
            <w:r>
              <w:rPr>
                <w:rFonts w:hint="eastAsia"/>
                <w:color w:val="auto"/>
                <w:szCs w:val="21"/>
              </w:rPr>
              <w:t>《排污许可证申请与核发技术规范 橡胶和塑料制品工业》（HJ1122—2020）表A.2</w:t>
            </w:r>
            <w:r>
              <w:rPr>
                <w:rFonts w:hint="eastAsia"/>
                <w:color w:val="auto"/>
                <w:szCs w:val="21"/>
                <w:lang w:eastAsia="zh-CN"/>
              </w:rPr>
              <w:t>（</w:t>
            </w:r>
            <w:r>
              <w:rPr>
                <w:rFonts w:hint="eastAsia"/>
                <w:color w:val="auto"/>
                <w:szCs w:val="21"/>
                <w:lang w:val="en-US" w:eastAsia="zh-CN"/>
              </w:rPr>
              <w:t>见表4-11</w:t>
            </w:r>
            <w:r>
              <w:rPr>
                <w:rFonts w:hint="eastAsia"/>
                <w:color w:val="auto"/>
                <w:szCs w:val="21"/>
                <w:lang w:eastAsia="zh-CN"/>
              </w:rPr>
              <w:t>）</w:t>
            </w:r>
            <w:r>
              <w:rPr>
                <w:rFonts w:hint="eastAsia"/>
                <w:color w:val="auto"/>
                <w:szCs w:val="21"/>
              </w:rPr>
              <w:t>，该工艺属于喷淋+</w:t>
            </w:r>
            <w:r>
              <w:rPr>
                <w:rFonts w:hint="eastAsia"/>
                <w:color w:val="auto"/>
                <w:szCs w:val="21"/>
                <w:lang w:val="en-US" w:eastAsia="zh-CN"/>
              </w:rPr>
              <w:t>冷凝回收+</w:t>
            </w:r>
            <w:r>
              <w:rPr>
                <w:rFonts w:hint="eastAsia"/>
                <w:color w:val="auto"/>
                <w:szCs w:val="21"/>
              </w:rPr>
              <w:t>吸附的组合技术，为可行技术。由废气污染源产排情况一览表可知，G1废气经处理后，尾气中非甲烷总烃排放浓度为26.68 mg/m</w:t>
            </w:r>
            <w:r>
              <w:rPr>
                <w:rFonts w:hint="eastAsia"/>
                <w:color w:val="auto"/>
                <w:szCs w:val="21"/>
                <w:vertAlign w:val="superscript"/>
              </w:rPr>
              <w:t>3</w:t>
            </w:r>
            <w:r>
              <w:rPr>
                <w:rFonts w:hint="eastAsia"/>
                <w:color w:val="auto"/>
                <w:szCs w:val="21"/>
              </w:rPr>
              <w:t>，排放速率为0.27 kg/h，满足《工业企业挥发性有机物排放标准》（DB35/1782-2018）表1中其他行业的相应限值要求，废气处理措施可行。</w:t>
            </w:r>
          </w:p>
          <w:p>
            <w:pPr>
              <w:spacing w:line="360" w:lineRule="auto"/>
              <w:ind w:firstLine="422" w:firstLineChars="200"/>
              <w:jc w:val="left"/>
              <w:rPr>
                <w:b/>
                <w:bCs/>
                <w:color w:val="auto"/>
                <w:szCs w:val="21"/>
              </w:rPr>
            </w:pPr>
            <w:r>
              <w:rPr>
                <w:rFonts w:hint="eastAsia"/>
                <w:b/>
                <w:bCs/>
                <w:color w:val="auto"/>
                <w:szCs w:val="21"/>
              </w:rPr>
              <w:t>b.G2废气</w:t>
            </w:r>
          </w:p>
          <w:p>
            <w:pPr>
              <w:spacing w:line="360" w:lineRule="auto"/>
              <w:ind w:firstLine="420" w:firstLineChars="200"/>
              <w:jc w:val="left"/>
              <w:rPr>
                <w:rFonts w:hint="eastAsia"/>
                <w:color w:val="auto"/>
                <w:szCs w:val="21"/>
              </w:rPr>
            </w:pPr>
            <w:r>
              <w:rPr>
                <w:rFonts w:hint="eastAsia"/>
                <w:color w:val="auto"/>
                <w:szCs w:val="21"/>
              </w:rPr>
              <w:t>本次扩建工程废气处理情况：G2塔顶不凝气依托生产车间二现有的一级水喷淋系统</w:t>
            </w:r>
            <w:r>
              <w:rPr>
                <w:rFonts w:hint="eastAsia"/>
                <w:color w:val="auto"/>
                <w:szCs w:val="21"/>
                <w:lang w:val="en-US" w:eastAsia="zh-CN"/>
              </w:rPr>
              <w:t>+活性炭吸附</w:t>
            </w:r>
            <w:r>
              <w:rPr>
                <w:rFonts w:hint="eastAsia"/>
                <w:color w:val="auto"/>
                <w:szCs w:val="21"/>
              </w:rPr>
              <w:t>处理，其</w:t>
            </w:r>
            <w:r>
              <w:rPr>
                <w:rFonts w:hint="eastAsia"/>
                <w:color w:val="auto"/>
                <w:szCs w:val="21"/>
                <w:lang w:val="en-US" w:eastAsia="zh-CN"/>
              </w:rPr>
              <w:t>适用性、</w:t>
            </w:r>
            <w:r>
              <w:rPr>
                <w:rFonts w:hint="eastAsia"/>
                <w:color w:val="auto"/>
                <w:szCs w:val="21"/>
              </w:rPr>
              <w:t>可行性分析参照G1废气相关内容。根据《排污许可证申请与核发技术规范 橡胶和塑料制品工业》（HJ1122—2020）表A.2</w:t>
            </w:r>
            <w:r>
              <w:rPr>
                <w:rFonts w:hint="eastAsia"/>
                <w:color w:val="auto"/>
                <w:szCs w:val="21"/>
                <w:lang w:eastAsia="zh-CN"/>
              </w:rPr>
              <w:t>（</w:t>
            </w:r>
            <w:r>
              <w:rPr>
                <w:rFonts w:hint="eastAsia"/>
                <w:color w:val="auto"/>
                <w:szCs w:val="21"/>
                <w:lang w:val="en-US" w:eastAsia="zh-CN"/>
              </w:rPr>
              <w:t>见表4-11</w:t>
            </w:r>
            <w:r>
              <w:rPr>
                <w:rFonts w:hint="eastAsia"/>
                <w:color w:val="auto"/>
                <w:szCs w:val="21"/>
                <w:lang w:eastAsia="zh-CN"/>
              </w:rPr>
              <w:t>）</w:t>
            </w:r>
            <w:r>
              <w:rPr>
                <w:rFonts w:hint="eastAsia"/>
                <w:color w:val="auto"/>
                <w:szCs w:val="21"/>
              </w:rPr>
              <w:t>，该工艺属于喷淋</w:t>
            </w:r>
            <w:r>
              <w:rPr>
                <w:rFonts w:hint="eastAsia"/>
                <w:color w:val="auto"/>
                <w:szCs w:val="21"/>
                <w:lang w:val="en-US" w:eastAsia="zh-CN"/>
              </w:rPr>
              <w:t>+吸附的组合</w:t>
            </w:r>
            <w:r>
              <w:rPr>
                <w:rFonts w:hint="eastAsia"/>
                <w:color w:val="auto"/>
                <w:szCs w:val="21"/>
              </w:rPr>
              <w:t>技术，为可行技术。精馏产生的不凝气量极少（0.2 t/a），且为间歇运行（年运行时长仅480 h），对废气处理</w:t>
            </w:r>
            <w:r>
              <w:rPr>
                <w:rFonts w:hint="eastAsia"/>
                <w:color w:val="auto"/>
                <w:szCs w:val="21"/>
                <w:lang w:val="en-US" w:eastAsia="zh-CN"/>
              </w:rPr>
              <w:t>运行负荷影响较小</w:t>
            </w:r>
            <w:r>
              <w:rPr>
                <w:rFonts w:hint="eastAsia"/>
                <w:color w:val="auto"/>
                <w:szCs w:val="21"/>
              </w:rPr>
              <w:t>。</w:t>
            </w:r>
          </w:p>
          <w:p>
            <w:pPr>
              <w:spacing w:line="360" w:lineRule="auto"/>
              <w:ind w:firstLine="420" w:firstLineChars="200"/>
              <w:jc w:val="left"/>
              <w:rPr>
                <w:color w:val="auto"/>
                <w:szCs w:val="21"/>
              </w:rPr>
            </w:pPr>
            <w:r>
              <w:rPr>
                <w:rFonts w:hint="eastAsia"/>
                <w:color w:val="auto"/>
                <w:szCs w:val="21"/>
                <w:lang w:val="en-US" w:eastAsia="zh-CN"/>
              </w:rPr>
              <w:t>G2非甲烷总烃排放量仅为0.04t/a，与现有工程废气汇合后，</w:t>
            </w:r>
            <w:r>
              <w:rPr>
                <w:rFonts w:hint="eastAsia"/>
                <w:color w:val="auto"/>
                <w:szCs w:val="21"/>
              </w:rPr>
              <w:t>非甲烷总烃排放浓度为</w:t>
            </w:r>
            <w:r>
              <w:rPr>
                <w:rFonts w:hint="eastAsia"/>
                <w:color w:val="auto"/>
                <w:szCs w:val="21"/>
                <w:lang w:val="en-US" w:eastAsia="zh-CN"/>
              </w:rPr>
              <w:t>13.8386</w:t>
            </w:r>
            <w:r>
              <w:rPr>
                <w:rFonts w:hint="eastAsia"/>
                <w:color w:val="auto"/>
                <w:szCs w:val="21"/>
              </w:rPr>
              <w:t xml:space="preserve"> mg/m</w:t>
            </w:r>
            <w:r>
              <w:rPr>
                <w:rFonts w:hint="eastAsia"/>
                <w:color w:val="auto"/>
                <w:szCs w:val="21"/>
                <w:vertAlign w:val="superscript"/>
              </w:rPr>
              <w:t>3</w:t>
            </w:r>
            <w:r>
              <w:rPr>
                <w:rFonts w:hint="eastAsia"/>
                <w:color w:val="auto"/>
                <w:szCs w:val="21"/>
              </w:rPr>
              <w:t>，排放速率为</w:t>
            </w:r>
            <w:r>
              <w:rPr>
                <w:rFonts w:hint="eastAsia"/>
                <w:color w:val="auto"/>
                <w:szCs w:val="21"/>
                <w:lang w:val="en-US" w:eastAsia="zh-CN"/>
              </w:rPr>
              <w:t>0.1069</w:t>
            </w:r>
            <w:r>
              <w:rPr>
                <w:rFonts w:hint="eastAsia"/>
                <w:color w:val="auto"/>
                <w:szCs w:val="21"/>
              </w:rPr>
              <w:t xml:space="preserve"> kg/h，满足《工业企业挥发性有机物排放标准》（DB35/1782-2018）表1中其他行业的相应限值要求，废气处理措施可行。</w:t>
            </w:r>
          </w:p>
          <w:p>
            <w:pPr>
              <w:spacing w:line="360" w:lineRule="auto"/>
              <w:ind w:firstLine="420" w:firstLineChars="200"/>
              <w:jc w:val="left"/>
              <w:rPr>
                <w:color w:val="auto"/>
                <w:szCs w:val="21"/>
              </w:rPr>
            </w:pPr>
            <w:r>
              <w:rPr>
                <w:rFonts w:hint="eastAsia"/>
                <w:color w:val="auto"/>
                <w:szCs w:val="21"/>
              </w:rPr>
              <w:t>综上，项目废气正常排放对周边环境空气影响不大。</w:t>
            </w:r>
          </w:p>
          <w:p>
            <w:pPr>
              <w:pStyle w:val="35"/>
              <w:numPr>
                <w:ilvl w:val="0"/>
                <w:numId w:val="4"/>
              </w:numPr>
              <w:ind w:firstLine="422"/>
              <w:rPr>
                <w:rFonts w:ascii="Times New Roman" w:hAnsi="Times New Roman" w:cs="Times New Roman"/>
                <w:b/>
                <w:color w:val="auto"/>
                <w:kern w:val="2"/>
                <w:sz w:val="21"/>
                <w:szCs w:val="21"/>
              </w:rPr>
            </w:pPr>
            <w:r>
              <w:rPr>
                <w:rFonts w:hint="eastAsia" w:ascii="Times New Roman" w:hAnsi="Times New Roman" w:cs="Times New Roman"/>
                <w:b/>
                <w:color w:val="auto"/>
                <w:kern w:val="2"/>
                <w:sz w:val="21"/>
                <w:szCs w:val="21"/>
              </w:rPr>
              <w:t>卫生防护距离</w:t>
            </w:r>
          </w:p>
          <w:p>
            <w:pPr>
              <w:spacing w:line="360" w:lineRule="auto"/>
              <w:ind w:firstLine="422" w:firstLineChars="200"/>
              <w:jc w:val="left"/>
              <w:rPr>
                <w:rFonts w:hint="default" w:ascii="Times New Roman" w:hAnsi="Times New Roman" w:eastAsia="宋体" w:cs="Times New Roman"/>
                <w:b/>
                <w:bCs/>
                <w:color w:val="auto"/>
                <w:szCs w:val="21"/>
                <w:lang w:val="en-US" w:eastAsia="zh-CN"/>
              </w:rPr>
            </w:pPr>
            <w:r>
              <w:rPr>
                <w:rFonts w:hint="default" w:ascii="Times New Roman" w:hAnsi="Times New Roman" w:eastAsia="宋体" w:cs="Times New Roman"/>
                <w:b/>
                <w:bCs/>
                <w:color w:val="auto"/>
                <w:szCs w:val="21"/>
              </w:rPr>
              <w:t>①</w:t>
            </w:r>
            <w:r>
              <w:rPr>
                <w:rFonts w:hint="default" w:ascii="Times New Roman" w:hAnsi="Times New Roman" w:eastAsia="宋体" w:cs="Times New Roman"/>
                <w:b/>
                <w:bCs/>
                <w:color w:val="auto"/>
                <w:szCs w:val="21"/>
                <w:lang w:val="en-US" w:eastAsia="zh-CN"/>
              </w:rPr>
              <w:t>一厂现有工程卫生防护距离设置情况</w:t>
            </w:r>
          </w:p>
          <w:p>
            <w:pPr>
              <w:spacing w:line="360" w:lineRule="auto"/>
              <w:ind w:firstLine="420" w:firstLineChars="200"/>
              <w:jc w:val="left"/>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根据《三明市海斯福化工有限责任公司高端氟精细化学品改扩建项目环境影响报告书》一厂现有防护距离为生产车间三外延50m，</w:t>
            </w:r>
            <w:r>
              <w:rPr>
                <w:rFonts w:hint="eastAsia" w:ascii="Times New Roman" w:hAnsi="Times New Roman" w:eastAsia="宋体" w:cs="Times New Roman"/>
                <w:color w:val="auto"/>
                <w:szCs w:val="21"/>
                <w:lang w:val="en-US" w:eastAsia="zh-CN"/>
              </w:rPr>
              <w:t>一厂现有卫生防护距离内无敏感目标，</w:t>
            </w:r>
            <w:r>
              <w:rPr>
                <w:rFonts w:hint="default" w:ascii="Times New Roman" w:hAnsi="Times New Roman" w:eastAsia="宋体" w:cs="Times New Roman"/>
                <w:color w:val="auto"/>
                <w:szCs w:val="21"/>
                <w:lang w:val="en-US" w:eastAsia="zh-CN"/>
              </w:rPr>
              <w:t>现有防护距离见附图6。</w:t>
            </w:r>
          </w:p>
          <w:p>
            <w:pPr>
              <w:spacing w:line="360" w:lineRule="auto"/>
              <w:ind w:firstLine="422" w:firstLineChars="200"/>
              <w:jc w:val="left"/>
              <w:rPr>
                <w:rFonts w:hint="default" w:eastAsia="宋体"/>
                <w:b/>
                <w:bCs/>
                <w:color w:val="auto"/>
                <w:szCs w:val="21"/>
                <w:lang w:val="en-US" w:eastAsia="zh-CN"/>
              </w:rPr>
            </w:pPr>
            <w:r>
              <w:rPr>
                <w:rFonts w:hint="eastAsia" w:ascii="宋体" w:hAnsi="宋体" w:eastAsia="宋体" w:cs="宋体"/>
                <w:b/>
                <w:bCs/>
                <w:color w:val="auto"/>
                <w:szCs w:val="21"/>
              </w:rPr>
              <w:t>②</w:t>
            </w:r>
            <w:r>
              <w:rPr>
                <w:rFonts w:hint="eastAsia" w:ascii="宋体" w:hAnsi="宋体" w:eastAsia="宋体" w:cs="宋体"/>
                <w:b/>
                <w:bCs/>
                <w:color w:val="auto"/>
                <w:szCs w:val="21"/>
                <w:lang w:val="en-US" w:eastAsia="zh-CN"/>
              </w:rPr>
              <w:t>本次扩建项目卫生防护距离设置情况</w:t>
            </w:r>
          </w:p>
          <w:p>
            <w:pPr>
              <w:spacing w:line="360" w:lineRule="auto"/>
              <w:ind w:firstLine="420" w:firstLineChars="200"/>
              <w:jc w:val="left"/>
              <w:rPr>
                <w:color w:val="auto"/>
                <w:szCs w:val="21"/>
              </w:rPr>
            </w:pPr>
            <w:r>
              <w:rPr>
                <w:color w:val="auto"/>
                <w:szCs w:val="21"/>
              </w:rPr>
              <w:t>根据《大气有害物质无组织排放卫生防护距离推导技术导则》（GB/T39499-2020）中有关卫生防护距离的</w:t>
            </w:r>
            <w:r>
              <w:rPr>
                <w:rFonts w:hint="eastAsia"/>
                <w:color w:val="auto"/>
                <w:szCs w:val="21"/>
                <w:lang w:eastAsia="zh-CN"/>
              </w:rPr>
              <w:t>制定</w:t>
            </w:r>
            <w:r>
              <w:rPr>
                <w:color w:val="auto"/>
                <w:szCs w:val="21"/>
              </w:rPr>
              <w:t>方法，确定项目污染源无组织排放所在生产单元与居住区之间的卫生防护距离。卫生防护距离的计算如下：</w:t>
            </w:r>
          </w:p>
          <w:p>
            <w:pPr>
              <w:spacing w:line="360" w:lineRule="auto"/>
              <w:jc w:val="center"/>
              <w:rPr>
                <w:color w:val="auto"/>
                <w:position w:val="-27"/>
                <w:sz w:val="24"/>
              </w:rPr>
            </w:pPr>
            <w:r>
              <w:rPr>
                <w:color w:val="auto"/>
                <w:position w:val="-27"/>
                <w:sz w:val="24"/>
              </w:rPr>
              <w:object>
                <v:shape id="_x0000_i1025" o:spt="75" type="#_x0000_t75" style="height:36.45pt;width:143.95pt;" o:ole="t" filled="f" o:preferrelative="t" stroked="f" coordsize="21600,21600">
                  <v:path/>
                  <v:fill on="f" focussize="0,0"/>
                  <v:stroke on="f" joinstyle="miter"/>
                  <v:imagedata r:id="rId15" embosscolor="#FFFFFF" o:title=""/>
                  <o:lock v:ext="edit" aspectratio="t"/>
                  <w10:wrap type="none"/>
                  <w10:anchorlock/>
                </v:shape>
                <o:OLEObject Type="Embed" ProgID="Equation.3" ShapeID="_x0000_i1025" DrawAspect="Content" ObjectID="_1468075725" r:id="rId14">
                  <o:LockedField>false</o:LockedField>
                </o:OLEObject>
              </w:objec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jc w:val="left"/>
              <w:textAlignment w:val="auto"/>
              <w:rPr>
                <w:color w:val="auto"/>
                <w:szCs w:val="21"/>
              </w:rPr>
            </w:pPr>
            <w:r>
              <w:rPr>
                <w:color w:val="auto"/>
                <w:szCs w:val="21"/>
              </w:rPr>
              <w:t>式中：Qc----大气有害物质的无组织排放量，kg/h。</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jc w:val="left"/>
              <w:textAlignment w:val="auto"/>
              <w:rPr>
                <w:color w:val="auto"/>
                <w:szCs w:val="21"/>
              </w:rPr>
            </w:pPr>
            <w:r>
              <w:rPr>
                <w:color w:val="auto"/>
                <w:szCs w:val="21"/>
              </w:rPr>
              <w:t>Cm----大气有害物质环境空气质量标准限值，mg/m</w:t>
            </w:r>
            <w:r>
              <w:rPr>
                <w:color w:val="auto"/>
                <w:szCs w:val="21"/>
                <w:vertAlign w:val="superscript"/>
              </w:rPr>
              <w:t>3</w:t>
            </w:r>
            <w:r>
              <w:rPr>
                <w:color w:val="auto"/>
                <w:szCs w:val="21"/>
              </w:rPr>
              <w:t>；</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jc w:val="left"/>
              <w:textAlignment w:val="auto"/>
              <w:rPr>
                <w:color w:val="auto"/>
                <w:szCs w:val="21"/>
              </w:rPr>
            </w:pPr>
            <w:r>
              <w:rPr>
                <w:color w:val="auto"/>
                <w:szCs w:val="21"/>
              </w:rPr>
              <w:t>L----大气有害物质卫生防护距离初值，m；</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jc w:val="left"/>
              <w:textAlignment w:val="auto"/>
              <w:rPr>
                <w:color w:val="auto"/>
                <w:szCs w:val="21"/>
              </w:rPr>
            </w:pPr>
            <w:r>
              <w:rPr>
                <w:color w:val="auto"/>
                <w:szCs w:val="21"/>
              </w:rPr>
              <w:t xml:space="preserve">      r----大气有害物质无组织排放源所在生产单元的等效半径,m；</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jc w:val="left"/>
              <w:textAlignment w:val="auto"/>
              <w:rPr>
                <w:color w:val="auto"/>
                <w:szCs w:val="21"/>
              </w:rPr>
            </w:pPr>
            <w:r>
              <w:rPr>
                <w:color w:val="auto"/>
                <w:szCs w:val="21"/>
              </w:rPr>
              <w:t xml:space="preserve">     A、B、C、D---卫生防护距离计算系数；无因次，根据工业企业所在地区近5年平均风速及大气污染源构成类别从卫生防护距离计算系数</w:t>
            </w:r>
            <w:r>
              <w:rPr>
                <w:rFonts w:hint="eastAsia"/>
                <w:color w:val="auto"/>
                <w:szCs w:val="21"/>
              </w:rPr>
              <w:t>表</w:t>
            </w:r>
            <w:r>
              <w:rPr>
                <w:color w:val="auto"/>
                <w:szCs w:val="21"/>
              </w:rPr>
              <w:t>查取。</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jc w:val="left"/>
              <w:textAlignment w:val="auto"/>
              <w:rPr>
                <w:color w:val="auto"/>
                <w:szCs w:val="21"/>
              </w:rPr>
            </w:pPr>
            <w:r>
              <w:rPr>
                <w:rFonts w:hint="eastAsia"/>
                <w:color w:val="auto"/>
                <w:szCs w:val="21"/>
              </w:rPr>
              <w:t>根据本工程无组织排放源特点和本地区多年平均风速(1.1m/s)，选取卫生防护距离计算参数进行计算。拟建工程所需的卫生防护距离如下表所示。</w:t>
            </w:r>
          </w:p>
          <w:p>
            <w:pPr>
              <w:spacing w:before="194" w:beforeLines="50"/>
              <w:jc w:val="center"/>
              <w:outlineLvl w:val="5"/>
              <w:rPr>
                <w:rFonts w:hint="default"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表4-12</w:t>
            </w:r>
            <w:r>
              <w:rPr>
                <w:rFonts w:hint="eastAsia" w:cs="Times New Roman"/>
                <w:b/>
                <w:color w:val="auto"/>
                <w:spacing w:val="0"/>
                <w:sz w:val="21"/>
                <w:szCs w:val="21"/>
                <w:lang w:val="en-US" w:eastAsia="zh-CN"/>
              </w:rPr>
              <w:t xml:space="preserve">  </w:t>
            </w:r>
            <w:r>
              <w:rPr>
                <w:rFonts w:hint="default" w:eastAsia="宋体" w:cs="Times New Roman"/>
                <w:b/>
                <w:color w:val="auto"/>
                <w:spacing w:val="0"/>
                <w:sz w:val="21"/>
                <w:szCs w:val="21"/>
                <w:lang w:val="en-US" w:eastAsia="zh-CN"/>
              </w:rPr>
              <w:t>卫生防护距离计算系数</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1876"/>
              <w:gridCol w:w="616"/>
              <w:gridCol w:w="616"/>
              <w:gridCol w:w="618"/>
              <w:gridCol w:w="616"/>
              <w:gridCol w:w="616"/>
              <w:gridCol w:w="618"/>
              <w:gridCol w:w="730"/>
              <w:gridCol w:w="617"/>
              <w:gridCol w:w="6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8" w:type="pct"/>
                  <w:vMerge w:val="restart"/>
                  <w:vAlign w:val="center"/>
                </w:tcPr>
                <w:p>
                  <w:pPr>
                    <w:adjustRightInd w:val="0"/>
                    <w:snapToGrid w:val="0"/>
                    <w:spacing w:line="246" w:lineRule="exact"/>
                    <w:jc w:val="center"/>
                    <w:rPr>
                      <w:color w:val="auto"/>
                      <w:sz w:val="18"/>
                      <w:szCs w:val="18"/>
                    </w:rPr>
                  </w:pPr>
                  <w:r>
                    <w:rPr>
                      <w:color w:val="auto"/>
                      <w:sz w:val="18"/>
                      <w:szCs w:val="18"/>
                    </w:rPr>
                    <w:t>计算</w:t>
                  </w:r>
                </w:p>
                <w:p>
                  <w:pPr>
                    <w:adjustRightInd w:val="0"/>
                    <w:snapToGrid w:val="0"/>
                    <w:spacing w:line="246" w:lineRule="exact"/>
                    <w:jc w:val="center"/>
                    <w:rPr>
                      <w:color w:val="auto"/>
                      <w:sz w:val="18"/>
                      <w:szCs w:val="18"/>
                    </w:rPr>
                  </w:pPr>
                  <w:r>
                    <w:rPr>
                      <w:color w:val="auto"/>
                      <w:sz w:val="18"/>
                      <w:szCs w:val="18"/>
                    </w:rPr>
                    <w:t>系数</w:t>
                  </w:r>
                </w:p>
              </w:tc>
              <w:tc>
                <w:tcPr>
                  <w:tcW w:w="1154" w:type="pct"/>
                  <w:vMerge w:val="restart"/>
                  <w:vAlign w:val="center"/>
                </w:tcPr>
                <w:p>
                  <w:pPr>
                    <w:adjustRightInd w:val="0"/>
                    <w:snapToGrid w:val="0"/>
                    <w:spacing w:line="246" w:lineRule="exact"/>
                    <w:jc w:val="center"/>
                    <w:rPr>
                      <w:color w:val="auto"/>
                      <w:sz w:val="18"/>
                      <w:szCs w:val="18"/>
                    </w:rPr>
                  </w:pPr>
                  <w:r>
                    <w:rPr>
                      <w:color w:val="auto"/>
                      <w:sz w:val="18"/>
                      <w:szCs w:val="18"/>
                    </w:rPr>
                    <w:t>工业企业所在地区近五年平均风速m/s</w:t>
                  </w:r>
                </w:p>
              </w:tc>
              <w:tc>
                <w:tcPr>
                  <w:tcW w:w="3487" w:type="pct"/>
                  <w:gridSpan w:val="9"/>
                  <w:vAlign w:val="center"/>
                </w:tcPr>
                <w:p>
                  <w:pPr>
                    <w:adjustRightInd w:val="0"/>
                    <w:snapToGrid w:val="0"/>
                    <w:spacing w:line="246" w:lineRule="exact"/>
                    <w:ind w:firstLine="360" w:firstLineChars="200"/>
                    <w:jc w:val="center"/>
                    <w:rPr>
                      <w:color w:val="auto"/>
                      <w:sz w:val="18"/>
                      <w:szCs w:val="18"/>
                    </w:rPr>
                  </w:pPr>
                  <w:r>
                    <w:rPr>
                      <w:color w:val="auto"/>
                      <w:sz w:val="18"/>
                      <w:szCs w:val="18"/>
                    </w:rPr>
                    <w:t>卫生防护距离L,m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8" w:type="pct"/>
                  <w:vMerge w:val="continue"/>
                  <w:vAlign w:val="center"/>
                </w:tcPr>
                <w:p>
                  <w:pPr>
                    <w:adjustRightInd w:val="0"/>
                    <w:snapToGrid w:val="0"/>
                    <w:spacing w:line="246" w:lineRule="exact"/>
                    <w:jc w:val="center"/>
                    <w:rPr>
                      <w:color w:val="auto"/>
                      <w:sz w:val="18"/>
                      <w:szCs w:val="18"/>
                    </w:rPr>
                  </w:pPr>
                </w:p>
              </w:tc>
              <w:tc>
                <w:tcPr>
                  <w:tcW w:w="1154" w:type="pct"/>
                  <w:vMerge w:val="continue"/>
                  <w:vAlign w:val="center"/>
                </w:tcPr>
                <w:p>
                  <w:pPr>
                    <w:adjustRightInd w:val="0"/>
                    <w:snapToGrid w:val="0"/>
                    <w:spacing w:line="246" w:lineRule="exact"/>
                    <w:jc w:val="center"/>
                    <w:rPr>
                      <w:color w:val="auto"/>
                      <w:sz w:val="18"/>
                      <w:szCs w:val="18"/>
                    </w:rPr>
                  </w:pPr>
                </w:p>
              </w:tc>
              <w:tc>
                <w:tcPr>
                  <w:tcW w:w="1138" w:type="pct"/>
                  <w:gridSpan w:val="3"/>
                  <w:vAlign w:val="center"/>
                </w:tcPr>
                <w:p>
                  <w:pPr>
                    <w:adjustRightInd w:val="0"/>
                    <w:snapToGrid w:val="0"/>
                    <w:spacing w:line="246" w:lineRule="exact"/>
                    <w:jc w:val="center"/>
                    <w:rPr>
                      <w:color w:val="auto"/>
                      <w:sz w:val="18"/>
                      <w:szCs w:val="18"/>
                    </w:rPr>
                  </w:pPr>
                  <w:r>
                    <w:rPr>
                      <w:color w:val="auto"/>
                      <w:sz w:val="18"/>
                      <w:szCs w:val="18"/>
                    </w:rPr>
                    <w:t>L≤1000</w:t>
                  </w:r>
                </w:p>
              </w:tc>
              <w:tc>
                <w:tcPr>
                  <w:tcW w:w="1138" w:type="pct"/>
                  <w:gridSpan w:val="3"/>
                  <w:vAlign w:val="center"/>
                </w:tcPr>
                <w:p>
                  <w:pPr>
                    <w:adjustRightInd w:val="0"/>
                    <w:snapToGrid w:val="0"/>
                    <w:spacing w:line="246" w:lineRule="exact"/>
                    <w:jc w:val="center"/>
                    <w:rPr>
                      <w:color w:val="auto"/>
                      <w:sz w:val="18"/>
                      <w:szCs w:val="18"/>
                    </w:rPr>
                  </w:pPr>
                  <w:r>
                    <w:rPr>
                      <w:color w:val="auto"/>
                      <w:sz w:val="18"/>
                      <w:szCs w:val="18"/>
                    </w:rPr>
                    <w:t>1000＜L≤2000</w:t>
                  </w:r>
                </w:p>
              </w:tc>
              <w:tc>
                <w:tcPr>
                  <w:tcW w:w="1210" w:type="pct"/>
                  <w:gridSpan w:val="3"/>
                  <w:vAlign w:val="center"/>
                </w:tcPr>
                <w:p>
                  <w:pPr>
                    <w:adjustRightInd w:val="0"/>
                    <w:snapToGrid w:val="0"/>
                    <w:spacing w:line="246" w:lineRule="exact"/>
                    <w:jc w:val="center"/>
                    <w:rPr>
                      <w:color w:val="auto"/>
                      <w:sz w:val="18"/>
                      <w:szCs w:val="18"/>
                    </w:rPr>
                  </w:pPr>
                  <w:r>
                    <w:rPr>
                      <w:color w:val="auto"/>
                      <w:sz w:val="18"/>
                      <w:szCs w:val="18"/>
                    </w:rPr>
                    <w:t>L＞2000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8" w:type="pct"/>
                  <w:vMerge w:val="continue"/>
                  <w:vAlign w:val="center"/>
                </w:tcPr>
                <w:p>
                  <w:pPr>
                    <w:adjustRightInd w:val="0"/>
                    <w:snapToGrid w:val="0"/>
                    <w:spacing w:line="246" w:lineRule="exact"/>
                    <w:jc w:val="center"/>
                    <w:rPr>
                      <w:color w:val="auto"/>
                      <w:sz w:val="18"/>
                      <w:szCs w:val="18"/>
                    </w:rPr>
                  </w:pPr>
                </w:p>
              </w:tc>
              <w:tc>
                <w:tcPr>
                  <w:tcW w:w="1154" w:type="pct"/>
                  <w:vMerge w:val="continue"/>
                  <w:vAlign w:val="center"/>
                </w:tcPr>
                <w:p>
                  <w:pPr>
                    <w:adjustRightInd w:val="0"/>
                    <w:snapToGrid w:val="0"/>
                    <w:spacing w:line="246" w:lineRule="exact"/>
                    <w:jc w:val="center"/>
                    <w:rPr>
                      <w:color w:val="auto"/>
                      <w:sz w:val="18"/>
                      <w:szCs w:val="18"/>
                    </w:rPr>
                  </w:pPr>
                </w:p>
              </w:tc>
              <w:tc>
                <w:tcPr>
                  <w:tcW w:w="3487" w:type="pct"/>
                  <w:gridSpan w:val="9"/>
                  <w:vAlign w:val="center"/>
                </w:tcPr>
                <w:p>
                  <w:pPr>
                    <w:adjustRightInd w:val="0"/>
                    <w:snapToGrid w:val="0"/>
                    <w:spacing w:line="246" w:lineRule="exact"/>
                    <w:jc w:val="center"/>
                    <w:rPr>
                      <w:color w:val="auto"/>
                      <w:sz w:val="18"/>
                      <w:szCs w:val="18"/>
                    </w:rPr>
                  </w:pPr>
                  <w:r>
                    <w:rPr>
                      <w:color w:val="auto"/>
                      <w:sz w:val="18"/>
                      <w:szCs w:val="18"/>
                    </w:rPr>
                    <w:t>工业企业大气污染源构成类别1)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8" w:type="pct"/>
                  <w:vMerge w:val="continue"/>
                  <w:vAlign w:val="center"/>
                </w:tcPr>
                <w:p>
                  <w:pPr>
                    <w:adjustRightInd w:val="0"/>
                    <w:snapToGrid w:val="0"/>
                    <w:spacing w:line="246" w:lineRule="exact"/>
                    <w:jc w:val="center"/>
                    <w:rPr>
                      <w:color w:val="auto"/>
                      <w:sz w:val="18"/>
                      <w:szCs w:val="18"/>
                    </w:rPr>
                  </w:pPr>
                </w:p>
              </w:tc>
              <w:tc>
                <w:tcPr>
                  <w:tcW w:w="1154" w:type="pct"/>
                  <w:vMerge w:val="continue"/>
                  <w:vAlign w:val="center"/>
                </w:tcPr>
                <w:p>
                  <w:pPr>
                    <w:adjustRightInd w:val="0"/>
                    <w:snapToGrid w:val="0"/>
                    <w:spacing w:line="246" w:lineRule="exact"/>
                    <w:jc w:val="center"/>
                    <w:rPr>
                      <w:color w:val="auto"/>
                      <w:sz w:val="18"/>
                      <w:szCs w:val="18"/>
                    </w:rPr>
                  </w:pPr>
                </w:p>
              </w:tc>
              <w:tc>
                <w:tcPr>
                  <w:tcW w:w="379" w:type="pct"/>
                  <w:vAlign w:val="center"/>
                </w:tcPr>
                <w:p>
                  <w:pPr>
                    <w:adjustRightInd w:val="0"/>
                    <w:snapToGrid w:val="0"/>
                    <w:spacing w:line="246" w:lineRule="exact"/>
                    <w:jc w:val="center"/>
                    <w:rPr>
                      <w:color w:val="auto"/>
                      <w:sz w:val="18"/>
                      <w:szCs w:val="18"/>
                    </w:rPr>
                  </w:pPr>
                  <w:r>
                    <w:rPr>
                      <w:color w:val="auto"/>
                      <w:sz w:val="18"/>
                      <w:szCs w:val="18"/>
                    </w:rPr>
                    <w:t>Ⅰ</w:t>
                  </w:r>
                </w:p>
              </w:tc>
              <w:tc>
                <w:tcPr>
                  <w:tcW w:w="379" w:type="pct"/>
                  <w:vAlign w:val="center"/>
                </w:tcPr>
                <w:p>
                  <w:pPr>
                    <w:adjustRightInd w:val="0"/>
                    <w:snapToGrid w:val="0"/>
                    <w:spacing w:line="246" w:lineRule="exact"/>
                    <w:jc w:val="center"/>
                    <w:rPr>
                      <w:color w:val="auto"/>
                      <w:sz w:val="18"/>
                      <w:szCs w:val="18"/>
                    </w:rPr>
                  </w:pPr>
                  <w:r>
                    <w:rPr>
                      <w:color w:val="auto"/>
                      <w:sz w:val="18"/>
                      <w:szCs w:val="18"/>
                    </w:rPr>
                    <w:t>Ⅱ</w:t>
                  </w:r>
                </w:p>
              </w:tc>
              <w:tc>
                <w:tcPr>
                  <w:tcW w:w="380" w:type="pct"/>
                  <w:vAlign w:val="center"/>
                </w:tcPr>
                <w:p>
                  <w:pPr>
                    <w:adjustRightInd w:val="0"/>
                    <w:snapToGrid w:val="0"/>
                    <w:spacing w:line="246" w:lineRule="exact"/>
                    <w:jc w:val="center"/>
                    <w:rPr>
                      <w:color w:val="auto"/>
                      <w:sz w:val="18"/>
                      <w:szCs w:val="18"/>
                    </w:rPr>
                  </w:pPr>
                  <w:r>
                    <w:rPr>
                      <w:color w:val="auto"/>
                      <w:sz w:val="18"/>
                      <w:szCs w:val="18"/>
                    </w:rPr>
                    <w:t>Ⅲ</w:t>
                  </w:r>
                </w:p>
              </w:tc>
              <w:tc>
                <w:tcPr>
                  <w:tcW w:w="379" w:type="pct"/>
                  <w:vAlign w:val="center"/>
                </w:tcPr>
                <w:p>
                  <w:pPr>
                    <w:adjustRightInd w:val="0"/>
                    <w:snapToGrid w:val="0"/>
                    <w:spacing w:line="246" w:lineRule="exact"/>
                    <w:jc w:val="center"/>
                    <w:rPr>
                      <w:color w:val="auto"/>
                      <w:sz w:val="18"/>
                      <w:szCs w:val="18"/>
                    </w:rPr>
                  </w:pPr>
                  <w:r>
                    <w:rPr>
                      <w:color w:val="auto"/>
                      <w:sz w:val="18"/>
                      <w:szCs w:val="18"/>
                    </w:rPr>
                    <w:t>Ⅰ</w:t>
                  </w:r>
                </w:p>
              </w:tc>
              <w:tc>
                <w:tcPr>
                  <w:tcW w:w="379" w:type="pct"/>
                  <w:vAlign w:val="center"/>
                </w:tcPr>
                <w:p>
                  <w:pPr>
                    <w:adjustRightInd w:val="0"/>
                    <w:snapToGrid w:val="0"/>
                    <w:spacing w:line="246" w:lineRule="exact"/>
                    <w:jc w:val="center"/>
                    <w:rPr>
                      <w:color w:val="auto"/>
                      <w:sz w:val="18"/>
                      <w:szCs w:val="18"/>
                    </w:rPr>
                  </w:pPr>
                  <w:r>
                    <w:rPr>
                      <w:color w:val="auto"/>
                      <w:sz w:val="18"/>
                      <w:szCs w:val="18"/>
                    </w:rPr>
                    <w:t>Ⅱ</w:t>
                  </w:r>
                </w:p>
              </w:tc>
              <w:tc>
                <w:tcPr>
                  <w:tcW w:w="380" w:type="pct"/>
                  <w:vAlign w:val="center"/>
                </w:tcPr>
                <w:p>
                  <w:pPr>
                    <w:adjustRightInd w:val="0"/>
                    <w:snapToGrid w:val="0"/>
                    <w:spacing w:line="246" w:lineRule="exact"/>
                    <w:jc w:val="center"/>
                    <w:rPr>
                      <w:color w:val="auto"/>
                      <w:sz w:val="18"/>
                      <w:szCs w:val="18"/>
                    </w:rPr>
                  </w:pPr>
                  <w:r>
                    <w:rPr>
                      <w:color w:val="auto"/>
                      <w:sz w:val="18"/>
                      <w:szCs w:val="18"/>
                    </w:rPr>
                    <w:t>Ⅲ</w:t>
                  </w:r>
                </w:p>
              </w:tc>
              <w:tc>
                <w:tcPr>
                  <w:tcW w:w="448" w:type="pct"/>
                  <w:vAlign w:val="center"/>
                </w:tcPr>
                <w:p>
                  <w:pPr>
                    <w:adjustRightInd w:val="0"/>
                    <w:snapToGrid w:val="0"/>
                    <w:spacing w:line="246" w:lineRule="exact"/>
                    <w:jc w:val="center"/>
                    <w:rPr>
                      <w:color w:val="auto"/>
                      <w:sz w:val="18"/>
                      <w:szCs w:val="18"/>
                    </w:rPr>
                  </w:pPr>
                  <w:r>
                    <w:rPr>
                      <w:color w:val="auto"/>
                      <w:sz w:val="18"/>
                      <w:szCs w:val="18"/>
                    </w:rPr>
                    <w:t>Ⅰ</w:t>
                  </w:r>
                </w:p>
              </w:tc>
              <w:tc>
                <w:tcPr>
                  <w:tcW w:w="379" w:type="pct"/>
                  <w:vAlign w:val="center"/>
                </w:tcPr>
                <w:p>
                  <w:pPr>
                    <w:adjustRightInd w:val="0"/>
                    <w:snapToGrid w:val="0"/>
                    <w:spacing w:line="246" w:lineRule="exact"/>
                    <w:jc w:val="center"/>
                    <w:rPr>
                      <w:color w:val="auto"/>
                      <w:sz w:val="18"/>
                      <w:szCs w:val="18"/>
                    </w:rPr>
                  </w:pPr>
                  <w:r>
                    <w:rPr>
                      <w:color w:val="auto"/>
                      <w:sz w:val="18"/>
                      <w:szCs w:val="18"/>
                    </w:rPr>
                    <w:t>Ⅱ</w:t>
                  </w:r>
                </w:p>
              </w:tc>
              <w:tc>
                <w:tcPr>
                  <w:tcW w:w="383" w:type="pct"/>
                  <w:vAlign w:val="center"/>
                </w:tcPr>
                <w:p>
                  <w:pPr>
                    <w:adjustRightInd w:val="0"/>
                    <w:snapToGrid w:val="0"/>
                    <w:spacing w:line="246" w:lineRule="exact"/>
                    <w:jc w:val="center"/>
                    <w:rPr>
                      <w:color w:val="auto"/>
                      <w:sz w:val="18"/>
                      <w:szCs w:val="18"/>
                    </w:rPr>
                  </w:pPr>
                  <w:r>
                    <w:rPr>
                      <w:color w:val="auto"/>
                      <w:sz w:val="18"/>
                      <w:szCs w:val="18"/>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8" w:type="pct"/>
                  <w:vAlign w:val="center"/>
                </w:tcPr>
                <w:p>
                  <w:pPr>
                    <w:adjustRightInd w:val="0"/>
                    <w:snapToGrid w:val="0"/>
                    <w:spacing w:line="246" w:lineRule="exact"/>
                    <w:jc w:val="center"/>
                    <w:rPr>
                      <w:color w:val="auto"/>
                      <w:sz w:val="18"/>
                      <w:szCs w:val="18"/>
                    </w:rPr>
                  </w:pPr>
                  <w:r>
                    <w:rPr>
                      <w:color w:val="auto"/>
                      <w:sz w:val="18"/>
                      <w:szCs w:val="18"/>
                    </w:rPr>
                    <w:t>A</w:t>
                  </w:r>
                </w:p>
              </w:tc>
              <w:tc>
                <w:tcPr>
                  <w:tcW w:w="1154" w:type="pct"/>
                  <w:vAlign w:val="center"/>
                </w:tcPr>
                <w:p>
                  <w:pPr>
                    <w:adjustRightInd w:val="0"/>
                    <w:snapToGrid w:val="0"/>
                    <w:spacing w:line="246" w:lineRule="exact"/>
                    <w:jc w:val="center"/>
                    <w:rPr>
                      <w:color w:val="auto"/>
                      <w:sz w:val="18"/>
                      <w:szCs w:val="18"/>
                    </w:rPr>
                  </w:pPr>
                  <w:r>
                    <w:rPr>
                      <w:color w:val="auto"/>
                      <w:sz w:val="18"/>
                      <w:szCs w:val="18"/>
                    </w:rPr>
                    <w:t>&lt;2</w:t>
                  </w:r>
                </w:p>
                <w:p>
                  <w:pPr>
                    <w:adjustRightInd w:val="0"/>
                    <w:snapToGrid w:val="0"/>
                    <w:spacing w:line="246" w:lineRule="exact"/>
                    <w:jc w:val="center"/>
                    <w:rPr>
                      <w:color w:val="auto"/>
                      <w:sz w:val="18"/>
                      <w:szCs w:val="18"/>
                    </w:rPr>
                  </w:pPr>
                  <w:r>
                    <w:rPr>
                      <w:color w:val="auto"/>
                      <w:sz w:val="18"/>
                      <w:szCs w:val="18"/>
                    </w:rPr>
                    <w:t>2～4</w:t>
                  </w:r>
                </w:p>
                <w:p>
                  <w:pPr>
                    <w:adjustRightInd w:val="0"/>
                    <w:snapToGrid w:val="0"/>
                    <w:spacing w:line="246" w:lineRule="exact"/>
                    <w:jc w:val="center"/>
                    <w:rPr>
                      <w:color w:val="auto"/>
                      <w:sz w:val="18"/>
                      <w:szCs w:val="18"/>
                    </w:rPr>
                  </w:pPr>
                  <w:r>
                    <w:rPr>
                      <w:color w:val="auto"/>
                      <w:sz w:val="18"/>
                      <w:szCs w:val="18"/>
                    </w:rPr>
                    <w:t>&gt;4</w:t>
                  </w:r>
                </w:p>
              </w:tc>
              <w:tc>
                <w:tcPr>
                  <w:tcW w:w="379" w:type="pct"/>
                  <w:vAlign w:val="center"/>
                </w:tcPr>
                <w:p>
                  <w:pPr>
                    <w:adjustRightInd w:val="0"/>
                    <w:snapToGrid w:val="0"/>
                    <w:spacing w:line="246" w:lineRule="exact"/>
                    <w:jc w:val="center"/>
                    <w:rPr>
                      <w:color w:val="auto"/>
                      <w:sz w:val="18"/>
                      <w:szCs w:val="18"/>
                    </w:rPr>
                  </w:pPr>
                  <w:r>
                    <w:rPr>
                      <w:color w:val="auto"/>
                      <w:sz w:val="18"/>
                      <w:szCs w:val="18"/>
                    </w:rPr>
                    <w:t>400</w:t>
                  </w:r>
                </w:p>
                <w:p>
                  <w:pPr>
                    <w:adjustRightInd w:val="0"/>
                    <w:snapToGrid w:val="0"/>
                    <w:spacing w:line="246" w:lineRule="exact"/>
                    <w:jc w:val="center"/>
                    <w:rPr>
                      <w:color w:val="auto"/>
                      <w:sz w:val="18"/>
                      <w:szCs w:val="18"/>
                    </w:rPr>
                  </w:pPr>
                  <w:r>
                    <w:rPr>
                      <w:color w:val="auto"/>
                      <w:sz w:val="18"/>
                      <w:szCs w:val="18"/>
                    </w:rPr>
                    <w:t>700</w:t>
                  </w:r>
                </w:p>
                <w:p>
                  <w:pPr>
                    <w:adjustRightInd w:val="0"/>
                    <w:snapToGrid w:val="0"/>
                    <w:spacing w:line="246" w:lineRule="exact"/>
                    <w:jc w:val="center"/>
                    <w:rPr>
                      <w:color w:val="auto"/>
                      <w:sz w:val="18"/>
                      <w:szCs w:val="18"/>
                    </w:rPr>
                  </w:pPr>
                  <w:r>
                    <w:rPr>
                      <w:color w:val="auto"/>
                      <w:sz w:val="18"/>
                      <w:szCs w:val="18"/>
                    </w:rPr>
                    <w:t>530</w:t>
                  </w:r>
                </w:p>
              </w:tc>
              <w:tc>
                <w:tcPr>
                  <w:tcW w:w="379" w:type="pct"/>
                  <w:vAlign w:val="center"/>
                </w:tcPr>
                <w:p>
                  <w:pPr>
                    <w:adjustRightInd w:val="0"/>
                    <w:snapToGrid w:val="0"/>
                    <w:spacing w:line="246" w:lineRule="exact"/>
                    <w:jc w:val="center"/>
                    <w:rPr>
                      <w:color w:val="auto"/>
                      <w:sz w:val="18"/>
                      <w:szCs w:val="18"/>
                    </w:rPr>
                  </w:pPr>
                  <w:r>
                    <w:rPr>
                      <w:color w:val="auto"/>
                      <w:sz w:val="18"/>
                      <w:szCs w:val="18"/>
                    </w:rPr>
                    <w:t>400</w:t>
                  </w:r>
                </w:p>
                <w:p>
                  <w:pPr>
                    <w:adjustRightInd w:val="0"/>
                    <w:snapToGrid w:val="0"/>
                    <w:spacing w:line="246" w:lineRule="exact"/>
                    <w:jc w:val="center"/>
                    <w:rPr>
                      <w:color w:val="auto"/>
                      <w:sz w:val="18"/>
                      <w:szCs w:val="18"/>
                    </w:rPr>
                  </w:pPr>
                  <w:r>
                    <w:rPr>
                      <w:color w:val="auto"/>
                      <w:sz w:val="18"/>
                      <w:szCs w:val="18"/>
                    </w:rPr>
                    <w:t>470</w:t>
                  </w:r>
                </w:p>
                <w:p>
                  <w:pPr>
                    <w:adjustRightInd w:val="0"/>
                    <w:snapToGrid w:val="0"/>
                    <w:spacing w:line="246" w:lineRule="exact"/>
                    <w:jc w:val="center"/>
                    <w:rPr>
                      <w:color w:val="auto"/>
                      <w:sz w:val="18"/>
                      <w:szCs w:val="18"/>
                    </w:rPr>
                  </w:pPr>
                  <w:r>
                    <w:rPr>
                      <w:color w:val="auto"/>
                      <w:sz w:val="18"/>
                      <w:szCs w:val="18"/>
                    </w:rPr>
                    <w:t>350</w:t>
                  </w:r>
                </w:p>
              </w:tc>
              <w:tc>
                <w:tcPr>
                  <w:tcW w:w="380" w:type="pct"/>
                  <w:vAlign w:val="center"/>
                </w:tcPr>
                <w:p>
                  <w:pPr>
                    <w:adjustRightInd w:val="0"/>
                    <w:snapToGrid w:val="0"/>
                    <w:spacing w:line="246" w:lineRule="exact"/>
                    <w:jc w:val="center"/>
                    <w:rPr>
                      <w:color w:val="auto"/>
                      <w:sz w:val="18"/>
                      <w:szCs w:val="18"/>
                    </w:rPr>
                  </w:pPr>
                  <w:r>
                    <w:rPr>
                      <w:color w:val="auto"/>
                      <w:sz w:val="18"/>
                      <w:szCs w:val="18"/>
                    </w:rPr>
                    <w:t>400</w:t>
                  </w:r>
                </w:p>
                <w:p>
                  <w:pPr>
                    <w:adjustRightInd w:val="0"/>
                    <w:snapToGrid w:val="0"/>
                    <w:spacing w:line="246" w:lineRule="exact"/>
                    <w:jc w:val="center"/>
                    <w:rPr>
                      <w:color w:val="auto"/>
                      <w:sz w:val="18"/>
                      <w:szCs w:val="18"/>
                    </w:rPr>
                  </w:pPr>
                  <w:r>
                    <w:rPr>
                      <w:color w:val="auto"/>
                      <w:sz w:val="18"/>
                      <w:szCs w:val="18"/>
                    </w:rPr>
                    <w:t>350</w:t>
                  </w:r>
                </w:p>
                <w:p>
                  <w:pPr>
                    <w:adjustRightInd w:val="0"/>
                    <w:snapToGrid w:val="0"/>
                    <w:spacing w:line="246" w:lineRule="exact"/>
                    <w:jc w:val="center"/>
                    <w:rPr>
                      <w:color w:val="auto"/>
                      <w:sz w:val="18"/>
                      <w:szCs w:val="18"/>
                    </w:rPr>
                  </w:pPr>
                  <w:r>
                    <w:rPr>
                      <w:color w:val="auto"/>
                      <w:sz w:val="18"/>
                      <w:szCs w:val="18"/>
                    </w:rPr>
                    <w:t>260</w:t>
                  </w:r>
                </w:p>
              </w:tc>
              <w:tc>
                <w:tcPr>
                  <w:tcW w:w="379" w:type="pct"/>
                  <w:vAlign w:val="center"/>
                </w:tcPr>
                <w:p>
                  <w:pPr>
                    <w:adjustRightInd w:val="0"/>
                    <w:snapToGrid w:val="0"/>
                    <w:spacing w:line="246" w:lineRule="exact"/>
                    <w:jc w:val="center"/>
                    <w:rPr>
                      <w:color w:val="auto"/>
                      <w:sz w:val="18"/>
                      <w:szCs w:val="18"/>
                    </w:rPr>
                  </w:pPr>
                  <w:r>
                    <w:rPr>
                      <w:color w:val="auto"/>
                      <w:sz w:val="18"/>
                      <w:szCs w:val="18"/>
                    </w:rPr>
                    <w:t>400</w:t>
                  </w:r>
                </w:p>
                <w:p>
                  <w:pPr>
                    <w:adjustRightInd w:val="0"/>
                    <w:snapToGrid w:val="0"/>
                    <w:spacing w:line="246" w:lineRule="exact"/>
                    <w:jc w:val="center"/>
                    <w:rPr>
                      <w:color w:val="auto"/>
                      <w:sz w:val="18"/>
                      <w:szCs w:val="18"/>
                    </w:rPr>
                  </w:pPr>
                  <w:r>
                    <w:rPr>
                      <w:color w:val="auto"/>
                      <w:sz w:val="18"/>
                      <w:szCs w:val="18"/>
                    </w:rPr>
                    <w:t>700</w:t>
                  </w:r>
                </w:p>
                <w:p>
                  <w:pPr>
                    <w:adjustRightInd w:val="0"/>
                    <w:snapToGrid w:val="0"/>
                    <w:spacing w:line="246" w:lineRule="exact"/>
                    <w:jc w:val="center"/>
                    <w:rPr>
                      <w:color w:val="auto"/>
                      <w:sz w:val="18"/>
                      <w:szCs w:val="18"/>
                    </w:rPr>
                  </w:pPr>
                  <w:r>
                    <w:rPr>
                      <w:color w:val="auto"/>
                      <w:sz w:val="18"/>
                      <w:szCs w:val="18"/>
                    </w:rPr>
                    <w:t>530</w:t>
                  </w:r>
                </w:p>
              </w:tc>
              <w:tc>
                <w:tcPr>
                  <w:tcW w:w="379" w:type="pct"/>
                  <w:vAlign w:val="center"/>
                </w:tcPr>
                <w:p>
                  <w:pPr>
                    <w:adjustRightInd w:val="0"/>
                    <w:snapToGrid w:val="0"/>
                    <w:spacing w:line="246" w:lineRule="exact"/>
                    <w:jc w:val="center"/>
                    <w:rPr>
                      <w:color w:val="auto"/>
                      <w:sz w:val="18"/>
                      <w:szCs w:val="18"/>
                    </w:rPr>
                  </w:pPr>
                  <w:r>
                    <w:rPr>
                      <w:color w:val="auto"/>
                      <w:sz w:val="18"/>
                      <w:szCs w:val="18"/>
                    </w:rPr>
                    <w:t>400</w:t>
                  </w:r>
                </w:p>
                <w:p>
                  <w:pPr>
                    <w:adjustRightInd w:val="0"/>
                    <w:snapToGrid w:val="0"/>
                    <w:spacing w:line="246" w:lineRule="exact"/>
                    <w:jc w:val="center"/>
                    <w:rPr>
                      <w:color w:val="auto"/>
                      <w:sz w:val="18"/>
                      <w:szCs w:val="18"/>
                    </w:rPr>
                  </w:pPr>
                  <w:r>
                    <w:rPr>
                      <w:color w:val="auto"/>
                      <w:sz w:val="18"/>
                      <w:szCs w:val="18"/>
                    </w:rPr>
                    <w:t>470</w:t>
                  </w:r>
                </w:p>
                <w:p>
                  <w:pPr>
                    <w:adjustRightInd w:val="0"/>
                    <w:snapToGrid w:val="0"/>
                    <w:spacing w:line="246" w:lineRule="exact"/>
                    <w:jc w:val="center"/>
                    <w:rPr>
                      <w:color w:val="auto"/>
                      <w:sz w:val="18"/>
                      <w:szCs w:val="18"/>
                    </w:rPr>
                  </w:pPr>
                  <w:r>
                    <w:rPr>
                      <w:color w:val="auto"/>
                      <w:sz w:val="18"/>
                      <w:szCs w:val="18"/>
                    </w:rPr>
                    <w:t>350</w:t>
                  </w:r>
                </w:p>
              </w:tc>
              <w:tc>
                <w:tcPr>
                  <w:tcW w:w="380" w:type="pct"/>
                  <w:vAlign w:val="center"/>
                </w:tcPr>
                <w:p>
                  <w:pPr>
                    <w:adjustRightInd w:val="0"/>
                    <w:snapToGrid w:val="0"/>
                    <w:spacing w:line="246" w:lineRule="exact"/>
                    <w:jc w:val="center"/>
                    <w:rPr>
                      <w:color w:val="auto"/>
                      <w:sz w:val="18"/>
                      <w:szCs w:val="18"/>
                    </w:rPr>
                  </w:pPr>
                  <w:r>
                    <w:rPr>
                      <w:color w:val="auto"/>
                      <w:sz w:val="18"/>
                      <w:szCs w:val="18"/>
                    </w:rPr>
                    <w:t>400</w:t>
                  </w:r>
                </w:p>
                <w:p>
                  <w:pPr>
                    <w:adjustRightInd w:val="0"/>
                    <w:snapToGrid w:val="0"/>
                    <w:spacing w:line="246" w:lineRule="exact"/>
                    <w:jc w:val="center"/>
                    <w:rPr>
                      <w:color w:val="auto"/>
                      <w:sz w:val="18"/>
                      <w:szCs w:val="18"/>
                    </w:rPr>
                  </w:pPr>
                  <w:r>
                    <w:rPr>
                      <w:color w:val="auto"/>
                      <w:sz w:val="18"/>
                      <w:szCs w:val="18"/>
                    </w:rPr>
                    <w:t>350</w:t>
                  </w:r>
                </w:p>
                <w:p>
                  <w:pPr>
                    <w:adjustRightInd w:val="0"/>
                    <w:snapToGrid w:val="0"/>
                    <w:spacing w:line="246" w:lineRule="exact"/>
                    <w:jc w:val="center"/>
                    <w:rPr>
                      <w:color w:val="auto"/>
                      <w:sz w:val="18"/>
                      <w:szCs w:val="18"/>
                    </w:rPr>
                  </w:pPr>
                  <w:r>
                    <w:rPr>
                      <w:color w:val="auto"/>
                      <w:sz w:val="18"/>
                      <w:szCs w:val="18"/>
                    </w:rPr>
                    <w:t>260</w:t>
                  </w:r>
                </w:p>
              </w:tc>
              <w:tc>
                <w:tcPr>
                  <w:tcW w:w="448" w:type="pct"/>
                  <w:vAlign w:val="center"/>
                </w:tcPr>
                <w:p>
                  <w:pPr>
                    <w:adjustRightInd w:val="0"/>
                    <w:snapToGrid w:val="0"/>
                    <w:spacing w:line="246" w:lineRule="exact"/>
                    <w:jc w:val="center"/>
                    <w:rPr>
                      <w:color w:val="auto"/>
                      <w:sz w:val="18"/>
                      <w:szCs w:val="18"/>
                    </w:rPr>
                  </w:pPr>
                  <w:r>
                    <w:rPr>
                      <w:color w:val="auto"/>
                      <w:sz w:val="18"/>
                      <w:szCs w:val="18"/>
                    </w:rPr>
                    <w:t>80</w:t>
                  </w:r>
                </w:p>
                <w:p>
                  <w:pPr>
                    <w:adjustRightInd w:val="0"/>
                    <w:snapToGrid w:val="0"/>
                    <w:spacing w:line="246" w:lineRule="exact"/>
                    <w:jc w:val="center"/>
                    <w:rPr>
                      <w:color w:val="auto"/>
                      <w:sz w:val="18"/>
                      <w:szCs w:val="18"/>
                    </w:rPr>
                  </w:pPr>
                  <w:r>
                    <w:rPr>
                      <w:color w:val="auto"/>
                      <w:sz w:val="18"/>
                      <w:szCs w:val="18"/>
                    </w:rPr>
                    <w:t>1000</w:t>
                  </w:r>
                </w:p>
                <w:p>
                  <w:pPr>
                    <w:adjustRightInd w:val="0"/>
                    <w:snapToGrid w:val="0"/>
                    <w:spacing w:line="246" w:lineRule="exact"/>
                    <w:jc w:val="center"/>
                    <w:rPr>
                      <w:color w:val="auto"/>
                      <w:sz w:val="18"/>
                      <w:szCs w:val="18"/>
                    </w:rPr>
                  </w:pPr>
                  <w:r>
                    <w:rPr>
                      <w:color w:val="auto"/>
                      <w:sz w:val="18"/>
                      <w:szCs w:val="18"/>
                    </w:rPr>
                    <w:t>290</w:t>
                  </w:r>
                </w:p>
              </w:tc>
              <w:tc>
                <w:tcPr>
                  <w:tcW w:w="379" w:type="pct"/>
                  <w:vAlign w:val="center"/>
                </w:tcPr>
                <w:p>
                  <w:pPr>
                    <w:adjustRightInd w:val="0"/>
                    <w:snapToGrid w:val="0"/>
                    <w:spacing w:line="246" w:lineRule="exact"/>
                    <w:jc w:val="center"/>
                    <w:rPr>
                      <w:color w:val="auto"/>
                      <w:sz w:val="18"/>
                      <w:szCs w:val="18"/>
                    </w:rPr>
                  </w:pPr>
                  <w:r>
                    <w:rPr>
                      <w:color w:val="auto"/>
                      <w:sz w:val="18"/>
                      <w:szCs w:val="18"/>
                    </w:rPr>
                    <w:t>80</w:t>
                  </w:r>
                </w:p>
                <w:p>
                  <w:pPr>
                    <w:adjustRightInd w:val="0"/>
                    <w:snapToGrid w:val="0"/>
                    <w:spacing w:line="246" w:lineRule="exact"/>
                    <w:jc w:val="center"/>
                    <w:rPr>
                      <w:color w:val="auto"/>
                      <w:sz w:val="18"/>
                      <w:szCs w:val="18"/>
                    </w:rPr>
                  </w:pPr>
                  <w:r>
                    <w:rPr>
                      <w:color w:val="auto"/>
                      <w:sz w:val="18"/>
                      <w:szCs w:val="18"/>
                    </w:rPr>
                    <w:t>250</w:t>
                  </w:r>
                </w:p>
                <w:p>
                  <w:pPr>
                    <w:adjustRightInd w:val="0"/>
                    <w:snapToGrid w:val="0"/>
                    <w:spacing w:line="246" w:lineRule="exact"/>
                    <w:jc w:val="center"/>
                    <w:rPr>
                      <w:color w:val="auto"/>
                      <w:sz w:val="18"/>
                      <w:szCs w:val="18"/>
                    </w:rPr>
                  </w:pPr>
                  <w:r>
                    <w:rPr>
                      <w:color w:val="auto"/>
                      <w:sz w:val="18"/>
                      <w:szCs w:val="18"/>
                    </w:rPr>
                    <w:t>190</w:t>
                  </w:r>
                </w:p>
              </w:tc>
              <w:tc>
                <w:tcPr>
                  <w:tcW w:w="383" w:type="pct"/>
                  <w:vAlign w:val="center"/>
                </w:tcPr>
                <w:p>
                  <w:pPr>
                    <w:adjustRightInd w:val="0"/>
                    <w:snapToGrid w:val="0"/>
                    <w:spacing w:line="246" w:lineRule="exact"/>
                    <w:jc w:val="center"/>
                    <w:rPr>
                      <w:color w:val="auto"/>
                      <w:sz w:val="18"/>
                      <w:szCs w:val="18"/>
                    </w:rPr>
                  </w:pPr>
                  <w:r>
                    <w:rPr>
                      <w:color w:val="auto"/>
                      <w:sz w:val="18"/>
                      <w:szCs w:val="18"/>
                    </w:rPr>
                    <w:t>80</w:t>
                  </w:r>
                </w:p>
                <w:p>
                  <w:pPr>
                    <w:adjustRightInd w:val="0"/>
                    <w:snapToGrid w:val="0"/>
                    <w:spacing w:line="246" w:lineRule="exact"/>
                    <w:jc w:val="center"/>
                    <w:rPr>
                      <w:color w:val="auto"/>
                      <w:sz w:val="18"/>
                      <w:szCs w:val="18"/>
                    </w:rPr>
                  </w:pPr>
                  <w:r>
                    <w:rPr>
                      <w:color w:val="auto"/>
                      <w:sz w:val="18"/>
                      <w:szCs w:val="18"/>
                    </w:rPr>
                    <w:t>190</w:t>
                  </w:r>
                </w:p>
                <w:p>
                  <w:pPr>
                    <w:adjustRightInd w:val="0"/>
                    <w:snapToGrid w:val="0"/>
                    <w:spacing w:line="246" w:lineRule="exact"/>
                    <w:jc w:val="center"/>
                    <w:rPr>
                      <w:color w:val="auto"/>
                      <w:sz w:val="18"/>
                      <w:szCs w:val="18"/>
                    </w:rPr>
                  </w:pPr>
                  <w:r>
                    <w:rPr>
                      <w:color w:val="auto"/>
                      <w:sz w:val="18"/>
                      <w:szCs w:val="18"/>
                    </w:rPr>
                    <w:t>140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8" w:type="pct"/>
                  <w:vAlign w:val="center"/>
                </w:tcPr>
                <w:p>
                  <w:pPr>
                    <w:adjustRightInd w:val="0"/>
                    <w:snapToGrid w:val="0"/>
                    <w:spacing w:line="246" w:lineRule="exact"/>
                    <w:jc w:val="center"/>
                    <w:rPr>
                      <w:color w:val="auto"/>
                      <w:sz w:val="18"/>
                      <w:szCs w:val="18"/>
                    </w:rPr>
                  </w:pPr>
                  <w:r>
                    <w:rPr>
                      <w:color w:val="auto"/>
                      <w:sz w:val="18"/>
                      <w:szCs w:val="18"/>
                    </w:rPr>
                    <w:t>B</w:t>
                  </w:r>
                </w:p>
              </w:tc>
              <w:tc>
                <w:tcPr>
                  <w:tcW w:w="1154" w:type="pct"/>
                  <w:vAlign w:val="center"/>
                </w:tcPr>
                <w:p>
                  <w:pPr>
                    <w:adjustRightInd w:val="0"/>
                    <w:snapToGrid w:val="0"/>
                    <w:spacing w:line="246" w:lineRule="exact"/>
                    <w:jc w:val="center"/>
                    <w:rPr>
                      <w:color w:val="auto"/>
                      <w:sz w:val="18"/>
                      <w:szCs w:val="18"/>
                    </w:rPr>
                  </w:pPr>
                  <w:r>
                    <w:rPr>
                      <w:color w:val="auto"/>
                      <w:sz w:val="18"/>
                      <w:szCs w:val="18"/>
                    </w:rPr>
                    <w:t>&lt;2</w:t>
                  </w:r>
                </w:p>
                <w:p>
                  <w:pPr>
                    <w:adjustRightInd w:val="0"/>
                    <w:snapToGrid w:val="0"/>
                    <w:spacing w:line="246" w:lineRule="exact"/>
                    <w:jc w:val="center"/>
                    <w:rPr>
                      <w:color w:val="auto"/>
                      <w:sz w:val="18"/>
                      <w:szCs w:val="18"/>
                    </w:rPr>
                  </w:pPr>
                  <w:r>
                    <w:rPr>
                      <w:color w:val="auto"/>
                      <w:sz w:val="18"/>
                      <w:szCs w:val="18"/>
                    </w:rPr>
                    <w:t>&gt;2</w:t>
                  </w:r>
                </w:p>
              </w:tc>
              <w:tc>
                <w:tcPr>
                  <w:tcW w:w="1138" w:type="pct"/>
                  <w:gridSpan w:val="3"/>
                  <w:vAlign w:val="center"/>
                </w:tcPr>
                <w:p>
                  <w:pPr>
                    <w:adjustRightInd w:val="0"/>
                    <w:snapToGrid w:val="0"/>
                    <w:spacing w:line="246" w:lineRule="exact"/>
                    <w:jc w:val="center"/>
                    <w:rPr>
                      <w:color w:val="auto"/>
                      <w:sz w:val="18"/>
                      <w:szCs w:val="18"/>
                    </w:rPr>
                  </w:pPr>
                  <w:r>
                    <w:rPr>
                      <w:color w:val="auto"/>
                      <w:sz w:val="18"/>
                      <w:szCs w:val="18"/>
                    </w:rPr>
                    <w:t>0.01</w:t>
                  </w:r>
                </w:p>
                <w:p>
                  <w:pPr>
                    <w:adjustRightInd w:val="0"/>
                    <w:snapToGrid w:val="0"/>
                    <w:spacing w:line="246" w:lineRule="exact"/>
                    <w:jc w:val="center"/>
                    <w:rPr>
                      <w:color w:val="auto"/>
                      <w:sz w:val="18"/>
                      <w:szCs w:val="18"/>
                    </w:rPr>
                  </w:pPr>
                  <w:r>
                    <w:rPr>
                      <w:color w:val="auto"/>
                      <w:sz w:val="18"/>
                      <w:szCs w:val="18"/>
                    </w:rPr>
                    <w:t>0.021</w:t>
                  </w:r>
                </w:p>
              </w:tc>
              <w:tc>
                <w:tcPr>
                  <w:tcW w:w="1138" w:type="pct"/>
                  <w:gridSpan w:val="3"/>
                  <w:vAlign w:val="center"/>
                </w:tcPr>
                <w:p>
                  <w:pPr>
                    <w:adjustRightInd w:val="0"/>
                    <w:snapToGrid w:val="0"/>
                    <w:spacing w:line="246" w:lineRule="exact"/>
                    <w:jc w:val="center"/>
                    <w:rPr>
                      <w:color w:val="auto"/>
                      <w:sz w:val="18"/>
                      <w:szCs w:val="18"/>
                    </w:rPr>
                  </w:pPr>
                  <w:r>
                    <w:rPr>
                      <w:color w:val="auto"/>
                      <w:sz w:val="18"/>
                      <w:szCs w:val="18"/>
                    </w:rPr>
                    <w:t>0.015</w:t>
                  </w:r>
                </w:p>
                <w:p>
                  <w:pPr>
                    <w:adjustRightInd w:val="0"/>
                    <w:snapToGrid w:val="0"/>
                    <w:spacing w:line="246" w:lineRule="exact"/>
                    <w:jc w:val="center"/>
                    <w:rPr>
                      <w:color w:val="auto"/>
                      <w:sz w:val="18"/>
                      <w:szCs w:val="18"/>
                    </w:rPr>
                  </w:pPr>
                  <w:r>
                    <w:rPr>
                      <w:color w:val="auto"/>
                      <w:sz w:val="18"/>
                      <w:szCs w:val="18"/>
                    </w:rPr>
                    <w:t>0.036</w:t>
                  </w:r>
                </w:p>
              </w:tc>
              <w:tc>
                <w:tcPr>
                  <w:tcW w:w="1210" w:type="pct"/>
                  <w:gridSpan w:val="3"/>
                  <w:vAlign w:val="center"/>
                </w:tcPr>
                <w:p>
                  <w:pPr>
                    <w:adjustRightInd w:val="0"/>
                    <w:snapToGrid w:val="0"/>
                    <w:spacing w:line="246" w:lineRule="exact"/>
                    <w:jc w:val="center"/>
                    <w:rPr>
                      <w:color w:val="auto"/>
                      <w:sz w:val="18"/>
                      <w:szCs w:val="18"/>
                    </w:rPr>
                  </w:pPr>
                  <w:r>
                    <w:rPr>
                      <w:color w:val="auto"/>
                      <w:sz w:val="18"/>
                      <w:szCs w:val="18"/>
                    </w:rPr>
                    <w:t>0.015</w:t>
                  </w:r>
                </w:p>
                <w:p>
                  <w:pPr>
                    <w:adjustRightInd w:val="0"/>
                    <w:snapToGrid w:val="0"/>
                    <w:spacing w:line="246" w:lineRule="exact"/>
                    <w:jc w:val="center"/>
                    <w:rPr>
                      <w:color w:val="auto"/>
                      <w:sz w:val="18"/>
                      <w:szCs w:val="18"/>
                    </w:rPr>
                  </w:pPr>
                  <w:r>
                    <w:rPr>
                      <w:color w:val="auto"/>
                      <w:sz w:val="18"/>
                      <w:szCs w:val="18"/>
                    </w:rPr>
                    <w:t>0.036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8" w:type="pct"/>
                  <w:vAlign w:val="center"/>
                </w:tcPr>
                <w:p>
                  <w:pPr>
                    <w:adjustRightInd w:val="0"/>
                    <w:snapToGrid w:val="0"/>
                    <w:spacing w:line="246" w:lineRule="exact"/>
                    <w:jc w:val="center"/>
                    <w:rPr>
                      <w:color w:val="auto"/>
                      <w:sz w:val="18"/>
                      <w:szCs w:val="18"/>
                    </w:rPr>
                  </w:pPr>
                  <w:r>
                    <w:rPr>
                      <w:color w:val="auto"/>
                      <w:sz w:val="18"/>
                      <w:szCs w:val="18"/>
                    </w:rPr>
                    <w:t>C</w:t>
                  </w:r>
                </w:p>
              </w:tc>
              <w:tc>
                <w:tcPr>
                  <w:tcW w:w="1154" w:type="pct"/>
                  <w:vAlign w:val="center"/>
                </w:tcPr>
                <w:p>
                  <w:pPr>
                    <w:adjustRightInd w:val="0"/>
                    <w:snapToGrid w:val="0"/>
                    <w:spacing w:line="246" w:lineRule="exact"/>
                    <w:jc w:val="center"/>
                    <w:rPr>
                      <w:color w:val="auto"/>
                      <w:sz w:val="18"/>
                      <w:szCs w:val="18"/>
                    </w:rPr>
                  </w:pPr>
                  <w:r>
                    <w:rPr>
                      <w:color w:val="auto"/>
                      <w:sz w:val="18"/>
                      <w:szCs w:val="18"/>
                    </w:rPr>
                    <w:t>&lt;2</w:t>
                  </w:r>
                </w:p>
                <w:p>
                  <w:pPr>
                    <w:adjustRightInd w:val="0"/>
                    <w:snapToGrid w:val="0"/>
                    <w:spacing w:line="246" w:lineRule="exact"/>
                    <w:jc w:val="center"/>
                    <w:rPr>
                      <w:color w:val="auto"/>
                      <w:sz w:val="18"/>
                      <w:szCs w:val="18"/>
                    </w:rPr>
                  </w:pPr>
                  <w:r>
                    <w:rPr>
                      <w:color w:val="auto"/>
                      <w:sz w:val="18"/>
                      <w:szCs w:val="18"/>
                    </w:rPr>
                    <w:t>&gt;2</w:t>
                  </w:r>
                </w:p>
              </w:tc>
              <w:tc>
                <w:tcPr>
                  <w:tcW w:w="1138" w:type="pct"/>
                  <w:gridSpan w:val="3"/>
                  <w:vAlign w:val="center"/>
                </w:tcPr>
                <w:p>
                  <w:pPr>
                    <w:adjustRightInd w:val="0"/>
                    <w:snapToGrid w:val="0"/>
                    <w:spacing w:line="246" w:lineRule="exact"/>
                    <w:jc w:val="center"/>
                    <w:rPr>
                      <w:color w:val="auto"/>
                      <w:sz w:val="18"/>
                      <w:szCs w:val="18"/>
                    </w:rPr>
                  </w:pPr>
                  <w:r>
                    <w:rPr>
                      <w:color w:val="auto"/>
                      <w:sz w:val="18"/>
                      <w:szCs w:val="18"/>
                    </w:rPr>
                    <w:t>1.85</w:t>
                  </w:r>
                </w:p>
                <w:p>
                  <w:pPr>
                    <w:adjustRightInd w:val="0"/>
                    <w:snapToGrid w:val="0"/>
                    <w:spacing w:line="246" w:lineRule="exact"/>
                    <w:jc w:val="center"/>
                    <w:rPr>
                      <w:color w:val="auto"/>
                      <w:sz w:val="18"/>
                      <w:szCs w:val="18"/>
                    </w:rPr>
                  </w:pPr>
                  <w:r>
                    <w:rPr>
                      <w:color w:val="auto"/>
                      <w:sz w:val="18"/>
                      <w:szCs w:val="18"/>
                    </w:rPr>
                    <w:t>1.85</w:t>
                  </w:r>
                </w:p>
              </w:tc>
              <w:tc>
                <w:tcPr>
                  <w:tcW w:w="1138" w:type="pct"/>
                  <w:gridSpan w:val="3"/>
                  <w:vAlign w:val="center"/>
                </w:tcPr>
                <w:p>
                  <w:pPr>
                    <w:adjustRightInd w:val="0"/>
                    <w:snapToGrid w:val="0"/>
                    <w:spacing w:line="246" w:lineRule="exact"/>
                    <w:jc w:val="center"/>
                    <w:rPr>
                      <w:color w:val="auto"/>
                      <w:sz w:val="18"/>
                      <w:szCs w:val="18"/>
                    </w:rPr>
                  </w:pPr>
                  <w:r>
                    <w:rPr>
                      <w:color w:val="auto"/>
                      <w:sz w:val="18"/>
                      <w:szCs w:val="18"/>
                    </w:rPr>
                    <w:t>1.79</w:t>
                  </w:r>
                </w:p>
                <w:p>
                  <w:pPr>
                    <w:adjustRightInd w:val="0"/>
                    <w:snapToGrid w:val="0"/>
                    <w:spacing w:line="246" w:lineRule="exact"/>
                    <w:jc w:val="center"/>
                    <w:rPr>
                      <w:color w:val="auto"/>
                      <w:sz w:val="18"/>
                      <w:szCs w:val="18"/>
                    </w:rPr>
                  </w:pPr>
                  <w:r>
                    <w:rPr>
                      <w:color w:val="auto"/>
                      <w:sz w:val="18"/>
                      <w:szCs w:val="18"/>
                    </w:rPr>
                    <w:t>1.77</w:t>
                  </w:r>
                </w:p>
              </w:tc>
              <w:tc>
                <w:tcPr>
                  <w:tcW w:w="1210" w:type="pct"/>
                  <w:gridSpan w:val="3"/>
                  <w:vAlign w:val="center"/>
                </w:tcPr>
                <w:p>
                  <w:pPr>
                    <w:adjustRightInd w:val="0"/>
                    <w:snapToGrid w:val="0"/>
                    <w:spacing w:line="246" w:lineRule="exact"/>
                    <w:jc w:val="center"/>
                    <w:rPr>
                      <w:color w:val="auto"/>
                      <w:sz w:val="18"/>
                      <w:szCs w:val="18"/>
                    </w:rPr>
                  </w:pPr>
                  <w:r>
                    <w:rPr>
                      <w:color w:val="auto"/>
                      <w:sz w:val="18"/>
                      <w:szCs w:val="18"/>
                    </w:rPr>
                    <w:t>1.79</w:t>
                  </w:r>
                </w:p>
                <w:p>
                  <w:pPr>
                    <w:adjustRightInd w:val="0"/>
                    <w:snapToGrid w:val="0"/>
                    <w:spacing w:line="246" w:lineRule="exact"/>
                    <w:jc w:val="center"/>
                    <w:rPr>
                      <w:color w:val="auto"/>
                      <w:sz w:val="18"/>
                      <w:szCs w:val="18"/>
                    </w:rPr>
                  </w:pPr>
                  <w:r>
                    <w:rPr>
                      <w:color w:val="auto"/>
                      <w:sz w:val="18"/>
                      <w:szCs w:val="18"/>
                    </w:rPr>
                    <w:t>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8" w:type="pct"/>
                  <w:vAlign w:val="center"/>
                </w:tcPr>
                <w:p>
                  <w:pPr>
                    <w:adjustRightInd w:val="0"/>
                    <w:snapToGrid w:val="0"/>
                    <w:spacing w:line="246" w:lineRule="exact"/>
                    <w:jc w:val="center"/>
                    <w:rPr>
                      <w:color w:val="auto"/>
                      <w:sz w:val="18"/>
                      <w:szCs w:val="18"/>
                    </w:rPr>
                  </w:pPr>
                  <w:r>
                    <w:rPr>
                      <w:color w:val="auto"/>
                      <w:sz w:val="18"/>
                      <w:szCs w:val="18"/>
                    </w:rPr>
                    <w:t>D</w:t>
                  </w:r>
                </w:p>
              </w:tc>
              <w:tc>
                <w:tcPr>
                  <w:tcW w:w="1154" w:type="pct"/>
                  <w:vAlign w:val="center"/>
                </w:tcPr>
                <w:p>
                  <w:pPr>
                    <w:adjustRightInd w:val="0"/>
                    <w:snapToGrid w:val="0"/>
                    <w:spacing w:line="246" w:lineRule="exact"/>
                    <w:jc w:val="center"/>
                    <w:rPr>
                      <w:color w:val="auto"/>
                      <w:sz w:val="18"/>
                      <w:szCs w:val="18"/>
                    </w:rPr>
                  </w:pPr>
                  <w:r>
                    <w:rPr>
                      <w:color w:val="auto"/>
                      <w:sz w:val="18"/>
                      <w:szCs w:val="18"/>
                    </w:rPr>
                    <w:t>&lt;2</w:t>
                  </w:r>
                </w:p>
                <w:p>
                  <w:pPr>
                    <w:adjustRightInd w:val="0"/>
                    <w:snapToGrid w:val="0"/>
                    <w:spacing w:line="246" w:lineRule="exact"/>
                    <w:jc w:val="center"/>
                    <w:rPr>
                      <w:color w:val="auto"/>
                      <w:sz w:val="18"/>
                      <w:szCs w:val="18"/>
                    </w:rPr>
                  </w:pPr>
                  <w:r>
                    <w:rPr>
                      <w:color w:val="auto"/>
                      <w:sz w:val="18"/>
                      <w:szCs w:val="18"/>
                    </w:rPr>
                    <w:t>&gt;2</w:t>
                  </w:r>
                </w:p>
              </w:tc>
              <w:tc>
                <w:tcPr>
                  <w:tcW w:w="1138" w:type="pct"/>
                  <w:gridSpan w:val="3"/>
                  <w:vAlign w:val="center"/>
                </w:tcPr>
                <w:p>
                  <w:pPr>
                    <w:adjustRightInd w:val="0"/>
                    <w:snapToGrid w:val="0"/>
                    <w:spacing w:line="246" w:lineRule="exact"/>
                    <w:jc w:val="center"/>
                    <w:rPr>
                      <w:color w:val="auto"/>
                      <w:sz w:val="18"/>
                      <w:szCs w:val="18"/>
                    </w:rPr>
                  </w:pPr>
                  <w:r>
                    <w:rPr>
                      <w:color w:val="auto"/>
                      <w:sz w:val="18"/>
                      <w:szCs w:val="18"/>
                    </w:rPr>
                    <w:t>0.78</w:t>
                  </w:r>
                </w:p>
                <w:p>
                  <w:pPr>
                    <w:adjustRightInd w:val="0"/>
                    <w:snapToGrid w:val="0"/>
                    <w:spacing w:line="246" w:lineRule="exact"/>
                    <w:jc w:val="center"/>
                    <w:rPr>
                      <w:color w:val="auto"/>
                      <w:sz w:val="18"/>
                      <w:szCs w:val="18"/>
                    </w:rPr>
                  </w:pPr>
                  <w:r>
                    <w:rPr>
                      <w:color w:val="auto"/>
                      <w:sz w:val="18"/>
                      <w:szCs w:val="18"/>
                    </w:rPr>
                    <w:t>0.84</w:t>
                  </w:r>
                </w:p>
              </w:tc>
              <w:tc>
                <w:tcPr>
                  <w:tcW w:w="1138" w:type="pct"/>
                  <w:gridSpan w:val="3"/>
                  <w:vAlign w:val="center"/>
                </w:tcPr>
                <w:p>
                  <w:pPr>
                    <w:adjustRightInd w:val="0"/>
                    <w:snapToGrid w:val="0"/>
                    <w:spacing w:line="246" w:lineRule="exact"/>
                    <w:jc w:val="center"/>
                    <w:rPr>
                      <w:color w:val="auto"/>
                      <w:sz w:val="18"/>
                      <w:szCs w:val="18"/>
                    </w:rPr>
                  </w:pPr>
                  <w:r>
                    <w:rPr>
                      <w:color w:val="auto"/>
                      <w:sz w:val="18"/>
                      <w:szCs w:val="18"/>
                    </w:rPr>
                    <w:t>0.78</w:t>
                  </w:r>
                </w:p>
                <w:p>
                  <w:pPr>
                    <w:adjustRightInd w:val="0"/>
                    <w:snapToGrid w:val="0"/>
                    <w:spacing w:line="246" w:lineRule="exact"/>
                    <w:jc w:val="center"/>
                    <w:rPr>
                      <w:color w:val="auto"/>
                      <w:sz w:val="18"/>
                      <w:szCs w:val="18"/>
                    </w:rPr>
                  </w:pPr>
                  <w:r>
                    <w:rPr>
                      <w:color w:val="auto"/>
                      <w:sz w:val="18"/>
                      <w:szCs w:val="18"/>
                    </w:rPr>
                    <w:t>0.84</w:t>
                  </w:r>
                </w:p>
              </w:tc>
              <w:tc>
                <w:tcPr>
                  <w:tcW w:w="1210" w:type="pct"/>
                  <w:gridSpan w:val="3"/>
                  <w:vAlign w:val="center"/>
                </w:tcPr>
                <w:p>
                  <w:pPr>
                    <w:adjustRightInd w:val="0"/>
                    <w:snapToGrid w:val="0"/>
                    <w:spacing w:line="246" w:lineRule="exact"/>
                    <w:jc w:val="center"/>
                    <w:rPr>
                      <w:color w:val="auto"/>
                      <w:sz w:val="18"/>
                      <w:szCs w:val="18"/>
                    </w:rPr>
                  </w:pPr>
                  <w:r>
                    <w:rPr>
                      <w:color w:val="auto"/>
                      <w:sz w:val="18"/>
                      <w:szCs w:val="18"/>
                    </w:rPr>
                    <w:t>0.57</w:t>
                  </w:r>
                </w:p>
                <w:p>
                  <w:pPr>
                    <w:adjustRightInd w:val="0"/>
                    <w:snapToGrid w:val="0"/>
                    <w:spacing w:line="246" w:lineRule="exact"/>
                    <w:jc w:val="center"/>
                    <w:rPr>
                      <w:color w:val="auto"/>
                      <w:sz w:val="18"/>
                      <w:szCs w:val="18"/>
                    </w:rPr>
                  </w:pPr>
                  <w:r>
                    <w:rPr>
                      <w:color w:val="auto"/>
                      <w:sz w:val="18"/>
                      <w:szCs w:val="18"/>
                    </w:rPr>
                    <w:t>0.76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2" w:hRule="atLeast"/>
                <w:jc w:val="center"/>
              </w:trPr>
              <w:tc>
                <w:tcPr>
                  <w:tcW w:w="5000" w:type="pct"/>
                  <w:gridSpan w:val="11"/>
                </w:tcPr>
                <w:p>
                  <w:pPr>
                    <w:adjustRightInd w:val="0"/>
                    <w:snapToGrid w:val="0"/>
                    <w:spacing w:line="246" w:lineRule="exact"/>
                    <w:rPr>
                      <w:color w:val="auto"/>
                      <w:sz w:val="18"/>
                      <w:szCs w:val="18"/>
                    </w:rPr>
                  </w:pPr>
                  <w:r>
                    <w:rPr>
                      <w:color w:val="auto"/>
                      <w:sz w:val="18"/>
                      <w:szCs w:val="18"/>
                    </w:rPr>
                    <w:t>注：工业企业大气污染源构成分为三类：</w:t>
                  </w:r>
                </w:p>
                <w:p>
                  <w:pPr>
                    <w:adjustRightInd w:val="0"/>
                    <w:snapToGrid w:val="0"/>
                    <w:spacing w:line="246" w:lineRule="exact"/>
                    <w:ind w:left="361" w:leftChars="172"/>
                    <w:rPr>
                      <w:color w:val="auto"/>
                      <w:spacing w:val="-2"/>
                      <w:sz w:val="18"/>
                      <w:szCs w:val="18"/>
                    </w:rPr>
                  </w:pPr>
                  <w:r>
                    <w:rPr>
                      <w:color w:val="auto"/>
                      <w:sz w:val="18"/>
                      <w:szCs w:val="18"/>
                    </w:rPr>
                    <w:t>Ⅰ类：与无组织排放源共存的排放同种有害气体的排气筒的排放量，大于标准规定的允许排放量的三分之一者。</w:t>
                  </w:r>
                  <w:r>
                    <w:rPr>
                      <w:color w:val="auto"/>
                      <w:spacing w:val="-2"/>
                      <w:sz w:val="18"/>
                      <w:szCs w:val="18"/>
                    </w:rPr>
                    <w:t>Ⅱ类：与无组织排放源共存的排放同种有害气体的排气筒的排放量，小于标准规定的允许排放量的三分之一，或虽无排放同种大气污染物之排气筒共存，但无组织排放的有害物质的容许浓度指标是按急性反应指标确定者。</w:t>
                  </w:r>
                </w:p>
                <w:p>
                  <w:pPr>
                    <w:adjustRightInd w:val="0"/>
                    <w:snapToGrid w:val="0"/>
                    <w:spacing w:line="246" w:lineRule="exact"/>
                    <w:ind w:left="361" w:leftChars="172"/>
                    <w:rPr>
                      <w:color w:val="auto"/>
                      <w:sz w:val="18"/>
                      <w:szCs w:val="18"/>
                    </w:rPr>
                  </w:pPr>
                  <w:r>
                    <w:rPr>
                      <w:color w:val="auto"/>
                      <w:sz w:val="18"/>
                      <w:szCs w:val="18"/>
                    </w:rPr>
                    <w:t>Ⅲ类：无排放同种有害物质的排气筒与无组织排放源共存，且无组织排放的有害物质的容许浓度是按慢性反应指标确定者。</w:t>
                  </w:r>
                </w:p>
              </w:tc>
            </w:tr>
          </w:tbl>
          <w:p>
            <w:pPr>
              <w:spacing w:line="360" w:lineRule="auto"/>
              <w:ind w:firstLine="412" w:firstLineChars="200"/>
              <w:jc w:val="left"/>
              <w:rPr>
                <w:color w:val="auto"/>
                <w:spacing w:val="-2"/>
                <w:szCs w:val="21"/>
              </w:rPr>
            </w:pPr>
            <w:r>
              <w:rPr>
                <w:rFonts w:hint="eastAsia"/>
                <w:color w:val="auto"/>
                <w:spacing w:val="-2"/>
                <w:szCs w:val="21"/>
              </w:rPr>
              <w:t>等标排放量计算如下表。</w:t>
            </w:r>
          </w:p>
          <w:p>
            <w:pPr>
              <w:spacing w:before="194" w:beforeLines="50"/>
              <w:jc w:val="center"/>
              <w:outlineLvl w:val="5"/>
              <w:rPr>
                <w:rFonts w:hint="eastAsia" w:eastAsia="宋体" w:cs="Times New Roman"/>
                <w:b/>
                <w:color w:val="auto"/>
                <w:spacing w:val="0"/>
                <w:sz w:val="21"/>
                <w:szCs w:val="21"/>
                <w:lang w:val="en-US" w:eastAsia="zh-CN"/>
              </w:rPr>
            </w:pPr>
          </w:p>
          <w:p>
            <w:pPr>
              <w:spacing w:before="194" w:beforeLines="50"/>
              <w:jc w:val="center"/>
              <w:outlineLvl w:val="5"/>
              <w:rPr>
                <w:rFonts w:hint="eastAsia" w:eastAsia="宋体" w:cs="Times New Roman"/>
                <w:b/>
                <w:color w:val="auto"/>
                <w:spacing w:val="0"/>
                <w:sz w:val="21"/>
                <w:szCs w:val="21"/>
                <w:lang w:val="en-US" w:eastAsia="zh-CN"/>
              </w:rPr>
            </w:pPr>
          </w:p>
          <w:p>
            <w:pPr>
              <w:spacing w:before="194" w:beforeLines="50"/>
              <w:jc w:val="center"/>
              <w:outlineLvl w:val="5"/>
              <w:rPr>
                <w:rFonts w:hint="eastAsia"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表4-13</w:t>
            </w:r>
            <w:r>
              <w:rPr>
                <w:rFonts w:hint="eastAsia" w:cs="Times New Roman"/>
                <w:b/>
                <w:color w:val="auto"/>
                <w:spacing w:val="0"/>
                <w:sz w:val="21"/>
                <w:szCs w:val="21"/>
                <w:lang w:val="en-US" w:eastAsia="zh-CN"/>
              </w:rPr>
              <w:t xml:space="preserve">  </w:t>
            </w:r>
            <w:r>
              <w:rPr>
                <w:rFonts w:hint="eastAsia" w:eastAsia="宋体" w:cs="Times New Roman"/>
                <w:b/>
                <w:color w:val="auto"/>
                <w:spacing w:val="0"/>
                <w:sz w:val="21"/>
                <w:szCs w:val="21"/>
                <w:lang w:val="en-US" w:eastAsia="zh-CN"/>
              </w:rPr>
              <w:t>等标排放量计算</w:t>
            </w:r>
          </w:p>
          <w:tbl>
            <w:tblPr>
              <w:tblStyle w:val="19"/>
              <w:tblW w:w="4998" w:type="pct"/>
              <w:jc w:val="center"/>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fixed"/>
              <w:tblCellMar>
                <w:top w:w="0" w:type="dxa"/>
                <w:left w:w="108" w:type="dxa"/>
                <w:bottom w:w="0" w:type="dxa"/>
                <w:right w:w="108" w:type="dxa"/>
              </w:tblCellMar>
            </w:tblPr>
            <w:tblGrid>
              <w:gridCol w:w="1545"/>
              <w:gridCol w:w="1056"/>
              <w:gridCol w:w="1633"/>
              <w:gridCol w:w="1049"/>
              <w:gridCol w:w="583"/>
              <w:gridCol w:w="671"/>
              <w:gridCol w:w="1603"/>
            </w:tblGrid>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blHeader/>
                <w:jc w:val="center"/>
              </w:trPr>
              <w:tc>
                <w:tcPr>
                  <w:tcW w:w="948" w:type="pct"/>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b/>
                      <w:color w:val="auto"/>
                      <w:sz w:val="18"/>
                      <w:szCs w:val="18"/>
                    </w:rPr>
                  </w:pPr>
                  <w:r>
                    <w:rPr>
                      <w:b/>
                      <w:color w:val="auto"/>
                      <w:sz w:val="18"/>
                      <w:szCs w:val="18"/>
                    </w:rPr>
                    <w:t>面源</w:t>
                  </w:r>
                </w:p>
              </w:tc>
              <w:tc>
                <w:tcPr>
                  <w:tcW w:w="648" w:type="pct"/>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b/>
                      <w:color w:val="auto"/>
                      <w:sz w:val="18"/>
                      <w:szCs w:val="18"/>
                    </w:rPr>
                  </w:pPr>
                  <w:r>
                    <w:rPr>
                      <w:b/>
                      <w:color w:val="auto"/>
                      <w:sz w:val="18"/>
                      <w:szCs w:val="18"/>
                    </w:rPr>
                    <w:t>面积S（m</w:t>
                  </w:r>
                  <w:r>
                    <w:rPr>
                      <w:b/>
                      <w:color w:val="auto"/>
                      <w:sz w:val="18"/>
                      <w:szCs w:val="18"/>
                      <w:vertAlign w:val="superscript"/>
                    </w:rPr>
                    <w:t>2</w:t>
                  </w:r>
                  <w:r>
                    <w:rPr>
                      <w:b/>
                      <w:color w:val="auto"/>
                      <w:sz w:val="18"/>
                      <w:szCs w:val="18"/>
                    </w:rPr>
                    <w:t>）</w:t>
                  </w:r>
                </w:p>
              </w:tc>
              <w:tc>
                <w:tcPr>
                  <w:tcW w:w="1002" w:type="pct"/>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b/>
                      <w:color w:val="auto"/>
                      <w:sz w:val="18"/>
                      <w:szCs w:val="18"/>
                    </w:rPr>
                  </w:pPr>
                  <w:r>
                    <w:rPr>
                      <w:b/>
                      <w:color w:val="auto"/>
                      <w:sz w:val="18"/>
                      <w:szCs w:val="18"/>
                    </w:rPr>
                    <w:t>等效半径</w:t>
                  </w:r>
                </w:p>
                <w:p>
                  <w:pPr>
                    <w:adjustRightInd w:val="0"/>
                    <w:snapToGrid w:val="0"/>
                    <w:jc w:val="center"/>
                    <w:rPr>
                      <w:b/>
                      <w:color w:val="auto"/>
                      <w:sz w:val="18"/>
                      <w:szCs w:val="18"/>
                    </w:rPr>
                  </w:pPr>
                  <w:r>
                    <w:rPr>
                      <w:b/>
                      <w:color w:val="auto"/>
                      <w:sz w:val="18"/>
                      <w:szCs w:val="18"/>
                    </w:rPr>
                    <w:t>r=（S/π）</w:t>
                  </w:r>
                  <w:r>
                    <w:rPr>
                      <w:b/>
                      <w:color w:val="auto"/>
                      <w:sz w:val="18"/>
                      <w:szCs w:val="18"/>
                      <w:vertAlign w:val="superscript"/>
                    </w:rPr>
                    <w:t>1/2</w:t>
                  </w:r>
                </w:p>
              </w:tc>
              <w:tc>
                <w:tcPr>
                  <w:tcW w:w="644" w:type="pct"/>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b/>
                      <w:color w:val="auto"/>
                      <w:sz w:val="18"/>
                      <w:szCs w:val="18"/>
                    </w:rPr>
                  </w:pPr>
                  <w:r>
                    <w:rPr>
                      <w:b/>
                      <w:color w:val="auto"/>
                      <w:sz w:val="18"/>
                      <w:szCs w:val="18"/>
                    </w:rPr>
                    <w:t>污染因子</w:t>
                  </w:r>
                </w:p>
              </w:tc>
              <w:tc>
                <w:tcPr>
                  <w:tcW w:w="358"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b/>
                      <w:color w:val="auto"/>
                      <w:sz w:val="18"/>
                      <w:szCs w:val="18"/>
                    </w:rPr>
                  </w:pPr>
                  <w:r>
                    <w:rPr>
                      <w:b/>
                      <w:color w:val="auto"/>
                      <w:sz w:val="18"/>
                      <w:szCs w:val="18"/>
                    </w:rPr>
                    <w:t>Qc</w:t>
                  </w:r>
                </w:p>
              </w:tc>
              <w:tc>
                <w:tcPr>
                  <w:tcW w:w="412"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b/>
                      <w:color w:val="auto"/>
                      <w:sz w:val="18"/>
                      <w:szCs w:val="18"/>
                    </w:rPr>
                  </w:pPr>
                  <w:r>
                    <w:rPr>
                      <w:b/>
                      <w:color w:val="auto"/>
                      <w:sz w:val="18"/>
                      <w:szCs w:val="18"/>
                    </w:rPr>
                    <w:t>Cm</w:t>
                  </w:r>
                </w:p>
              </w:tc>
              <w:tc>
                <w:tcPr>
                  <w:tcW w:w="984" w:type="pct"/>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b/>
                      <w:color w:val="auto"/>
                      <w:sz w:val="18"/>
                      <w:szCs w:val="18"/>
                    </w:rPr>
                  </w:pPr>
                  <w:r>
                    <w:rPr>
                      <w:b/>
                      <w:color w:val="auto"/>
                      <w:sz w:val="18"/>
                      <w:szCs w:val="18"/>
                    </w:rPr>
                    <w:t>Qc/Cm</w:t>
                  </w:r>
                </w:p>
                <w:p>
                  <w:pPr>
                    <w:adjustRightInd w:val="0"/>
                    <w:snapToGrid w:val="0"/>
                    <w:jc w:val="center"/>
                    <w:rPr>
                      <w:b/>
                      <w:color w:val="auto"/>
                      <w:sz w:val="18"/>
                      <w:szCs w:val="18"/>
                    </w:rPr>
                  </w:pPr>
                  <w:r>
                    <w:rPr>
                      <w:b/>
                      <w:color w:val="auto"/>
                      <w:sz w:val="18"/>
                      <w:szCs w:val="18"/>
                    </w:rPr>
                    <w:t>（等标排放量）</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blHeader/>
                <w:jc w:val="center"/>
              </w:trPr>
              <w:tc>
                <w:tcPr>
                  <w:tcW w:w="948"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b/>
                      <w:color w:val="auto"/>
                      <w:sz w:val="18"/>
                      <w:szCs w:val="18"/>
                    </w:rPr>
                  </w:pPr>
                </w:p>
              </w:tc>
              <w:tc>
                <w:tcPr>
                  <w:tcW w:w="648"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b/>
                      <w:color w:val="auto"/>
                      <w:sz w:val="18"/>
                      <w:szCs w:val="18"/>
                    </w:rPr>
                  </w:pPr>
                </w:p>
              </w:tc>
              <w:tc>
                <w:tcPr>
                  <w:tcW w:w="1002"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b/>
                      <w:color w:val="auto"/>
                      <w:sz w:val="18"/>
                      <w:szCs w:val="18"/>
                    </w:rPr>
                  </w:pPr>
                </w:p>
              </w:tc>
              <w:tc>
                <w:tcPr>
                  <w:tcW w:w="644"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b/>
                      <w:color w:val="auto"/>
                      <w:sz w:val="18"/>
                      <w:szCs w:val="18"/>
                    </w:rPr>
                  </w:pPr>
                </w:p>
              </w:tc>
              <w:tc>
                <w:tcPr>
                  <w:tcW w:w="358"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b/>
                      <w:color w:val="auto"/>
                      <w:sz w:val="18"/>
                      <w:szCs w:val="18"/>
                    </w:rPr>
                  </w:pPr>
                  <w:r>
                    <w:rPr>
                      <w:b/>
                      <w:color w:val="auto"/>
                      <w:sz w:val="18"/>
                      <w:szCs w:val="18"/>
                    </w:rPr>
                    <w:t>kg/h</w:t>
                  </w:r>
                </w:p>
              </w:tc>
              <w:tc>
                <w:tcPr>
                  <w:tcW w:w="412"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b/>
                      <w:color w:val="auto"/>
                      <w:sz w:val="18"/>
                      <w:szCs w:val="18"/>
                    </w:rPr>
                  </w:pPr>
                  <w:r>
                    <w:rPr>
                      <w:b/>
                      <w:color w:val="auto"/>
                      <w:sz w:val="18"/>
                      <w:szCs w:val="18"/>
                    </w:rPr>
                    <w:t>mg/m</w:t>
                  </w:r>
                  <w:r>
                    <w:rPr>
                      <w:b/>
                      <w:color w:val="auto"/>
                      <w:sz w:val="18"/>
                      <w:szCs w:val="18"/>
                      <w:vertAlign w:val="superscript"/>
                    </w:rPr>
                    <w:t>3</w:t>
                  </w:r>
                </w:p>
              </w:tc>
              <w:tc>
                <w:tcPr>
                  <w:tcW w:w="984"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b/>
                      <w:color w:val="auto"/>
                      <w:sz w:val="18"/>
                      <w:szCs w:val="18"/>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jc w:val="center"/>
              </w:trPr>
              <w:tc>
                <w:tcPr>
                  <w:tcW w:w="948" w:type="pct"/>
                  <w:tcBorders>
                    <w:top w:val="single" w:color="auto" w:sz="4" w:space="0"/>
                    <w:left w:val="single" w:color="auto" w:sz="4" w:space="0"/>
                    <w:bottom w:val="single" w:color="auto" w:sz="4" w:space="0"/>
                    <w:right w:val="single" w:color="auto" w:sz="4" w:space="0"/>
                  </w:tcBorders>
                  <w:vAlign w:val="center"/>
                </w:tcPr>
                <w:p>
                  <w:pPr>
                    <w:widowControl/>
                    <w:snapToGrid w:val="0"/>
                    <w:jc w:val="center"/>
                    <w:rPr>
                      <w:bCs/>
                      <w:color w:val="auto"/>
                      <w:sz w:val="18"/>
                      <w:szCs w:val="18"/>
                    </w:rPr>
                  </w:pPr>
                  <w:r>
                    <w:rPr>
                      <w:rFonts w:hint="eastAsia"/>
                      <w:color w:val="auto"/>
                      <w:sz w:val="18"/>
                      <w:szCs w:val="18"/>
                      <w:lang w:eastAsia="zh-CN"/>
                    </w:rPr>
                    <w:t>车间X1</w:t>
                  </w:r>
                </w:p>
              </w:tc>
              <w:tc>
                <w:tcPr>
                  <w:tcW w:w="648" w:type="pct"/>
                  <w:tcBorders>
                    <w:top w:val="single" w:color="auto" w:sz="4" w:space="0"/>
                    <w:left w:val="single" w:color="auto" w:sz="4" w:space="0"/>
                    <w:bottom w:val="single" w:color="auto" w:sz="4" w:space="0"/>
                    <w:right w:val="single" w:color="auto" w:sz="4" w:space="0"/>
                  </w:tcBorders>
                  <w:vAlign w:val="center"/>
                </w:tcPr>
                <w:p>
                  <w:pPr>
                    <w:widowControl/>
                    <w:snapToGrid w:val="0"/>
                    <w:jc w:val="center"/>
                    <w:rPr>
                      <w:color w:val="auto"/>
                      <w:sz w:val="18"/>
                      <w:szCs w:val="18"/>
                    </w:rPr>
                  </w:pPr>
                  <w:r>
                    <w:rPr>
                      <w:rFonts w:hint="eastAsia"/>
                      <w:color w:val="auto"/>
                      <w:sz w:val="18"/>
                      <w:szCs w:val="18"/>
                    </w:rPr>
                    <w:t>1464.3</w:t>
                  </w:r>
                </w:p>
              </w:tc>
              <w:tc>
                <w:tcPr>
                  <w:tcW w:w="1002" w:type="pct"/>
                  <w:tcBorders>
                    <w:top w:val="single" w:color="auto" w:sz="4" w:space="0"/>
                    <w:left w:val="single" w:color="auto" w:sz="4" w:space="0"/>
                    <w:bottom w:val="single" w:color="auto" w:sz="4" w:space="0"/>
                    <w:right w:val="single" w:color="auto" w:sz="4" w:space="0"/>
                  </w:tcBorders>
                  <w:vAlign w:val="center"/>
                </w:tcPr>
                <w:p>
                  <w:pPr>
                    <w:widowControl/>
                    <w:snapToGrid w:val="0"/>
                    <w:jc w:val="center"/>
                    <w:rPr>
                      <w:color w:val="auto"/>
                      <w:sz w:val="18"/>
                      <w:szCs w:val="18"/>
                    </w:rPr>
                  </w:pPr>
                  <w:r>
                    <w:rPr>
                      <w:rFonts w:hint="eastAsia"/>
                      <w:color w:val="auto"/>
                      <w:sz w:val="18"/>
                      <w:szCs w:val="18"/>
                    </w:rPr>
                    <w:t>21.59</w:t>
                  </w:r>
                </w:p>
              </w:tc>
              <w:tc>
                <w:tcPr>
                  <w:tcW w:w="644" w:type="pct"/>
                  <w:tcBorders>
                    <w:top w:val="single" w:color="auto" w:sz="4" w:space="0"/>
                    <w:left w:val="single" w:color="auto" w:sz="4" w:space="0"/>
                    <w:bottom w:val="single" w:color="auto" w:sz="4" w:space="0"/>
                    <w:right w:val="single" w:color="auto" w:sz="4" w:space="0"/>
                  </w:tcBorders>
                  <w:vAlign w:val="center"/>
                </w:tcPr>
                <w:p>
                  <w:pPr>
                    <w:pStyle w:val="5"/>
                    <w:snapToGrid w:val="0"/>
                    <w:spacing w:line="240" w:lineRule="auto"/>
                    <w:ind w:firstLine="0"/>
                    <w:jc w:val="center"/>
                    <w:textAlignment w:val="center"/>
                    <w:rPr>
                      <w:rFonts w:ascii="Times New Roman" w:hAnsi="Times New Roman"/>
                      <w:bCs/>
                      <w:color w:val="auto"/>
                      <w:sz w:val="18"/>
                      <w:szCs w:val="18"/>
                    </w:rPr>
                  </w:pPr>
                  <w:r>
                    <w:rPr>
                      <w:rFonts w:hint="eastAsia" w:ascii="Times New Roman" w:hAnsi="Times New Roman"/>
                      <w:color w:val="auto"/>
                      <w:kern w:val="2"/>
                      <w:sz w:val="18"/>
                      <w:szCs w:val="18"/>
                    </w:rPr>
                    <w:t>非甲烷总烃</w:t>
                  </w:r>
                </w:p>
              </w:tc>
              <w:tc>
                <w:tcPr>
                  <w:tcW w:w="358"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bCs/>
                      <w:color w:val="auto"/>
                      <w:sz w:val="18"/>
                      <w:szCs w:val="18"/>
                    </w:rPr>
                  </w:pPr>
                  <w:r>
                    <w:rPr>
                      <w:rFonts w:hint="eastAsia"/>
                      <w:bCs/>
                      <w:color w:val="auto"/>
                      <w:sz w:val="18"/>
                      <w:szCs w:val="18"/>
                    </w:rPr>
                    <w:t>0.78</w:t>
                  </w:r>
                </w:p>
              </w:tc>
              <w:tc>
                <w:tcPr>
                  <w:tcW w:w="412" w:type="pct"/>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bCs/>
                      <w:color w:val="auto"/>
                      <w:sz w:val="18"/>
                      <w:szCs w:val="18"/>
                    </w:rPr>
                  </w:pPr>
                  <w:r>
                    <w:rPr>
                      <w:rFonts w:hint="eastAsia"/>
                      <w:bCs/>
                      <w:color w:val="auto"/>
                      <w:sz w:val="18"/>
                      <w:szCs w:val="18"/>
                    </w:rPr>
                    <w:t>2</w:t>
                  </w:r>
                </w:p>
              </w:tc>
              <w:tc>
                <w:tcPr>
                  <w:tcW w:w="984" w:type="pct"/>
                  <w:tcBorders>
                    <w:top w:val="single" w:color="auto" w:sz="4" w:space="0"/>
                    <w:left w:val="single" w:color="auto" w:sz="4" w:space="0"/>
                    <w:bottom w:val="single" w:color="auto" w:sz="4" w:space="0"/>
                    <w:right w:val="single" w:color="auto" w:sz="4" w:space="0"/>
                  </w:tcBorders>
                  <w:vAlign w:val="center"/>
                </w:tcPr>
                <w:p>
                  <w:pPr>
                    <w:widowControl/>
                    <w:snapToGrid w:val="0"/>
                    <w:jc w:val="center"/>
                    <w:textAlignment w:val="center"/>
                    <w:rPr>
                      <w:bCs/>
                      <w:color w:val="auto"/>
                      <w:sz w:val="18"/>
                      <w:szCs w:val="18"/>
                    </w:rPr>
                  </w:pPr>
                  <w:r>
                    <w:rPr>
                      <w:rFonts w:hint="eastAsia"/>
                      <w:color w:val="auto"/>
                      <w:kern w:val="0"/>
                      <w:sz w:val="18"/>
                      <w:szCs w:val="18"/>
                      <w:lang w:bidi="ar"/>
                    </w:rPr>
                    <w:t>0.39</w:t>
                  </w:r>
                </w:p>
              </w:tc>
            </w:tr>
          </w:tbl>
          <w:p>
            <w:pPr>
              <w:spacing w:line="360" w:lineRule="auto"/>
              <w:ind w:firstLine="412" w:firstLineChars="200"/>
              <w:jc w:val="left"/>
              <w:rPr>
                <w:color w:val="auto"/>
                <w:spacing w:val="-2"/>
                <w:szCs w:val="21"/>
              </w:rPr>
            </w:pPr>
            <w:r>
              <w:rPr>
                <w:color w:val="auto"/>
                <w:spacing w:val="-2"/>
                <w:szCs w:val="21"/>
              </w:rPr>
              <w:t>防护距离结果如下表。</w:t>
            </w:r>
          </w:p>
          <w:p>
            <w:pPr>
              <w:spacing w:before="194" w:beforeLines="50"/>
              <w:jc w:val="center"/>
              <w:outlineLvl w:val="5"/>
              <w:rPr>
                <w:rFonts w:hint="eastAsia" w:eastAsia="宋体" w:cs="Times New Roman"/>
                <w:b/>
                <w:color w:val="auto"/>
                <w:spacing w:val="0"/>
                <w:sz w:val="21"/>
                <w:szCs w:val="21"/>
                <w:lang w:val="en-GB" w:eastAsia="zh-CN"/>
              </w:rPr>
            </w:pPr>
            <w:r>
              <w:rPr>
                <w:rFonts w:hint="eastAsia" w:eastAsia="宋体" w:cs="Times New Roman"/>
                <w:b/>
                <w:color w:val="auto"/>
                <w:spacing w:val="0"/>
                <w:sz w:val="21"/>
                <w:szCs w:val="21"/>
                <w:lang w:val="en-US" w:eastAsia="zh-CN"/>
              </w:rPr>
              <w:t>表4-14</w:t>
            </w:r>
            <w:r>
              <w:rPr>
                <w:rFonts w:hint="eastAsia" w:cs="Times New Roman"/>
                <w:b/>
                <w:color w:val="auto"/>
                <w:spacing w:val="0"/>
                <w:sz w:val="21"/>
                <w:szCs w:val="21"/>
                <w:lang w:val="en-US" w:eastAsia="zh-CN"/>
              </w:rPr>
              <w:t xml:space="preserve">  </w:t>
            </w:r>
            <w:r>
              <w:rPr>
                <w:rFonts w:hint="eastAsia" w:eastAsia="宋体" w:cs="Times New Roman"/>
                <w:b/>
                <w:color w:val="auto"/>
                <w:spacing w:val="0"/>
                <w:sz w:val="21"/>
                <w:szCs w:val="21"/>
                <w:lang w:val="en-GB" w:eastAsia="zh-CN"/>
              </w:rPr>
              <w:t>防护距离计算结果</w:t>
            </w:r>
            <w:r>
              <w:rPr>
                <w:rFonts w:hint="eastAsia" w:cs="Times New Roman"/>
                <w:b/>
                <w:color w:val="auto"/>
                <w:spacing w:val="0"/>
                <w:sz w:val="21"/>
                <w:szCs w:val="21"/>
                <w:lang w:val="en-GB" w:eastAsia="zh-CN"/>
              </w:rPr>
              <w:t>一览表</w:t>
            </w:r>
          </w:p>
          <w:tbl>
            <w:tblPr>
              <w:tblStyle w:val="19"/>
              <w:tblW w:w="4900" w:type="pct"/>
              <w:jc w:val="center"/>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fixed"/>
              <w:tblCellMar>
                <w:top w:w="0" w:type="dxa"/>
                <w:left w:w="108" w:type="dxa"/>
                <w:bottom w:w="0" w:type="dxa"/>
                <w:right w:w="108" w:type="dxa"/>
              </w:tblCellMar>
            </w:tblPr>
            <w:tblGrid>
              <w:gridCol w:w="1439"/>
              <w:gridCol w:w="1003"/>
              <w:gridCol w:w="1248"/>
              <w:gridCol w:w="538"/>
              <w:gridCol w:w="580"/>
              <w:gridCol w:w="580"/>
              <w:gridCol w:w="580"/>
              <w:gridCol w:w="658"/>
              <w:gridCol w:w="626"/>
              <w:gridCol w:w="729"/>
            </w:tblGrid>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blHeader/>
                <w:jc w:val="center"/>
              </w:trPr>
              <w:tc>
                <w:tcPr>
                  <w:tcW w:w="901"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b/>
                      <w:color w:val="auto"/>
                      <w:sz w:val="18"/>
                      <w:szCs w:val="18"/>
                    </w:rPr>
                  </w:pPr>
                  <w:r>
                    <w:rPr>
                      <w:b/>
                      <w:color w:val="auto"/>
                      <w:sz w:val="18"/>
                      <w:szCs w:val="18"/>
                    </w:rPr>
                    <w:t>面源</w:t>
                  </w:r>
                </w:p>
              </w:tc>
              <w:tc>
                <w:tcPr>
                  <w:tcW w:w="628"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b/>
                      <w:color w:val="auto"/>
                      <w:sz w:val="18"/>
                      <w:szCs w:val="18"/>
                    </w:rPr>
                  </w:pPr>
                  <w:r>
                    <w:rPr>
                      <w:b/>
                      <w:color w:val="auto"/>
                      <w:sz w:val="18"/>
                      <w:szCs w:val="18"/>
                    </w:rPr>
                    <w:t>污染因子</w:t>
                  </w:r>
                </w:p>
              </w:tc>
              <w:tc>
                <w:tcPr>
                  <w:tcW w:w="781"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b/>
                      <w:color w:val="auto"/>
                      <w:sz w:val="18"/>
                      <w:szCs w:val="18"/>
                    </w:rPr>
                  </w:pPr>
                  <w:r>
                    <w:rPr>
                      <w:b/>
                      <w:color w:val="auto"/>
                      <w:sz w:val="18"/>
                      <w:szCs w:val="18"/>
                    </w:rPr>
                    <w:t>Qc/Cm(等标排放量)</w:t>
                  </w:r>
                </w:p>
              </w:tc>
              <w:tc>
                <w:tcPr>
                  <w:tcW w:w="337"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b/>
                      <w:color w:val="auto"/>
                      <w:sz w:val="18"/>
                      <w:szCs w:val="18"/>
                    </w:rPr>
                  </w:pPr>
                  <w:r>
                    <w:rPr>
                      <w:b/>
                      <w:color w:val="auto"/>
                      <w:sz w:val="18"/>
                      <w:szCs w:val="18"/>
                    </w:rPr>
                    <w:t>A</w:t>
                  </w:r>
                </w:p>
              </w:tc>
              <w:tc>
                <w:tcPr>
                  <w:tcW w:w="363"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b/>
                      <w:color w:val="auto"/>
                      <w:sz w:val="18"/>
                      <w:szCs w:val="18"/>
                    </w:rPr>
                  </w:pPr>
                  <w:r>
                    <w:rPr>
                      <w:b/>
                      <w:color w:val="auto"/>
                      <w:sz w:val="18"/>
                      <w:szCs w:val="18"/>
                    </w:rPr>
                    <w:t>B</w:t>
                  </w:r>
                </w:p>
              </w:tc>
              <w:tc>
                <w:tcPr>
                  <w:tcW w:w="363"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b/>
                      <w:color w:val="auto"/>
                      <w:sz w:val="18"/>
                      <w:szCs w:val="18"/>
                    </w:rPr>
                  </w:pPr>
                  <w:r>
                    <w:rPr>
                      <w:b/>
                      <w:color w:val="auto"/>
                      <w:sz w:val="18"/>
                      <w:szCs w:val="18"/>
                    </w:rPr>
                    <w:t>C</w:t>
                  </w:r>
                </w:p>
              </w:tc>
              <w:tc>
                <w:tcPr>
                  <w:tcW w:w="363"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b/>
                      <w:color w:val="auto"/>
                      <w:sz w:val="18"/>
                      <w:szCs w:val="18"/>
                    </w:rPr>
                  </w:pPr>
                  <w:r>
                    <w:rPr>
                      <w:b/>
                      <w:color w:val="auto"/>
                      <w:sz w:val="18"/>
                      <w:szCs w:val="18"/>
                    </w:rPr>
                    <w:t>D</w:t>
                  </w:r>
                </w:p>
              </w:tc>
              <w:tc>
                <w:tcPr>
                  <w:tcW w:w="412"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b/>
                      <w:color w:val="auto"/>
                      <w:sz w:val="18"/>
                      <w:szCs w:val="18"/>
                    </w:rPr>
                  </w:pPr>
                  <w:r>
                    <w:rPr>
                      <w:b/>
                      <w:color w:val="auto"/>
                      <w:sz w:val="18"/>
                      <w:szCs w:val="18"/>
                    </w:rPr>
                    <w:t>r /m</w:t>
                  </w:r>
                </w:p>
              </w:tc>
              <w:tc>
                <w:tcPr>
                  <w:tcW w:w="391"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b/>
                      <w:color w:val="auto"/>
                      <w:sz w:val="18"/>
                      <w:szCs w:val="18"/>
                    </w:rPr>
                  </w:pPr>
                  <w:r>
                    <w:rPr>
                      <w:b/>
                      <w:color w:val="auto"/>
                      <w:sz w:val="18"/>
                      <w:szCs w:val="18"/>
                    </w:rPr>
                    <w:t>L/ m</w:t>
                  </w:r>
                </w:p>
              </w:tc>
              <w:tc>
                <w:tcPr>
                  <w:tcW w:w="456"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b/>
                      <w:color w:val="auto"/>
                      <w:sz w:val="18"/>
                      <w:szCs w:val="18"/>
                    </w:rPr>
                  </w:pPr>
                  <w:r>
                    <w:rPr>
                      <w:b/>
                      <w:color w:val="auto"/>
                      <w:sz w:val="18"/>
                      <w:szCs w:val="18"/>
                    </w:rPr>
                    <w:t>级差/m</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PrEx>
              <w:trPr>
                <w:jc w:val="center"/>
              </w:trPr>
              <w:tc>
                <w:tcPr>
                  <w:tcW w:w="901" w:type="pct"/>
                  <w:tcBorders>
                    <w:top w:val="single" w:color="auto" w:sz="4" w:space="0"/>
                    <w:left w:val="single" w:color="auto" w:sz="4" w:space="0"/>
                    <w:bottom w:val="single" w:color="auto" w:sz="4" w:space="0"/>
                    <w:right w:val="single" w:color="auto" w:sz="4" w:space="0"/>
                  </w:tcBorders>
                  <w:vAlign w:val="center"/>
                </w:tcPr>
                <w:p>
                  <w:pPr>
                    <w:widowControl/>
                    <w:snapToGrid w:val="0"/>
                    <w:jc w:val="center"/>
                    <w:rPr>
                      <w:bCs/>
                      <w:color w:val="auto"/>
                      <w:sz w:val="18"/>
                      <w:szCs w:val="18"/>
                    </w:rPr>
                  </w:pPr>
                  <w:r>
                    <w:rPr>
                      <w:rFonts w:hint="eastAsia"/>
                      <w:color w:val="auto"/>
                      <w:sz w:val="18"/>
                      <w:szCs w:val="18"/>
                      <w:lang w:eastAsia="zh-CN"/>
                    </w:rPr>
                    <w:t>车间X1</w:t>
                  </w:r>
                </w:p>
              </w:tc>
              <w:tc>
                <w:tcPr>
                  <w:tcW w:w="628"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bCs/>
                      <w:color w:val="auto"/>
                      <w:sz w:val="18"/>
                      <w:szCs w:val="18"/>
                    </w:rPr>
                  </w:pPr>
                  <w:r>
                    <w:rPr>
                      <w:rFonts w:hint="eastAsia"/>
                      <w:color w:val="auto"/>
                      <w:sz w:val="18"/>
                      <w:szCs w:val="18"/>
                    </w:rPr>
                    <w:t>非甲烷总烃</w:t>
                  </w:r>
                </w:p>
              </w:tc>
              <w:tc>
                <w:tcPr>
                  <w:tcW w:w="781"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bCs/>
                      <w:color w:val="auto"/>
                      <w:sz w:val="18"/>
                      <w:szCs w:val="18"/>
                    </w:rPr>
                  </w:pPr>
                  <w:r>
                    <w:rPr>
                      <w:rFonts w:hint="eastAsia"/>
                      <w:color w:val="auto"/>
                      <w:kern w:val="0"/>
                      <w:sz w:val="18"/>
                      <w:szCs w:val="18"/>
                      <w:lang w:bidi="ar"/>
                    </w:rPr>
                    <w:t>0.39</w:t>
                  </w:r>
                </w:p>
              </w:tc>
              <w:tc>
                <w:tcPr>
                  <w:tcW w:w="337"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bCs/>
                      <w:color w:val="auto"/>
                      <w:sz w:val="18"/>
                      <w:szCs w:val="18"/>
                    </w:rPr>
                  </w:pPr>
                  <w:r>
                    <w:rPr>
                      <w:bCs/>
                      <w:color w:val="auto"/>
                      <w:sz w:val="18"/>
                      <w:szCs w:val="18"/>
                    </w:rPr>
                    <w:t>400</w:t>
                  </w:r>
                </w:p>
              </w:tc>
              <w:tc>
                <w:tcPr>
                  <w:tcW w:w="363"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bCs/>
                      <w:color w:val="auto"/>
                      <w:sz w:val="18"/>
                      <w:szCs w:val="18"/>
                    </w:rPr>
                  </w:pPr>
                  <w:r>
                    <w:rPr>
                      <w:bCs/>
                      <w:color w:val="auto"/>
                      <w:sz w:val="18"/>
                      <w:szCs w:val="18"/>
                    </w:rPr>
                    <w:t>0.01</w:t>
                  </w:r>
                </w:p>
              </w:tc>
              <w:tc>
                <w:tcPr>
                  <w:tcW w:w="363"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bCs/>
                      <w:color w:val="auto"/>
                      <w:sz w:val="18"/>
                      <w:szCs w:val="18"/>
                    </w:rPr>
                  </w:pPr>
                  <w:r>
                    <w:rPr>
                      <w:bCs/>
                      <w:color w:val="auto"/>
                      <w:sz w:val="18"/>
                      <w:szCs w:val="18"/>
                    </w:rPr>
                    <w:t>1.85</w:t>
                  </w:r>
                </w:p>
              </w:tc>
              <w:tc>
                <w:tcPr>
                  <w:tcW w:w="363"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color w:val="auto"/>
                      <w:sz w:val="18"/>
                      <w:szCs w:val="18"/>
                    </w:rPr>
                  </w:pPr>
                  <w:r>
                    <w:rPr>
                      <w:bCs/>
                      <w:color w:val="auto"/>
                      <w:sz w:val="18"/>
                      <w:szCs w:val="18"/>
                    </w:rPr>
                    <w:t>0.78</w:t>
                  </w:r>
                </w:p>
              </w:tc>
              <w:tc>
                <w:tcPr>
                  <w:tcW w:w="412" w:type="pct"/>
                  <w:tcBorders>
                    <w:top w:val="single" w:color="auto" w:sz="4" w:space="0"/>
                    <w:left w:val="single" w:color="auto" w:sz="4" w:space="0"/>
                    <w:bottom w:val="single" w:color="auto" w:sz="4" w:space="0"/>
                    <w:right w:val="single" w:color="auto" w:sz="4" w:space="0"/>
                  </w:tcBorders>
                  <w:vAlign w:val="center"/>
                </w:tcPr>
                <w:p>
                  <w:pPr>
                    <w:widowControl/>
                    <w:snapToGrid w:val="0"/>
                    <w:jc w:val="center"/>
                    <w:rPr>
                      <w:bCs/>
                      <w:color w:val="auto"/>
                      <w:sz w:val="18"/>
                      <w:szCs w:val="18"/>
                    </w:rPr>
                  </w:pPr>
                  <w:r>
                    <w:rPr>
                      <w:rFonts w:hint="eastAsia"/>
                      <w:color w:val="auto"/>
                      <w:sz w:val="18"/>
                      <w:szCs w:val="18"/>
                    </w:rPr>
                    <w:t>21.59</w:t>
                  </w:r>
                </w:p>
              </w:tc>
              <w:tc>
                <w:tcPr>
                  <w:tcW w:w="391"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bCs/>
                      <w:color w:val="auto"/>
                      <w:sz w:val="18"/>
                      <w:szCs w:val="18"/>
                    </w:rPr>
                  </w:pPr>
                  <w:r>
                    <w:rPr>
                      <w:rFonts w:hint="eastAsia"/>
                      <w:bCs/>
                      <w:color w:val="auto"/>
                      <w:sz w:val="18"/>
                      <w:szCs w:val="18"/>
                    </w:rPr>
                    <w:t>29.8</w:t>
                  </w:r>
                </w:p>
              </w:tc>
              <w:tc>
                <w:tcPr>
                  <w:tcW w:w="456"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bCs/>
                      <w:color w:val="auto"/>
                      <w:sz w:val="18"/>
                      <w:szCs w:val="18"/>
                    </w:rPr>
                  </w:pPr>
                  <w:r>
                    <w:rPr>
                      <w:rFonts w:hint="eastAsia"/>
                      <w:bCs/>
                      <w:color w:val="auto"/>
                      <w:sz w:val="18"/>
                      <w:szCs w:val="18"/>
                    </w:rPr>
                    <w:t>50</w:t>
                  </w:r>
                </w:p>
              </w:tc>
            </w:tr>
          </w:tbl>
          <w:p>
            <w:pPr>
              <w:spacing w:line="360" w:lineRule="auto"/>
              <w:ind w:firstLine="420" w:firstLineChars="200"/>
              <w:jc w:val="left"/>
              <w:rPr>
                <w:rFonts w:hint="eastAsia"/>
                <w:color w:val="auto"/>
                <w:szCs w:val="21"/>
              </w:rPr>
            </w:pPr>
            <w:r>
              <w:rPr>
                <w:rFonts w:hint="eastAsia"/>
                <w:color w:val="auto"/>
                <w:szCs w:val="21"/>
              </w:rPr>
              <w:t>根据计算结果，</w:t>
            </w:r>
            <w:r>
              <w:rPr>
                <w:rFonts w:hint="eastAsia"/>
                <w:color w:val="auto"/>
                <w:szCs w:val="21"/>
                <w:lang w:eastAsia="zh-CN"/>
              </w:rPr>
              <w:t>车间X1</w:t>
            </w:r>
            <w:r>
              <w:rPr>
                <w:rFonts w:hint="eastAsia"/>
                <w:color w:val="auto"/>
                <w:szCs w:val="21"/>
              </w:rPr>
              <w:t>的卫生防护距离为厂房外延50 m（具体包络线见附图</w:t>
            </w:r>
            <w:r>
              <w:rPr>
                <w:rFonts w:hint="eastAsia"/>
                <w:color w:val="auto"/>
                <w:szCs w:val="21"/>
                <w:lang w:val="en-US" w:eastAsia="zh-CN"/>
              </w:rPr>
              <w:t>6</w:t>
            </w:r>
            <w:r>
              <w:rPr>
                <w:rFonts w:hint="eastAsia"/>
                <w:color w:val="auto"/>
                <w:szCs w:val="21"/>
              </w:rPr>
              <w:t>）。经现场调查，厂界北侧55 m处为</w:t>
            </w:r>
            <w:r>
              <w:rPr>
                <w:rFonts w:hint="eastAsia"/>
                <w:color w:val="auto"/>
                <w:spacing w:val="6"/>
                <w:szCs w:val="21"/>
                <w:lang w:eastAsia="zh-CN"/>
              </w:rPr>
              <w:t>王陂村</w:t>
            </w:r>
            <w:r>
              <w:rPr>
                <w:rFonts w:hint="eastAsia"/>
                <w:color w:val="auto"/>
                <w:szCs w:val="21"/>
              </w:rPr>
              <w:t>，但该敏感目标距离</w:t>
            </w:r>
            <w:r>
              <w:rPr>
                <w:rFonts w:hint="eastAsia"/>
                <w:color w:val="auto"/>
                <w:szCs w:val="21"/>
                <w:lang w:eastAsia="zh-CN"/>
              </w:rPr>
              <w:t>车间X1</w:t>
            </w:r>
            <w:r>
              <w:rPr>
                <w:rFonts w:hint="eastAsia"/>
                <w:color w:val="auto"/>
                <w:szCs w:val="21"/>
              </w:rPr>
              <w:t>约为60 m，</w:t>
            </w:r>
            <w:r>
              <w:rPr>
                <w:rFonts w:hint="eastAsia"/>
                <w:color w:val="auto"/>
                <w:szCs w:val="21"/>
                <w:lang w:val="en-US" w:eastAsia="zh-CN"/>
              </w:rPr>
              <w:t>不在车间X1的卫生防护距离范围内</w:t>
            </w:r>
            <w:r>
              <w:rPr>
                <w:rFonts w:hint="eastAsia"/>
                <w:color w:val="auto"/>
                <w:szCs w:val="21"/>
              </w:rPr>
              <w:t>。因此，本项目选址符合卫生防护距离要求，对周边敏感点无影响。</w:t>
            </w:r>
          </w:p>
          <w:p>
            <w:pPr>
              <w:spacing w:line="360" w:lineRule="auto"/>
              <w:ind w:firstLine="422" w:firstLineChars="200"/>
              <w:jc w:val="left"/>
              <w:rPr>
                <w:rFonts w:hint="default" w:eastAsia="宋体"/>
                <w:b/>
                <w:bCs/>
                <w:color w:val="auto"/>
                <w:szCs w:val="21"/>
                <w:lang w:val="en-US" w:eastAsia="zh-CN"/>
              </w:rPr>
            </w:pPr>
            <w:r>
              <w:rPr>
                <w:rFonts w:hint="eastAsia" w:ascii="宋体" w:hAnsi="宋体" w:eastAsia="宋体" w:cs="宋体"/>
                <w:b/>
                <w:bCs/>
                <w:color w:val="auto"/>
                <w:szCs w:val="21"/>
              </w:rPr>
              <w:t>③</w:t>
            </w:r>
            <w:r>
              <w:rPr>
                <w:rFonts w:hint="eastAsia" w:ascii="宋体" w:hAnsi="宋体" w:eastAsia="宋体" w:cs="宋体"/>
                <w:b/>
                <w:bCs/>
                <w:color w:val="auto"/>
                <w:szCs w:val="21"/>
                <w:lang w:val="en-US" w:eastAsia="zh-CN"/>
              </w:rPr>
              <w:t>本次扩建</w:t>
            </w:r>
            <w:r>
              <w:rPr>
                <w:rFonts w:hint="eastAsia" w:ascii="宋体" w:hAnsi="宋体" w:cs="宋体"/>
                <w:b/>
                <w:bCs/>
                <w:color w:val="auto"/>
                <w:szCs w:val="21"/>
                <w:lang w:val="en-US" w:eastAsia="zh-CN"/>
              </w:rPr>
              <w:t>后一厂</w:t>
            </w:r>
            <w:r>
              <w:rPr>
                <w:rFonts w:hint="eastAsia" w:ascii="宋体" w:hAnsi="宋体" w:eastAsia="宋体" w:cs="宋体"/>
                <w:b/>
                <w:bCs/>
                <w:color w:val="auto"/>
                <w:szCs w:val="21"/>
                <w:lang w:val="en-US" w:eastAsia="zh-CN"/>
              </w:rPr>
              <w:t>卫生防护距离设置情况</w:t>
            </w:r>
          </w:p>
          <w:p>
            <w:pPr>
              <w:spacing w:line="360" w:lineRule="auto"/>
              <w:ind w:firstLine="420" w:firstLineChars="200"/>
              <w:jc w:val="left"/>
              <w:rPr>
                <w:rFonts w:hint="default" w:eastAsia="宋体"/>
                <w:color w:val="auto"/>
                <w:szCs w:val="21"/>
                <w:lang w:val="en-US" w:eastAsia="zh-CN"/>
              </w:rPr>
            </w:pPr>
            <w:r>
              <w:rPr>
                <w:rFonts w:hint="eastAsia"/>
                <w:color w:val="auto"/>
                <w:szCs w:val="21"/>
                <w:lang w:val="en-US" w:eastAsia="zh-CN"/>
              </w:rPr>
              <w:t>本次扩建后一厂防护距离为</w:t>
            </w:r>
            <w:r>
              <w:rPr>
                <w:rFonts w:hint="default" w:ascii="Times New Roman" w:hAnsi="Times New Roman" w:eastAsia="宋体" w:cs="Times New Roman"/>
                <w:color w:val="auto"/>
                <w:szCs w:val="21"/>
                <w:lang w:val="en-US" w:eastAsia="zh-CN"/>
              </w:rPr>
              <w:t>生产车间三外延50m</w:t>
            </w:r>
            <w:r>
              <w:rPr>
                <w:rFonts w:hint="eastAsia" w:cs="Times New Roman"/>
                <w:color w:val="auto"/>
                <w:szCs w:val="21"/>
                <w:lang w:val="en-US" w:eastAsia="zh-CN"/>
              </w:rPr>
              <w:t>、车间X1</w:t>
            </w:r>
            <w:r>
              <w:rPr>
                <w:rFonts w:hint="eastAsia"/>
                <w:color w:val="auto"/>
                <w:szCs w:val="21"/>
              </w:rPr>
              <w:t>外延50 m</w:t>
            </w:r>
            <w:r>
              <w:rPr>
                <w:rFonts w:hint="eastAsia"/>
                <w:color w:val="auto"/>
                <w:szCs w:val="21"/>
                <w:lang w:eastAsia="zh-CN"/>
              </w:rPr>
              <w:t>，</w:t>
            </w:r>
            <w:r>
              <w:rPr>
                <w:rFonts w:hint="eastAsia"/>
                <w:color w:val="auto"/>
                <w:szCs w:val="21"/>
                <w:lang w:val="en-US" w:eastAsia="zh-CN"/>
              </w:rPr>
              <w:t>见附图6。</w:t>
            </w:r>
          </w:p>
          <w:p>
            <w:pPr>
              <w:pStyle w:val="35"/>
              <w:numPr>
                <w:ilvl w:val="0"/>
                <w:numId w:val="4"/>
              </w:numPr>
              <w:ind w:firstLine="422"/>
              <w:rPr>
                <w:rFonts w:ascii="Times New Roman" w:hAnsi="Times New Roman" w:cs="Times New Roman"/>
                <w:b/>
                <w:color w:val="auto"/>
                <w:kern w:val="2"/>
                <w:sz w:val="21"/>
                <w:szCs w:val="21"/>
              </w:rPr>
            </w:pPr>
            <w:r>
              <w:rPr>
                <w:rFonts w:hint="eastAsia" w:ascii="Times New Roman" w:hAnsi="Times New Roman" w:cs="Times New Roman"/>
                <w:b/>
                <w:color w:val="auto"/>
                <w:kern w:val="2"/>
                <w:sz w:val="21"/>
                <w:szCs w:val="21"/>
              </w:rPr>
              <w:t>大气污染排放量核算</w:t>
            </w:r>
          </w:p>
          <w:p>
            <w:pPr>
              <w:spacing w:line="360" w:lineRule="auto"/>
              <w:ind w:firstLine="420" w:firstLineChars="200"/>
              <w:jc w:val="left"/>
              <w:rPr>
                <w:color w:val="auto"/>
                <w:szCs w:val="21"/>
              </w:rPr>
            </w:pPr>
            <w:r>
              <w:rPr>
                <w:rFonts w:hint="eastAsia"/>
                <w:color w:val="auto"/>
                <w:szCs w:val="21"/>
              </w:rPr>
              <w:t>大气污染物年排放量包括项目各有组织排放源和无组织排放源在正常排放条件下的预测排放量之和。污染物年排放量公式如下：</w:t>
            </w:r>
          </w:p>
          <w:p>
            <w:pPr>
              <w:spacing w:line="360" w:lineRule="auto"/>
              <w:jc w:val="center"/>
              <w:rPr>
                <w:color w:val="auto"/>
                <w:szCs w:val="21"/>
              </w:rPr>
            </w:pPr>
            <w:r>
              <w:rPr>
                <w:color w:val="auto"/>
              </w:rPr>
              <w:drawing>
                <wp:inline distT="0" distB="0" distL="114300" distR="114300">
                  <wp:extent cx="4506595" cy="360680"/>
                  <wp:effectExtent l="0" t="0" r="8255" b="1270"/>
                  <wp:docPr id="19" name="图片 9" descr="wps6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9" descr="wps6752"/>
                          <pic:cNvPicPr>
                            <a:picLocks noChangeAspect="1"/>
                          </pic:cNvPicPr>
                        </pic:nvPicPr>
                        <pic:blipFill>
                          <a:blip r:embed="rId16"/>
                          <a:stretch>
                            <a:fillRect/>
                          </a:stretch>
                        </pic:blipFill>
                        <pic:spPr>
                          <a:xfrm>
                            <a:off x="0" y="0"/>
                            <a:ext cx="4506595" cy="360680"/>
                          </a:xfrm>
                          <a:prstGeom prst="rect">
                            <a:avLst/>
                          </a:prstGeom>
                          <a:noFill/>
                          <a:ln>
                            <a:noFill/>
                          </a:ln>
                        </pic:spPr>
                      </pic:pic>
                    </a:graphicData>
                  </a:graphic>
                </wp:inline>
              </w:drawing>
            </w:r>
          </w:p>
          <w:p>
            <w:pPr>
              <w:pStyle w:val="47"/>
              <w:keepNext w:val="0"/>
              <w:keepLines w:val="0"/>
              <w:pageBreakBefore w:val="0"/>
              <w:widowControl w:val="0"/>
              <w:kinsoku/>
              <w:wordWrap/>
              <w:overflowPunct/>
              <w:topLinePunct w:val="0"/>
              <w:autoSpaceDE/>
              <w:autoSpaceDN/>
              <w:bidi w:val="0"/>
              <w:adjustRightInd w:val="0"/>
              <w:snapToGrid w:val="0"/>
              <w:spacing w:line="336" w:lineRule="auto"/>
              <w:textAlignment w:val="auto"/>
              <w:rPr>
                <w:rFonts w:ascii="Times New Roman" w:hAnsi="Times New Roman" w:eastAsiaTheme="minorEastAsia"/>
                <w:color w:val="auto"/>
                <w:kern w:val="2"/>
                <w:sz w:val="21"/>
                <w:szCs w:val="21"/>
              </w:rPr>
            </w:pPr>
            <w:r>
              <w:rPr>
                <w:rFonts w:ascii="Times New Roman" w:hAnsi="Times New Roman" w:eastAsiaTheme="minorEastAsia"/>
                <w:color w:val="auto"/>
                <w:kern w:val="2"/>
                <w:sz w:val="21"/>
                <w:szCs w:val="21"/>
              </w:rPr>
              <w:t>式中：E年排放——项目年排放量，t/a；</w:t>
            </w:r>
          </w:p>
          <w:p>
            <w:pPr>
              <w:pStyle w:val="47"/>
              <w:keepNext w:val="0"/>
              <w:keepLines w:val="0"/>
              <w:pageBreakBefore w:val="0"/>
              <w:widowControl w:val="0"/>
              <w:kinsoku/>
              <w:wordWrap/>
              <w:overflowPunct/>
              <w:topLinePunct w:val="0"/>
              <w:autoSpaceDE/>
              <w:autoSpaceDN/>
              <w:bidi w:val="0"/>
              <w:adjustRightInd w:val="0"/>
              <w:snapToGrid w:val="0"/>
              <w:spacing w:line="336" w:lineRule="auto"/>
              <w:textAlignment w:val="auto"/>
              <w:rPr>
                <w:rFonts w:ascii="Times New Roman" w:hAnsi="Times New Roman" w:eastAsiaTheme="minorEastAsia"/>
                <w:color w:val="auto"/>
                <w:kern w:val="2"/>
                <w:sz w:val="21"/>
                <w:szCs w:val="21"/>
              </w:rPr>
            </w:pPr>
            <w:r>
              <w:rPr>
                <w:rFonts w:ascii="Times New Roman" w:hAnsi="Times New Roman" w:eastAsiaTheme="minorEastAsia"/>
                <w:color w:val="auto"/>
                <w:kern w:val="2"/>
                <w:sz w:val="21"/>
                <w:szCs w:val="21"/>
              </w:rPr>
              <w:t>Mi有组织——第i个有组织排放源排放速率，kg/h；</w:t>
            </w:r>
          </w:p>
          <w:p>
            <w:pPr>
              <w:pStyle w:val="47"/>
              <w:keepNext w:val="0"/>
              <w:keepLines w:val="0"/>
              <w:pageBreakBefore w:val="0"/>
              <w:widowControl w:val="0"/>
              <w:kinsoku/>
              <w:wordWrap/>
              <w:overflowPunct/>
              <w:topLinePunct w:val="0"/>
              <w:autoSpaceDE/>
              <w:autoSpaceDN/>
              <w:bidi w:val="0"/>
              <w:adjustRightInd w:val="0"/>
              <w:snapToGrid w:val="0"/>
              <w:spacing w:line="336" w:lineRule="auto"/>
              <w:textAlignment w:val="auto"/>
              <w:rPr>
                <w:rFonts w:ascii="Times New Roman" w:hAnsi="Times New Roman" w:eastAsiaTheme="minorEastAsia"/>
                <w:color w:val="auto"/>
                <w:kern w:val="2"/>
                <w:sz w:val="21"/>
                <w:szCs w:val="21"/>
              </w:rPr>
            </w:pPr>
            <w:r>
              <w:rPr>
                <w:rFonts w:ascii="Times New Roman" w:hAnsi="Times New Roman" w:eastAsiaTheme="minorEastAsia"/>
                <w:color w:val="auto"/>
                <w:kern w:val="2"/>
                <w:sz w:val="21"/>
                <w:szCs w:val="21"/>
              </w:rPr>
              <w:t>Hi有组织——第i个有组织排放源年有效排放小时数，h/a；</w:t>
            </w:r>
          </w:p>
          <w:p>
            <w:pPr>
              <w:pStyle w:val="47"/>
              <w:keepNext w:val="0"/>
              <w:keepLines w:val="0"/>
              <w:pageBreakBefore w:val="0"/>
              <w:widowControl w:val="0"/>
              <w:kinsoku/>
              <w:wordWrap/>
              <w:overflowPunct/>
              <w:topLinePunct w:val="0"/>
              <w:autoSpaceDE/>
              <w:autoSpaceDN/>
              <w:bidi w:val="0"/>
              <w:adjustRightInd w:val="0"/>
              <w:snapToGrid w:val="0"/>
              <w:spacing w:line="336" w:lineRule="auto"/>
              <w:textAlignment w:val="auto"/>
              <w:rPr>
                <w:rFonts w:ascii="Times New Roman" w:hAnsi="Times New Roman" w:eastAsiaTheme="minorEastAsia"/>
                <w:color w:val="auto"/>
                <w:kern w:val="2"/>
                <w:sz w:val="21"/>
                <w:szCs w:val="21"/>
              </w:rPr>
            </w:pPr>
            <w:r>
              <w:rPr>
                <w:rFonts w:ascii="Times New Roman" w:hAnsi="Times New Roman" w:eastAsiaTheme="minorEastAsia"/>
                <w:color w:val="auto"/>
                <w:kern w:val="2"/>
                <w:sz w:val="21"/>
                <w:szCs w:val="21"/>
              </w:rPr>
              <w:t>Mj无组织——第j个无组织排放源排放速率，kg/h；</w:t>
            </w:r>
          </w:p>
          <w:p>
            <w:pPr>
              <w:pStyle w:val="47"/>
              <w:keepNext w:val="0"/>
              <w:keepLines w:val="0"/>
              <w:pageBreakBefore w:val="0"/>
              <w:widowControl w:val="0"/>
              <w:kinsoku/>
              <w:wordWrap/>
              <w:overflowPunct/>
              <w:topLinePunct w:val="0"/>
              <w:autoSpaceDE/>
              <w:autoSpaceDN/>
              <w:bidi w:val="0"/>
              <w:adjustRightInd w:val="0"/>
              <w:snapToGrid w:val="0"/>
              <w:spacing w:line="336" w:lineRule="auto"/>
              <w:textAlignment w:val="auto"/>
              <w:rPr>
                <w:rFonts w:ascii="Times New Roman" w:hAnsi="Times New Roman" w:eastAsiaTheme="minorEastAsia"/>
                <w:color w:val="auto"/>
                <w:kern w:val="2"/>
                <w:sz w:val="21"/>
                <w:szCs w:val="21"/>
              </w:rPr>
            </w:pPr>
            <w:r>
              <w:rPr>
                <w:rFonts w:ascii="Times New Roman" w:hAnsi="Times New Roman" w:eastAsiaTheme="minorEastAsia"/>
                <w:color w:val="auto"/>
                <w:kern w:val="2"/>
                <w:sz w:val="21"/>
                <w:szCs w:val="21"/>
              </w:rPr>
              <w:t>Hj无组织——第j个无组织排放源全年有效排放小时数，h/a。</w:t>
            </w:r>
          </w:p>
          <w:p>
            <w:pPr>
              <w:keepNext w:val="0"/>
              <w:keepLines w:val="0"/>
              <w:pageBreakBefore w:val="0"/>
              <w:widowControl w:val="0"/>
              <w:kinsoku/>
              <w:wordWrap/>
              <w:overflowPunct/>
              <w:topLinePunct w:val="0"/>
              <w:autoSpaceDE/>
              <w:autoSpaceDN/>
              <w:bidi w:val="0"/>
              <w:spacing w:line="336" w:lineRule="auto"/>
              <w:ind w:firstLine="420" w:firstLineChars="200"/>
              <w:jc w:val="left"/>
              <w:textAlignment w:val="auto"/>
              <w:rPr>
                <w:color w:val="auto"/>
                <w:szCs w:val="21"/>
              </w:rPr>
            </w:pPr>
            <w:r>
              <w:rPr>
                <w:rFonts w:hint="eastAsia"/>
                <w:color w:val="auto"/>
                <w:szCs w:val="21"/>
              </w:rPr>
              <w:t>①有组织排放量核算</w:t>
            </w:r>
          </w:p>
          <w:p>
            <w:pPr>
              <w:keepNext w:val="0"/>
              <w:keepLines w:val="0"/>
              <w:pageBreakBefore w:val="0"/>
              <w:widowControl w:val="0"/>
              <w:kinsoku/>
              <w:wordWrap/>
              <w:overflowPunct/>
              <w:topLinePunct w:val="0"/>
              <w:autoSpaceDE/>
              <w:autoSpaceDN/>
              <w:bidi w:val="0"/>
              <w:spacing w:line="336" w:lineRule="auto"/>
              <w:ind w:firstLine="420" w:firstLineChars="200"/>
              <w:jc w:val="left"/>
              <w:textAlignment w:val="auto"/>
              <w:rPr>
                <w:color w:val="auto"/>
                <w:szCs w:val="21"/>
              </w:rPr>
            </w:pPr>
            <w:r>
              <w:rPr>
                <w:rFonts w:hint="eastAsia"/>
                <w:color w:val="auto"/>
                <w:szCs w:val="21"/>
              </w:rPr>
              <w:t>有组织排放量核算见下表。</w:t>
            </w:r>
          </w:p>
          <w:p>
            <w:pPr>
              <w:spacing w:before="194" w:beforeLines="50"/>
              <w:jc w:val="center"/>
              <w:outlineLvl w:val="5"/>
              <w:rPr>
                <w:rFonts w:hint="eastAsia"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表4-15</w:t>
            </w:r>
            <w:r>
              <w:rPr>
                <w:rFonts w:hint="eastAsia" w:cs="Times New Roman"/>
                <w:b/>
                <w:color w:val="auto"/>
                <w:spacing w:val="0"/>
                <w:sz w:val="21"/>
                <w:szCs w:val="21"/>
                <w:lang w:val="en-US" w:eastAsia="zh-CN"/>
              </w:rPr>
              <w:t xml:space="preserve">  </w:t>
            </w:r>
            <w:r>
              <w:rPr>
                <w:rFonts w:hint="eastAsia" w:eastAsia="宋体" w:cs="Times New Roman"/>
                <w:b/>
                <w:color w:val="auto"/>
                <w:spacing w:val="0"/>
                <w:sz w:val="21"/>
                <w:szCs w:val="21"/>
                <w:lang w:val="en-US" w:eastAsia="zh-CN"/>
              </w:rPr>
              <w:t>大气污染物有组织排放量核算表</w:t>
            </w:r>
          </w:p>
          <w:tbl>
            <w:tblPr>
              <w:tblStyle w:val="1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526"/>
              <w:gridCol w:w="1062"/>
              <w:gridCol w:w="1434"/>
              <w:gridCol w:w="1367"/>
              <w:gridCol w:w="1369"/>
              <w:gridCol w:w="13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0" w:hRule="atLeast"/>
                <w:jc w:val="center"/>
              </w:trPr>
              <w:tc>
                <w:tcPr>
                  <w:tcW w:w="939" w:type="pct"/>
                  <w:vAlign w:val="center"/>
                </w:tcPr>
                <w:p>
                  <w:pPr>
                    <w:pStyle w:val="31"/>
                    <w:adjustRightInd w:val="0"/>
                    <w:snapToGrid w:val="0"/>
                    <w:ind w:left="-63" w:right="-63"/>
                    <w:rPr>
                      <w:b/>
                      <w:bCs/>
                      <w:color w:val="auto"/>
                      <w:sz w:val="18"/>
                      <w:szCs w:val="18"/>
                    </w:rPr>
                  </w:pPr>
                  <w:r>
                    <w:rPr>
                      <w:b/>
                      <w:bCs/>
                      <w:color w:val="auto"/>
                      <w:sz w:val="18"/>
                      <w:szCs w:val="18"/>
                    </w:rPr>
                    <w:t>污染源</w:t>
                  </w:r>
                </w:p>
              </w:tc>
              <w:tc>
                <w:tcPr>
                  <w:tcW w:w="653" w:type="pct"/>
                  <w:vAlign w:val="center"/>
                </w:tcPr>
                <w:p>
                  <w:pPr>
                    <w:pStyle w:val="31"/>
                    <w:adjustRightInd w:val="0"/>
                    <w:snapToGrid w:val="0"/>
                    <w:ind w:left="-63" w:right="-63"/>
                    <w:rPr>
                      <w:b/>
                      <w:bCs/>
                      <w:color w:val="auto"/>
                      <w:sz w:val="18"/>
                      <w:szCs w:val="18"/>
                    </w:rPr>
                  </w:pPr>
                  <w:r>
                    <w:rPr>
                      <w:b/>
                      <w:bCs/>
                      <w:color w:val="auto"/>
                      <w:sz w:val="18"/>
                      <w:szCs w:val="18"/>
                    </w:rPr>
                    <w:t>排气筒</w:t>
                  </w:r>
                </w:p>
                <w:p>
                  <w:pPr>
                    <w:pStyle w:val="31"/>
                    <w:adjustRightInd w:val="0"/>
                    <w:snapToGrid w:val="0"/>
                    <w:ind w:left="-63" w:right="-63"/>
                    <w:rPr>
                      <w:b/>
                      <w:bCs/>
                      <w:color w:val="auto"/>
                      <w:sz w:val="18"/>
                      <w:szCs w:val="18"/>
                    </w:rPr>
                  </w:pPr>
                  <w:r>
                    <w:rPr>
                      <w:b/>
                      <w:bCs/>
                      <w:color w:val="auto"/>
                      <w:sz w:val="18"/>
                      <w:szCs w:val="18"/>
                    </w:rPr>
                    <w:t>编号</w:t>
                  </w:r>
                </w:p>
              </w:tc>
              <w:tc>
                <w:tcPr>
                  <w:tcW w:w="881" w:type="pct"/>
                  <w:vAlign w:val="center"/>
                </w:tcPr>
                <w:p>
                  <w:pPr>
                    <w:pStyle w:val="31"/>
                    <w:adjustRightInd w:val="0"/>
                    <w:snapToGrid w:val="0"/>
                    <w:ind w:left="-63" w:right="-63"/>
                    <w:rPr>
                      <w:b/>
                      <w:bCs/>
                      <w:color w:val="auto"/>
                      <w:sz w:val="18"/>
                      <w:szCs w:val="18"/>
                    </w:rPr>
                  </w:pPr>
                  <w:r>
                    <w:rPr>
                      <w:b/>
                      <w:bCs/>
                      <w:color w:val="auto"/>
                      <w:sz w:val="18"/>
                      <w:szCs w:val="18"/>
                    </w:rPr>
                    <w:t>污染物</w:t>
                  </w:r>
                </w:p>
              </w:tc>
              <w:tc>
                <w:tcPr>
                  <w:tcW w:w="841" w:type="pct"/>
                  <w:vAlign w:val="center"/>
                </w:tcPr>
                <w:p>
                  <w:pPr>
                    <w:pStyle w:val="31"/>
                    <w:adjustRightInd w:val="0"/>
                    <w:snapToGrid w:val="0"/>
                    <w:ind w:left="-63" w:right="-63"/>
                    <w:rPr>
                      <w:b/>
                      <w:bCs/>
                      <w:color w:val="auto"/>
                      <w:sz w:val="18"/>
                      <w:szCs w:val="18"/>
                    </w:rPr>
                  </w:pPr>
                  <w:r>
                    <w:rPr>
                      <w:b/>
                      <w:bCs/>
                      <w:color w:val="auto"/>
                      <w:sz w:val="18"/>
                      <w:szCs w:val="18"/>
                    </w:rPr>
                    <w:t>核算排放浓度(mg/m</w:t>
                  </w:r>
                  <w:r>
                    <w:rPr>
                      <w:b/>
                      <w:bCs/>
                      <w:color w:val="auto"/>
                      <w:sz w:val="18"/>
                      <w:szCs w:val="18"/>
                      <w:vertAlign w:val="superscript"/>
                    </w:rPr>
                    <w:t>3</w:t>
                  </w:r>
                  <w:r>
                    <w:rPr>
                      <w:b/>
                      <w:bCs/>
                      <w:color w:val="auto"/>
                      <w:sz w:val="18"/>
                      <w:szCs w:val="18"/>
                    </w:rPr>
                    <w:t>)</w:t>
                  </w:r>
                </w:p>
              </w:tc>
              <w:tc>
                <w:tcPr>
                  <w:tcW w:w="841" w:type="pct"/>
                  <w:vAlign w:val="center"/>
                </w:tcPr>
                <w:p>
                  <w:pPr>
                    <w:pStyle w:val="31"/>
                    <w:adjustRightInd w:val="0"/>
                    <w:snapToGrid w:val="0"/>
                    <w:ind w:left="-63" w:right="-63"/>
                    <w:rPr>
                      <w:b/>
                      <w:bCs/>
                      <w:color w:val="auto"/>
                      <w:sz w:val="18"/>
                      <w:szCs w:val="18"/>
                    </w:rPr>
                  </w:pPr>
                  <w:r>
                    <w:rPr>
                      <w:b/>
                      <w:bCs/>
                      <w:color w:val="auto"/>
                      <w:sz w:val="18"/>
                      <w:szCs w:val="18"/>
                    </w:rPr>
                    <w:t>核算排放速率(kg/h)</w:t>
                  </w:r>
                </w:p>
              </w:tc>
              <w:tc>
                <w:tcPr>
                  <w:tcW w:w="841" w:type="pct"/>
                  <w:vAlign w:val="center"/>
                </w:tcPr>
                <w:p>
                  <w:pPr>
                    <w:pStyle w:val="31"/>
                    <w:adjustRightInd w:val="0"/>
                    <w:snapToGrid w:val="0"/>
                    <w:ind w:left="-63" w:right="-63"/>
                    <w:rPr>
                      <w:b/>
                      <w:bCs/>
                      <w:color w:val="auto"/>
                      <w:sz w:val="18"/>
                      <w:szCs w:val="18"/>
                    </w:rPr>
                  </w:pPr>
                  <w:r>
                    <w:rPr>
                      <w:b/>
                      <w:bCs/>
                      <w:color w:val="auto"/>
                      <w:sz w:val="18"/>
                      <w:szCs w:val="18"/>
                    </w:rPr>
                    <w:t>核算年排放量(</w:t>
                  </w:r>
                  <w:r>
                    <w:rPr>
                      <w:rFonts w:hint="eastAsia"/>
                      <w:b/>
                      <w:bCs/>
                      <w:color w:val="auto"/>
                      <w:sz w:val="18"/>
                      <w:szCs w:val="18"/>
                    </w:rPr>
                    <w:t>t</w:t>
                  </w:r>
                  <w:r>
                    <w:rPr>
                      <w:b/>
                      <w:bCs/>
                      <w:color w:val="auto"/>
                      <w:sz w:val="18"/>
                      <w:szCs w:val="18"/>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2" w:hRule="atLeast"/>
                <w:jc w:val="center"/>
              </w:trPr>
              <w:tc>
                <w:tcPr>
                  <w:tcW w:w="939" w:type="pct"/>
                  <w:vAlign w:val="center"/>
                </w:tcPr>
                <w:p>
                  <w:pPr>
                    <w:pStyle w:val="48"/>
                    <w:adjustRightInd w:val="0"/>
                    <w:snapToGrid w:val="0"/>
                    <w:spacing w:line="240" w:lineRule="auto"/>
                    <w:ind w:firstLine="0" w:firstLineChars="0"/>
                    <w:jc w:val="center"/>
                    <w:rPr>
                      <w:color w:val="auto"/>
                      <w:sz w:val="18"/>
                      <w:szCs w:val="18"/>
                    </w:rPr>
                  </w:pPr>
                  <w:r>
                    <w:rPr>
                      <w:rFonts w:hint="eastAsia"/>
                      <w:color w:val="auto"/>
                      <w:sz w:val="18"/>
                      <w:szCs w:val="18"/>
                    </w:rPr>
                    <w:t>干燥、后处理</w:t>
                  </w:r>
                </w:p>
              </w:tc>
              <w:tc>
                <w:tcPr>
                  <w:tcW w:w="653" w:type="pct"/>
                  <w:vAlign w:val="center"/>
                </w:tcPr>
                <w:p>
                  <w:pPr>
                    <w:adjustRightInd w:val="0"/>
                    <w:snapToGrid w:val="0"/>
                    <w:jc w:val="center"/>
                    <w:rPr>
                      <w:rFonts w:hint="default" w:eastAsia="宋体"/>
                      <w:color w:val="auto"/>
                      <w:sz w:val="18"/>
                      <w:szCs w:val="18"/>
                      <w:lang w:val="en-US" w:eastAsia="zh-CN"/>
                    </w:rPr>
                  </w:pPr>
                  <w:r>
                    <w:rPr>
                      <w:rFonts w:hint="eastAsia"/>
                      <w:color w:val="auto"/>
                      <w:sz w:val="18"/>
                      <w:szCs w:val="18"/>
                      <w:lang w:val="en-US" w:eastAsia="zh-CN"/>
                    </w:rPr>
                    <w:t>DA013</w:t>
                  </w:r>
                </w:p>
              </w:tc>
              <w:tc>
                <w:tcPr>
                  <w:tcW w:w="881" w:type="pct"/>
                  <w:vAlign w:val="center"/>
                </w:tcPr>
                <w:p>
                  <w:pPr>
                    <w:adjustRightInd w:val="0"/>
                    <w:snapToGrid w:val="0"/>
                    <w:jc w:val="center"/>
                    <w:rPr>
                      <w:color w:val="auto"/>
                      <w:sz w:val="18"/>
                      <w:szCs w:val="18"/>
                    </w:rPr>
                  </w:pPr>
                  <w:r>
                    <w:rPr>
                      <w:rFonts w:hint="eastAsia"/>
                      <w:color w:val="auto"/>
                      <w:kern w:val="0"/>
                      <w:sz w:val="18"/>
                      <w:szCs w:val="18"/>
                    </w:rPr>
                    <w:t>非甲烷总烃</w:t>
                  </w:r>
                </w:p>
              </w:tc>
              <w:tc>
                <w:tcPr>
                  <w:tcW w:w="841" w:type="pct"/>
                  <w:vAlign w:val="center"/>
                </w:tcPr>
                <w:p>
                  <w:pPr>
                    <w:pStyle w:val="49"/>
                    <w:adjustRightInd w:val="0"/>
                    <w:snapToGrid w:val="0"/>
                    <w:spacing w:line="240" w:lineRule="auto"/>
                    <w:ind w:firstLine="0" w:firstLineChars="0"/>
                    <w:jc w:val="center"/>
                    <w:rPr>
                      <w:color w:val="auto"/>
                      <w:sz w:val="18"/>
                      <w:szCs w:val="18"/>
                    </w:rPr>
                  </w:pPr>
                  <w:r>
                    <w:rPr>
                      <w:rFonts w:hint="eastAsia"/>
                      <w:color w:val="auto"/>
                      <w:sz w:val="18"/>
                      <w:szCs w:val="18"/>
                    </w:rPr>
                    <w:t>26.68</w:t>
                  </w:r>
                </w:p>
              </w:tc>
              <w:tc>
                <w:tcPr>
                  <w:tcW w:w="841" w:type="pct"/>
                  <w:vAlign w:val="center"/>
                </w:tcPr>
                <w:p>
                  <w:pPr>
                    <w:pStyle w:val="49"/>
                    <w:adjustRightInd w:val="0"/>
                    <w:snapToGrid w:val="0"/>
                    <w:spacing w:line="240" w:lineRule="auto"/>
                    <w:ind w:firstLine="0" w:firstLineChars="0"/>
                    <w:jc w:val="center"/>
                    <w:rPr>
                      <w:color w:val="auto"/>
                      <w:sz w:val="18"/>
                      <w:szCs w:val="18"/>
                    </w:rPr>
                  </w:pPr>
                  <w:r>
                    <w:rPr>
                      <w:rFonts w:hint="eastAsia"/>
                      <w:color w:val="auto"/>
                      <w:sz w:val="18"/>
                      <w:szCs w:val="18"/>
                    </w:rPr>
                    <w:t>0.27</w:t>
                  </w:r>
                </w:p>
              </w:tc>
              <w:tc>
                <w:tcPr>
                  <w:tcW w:w="841" w:type="pct"/>
                  <w:vAlign w:val="center"/>
                </w:tcPr>
                <w:p>
                  <w:pPr>
                    <w:pStyle w:val="49"/>
                    <w:adjustRightInd w:val="0"/>
                    <w:snapToGrid w:val="0"/>
                    <w:spacing w:line="240" w:lineRule="auto"/>
                    <w:ind w:firstLine="0" w:firstLineChars="0"/>
                    <w:jc w:val="center"/>
                    <w:rPr>
                      <w:color w:val="auto"/>
                      <w:sz w:val="18"/>
                      <w:szCs w:val="18"/>
                    </w:rPr>
                  </w:pPr>
                  <w:r>
                    <w:rPr>
                      <w:rFonts w:hint="eastAsia"/>
                      <w:color w:val="auto"/>
                      <w:sz w:val="18"/>
                      <w:szCs w:val="18"/>
                    </w:rPr>
                    <w:t>1.92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2" w:hRule="atLeast"/>
                <w:jc w:val="center"/>
              </w:trPr>
              <w:tc>
                <w:tcPr>
                  <w:tcW w:w="939" w:type="pct"/>
                  <w:vAlign w:val="center"/>
                </w:tcPr>
                <w:p>
                  <w:pPr>
                    <w:keepNext/>
                    <w:snapToGrid w:val="0"/>
                    <w:jc w:val="center"/>
                    <w:rPr>
                      <w:color w:val="auto"/>
                      <w:sz w:val="18"/>
                      <w:szCs w:val="18"/>
                    </w:rPr>
                  </w:pPr>
                  <w:r>
                    <w:rPr>
                      <w:rFonts w:hint="eastAsia"/>
                      <w:color w:val="auto"/>
                      <w:kern w:val="0"/>
                      <w:sz w:val="18"/>
                      <w:szCs w:val="18"/>
                    </w:rPr>
                    <w:t>精馏</w:t>
                  </w:r>
                </w:p>
              </w:tc>
              <w:tc>
                <w:tcPr>
                  <w:tcW w:w="653" w:type="pct"/>
                  <w:vAlign w:val="center"/>
                </w:tcPr>
                <w:p>
                  <w:pPr>
                    <w:keepNext/>
                    <w:snapToGrid w:val="0"/>
                    <w:jc w:val="center"/>
                    <w:rPr>
                      <w:rFonts w:hint="default" w:eastAsia="宋体"/>
                      <w:color w:val="auto"/>
                      <w:sz w:val="18"/>
                      <w:szCs w:val="18"/>
                      <w:lang w:val="en-US" w:eastAsia="zh-CN"/>
                    </w:rPr>
                  </w:pPr>
                  <w:r>
                    <w:rPr>
                      <w:rFonts w:hint="eastAsia"/>
                      <w:color w:val="auto"/>
                      <w:sz w:val="18"/>
                      <w:szCs w:val="18"/>
                      <w:lang w:val="en-US" w:eastAsia="zh-CN"/>
                    </w:rPr>
                    <w:t>DA002（依托）</w:t>
                  </w:r>
                </w:p>
              </w:tc>
              <w:tc>
                <w:tcPr>
                  <w:tcW w:w="881" w:type="pct"/>
                  <w:vAlign w:val="center"/>
                </w:tcPr>
                <w:p>
                  <w:pPr>
                    <w:adjustRightInd w:val="0"/>
                    <w:snapToGrid w:val="0"/>
                    <w:jc w:val="center"/>
                    <w:rPr>
                      <w:color w:val="auto"/>
                      <w:sz w:val="18"/>
                      <w:szCs w:val="18"/>
                    </w:rPr>
                  </w:pPr>
                  <w:r>
                    <w:rPr>
                      <w:rFonts w:hint="eastAsia"/>
                      <w:color w:val="auto"/>
                      <w:kern w:val="0"/>
                      <w:sz w:val="18"/>
                      <w:szCs w:val="18"/>
                    </w:rPr>
                    <w:t>非甲烷总烃</w:t>
                  </w:r>
                </w:p>
              </w:tc>
              <w:tc>
                <w:tcPr>
                  <w:tcW w:w="841" w:type="pct"/>
                  <w:vAlign w:val="center"/>
                </w:tcPr>
                <w:p>
                  <w:pPr>
                    <w:pStyle w:val="49"/>
                    <w:adjustRightInd w:val="0"/>
                    <w:snapToGrid w:val="0"/>
                    <w:spacing w:line="240" w:lineRule="auto"/>
                    <w:ind w:firstLine="0" w:firstLineChars="0"/>
                    <w:jc w:val="center"/>
                    <w:rPr>
                      <w:rFonts w:hint="default" w:eastAsia="宋体"/>
                      <w:color w:val="auto"/>
                      <w:sz w:val="18"/>
                      <w:szCs w:val="18"/>
                      <w:lang w:val="en-US" w:eastAsia="zh-CN"/>
                    </w:rPr>
                  </w:pPr>
                  <w:r>
                    <w:rPr>
                      <w:rFonts w:hint="eastAsia"/>
                      <w:color w:val="auto"/>
                      <w:sz w:val="18"/>
                      <w:szCs w:val="18"/>
                      <w:lang w:val="en-US" w:eastAsia="zh-CN"/>
                    </w:rPr>
                    <w:t>10.78</w:t>
                  </w:r>
                </w:p>
              </w:tc>
              <w:tc>
                <w:tcPr>
                  <w:tcW w:w="841" w:type="pct"/>
                  <w:vAlign w:val="center"/>
                </w:tcPr>
                <w:p>
                  <w:pPr>
                    <w:pStyle w:val="49"/>
                    <w:adjustRightInd w:val="0"/>
                    <w:snapToGrid w:val="0"/>
                    <w:spacing w:line="240" w:lineRule="auto"/>
                    <w:ind w:firstLine="0" w:firstLineChars="0"/>
                    <w:jc w:val="center"/>
                    <w:rPr>
                      <w:rFonts w:hint="eastAsia" w:eastAsia="宋体"/>
                      <w:color w:val="auto"/>
                      <w:sz w:val="18"/>
                      <w:szCs w:val="18"/>
                      <w:lang w:eastAsia="zh-CN"/>
                    </w:rPr>
                  </w:pPr>
                  <w:r>
                    <w:rPr>
                      <w:rFonts w:hint="eastAsia"/>
                      <w:color w:val="auto"/>
                      <w:sz w:val="18"/>
                      <w:szCs w:val="18"/>
                    </w:rPr>
                    <w:t>0.0</w:t>
                  </w:r>
                  <w:r>
                    <w:rPr>
                      <w:rFonts w:hint="eastAsia"/>
                      <w:color w:val="auto"/>
                      <w:sz w:val="18"/>
                      <w:szCs w:val="18"/>
                      <w:lang w:val="en-US" w:eastAsia="zh-CN"/>
                    </w:rPr>
                    <w:t>8</w:t>
                  </w:r>
                </w:p>
              </w:tc>
              <w:tc>
                <w:tcPr>
                  <w:tcW w:w="841" w:type="pct"/>
                  <w:vAlign w:val="center"/>
                </w:tcPr>
                <w:p>
                  <w:pPr>
                    <w:pStyle w:val="49"/>
                    <w:adjustRightInd w:val="0"/>
                    <w:snapToGrid w:val="0"/>
                    <w:spacing w:line="240" w:lineRule="auto"/>
                    <w:ind w:firstLine="0" w:firstLineChars="0"/>
                    <w:jc w:val="center"/>
                    <w:rPr>
                      <w:rFonts w:hint="eastAsia" w:eastAsia="宋体"/>
                      <w:color w:val="auto"/>
                      <w:sz w:val="18"/>
                      <w:szCs w:val="18"/>
                      <w:lang w:eastAsia="zh-CN"/>
                    </w:rPr>
                  </w:pPr>
                  <w:r>
                    <w:rPr>
                      <w:rFonts w:hint="eastAsia"/>
                      <w:color w:val="auto"/>
                      <w:sz w:val="18"/>
                      <w:szCs w:val="18"/>
                    </w:rPr>
                    <w:t>0.0</w:t>
                  </w:r>
                  <w:r>
                    <w:rPr>
                      <w:rFonts w:hint="eastAsia"/>
                      <w:color w:val="auto"/>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0" w:hRule="atLeast"/>
                <w:jc w:val="center"/>
              </w:trPr>
              <w:tc>
                <w:tcPr>
                  <w:tcW w:w="5000" w:type="pct"/>
                  <w:gridSpan w:val="6"/>
                  <w:vAlign w:val="center"/>
                </w:tcPr>
                <w:p>
                  <w:pPr>
                    <w:adjustRightInd w:val="0"/>
                    <w:snapToGrid w:val="0"/>
                    <w:jc w:val="center"/>
                    <w:rPr>
                      <w:color w:val="auto"/>
                      <w:sz w:val="18"/>
                      <w:szCs w:val="18"/>
                    </w:rPr>
                  </w:pPr>
                  <w:r>
                    <w:rPr>
                      <w:b/>
                      <w:bCs/>
                      <w:color w:val="auto"/>
                      <w:sz w:val="18"/>
                      <w:szCs w:val="18"/>
                      <w:lang w:val="zh-CN"/>
                    </w:rPr>
                    <w:t>有组织排放总计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2" w:hRule="atLeast"/>
                <w:jc w:val="center"/>
              </w:trPr>
              <w:tc>
                <w:tcPr>
                  <w:tcW w:w="2474" w:type="pct"/>
                  <w:gridSpan w:val="3"/>
                  <w:vMerge w:val="restart"/>
                  <w:vAlign w:val="center"/>
                </w:tcPr>
                <w:p>
                  <w:pPr>
                    <w:adjustRightInd w:val="0"/>
                    <w:snapToGrid w:val="0"/>
                    <w:jc w:val="center"/>
                    <w:rPr>
                      <w:color w:val="auto"/>
                      <w:sz w:val="18"/>
                      <w:szCs w:val="18"/>
                    </w:rPr>
                  </w:pPr>
                  <w:r>
                    <w:rPr>
                      <w:color w:val="auto"/>
                      <w:sz w:val="18"/>
                      <w:szCs w:val="18"/>
                    </w:rPr>
                    <w:t>有组织排放总计</w:t>
                  </w:r>
                </w:p>
              </w:tc>
              <w:tc>
                <w:tcPr>
                  <w:tcW w:w="1683" w:type="pct"/>
                  <w:gridSpan w:val="2"/>
                  <w:vMerge w:val="restart"/>
                  <w:vAlign w:val="center"/>
                </w:tcPr>
                <w:p>
                  <w:pPr>
                    <w:adjustRightInd w:val="0"/>
                    <w:snapToGrid w:val="0"/>
                    <w:jc w:val="center"/>
                    <w:rPr>
                      <w:color w:val="auto"/>
                      <w:sz w:val="18"/>
                      <w:szCs w:val="18"/>
                    </w:rPr>
                  </w:pPr>
                  <w:r>
                    <w:rPr>
                      <w:rFonts w:hint="eastAsia"/>
                      <w:color w:val="auto"/>
                      <w:kern w:val="0"/>
                      <w:sz w:val="18"/>
                      <w:szCs w:val="18"/>
                    </w:rPr>
                    <w:t>非甲烷总烃</w:t>
                  </w:r>
                </w:p>
              </w:tc>
              <w:tc>
                <w:tcPr>
                  <w:tcW w:w="841" w:type="pct"/>
                  <w:vMerge w:val="restart"/>
                  <w:vAlign w:val="center"/>
                </w:tcPr>
                <w:p>
                  <w:pPr>
                    <w:widowControl/>
                    <w:jc w:val="center"/>
                    <w:textAlignment w:val="center"/>
                    <w:rPr>
                      <w:rFonts w:hint="eastAsia" w:eastAsia="宋体"/>
                      <w:color w:val="auto"/>
                      <w:sz w:val="18"/>
                      <w:szCs w:val="18"/>
                      <w:lang w:eastAsia="zh-CN"/>
                    </w:rPr>
                  </w:pPr>
                  <w:r>
                    <w:rPr>
                      <w:rFonts w:hint="eastAsia"/>
                      <w:color w:val="auto"/>
                      <w:sz w:val="18"/>
                      <w:szCs w:val="18"/>
                    </w:rPr>
                    <w:t>1.9</w:t>
                  </w:r>
                  <w:r>
                    <w:rPr>
                      <w:rFonts w:hint="eastAsia"/>
                      <w:color w:val="auto"/>
                      <w:sz w:val="18"/>
                      <w:szCs w:val="18"/>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2" w:hRule="atLeast"/>
                <w:jc w:val="center"/>
              </w:trPr>
              <w:tc>
                <w:tcPr>
                  <w:tcW w:w="2474" w:type="pct"/>
                  <w:gridSpan w:val="3"/>
                  <w:vMerge w:val="continue"/>
                  <w:vAlign w:val="center"/>
                </w:tcPr>
                <w:p>
                  <w:pPr>
                    <w:adjustRightInd w:val="0"/>
                    <w:snapToGrid w:val="0"/>
                    <w:jc w:val="center"/>
                    <w:rPr>
                      <w:color w:val="auto"/>
                      <w:sz w:val="18"/>
                      <w:szCs w:val="18"/>
                    </w:rPr>
                  </w:pPr>
                </w:p>
              </w:tc>
              <w:tc>
                <w:tcPr>
                  <w:tcW w:w="1683" w:type="pct"/>
                  <w:gridSpan w:val="2"/>
                  <w:vMerge w:val="continue"/>
                  <w:vAlign w:val="center"/>
                </w:tcPr>
                <w:p>
                  <w:pPr>
                    <w:adjustRightInd w:val="0"/>
                    <w:snapToGrid w:val="0"/>
                    <w:jc w:val="center"/>
                    <w:rPr>
                      <w:color w:val="auto"/>
                      <w:sz w:val="18"/>
                      <w:szCs w:val="18"/>
                    </w:rPr>
                  </w:pPr>
                  <w:r>
                    <w:rPr>
                      <w:rFonts w:hint="eastAsia"/>
                      <w:color w:val="auto"/>
                      <w:sz w:val="18"/>
                      <w:szCs w:val="18"/>
                    </w:rPr>
                    <w:t>硫酸雾</w:t>
                  </w:r>
                </w:p>
              </w:tc>
              <w:tc>
                <w:tcPr>
                  <w:tcW w:w="841" w:type="pct"/>
                  <w:vMerge w:val="continue"/>
                  <w:vAlign w:val="center"/>
                </w:tcPr>
                <w:p>
                  <w:pPr>
                    <w:widowControl/>
                    <w:jc w:val="center"/>
                    <w:textAlignment w:val="center"/>
                    <w:rPr>
                      <w:color w:val="auto"/>
                      <w:sz w:val="18"/>
                      <w:szCs w:val="18"/>
                    </w:rPr>
                  </w:pPr>
                  <w:r>
                    <w:rPr>
                      <w:color w:val="auto"/>
                      <w:sz w:val="18"/>
                      <w:szCs w:val="18"/>
                    </w:rPr>
                    <w:t>123.36</w:t>
                  </w:r>
                </w:p>
              </w:tc>
            </w:tr>
          </w:tbl>
          <w:p>
            <w:pPr>
              <w:spacing w:line="360" w:lineRule="auto"/>
              <w:ind w:firstLine="420" w:firstLineChars="200"/>
              <w:jc w:val="left"/>
              <w:rPr>
                <w:color w:val="auto"/>
                <w:szCs w:val="21"/>
              </w:rPr>
            </w:pPr>
            <w:r>
              <w:rPr>
                <w:rFonts w:hint="eastAsia" w:ascii="宋体" w:hAnsi="宋体" w:cs="宋体"/>
                <w:color w:val="auto"/>
                <w:szCs w:val="21"/>
              </w:rPr>
              <w:t>②</w:t>
            </w:r>
            <w:r>
              <w:rPr>
                <w:rFonts w:hint="eastAsia"/>
                <w:color w:val="auto"/>
                <w:szCs w:val="21"/>
              </w:rPr>
              <w:t>无组织排放量核算</w:t>
            </w:r>
          </w:p>
          <w:p>
            <w:pPr>
              <w:spacing w:line="360" w:lineRule="auto"/>
              <w:ind w:firstLine="420" w:firstLineChars="200"/>
              <w:jc w:val="left"/>
              <w:rPr>
                <w:color w:val="auto"/>
                <w:szCs w:val="21"/>
              </w:rPr>
            </w:pPr>
            <w:r>
              <w:rPr>
                <w:rFonts w:hint="eastAsia"/>
                <w:color w:val="auto"/>
                <w:szCs w:val="21"/>
              </w:rPr>
              <w:t>无组织排放量核算见下表。</w:t>
            </w:r>
          </w:p>
          <w:p>
            <w:pPr>
              <w:spacing w:before="194" w:beforeLines="50"/>
              <w:jc w:val="center"/>
              <w:outlineLvl w:val="5"/>
              <w:rPr>
                <w:rFonts w:hint="eastAsia"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表4-16</w:t>
            </w:r>
            <w:r>
              <w:rPr>
                <w:rFonts w:hint="eastAsia" w:cs="Times New Roman"/>
                <w:b/>
                <w:color w:val="auto"/>
                <w:spacing w:val="0"/>
                <w:sz w:val="21"/>
                <w:szCs w:val="21"/>
                <w:lang w:val="en-US" w:eastAsia="zh-CN"/>
              </w:rPr>
              <w:t xml:space="preserve">  </w:t>
            </w:r>
            <w:r>
              <w:rPr>
                <w:rFonts w:hint="eastAsia" w:eastAsia="宋体" w:cs="Times New Roman"/>
                <w:b/>
                <w:color w:val="auto"/>
                <w:spacing w:val="0"/>
                <w:sz w:val="21"/>
                <w:szCs w:val="21"/>
                <w:lang w:val="en-US" w:eastAsia="zh-CN"/>
              </w:rPr>
              <w:t>大气污染物无组织排放量核算表</w:t>
            </w:r>
          </w:p>
          <w:tbl>
            <w:tblPr>
              <w:tblStyle w:val="19"/>
              <w:tblW w:w="494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8"/>
              <w:gridCol w:w="708"/>
              <w:gridCol w:w="1288"/>
              <w:gridCol w:w="786"/>
              <w:gridCol w:w="2597"/>
              <w:gridCol w:w="1075"/>
              <w:gridCol w:w="10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322" w:type="pct"/>
                  <w:vMerge w:val="restart"/>
                  <w:vAlign w:val="center"/>
                </w:tcPr>
                <w:p>
                  <w:pPr>
                    <w:pStyle w:val="31"/>
                    <w:adjustRightInd w:val="0"/>
                    <w:snapToGrid w:val="0"/>
                    <w:ind w:left="-63" w:right="-63"/>
                    <w:rPr>
                      <w:b/>
                      <w:bCs/>
                      <w:color w:val="auto"/>
                      <w:sz w:val="18"/>
                      <w:szCs w:val="18"/>
                    </w:rPr>
                  </w:pPr>
                  <w:r>
                    <w:rPr>
                      <w:b/>
                      <w:bCs/>
                      <w:color w:val="auto"/>
                      <w:sz w:val="18"/>
                      <w:szCs w:val="18"/>
                    </w:rPr>
                    <w:t>序号</w:t>
                  </w:r>
                </w:p>
              </w:tc>
              <w:tc>
                <w:tcPr>
                  <w:tcW w:w="440" w:type="pct"/>
                  <w:vMerge w:val="restart"/>
                  <w:vAlign w:val="center"/>
                </w:tcPr>
                <w:p>
                  <w:pPr>
                    <w:pStyle w:val="31"/>
                    <w:adjustRightInd w:val="0"/>
                    <w:snapToGrid w:val="0"/>
                    <w:ind w:left="-63" w:right="-63"/>
                    <w:rPr>
                      <w:b/>
                      <w:bCs/>
                      <w:color w:val="auto"/>
                      <w:sz w:val="18"/>
                      <w:szCs w:val="18"/>
                    </w:rPr>
                  </w:pPr>
                  <w:r>
                    <w:rPr>
                      <w:b/>
                      <w:bCs/>
                      <w:color w:val="auto"/>
                      <w:sz w:val="18"/>
                      <w:szCs w:val="18"/>
                    </w:rPr>
                    <w:t>排放口编号</w:t>
                  </w:r>
                </w:p>
              </w:tc>
              <w:tc>
                <w:tcPr>
                  <w:tcW w:w="801" w:type="pct"/>
                  <w:vMerge w:val="restart"/>
                  <w:vAlign w:val="center"/>
                </w:tcPr>
                <w:p>
                  <w:pPr>
                    <w:pStyle w:val="31"/>
                    <w:adjustRightInd w:val="0"/>
                    <w:snapToGrid w:val="0"/>
                    <w:ind w:left="-63" w:right="-63"/>
                    <w:rPr>
                      <w:b/>
                      <w:bCs/>
                      <w:color w:val="auto"/>
                      <w:sz w:val="18"/>
                      <w:szCs w:val="18"/>
                    </w:rPr>
                  </w:pPr>
                  <w:r>
                    <w:rPr>
                      <w:b/>
                      <w:bCs/>
                      <w:color w:val="auto"/>
                      <w:sz w:val="18"/>
                      <w:szCs w:val="18"/>
                    </w:rPr>
                    <w:t>产污环节</w:t>
                  </w:r>
                </w:p>
              </w:tc>
              <w:tc>
                <w:tcPr>
                  <w:tcW w:w="488" w:type="pct"/>
                  <w:vMerge w:val="restart"/>
                  <w:vAlign w:val="center"/>
                </w:tcPr>
                <w:p>
                  <w:pPr>
                    <w:pStyle w:val="31"/>
                    <w:adjustRightInd w:val="0"/>
                    <w:snapToGrid w:val="0"/>
                    <w:ind w:left="-63" w:right="-63"/>
                    <w:rPr>
                      <w:b/>
                      <w:bCs/>
                      <w:color w:val="auto"/>
                      <w:sz w:val="18"/>
                      <w:szCs w:val="18"/>
                    </w:rPr>
                  </w:pPr>
                  <w:r>
                    <w:rPr>
                      <w:b/>
                      <w:bCs/>
                      <w:color w:val="auto"/>
                      <w:sz w:val="18"/>
                      <w:szCs w:val="18"/>
                    </w:rPr>
                    <w:t>污染物</w:t>
                  </w:r>
                </w:p>
              </w:tc>
              <w:tc>
                <w:tcPr>
                  <w:tcW w:w="2283" w:type="pct"/>
                  <w:gridSpan w:val="2"/>
                  <w:vAlign w:val="center"/>
                </w:tcPr>
                <w:p>
                  <w:pPr>
                    <w:pStyle w:val="31"/>
                    <w:adjustRightInd w:val="0"/>
                    <w:snapToGrid w:val="0"/>
                    <w:ind w:left="-63" w:right="-63"/>
                    <w:rPr>
                      <w:b/>
                      <w:bCs/>
                      <w:color w:val="auto"/>
                      <w:sz w:val="18"/>
                      <w:szCs w:val="18"/>
                    </w:rPr>
                  </w:pPr>
                  <w:r>
                    <w:rPr>
                      <w:b/>
                      <w:bCs/>
                      <w:color w:val="auto"/>
                      <w:sz w:val="18"/>
                      <w:szCs w:val="18"/>
                    </w:rPr>
                    <w:t>国家或地方污染物排放标准</w:t>
                  </w:r>
                </w:p>
              </w:tc>
              <w:tc>
                <w:tcPr>
                  <w:tcW w:w="663" w:type="pct"/>
                  <w:vMerge w:val="restart"/>
                  <w:vAlign w:val="center"/>
                </w:tcPr>
                <w:p>
                  <w:pPr>
                    <w:pStyle w:val="31"/>
                    <w:adjustRightInd w:val="0"/>
                    <w:snapToGrid w:val="0"/>
                    <w:ind w:left="-63" w:right="-63"/>
                    <w:rPr>
                      <w:b/>
                      <w:bCs/>
                      <w:color w:val="auto"/>
                      <w:sz w:val="18"/>
                      <w:szCs w:val="18"/>
                    </w:rPr>
                  </w:pPr>
                  <w:r>
                    <w:rPr>
                      <w:b/>
                      <w:bCs/>
                      <w:color w:val="auto"/>
                      <w:sz w:val="18"/>
                      <w:szCs w:val="18"/>
                    </w:rPr>
                    <w:t>年排放量(</w:t>
                  </w:r>
                  <w:r>
                    <w:rPr>
                      <w:rFonts w:hint="eastAsia"/>
                      <w:b/>
                      <w:bCs/>
                      <w:color w:val="auto"/>
                      <w:sz w:val="18"/>
                      <w:szCs w:val="18"/>
                    </w:rPr>
                    <w:t>t</w:t>
                  </w:r>
                  <w:r>
                    <w:rPr>
                      <w:b/>
                      <w:bCs/>
                      <w:color w:val="auto"/>
                      <w:sz w:val="18"/>
                      <w:szCs w:val="18"/>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322" w:type="pct"/>
                  <w:vMerge w:val="continue"/>
                  <w:vAlign w:val="center"/>
                </w:tcPr>
                <w:p>
                  <w:pPr>
                    <w:pStyle w:val="31"/>
                    <w:adjustRightInd w:val="0"/>
                    <w:snapToGrid w:val="0"/>
                    <w:ind w:left="-63" w:right="-63"/>
                    <w:rPr>
                      <w:b/>
                      <w:bCs/>
                      <w:color w:val="auto"/>
                      <w:sz w:val="18"/>
                      <w:szCs w:val="18"/>
                    </w:rPr>
                  </w:pPr>
                </w:p>
              </w:tc>
              <w:tc>
                <w:tcPr>
                  <w:tcW w:w="440" w:type="pct"/>
                  <w:vMerge w:val="continue"/>
                  <w:vAlign w:val="center"/>
                </w:tcPr>
                <w:p>
                  <w:pPr>
                    <w:pStyle w:val="31"/>
                    <w:adjustRightInd w:val="0"/>
                    <w:snapToGrid w:val="0"/>
                    <w:ind w:left="-63" w:right="-63"/>
                    <w:rPr>
                      <w:b/>
                      <w:bCs/>
                      <w:color w:val="auto"/>
                      <w:sz w:val="18"/>
                      <w:szCs w:val="18"/>
                    </w:rPr>
                  </w:pPr>
                </w:p>
              </w:tc>
              <w:tc>
                <w:tcPr>
                  <w:tcW w:w="801" w:type="pct"/>
                  <w:vMerge w:val="continue"/>
                  <w:vAlign w:val="center"/>
                </w:tcPr>
                <w:p>
                  <w:pPr>
                    <w:pStyle w:val="31"/>
                    <w:adjustRightInd w:val="0"/>
                    <w:snapToGrid w:val="0"/>
                    <w:ind w:left="-63" w:right="-63"/>
                    <w:rPr>
                      <w:b/>
                      <w:bCs/>
                      <w:color w:val="auto"/>
                      <w:sz w:val="18"/>
                      <w:szCs w:val="18"/>
                    </w:rPr>
                  </w:pPr>
                </w:p>
              </w:tc>
              <w:tc>
                <w:tcPr>
                  <w:tcW w:w="488" w:type="pct"/>
                  <w:vMerge w:val="continue"/>
                  <w:vAlign w:val="center"/>
                </w:tcPr>
                <w:p>
                  <w:pPr>
                    <w:pStyle w:val="31"/>
                    <w:adjustRightInd w:val="0"/>
                    <w:snapToGrid w:val="0"/>
                    <w:ind w:left="-63" w:right="-63"/>
                    <w:rPr>
                      <w:b/>
                      <w:bCs/>
                      <w:color w:val="auto"/>
                      <w:sz w:val="18"/>
                      <w:szCs w:val="18"/>
                    </w:rPr>
                  </w:pPr>
                </w:p>
              </w:tc>
              <w:tc>
                <w:tcPr>
                  <w:tcW w:w="1615" w:type="pct"/>
                  <w:vAlign w:val="center"/>
                </w:tcPr>
                <w:p>
                  <w:pPr>
                    <w:pStyle w:val="31"/>
                    <w:adjustRightInd w:val="0"/>
                    <w:snapToGrid w:val="0"/>
                    <w:ind w:left="-63" w:right="-63"/>
                    <w:rPr>
                      <w:b/>
                      <w:bCs/>
                      <w:color w:val="auto"/>
                      <w:sz w:val="18"/>
                      <w:szCs w:val="18"/>
                    </w:rPr>
                  </w:pPr>
                  <w:r>
                    <w:rPr>
                      <w:b/>
                      <w:bCs/>
                      <w:color w:val="auto"/>
                      <w:sz w:val="18"/>
                      <w:szCs w:val="18"/>
                    </w:rPr>
                    <w:t>标准名称</w:t>
                  </w:r>
                </w:p>
              </w:tc>
              <w:tc>
                <w:tcPr>
                  <w:tcW w:w="668" w:type="pct"/>
                  <w:vAlign w:val="center"/>
                </w:tcPr>
                <w:p>
                  <w:pPr>
                    <w:pStyle w:val="31"/>
                    <w:adjustRightInd w:val="0"/>
                    <w:snapToGrid w:val="0"/>
                    <w:ind w:left="-63" w:right="-63"/>
                    <w:rPr>
                      <w:b/>
                      <w:bCs/>
                      <w:color w:val="auto"/>
                      <w:sz w:val="18"/>
                      <w:szCs w:val="18"/>
                    </w:rPr>
                  </w:pPr>
                  <w:r>
                    <w:rPr>
                      <w:b/>
                      <w:bCs/>
                      <w:color w:val="auto"/>
                      <w:sz w:val="18"/>
                      <w:szCs w:val="18"/>
                    </w:rPr>
                    <w:t>浓度限值(mg/m</w:t>
                  </w:r>
                  <w:r>
                    <w:rPr>
                      <w:b/>
                      <w:bCs/>
                      <w:color w:val="auto"/>
                      <w:sz w:val="18"/>
                      <w:szCs w:val="18"/>
                      <w:vertAlign w:val="superscript"/>
                    </w:rPr>
                    <w:t>3</w:t>
                  </w:r>
                  <w:r>
                    <w:rPr>
                      <w:b/>
                      <w:bCs/>
                      <w:color w:val="auto"/>
                      <w:sz w:val="18"/>
                      <w:szCs w:val="18"/>
                    </w:rPr>
                    <w:t>)</w:t>
                  </w:r>
                </w:p>
              </w:tc>
              <w:tc>
                <w:tcPr>
                  <w:tcW w:w="663" w:type="pct"/>
                  <w:vMerge w:val="continue"/>
                  <w:vAlign w:val="center"/>
                </w:tcPr>
                <w:p>
                  <w:pPr>
                    <w:pStyle w:val="31"/>
                    <w:adjustRightInd w:val="0"/>
                    <w:snapToGrid w:val="0"/>
                    <w:ind w:left="-63" w:right="-63"/>
                    <w:rPr>
                      <w:b/>
                      <w:bCs/>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322" w:type="pct"/>
                  <w:vAlign w:val="center"/>
                </w:tcPr>
                <w:p>
                  <w:pPr>
                    <w:pStyle w:val="31"/>
                    <w:adjustRightInd w:val="0"/>
                    <w:snapToGrid w:val="0"/>
                    <w:ind w:left="-63" w:right="-63"/>
                    <w:rPr>
                      <w:color w:val="auto"/>
                      <w:sz w:val="18"/>
                      <w:szCs w:val="18"/>
                    </w:rPr>
                  </w:pPr>
                  <w:r>
                    <w:rPr>
                      <w:color w:val="auto"/>
                      <w:sz w:val="18"/>
                      <w:szCs w:val="18"/>
                    </w:rPr>
                    <w:t>1</w:t>
                  </w:r>
                </w:p>
              </w:tc>
              <w:tc>
                <w:tcPr>
                  <w:tcW w:w="440" w:type="pct"/>
                  <w:vAlign w:val="center"/>
                </w:tcPr>
                <w:p>
                  <w:pPr>
                    <w:pStyle w:val="31"/>
                    <w:adjustRightInd w:val="0"/>
                    <w:snapToGrid w:val="0"/>
                    <w:ind w:left="-63" w:right="-63"/>
                    <w:rPr>
                      <w:color w:val="auto"/>
                      <w:sz w:val="18"/>
                      <w:szCs w:val="18"/>
                    </w:rPr>
                  </w:pPr>
                  <w:r>
                    <w:rPr>
                      <w:color w:val="auto"/>
                      <w:sz w:val="18"/>
                      <w:szCs w:val="18"/>
                    </w:rPr>
                    <w:t>/</w:t>
                  </w:r>
                </w:p>
              </w:tc>
              <w:tc>
                <w:tcPr>
                  <w:tcW w:w="801" w:type="pct"/>
                  <w:vAlign w:val="center"/>
                </w:tcPr>
                <w:p>
                  <w:pPr>
                    <w:pStyle w:val="31"/>
                    <w:adjustRightInd w:val="0"/>
                    <w:snapToGrid w:val="0"/>
                    <w:ind w:left="-63" w:right="-63"/>
                    <w:rPr>
                      <w:color w:val="auto"/>
                      <w:sz w:val="18"/>
                      <w:szCs w:val="18"/>
                    </w:rPr>
                  </w:pPr>
                  <w:r>
                    <w:rPr>
                      <w:rFonts w:hint="eastAsia"/>
                      <w:color w:val="auto"/>
                      <w:kern w:val="0"/>
                      <w:sz w:val="18"/>
                      <w:szCs w:val="18"/>
                    </w:rPr>
                    <w:t>干燥、后处理</w:t>
                  </w:r>
                </w:p>
              </w:tc>
              <w:tc>
                <w:tcPr>
                  <w:tcW w:w="488" w:type="pct"/>
                  <w:vAlign w:val="center"/>
                </w:tcPr>
                <w:p>
                  <w:pPr>
                    <w:pStyle w:val="31"/>
                    <w:adjustRightInd w:val="0"/>
                    <w:snapToGrid w:val="0"/>
                    <w:ind w:left="-63" w:right="-63"/>
                    <w:rPr>
                      <w:color w:val="auto"/>
                      <w:sz w:val="18"/>
                      <w:szCs w:val="18"/>
                    </w:rPr>
                  </w:pPr>
                  <w:r>
                    <w:rPr>
                      <w:rFonts w:hint="eastAsia"/>
                      <w:color w:val="auto"/>
                      <w:kern w:val="0"/>
                      <w:sz w:val="18"/>
                      <w:szCs w:val="18"/>
                    </w:rPr>
                    <w:t>非甲烷总烃</w:t>
                  </w:r>
                </w:p>
              </w:tc>
              <w:tc>
                <w:tcPr>
                  <w:tcW w:w="1615" w:type="pct"/>
                  <w:vAlign w:val="center"/>
                </w:tcPr>
                <w:p>
                  <w:pPr>
                    <w:pStyle w:val="31"/>
                    <w:adjustRightInd w:val="0"/>
                    <w:snapToGrid w:val="0"/>
                    <w:ind w:left="-63" w:right="-63"/>
                    <w:rPr>
                      <w:color w:val="auto"/>
                      <w:sz w:val="18"/>
                      <w:szCs w:val="18"/>
                    </w:rPr>
                  </w:pPr>
                  <w:r>
                    <w:rPr>
                      <w:rFonts w:hint="eastAsia"/>
                      <w:color w:val="auto"/>
                      <w:sz w:val="18"/>
                      <w:szCs w:val="18"/>
                    </w:rPr>
                    <w:t>《工业企业挥发性有机物排放标准》（DB35/1782-2018）表3限值</w:t>
                  </w:r>
                </w:p>
              </w:tc>
              <w:tc>
                <w:tcPr>
                  <w:tcW w:w="668" w:type="pct"/>
                  <w:vAlign w:val="center"/>
                </w:tcPr>
                <w:p>
                  <w:pPr>
                    <w:pStyle w:val="31"/>
                    <w:adjustRightInd w:val="0"/>
                    <w:snapToGrid w:val="0"/>
                    <w:ind w:left="-63" w:right="-63"/>
                    <w:rPr>
                      <w:color w:val="auto"/>
                      <w:sz w:val="18"/>
                      <w:szCs w:val="18"/>
                    </w:rPr>
                  </w:pPr>
                  <w:r>
                    <w:rPr>
                      <w:rFonts w:hint="eastAsia"/>
                      <w:color w:val="auto"/>
                      <w:sz w:val="18"/>
                      <w:szCs w:val="18"/>
                    </w:rPr>
                    <w:t>2.0</w:t>
                  </w:r>
                </w:p>
              </w:tc>
              <w:tc>
                <w:tcPr>
                  <w:tcW w:w="663" w:type="pct"/>
                  <w:vAlign w:val="center"/>
                </w:tcPr>
                <w:p>
                  <w:pPr>
                    <w:pStyle w:val="31"/>
                    <w:adjustRightInd w:val="0"/>
                    <w:snapToGrid w:val="0"/>
                    <w:ind w:left="-63" w:right="-63"/>
                    <w:rPr>
                      <w:color w:val="auto"/>
                      <w:sz w:val="18"/>
                      <w:szCs w:val="18"/>
                    </w:rPr>
                  </w:pPr>
                  <w:r>
                    <w:rPr>
                      <w:rFonts w:hint="eastAsia"/>
                      <w:color w:val="auto"/>
                      <w:sz w:val="18"/>
                      <w:szCs w:val="18"/>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5000" w:type="pct"/>
                  <w:gridSpan w:val="7"/>
                  <w:vAlign w:val="center"/>
                </w:tcPr>
                <w:p>
                  <w:pPr>
                    <w:pStyle w:val="31"/>
                    <w:adjustRightInd w:val="0"/>
                    <w:snapToGrid w:val="0"/>
                    <w:ind w:left="-63" w:right="-63"/>
                    <w:rPr>
                      <w:color w:val="auto"/>
                      <w:sz w:val="18"/>
                      <w:szCs w:val="18"/>
                    </w:rPr>
                  </w:pPr>
                  <w:r>
                    <w:rPr>
                      <w:b/>
                      <w:bCs/>
                      <w:color w:val="auto"/>
                      <w:sz w:val="18"/>
                      <w:szCs w:val="18"/>
                    </w:rPr>
                    <w:t>无组织排放总计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2052" w:type="pct"/>
                  <w:gridSpan w:val="4"/>
                  <w:vAlign w:val="center"/>
                </w:tcPr>
                <w:p>
                  <w:pPr>
                    <w:pStyle w:val="31"/>
                    <w:adjustRightInd w:val="0"/>
                    <w:snapToGrid w:val="0"/>
                    <w:ind w:left="-63" w:right="-63"/>
                    <w:rPr>
                      <w:color w:val="auto"/>
                      <w:sz w:val="18"/>
                      <w:szCs w:val="18"/>
                    </w:rPr>
                  </w:pPr>
                  <w:r>
                    <w:rPr>
                      <w:color w:val="auto"/>
                      <w:sz w:val="18"/>
                      <w:szCs w:val="18"/>
                    </w:rPr>
                    <w:t>无组织排放总计</w:t>
                  </w:r>
                </w:p>
              </w:tc>
              <w:tc>
                <w:tcPr>
                  <w:tcW w:w="2283" w:type="pct"/>
                  <w:gridSpan w:val="2"/>
                  <w:vAlign w:val="center"/>
                </w:tcPr>
                <w:p>
                  <w:pPr>
                    <w:pStyle w:val="31"/>
                    <w:adjustRightInd w:val="0"/>
                    <w:snapToGrid w:val="0"/>
                    <w:ind w:left="-63" w:right="-63"/>
                    <w:rPr>
                      <w:color w:val="auto"/>
                      <w:sz w:val="18"/>
                      <w:szCs w:val="18"/>
                    </w:rPr>
                  </w:pPr>
                  <w:r>
                    <w:rPr>
                      <w:rFonts w:hint="eastAsia"/>
                      <w:color w:val="auto"/>
                      <w:kern w:val="0"/>
                      <w:sz w:val="18"/>
                      <w:szCs w:val="18"/>
                    </w:rPr>
                    <w:t>非甲烷总烃</w:t>
                  </w:r>
                </w:p>
              </w:tc>
              <w:tc>
                <w:tcPr>
                  <w:tcW w:w="663" w:type="pct"/>
                  <w:vAlign w:val="center"/>
                </w:tcPr>
                <w:p>
                  <w:pPr>
                    <w:pStyle w:val="31"/>
                    <w:adjustRightInd w:val="0"/>
                    <w:snapToGrid w:val="0"/>
                    <w:ind w:left="-63" w:right="-63"/>
                    <w:rPr>
                      <w:color w:val="auto"/>
                      <w:sz w:val="18"/>
                      <w:szCs w:val="18"/>
                    </w:rPr>
                  </w:pPr>
                  <w:r>
                    <w:rPr>
                      <w:rFonts w:hint="eastAsia"/>
                      <w:color w:val="auto"/>
                      <w:sz w:val="18"/>
                      <w:szCs w:val="18"/>
                    </w:rPr>
                    <w:t>5.6</w:t>
                  </w:r>
                </w:p>
              </w:tc>
            </w:tr>
          </w:tbl>
          <w:p>
            <w:pPr>
              <w:spacing w:line="360" w:lineRule="auto"/>
              <w:ind w:firstLine="420" w:firstLineChars="200"/>
              <w:jc w:val="left"/>
              <w:rPr>
                <w:rFonts w:ascii="宋体" w:hAnsi="宋体" w:cs="宋体"/>
                <w:color w:val="auto"/>
                <w:szCs w:val="21"/>
              </w:rPr>
            </w:pPr>
            <w:r>
              <w:rPr>
                <w:rFonts w:hint="eastAsia" w:ascii="宋体" w:hAnsi="宋体" w:cs="宋体"/>
                <w:color w:val="auto"/>
                <w:szCs w:val="21"/>
              </w:rPr>
              <w:t>③排放总量核算</w:t>
            </w:r>
          </w:p>
          <w:p>
            <w:pPr>
              <w:spacing w:line="360" w:lineRule="auto"/>
              <w:ind w:firstLine="420" w:firstLineChars="200"/>
              <w:jc w:val="left"/>
              <w:rPr>
                <w:rFonts w:ascii="宋体" w:hAnsi="宋体" w:cs="宋体"/>
                <w:color w:val="auto"/>
                <w:szCs w:val="21"/>
              </w:rPr>
            </w:pPr>
            <w:r>
              <w:rPr>
                <w:rFonts w:hint="eastAsia" w:ascii="宋体" w:hAnsi="宋体" w:cs="宋体"/>
                <w:color w:val="auto"/>
                <w:szCs w:val="21"/>
              </w:rPr>
              <w:t>项目排放总量核算见下表。</w:t>
            </w:r>
          </w:p>
          <w:p>
            <w:pPr>
              <w:spacing w:before="194" w:beforeLines="50"/>
              <w:jc w:val="center"/>
              <w:outlineLvl w:val="5"/>
              <w:rPr>
                <w:rFonts w:hint="eastAsia"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表4-17</w:t>
            </w:r>
            <w:r>
              <w:rPr>
                <w:rFonts w:hint="eastAsia" w:cs="Times New Roman"/>
                <w:b/>
                <w:color w:val="auto"/>
                <w:spacing w:val="0"/>
                <w:sz w:val="21"/>
                <w:szCs w:val="21"/>
                <w:lang w:val="en-US" w:eastAsia="zh-CN"/>
              </w:rPr>
              <w:t xml:space="preserve">  </w:t>
            </w:r>
            <w:r>
              <w:rPr>
                <w:rFonts w:hint="eastAsia" w:eastAsia="宋体" w:cs="Times New Roman"/>
                <w:b/>
                <w:color w:val="auto"/>
                <w:spacing w:val="0"/>
                <w:sz w:val="21"/>
                <w:szCs w:val="21"/>
                <w:lang w:val="en-US" w:eastAsia="zh-CN"/>
              </w:rPr>
              <w:t>大气污染物年排放量核算表</w:t>
            </w:r>
          </w:p>
          <w:tbl>
            <w:tblPr>
              <w:tblStyle w:val="19"/>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137"/>
              <w:gridCol w:w="3245"/>
              <w:gridCol w:w="37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4" w:hRule="atLeast"/>
                <w:jc w:val="center"/>
              </w:trPr>
              <w:tc>
                <w:tcPr>
                  <w:tcW w:w="699" w:type="pct"/>
                  <w:vAlign w:val="center"/>
                </w:tcPr>
                <w:p>
                  <w:pPr>
                    <w:pStyle w:val="31"/>
                    <w:adjustRightInd w:val="0"/>
                    <w:snapToGrid w:val="0"/>
                    <w:ind w:left="-63" w:right="-63"/>
                    <w:rPr>
                      <w:b/>
                      <w:bCs/>
                      <w:color w:val="auto"/>
                      <w:sz w:val="18"/>
                      <w:szCs w:val="18"/>
                      <w:lang w:val="zh-CN"/>
                    </w:rPr>
                  </w:pPr>
                  <w:r>
                    <w:rPr>
                      <w:b/>
                      <w:bCs/>
                      <w:color w:val="auto"/>
                      <w:sz w:val="18"/>
                      <w:szCs w:val="18"/>
                      <w:lang w:val="zh-CN"/>
                    </w:rPr>
                    <w:t>序号</w:t>
                  </w:r>
                </w:p>
              </w:tc>
              <w:tc>
                <w:tcPr>
                  <w:tcW w:w="1995" w:type="pct"/>
                  <w:vAlign w:val="center"/>
                </w:tcPr>
                <w:p>
                  <w:pPr>
                    <w:pStyle w:val="31"/>
                    <w:adjustRightInd w:val="0"/>
                    <w:snapToGrid w:val="0"/>
                    <w:ind w:left="-63" w:right="-63"/>
                    <w:rPr>
                      <w:b/>
                      <w:bCs/>
                      <w:color w:val="auto"/>
                      <w:sz w:val="18"/>
                      <w:szCs w:val="18"/>
                      <w:lang w:val="zh-CN"/>
                    </w:rPr>
                  </w:pPr>
                  <w:r>
                    <w:rPr>
                      <w:b/>
                      <w:bCs/>
                      <w:color w:val="auto"/>
                      <w:sz w:val="18"/>
                      <w:szCs w:val="18"/>
                      <w:lang w:val="zh-CN"/>
                    </w:rPr>
                    <w:t>污染物</w:t>
                  </w:r>
                </w:p>
              </w:tc>
              <w:tc>
                <w:tcPr>
                  <w:tcW w:w="2305" w:type="pct"/>
                  <w:vAlign w:val="center"/>
                </w:tcPr>
                <w:p>
                  <w:pPr>
                    <w:pStyle w:val="31"/>
                    <w:adjustRightInd w:val="0"/>
                    <w:snapToGrid w:val="0"/>
                    <w:ind w:left="-63" w:right="-63"/>
                    <w:rPr>
                      <w:b/>
                      <w:bCs/>
                      <w:color w:val="auto"/>
                      <w:sz w:val="18"/>
                      <w:szCs w:val="18"/>
                      <w:lang w:val="zh-CN"/>
                    </w:rPr>
                  </w:pPr>
                  <w:r>
                    <w:rPr>
                      <w:b/>
                      <w:bCs/>
                      <w:color w:val="auto"/>
                      <w:sz w:val="18"/>
                      <w:szCs w:val="18"/>
                      <w:lang w:val="zh-CN"/>
                    </w:rPr>
                    <w:t>年排放量（</w:t>
                  </w:r>
                  <w:r>
                    <w:rPr>
                      <w:rFonts w:hint="eastAsia"/>
                      <w:color w:val="auto"/>
                      <w:sz w:val="18"/>
                      <w:szCs w:val="18"/>
                    </w:rPr>
                    <w:t>t</w:t>
                  </w:r>
                  <w:r>
                    <w:rPr>
                      <w:b/>
                      <w:bCs/>
                      <w:color w:val="auto"/>
                      <w:sz w:val="18"/>
                      <w:szCs w:val="18"/>
                      <w:lang w:val="zh-CN"/>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4" w:hRule="atLeast"/>
                <w:jc w:val="center"/>
              </w:trPr>
              <w:tc>
                <w:tcPr>
                  <w:tcW w:w="699" w:type="pct"/>
                  <w:vAlign w:val="center"/>
                </w:tcPr>
                <w:p>
                  <w:pPr>
                    <w:pStyle w:val="31"/>
                    <w:adjustRightInd w:val="0"/>
                    <w:snapToGrid w:val="0"/>
                    <w:ind w:left="-63" w:right="-63"/>
                    <w:rPr>
                      <w:color w:val="auto"/>
                      <w:sz w:val="18"/>
                      <w:szCs w:val="18"/>
                      <w:lang w:val="zh-CN"/>
                    </w:rPr>
                  </w:pPr>
                  <w:r>
                    <w:rPr>
                      <w:color w:val="auto"/>
                      <w:sz w:val="18"/>
                      <w:szCs w:val="18"/>
                      <w:lang w:val="zh-CN"/>
                    </w:rPr>
                    <w:t>1</w:t>
                  </w:r>
                </w:p>
              </w:tc>
              <w:tc>
                <w:tcPr>
                  <w:tcW w:w="1995" w:type="pct"/>
                  <w:vAlign w:val="center"/>
                </w:tcPr>
                <w:p>
                  <w:pPr>
                    <w:adjustRightInd w:val="0"/>
                    <w:snapToGrid w:val="0"/>
                    <w:jc w:val="center"/>
                    <w:rPr>
                      <w:color w:val="auto"/>
                      <w:sz w:val="18"/>
                      <w:szCs w:val="18"/>
                    </w:rPr>
                  </w:pPr>
                  <w:r>
                    <w:rPr>
                      <w:rFonts w:hint="eastAsia"/>
                      <w:color w:val="auto"/>
                      <w:kern w:val="0"/>
                      <w:sz w:val="18"/>
                      <w:szCs w:val="18"/>
                    </w:rPr>
                    <w:t>非甲烷总烃</w:t>
                  </w:r>
                </w:p>
              </w:tc>
              <w:tc>
                <w:tcPr>
                  <w:tcW w:w="2305" w:type="pct"/>
                  <w:vAlign w:val="center"/>
                </w:tcPr>
                <w:p>
                  <w:pPr>
                    <w:widowControl/>
                    <w:jc w:val="center"/>
                    <w:textAlignment w:val="center"/>
                    <w:rPr>
                      <w:rFonts w:hint="eastAsia" w:eastAsia="宋体"/>
                      <w:color w:val="auto"/>
                      <w:sz w:val="18"/>
                      <w:szCs w:val="18"/>
                      <w:lang w:eastAsia="zh-CN"/>
                    </w:rPr>
                  </w:pPr>
                  <w:r>
                    <w:rPr>
                      <w:rFonts w:hint="eastAsia"/>
                      <w:color w:val="auto"/>
                      <w:sz w:val="18"/>
                      <w:szCs w:val="18"/>
                    </w:rPr>
                    <w:t>7.5</w:t>
                  </w:r>
                  <w:r>
                    <w:rPr>
                      <w:rFonts w:hint="eastAsia"/>
                      <w:color w:val="auto"/>
                      <w:sz w:val="18"/>
                      <w:szCs w:val="18"/>
                      <w:lang w:val="en-US" w:eastAsia="zh-CN"/>
                    </w:rPr>
                    <w:t>6</w:t>
                  </w:r>
                </w:p>
              </w:tc>
            </w:tr>
          </w:tbl>
          <w:p>
            <w:pPr>
              <w:widowControl/>
              <w:adjustRightInd w:val="0"/>
              <w:snapToGrid w:val="0"/>
              <w:spacing w:before="156" w:beforeLines="50" w:line="360" w:lineRule="auto"/>
              <w:outlineLvl w:val="2"/>
              <w:rPr>
                <w:b/>
                <w:color w:val="auto"/>
                <w:szCs w:val="21"/>
              </w:rPr>
            </w:pPr>
            <w:r>
              <w:rPr>
                <w:b/>
                <w:color w:val="auto"/>
                <w:szCs w:val="21"/>
              </w:rPr>
              <w:t>4.2.</w:t>
            </w:r>
            <w:r>
              <w:rPr>
                <w:rFonts w:hint="eastAsia"/>
                <w:b/>
                <w:color w:val="auto"/>
                <w:szCs w:val="21"/>
              </w:rPr>
              <w:t>2水</w:t>
            </w:r>
            <w:r>
              <w:rPr>
                <w:b/>
                <w:color w:val="auto"/>
                <w:szCs w:val="21"/>
              </w:rPr>
              <w:t>环境影响和保护措施</w:t>
            </w:r>
          </w:p>
          <w:p>
            <w:pPr>
              <w:spacing w:line="360" w:lineRule="auto"/>
              <w:ind w:firstLine="422" w:firstLineChars="200"/>
              <w:jc w:val="left"/>
              <w:rPr>
                <w:b/>
                <w:bCs/>
                <w:color w:val="auto"/>
                <w:szCs w:val="21"/>
              </w:rPr>
            </w:pPr>
            <w:r>
              <w:rPr>
                <w:rFonts w:hint="eastAsia"/>
                <w:b/>
                <w:bCs/>
                <w:color w:val="auto"/>
                <w:szCs w:val="21"/>
              </w:rPr>
              <w:t>（1）废水污染源分析</w:t>
            </w:r>
          </w:p>
          <w:p>
            <w:pPr>
              <w:spacing w:line="360" w:lineRule="auto"/>
              <w:ind w:firstLine="420" w:firstLineChars="200"/>
              <w:jc w:val="left"/>
              <w:rPr>
                <w:color w:val="auto"/>
                <w:szCs w:val="21"/>
              </w:rPr>
            </w:pPr>
            <w:r>
              <w:rPr>
                <w:rFonts w:hint="eastAsia"/>
                <w:color w:val="auto"/>
                <w:szCs w:val="21"/>
              </w:rPr>
              <w:t>项目用水主要包括生活用水、生产用水，其中生产用水包括喷淋用水和循环冷却用水，排水主要包括生活污水和经精馏回收处理后产生的冷凝废水。</w:t>
            </w:r>
          </w:p>
          <w:p>
            <w:pPr>
              <w:spacing w:line="360" w:lineRule="auto"/>
              <w:ind w:firstLine="422" w:firstLineChars="200"/>
              <w:jc w:val="left"/>
              <w:rPr>
                <w:b/>
                <w:bCs/>
                <w:color w:val="auto"/>
                <w:szCs w:val="21"/>
              </w:rPr>
            </w:pPr>
            <w:r>
              <w:rPr>
                <w:b/>
                <w:bCs/>
                <w:color w:val="auto"/>
                <w:szCs w:val="21"/>
              </w:rPr>
              <w:t>①生产废水</w:t>
            </w:r>
          </w:p>
          <w:p>
            <w:pPr>
              <w:spacing w:line="360" w:lineRule="auto"/>
              <w:ind w:firstLine="420" w:firstLineChars="200"/>
              <w:jc w:val="left"/>
              <w:rPr>
                <w:color w:val="auto"/>
                <w:szCs w:val="21"/>
              </w:rPr>
            </w:pPr>
            <w:r>
              <w:rPr>
                <w:rFonts w:hint="eastAsia"/>
                <w:color w:val="auto"/>
                <w:szCs w:val="21"/>
              </w:rPr>
              <w:t>本项目循环冷却水采用间接冷却方式，无外排，仅定期补充损耗水量。喷淋用水定期更换，更换产生的喷淋废水送入精馏塔回收</w:t>
            </w:r>
            <w:r>
              <w:rPr>
                <w:rFonts w:hint="eastAsia"/>
                <w:color w:val="auto"/>
                <w:szCs w:val="21"/>
                <w:lang w:eastAsia="zh-CN"/>
              </w:rPr>
              <w:t>溶剂</w:t>
            </w:r>
            <w:r>
              <w:rPr>
                <w:rFonts w:hint="eastAsia"/>
                <w:color w:val="auto"/>
                <w:szCs w:val="21"/>
              </w:rPr>
              <w:t>，塔顶冷凝水送厂区污水处理站处理。根据物料平衡，冷凝废水产生量为148.03t/a，其中</w:t>
            </w:r>
            <w:r>
              <w:rPr>
                <w:rFonts w:hint="eastAsia"/>
                <w:color w:val="auto"/>
                <w:szCs w:val="21"/>
                <w:lang w:eastAsia="zh-CN"/>
              </w:rPr>
              <w:t>溶剂</w:t>
            </w:r>
            <w:r>
              <w:rPr>
                <w:rFonts w:hint="eastAsia"/>
                <w:color w:val="auto"/>
                <w:szCs w:val="21"/>
              </w:rPr>
              <w:t>含量为0.03t/a。</w:t>
            </w:r>
          </w:p>
          <w:p>
            <w:pPr>
              <w:spacing w:line="360" w:lineRule="auto"/>
              <w:ind w:firstLine="420" w:firstLineChars="200"/>
              <w:rPr>
                <w:color w:val="auto"/>
                <w:szCs w:val="21"/>
              </w:rPr>
            </w:pPr>
            <w:r>
              <w:rPr>
                <w:rFonts w:hint="eastAsia"/>
                <w:color w:val="auto"/>
                <w:szCs w:val="21"/>
              </w:rPr>
              <w:t>参照《厌氧-好氧生物流化床耦合处理N,N-</w:t>
            </w:r>
            <w:r>
              <w:rPr>
                <w:rFonts w:hint="eastAsia"/>
                <w:color w:val="auto"/>
                <w:szCs w:val="21"/>
                <w:lang w:eastAsia="zh-CN"/>
              </w:rPr>
              <w:t>溶剂</w:t>
            </w:r>
            <w:r>
              <w:rPr>
                <w:rFonts w:hint="eastAsia"/>
                <w:color w:val="auto"/>
                <w:szCs w:val="21"/>
              </w:rPr>
              <w:t>废水的研究》（浙江工业大学，Vol.31，(06):1459-1465），当废水中</w:t>
            </w:r>
            <w:r>
              <w:rPr>
                <w:rFonts w:hint="eastAsia"/>
                <w:color w:val="auto"/>
                <w:szCs w:val="21"/>
                <w:lang w:eastAsia="zh-CN"/>
              </w:rPr>
              <w:t>溶剂</w:t>
            </w:r>
            <w:r>
              <w:rPr>
                <w:rFonts w:hint="eastAsia"/>
                <w:color w:val="auto"/>
                <w:szCs w:val="21"/>
              </w:rPr>
              <w:t>浓度为75mg/L时，实测CODcr为160.5mg/L，折算系数为2.14。据此，0.03t/a的</w:t>
            </w:r>
            <w:r>
              <w:rPr>
                <w:rFonts w:hint="eastAsia"/>
                <w:color w:val="auto"/>
                <w:szCs w:val="21"/>
                <w:lang w:eastAsia="zh-CN"/>
              </w:rPr>
              <w:t>溶剂</w:t>
            </w:r>
            <w:r>
              <w:rPr>
                <w:rFonts w:hint="eastAsia"/>
                <w:color w:val="auto"/>
                <w:szCs w:val="21"/>
              </w:rPr>
              <w:t>折合CODcr产生量为0.064t/a。同时，由</w:t>
            </w:r>
            <w:r>
              <w:rPr>
                <w:rFonts w:hint="eastAsia"/>
                <w:color w:val="auto"/>
                <w:szCs w:val="21"/>
                <w:lang w:eastAsia="zh-CN"/>
              </w:rPr>
              <w:t>溶剂</w:t>
            </w:r>
            <w:r>
              <w:rPr>
                <w:rFonts w:hint="eastAsia"/>
                <w:color w:val="auto"/>
                <w:szCs w:val="21"/>
              </w:rPr>
              <w:t>分子式C</w:t>
            </w:r>
            <w:r>
              <w:rPr>
                <w:rFonts w:hint="eastAsia"/>
                <w:color w:val="auto"/>
                <w:szCs w:val="21"/>
                <w:vertAlign w:val="subscript"/>
              </w:rPr>
              <w:t>4</w:t>
            </w:r>
            <w:r>
              <w:rPr>
                <w:rFonts w:hint="eastAsia"/>
                <w:color w:val="auto"/>
                <w:szCs w:val="21"/>
              </w:rPr>
              <w:t>H</w:t>
            </w:r>
            <w:r>
              <w:rPr>
                <w:rFonts w:hint="eastAsia"/>
                <w:color w:val="auto"/>
                <w:szCs w:val="21"/>
                <w:vertAlign w:val="subscript"/>
              </w:rPr>
              <w:t>9</w:t>
            </w:r>
            <w:r>
              <w:rPr>
                <w:rFonts w:hint="eastAsia"/>
                <w:color w:val="auto"/>
                <w:szCs w:val="21"/>
              </w:rPr>
              <w:t>NO可知，每摩尔</w:t>
            </w:r>
            <w:r>
              <w:rPr>
                <w:rFonts w:hint="eastAsia"/>
                <w:color w:val="auto"/>
                <w:szCs w:val="21"/>
                <w:lang w:eastAsia="zh-CN"/>
              </w:rPr>
              <w:t>溶剂</w:t>
            </w:r>
            <w:r>
              <w:rPr>
                <w:rFonts w:hint="eastAsia"/>
                <w:color w:val="auto"/>
                <w:szCs w:val="21"/>
              </w:rPr>
              <w:t>含1摩尔氮原子，理论含氮量（质量分数）为16.08%，故0.03t/a的</w:t>
            </w:r>
            <w:r>
              <w:rPr>
                <w:rFonts w:hint="eastAsia"/>
                <w:color w:val="auto"/>
                <w:szCs w:val="21"/>
                <w:lang w:eastAsia="zh-CN"/>
              </w:rPr>
              <w:t>溶剂</w:t>
            </w:r>
            <w:r>
              <w:rPr>
                <w:rFonts w:hint="eastAsia"/>
                <w:color w:val="auto"/>
                <w:szCs w:val="21"/>
              </w:rPr>
              <w:t>折合氨氮（以N计）产生量为0.005t/a。综上，精馏冷凝废水的污染物源强为：CODcr 432.34mg/L，氨氮 33.78mg/L。项目生产废水污染物产生情况见表。</w:t>
            </w:r>
          </w:p>
          <w:p>
            <w:pPr>
              <w:spacing w:before="194" w:beforeLines="50"/>
              <w:jc w:val="center"/>
              <w:outlineLvl w:val="5"/>
              <w:rPr>
                <w:rFonts w:hint="eastAsia"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表4-18</w:t>
            </w:r>
            <w:r>
              <w:rPr>
                <w:rFonts w:hint="eastAsia" w:cs="Times New Roman"/>
                <w:b/>
                <w:color w:val="auto"/>
                <w:spacing w:val="0"/>
                <w:sz w:val="21"/>
                <w:szCs w:val="21"/>
                <w:lang w:val="en-US" w:eastAsia="zh-CN"/>
              </w:rPr>
              <w:t xml:space="preserve">  </w:t>
            </w:r>
            <w:r>
              <w:rPr>
                <w:rFonts w:hint="eastAsia" w:eastAsia="宋体" w:cs="Times New Roman"/>
                <w:b/>
                <w:color w:val="auto"/>
                <w:spacing w:val="0"/>
                <w:sz w:val="21"/>
                <w:szCs w:val="21"/>
                <w:lang w:val="en-US" w:eastAsia="zh-CN"/>
              </w:rPr>
              <w:t>生产废水产生情况一览表</w:t>
            </w:r>
          </w:p>
          <w:tbl>
            <w:tblPr>
              <w:tblStyle w:val="20"/>
              <w:tblW w:w="82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08"/>
              <w:gridCol w:w="1313"/>
              <w:gridCol w:w="1094"/>
              <w:gridCol w:w="1433"/>
              <w:gridCol w:w="1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208" w:type="dxa"/>
                  <w:vMerge w:val="restart"/>
                  <w:vAlign w:val="center"/>
                </w:tcPr>
                <w:p>
                  <w:pPr>
                    <w:adjustRightInd w:val="0"/>
                    <w:snapToGrid w:val="0"/>
                    <w:jc w:val="center"/>
                    <w:rPr>
                      <w:b/>
                      <w:color w:val="auto"/>
                      <w:sz w:val="18"/>
                    </w:rPr>
                  </w:pPr>
                  <w:r>
                    <w:rPr>
                      <w:rFonts w:hAnsi="宋体"/>
                      <w:b/>
                      <w:bCs/>
                      <w:color w:val="auto"/>
                      <w:sz w:val="18"/>
                      <w:szCs w:val="18"/>
                    </w:rPr>
                    <w:t>废水来源</w:t>
                  </w:r>
                </w:p>
              </w:tc>
              <w:tc>
                <w:tcPr>
                  <w:tcW w:w="1313" w:type="dxa"/>
                  <w:vMerge w:val="restart"/>
                  <w:vAlign w:val="center"/>
                </w:tcPr>
                <w:p>
                  <w:pPr>
                    <w:adjustRightInd w:val="0"/>
                    <w:snapToGrid w:val="0"/>
                    <w:jc w:val="center"/>
                    <w:rPr>
                      <w:b/>
                      <w:color w:val="auto"/>
                      <w:sz w:val="18"/>
                    </w:rPr>
                  </w:pPr>
                  <w:r>
                    <w:rPr>
                      <w:rFonts w:hAnsi="宋体"/>
                      <w:b/>
                      <w:bCs/>
                      <w:color w:val="auto"/>
                      <w:sz w:val="18"/>
                      <w:szCs w:val="18"/>
                    </w:rPr>
                    <w:t>水量</w:t>
                  </w:r>
                  <w:r>
                    <w:rPr>
                      <w:b/>
                      <w:bCs/>
                      <w:color w:val="auto"/>
                      <w:sz w:val="18"/>
                      <w:szCs w:val="18"/>
                    </w:rPr>
                    <w:t>m</w:t>
                  </w:r>
                  <w:r>
                    <w:rPr>
                      <w:b/>
                      <w:bCs/>
                      <w:color w:val="auto"/>
                      <w:sz w:val="18"/>
                      <w:szCs w:val="18"/>
                      <w:vertAlign w:val="superscript"/>
                    </w:rPr>
                    <w:t>3</w:t>
                  </w:r>
                  <w:r>
                    <w:rPr>
                      <w:b/>
                      <w:bCs/>
                      <w:color w:val="auto"/>
                      <w:sz w:val="18"/>
                      <w:szCs w:val="18"/>
                    </w:rPr>
                    <w:t>/a</w:t>
                  </w:r>
                </w:p>
              </w:tc>
              <w:tc>
                <w:tcPr>
                  <w:tcW w:w="3774" w:type="dxa"/>
                  <w:gridSpan w:val="3"/>
                  <w:vAlign w:val="center"/>
                </w:tcPr>
                <w:p>
                  <w:pPr>
                    <w:snapToGrid w:val="0"/>
                    <w:jc w:val="center"/>
                    <w:rPr>
                      <w:b/>
                      <w:color w:val="auto"/>
                      <w:sz w:val="18"/>
                    </w:rPr>
                  </w:pPr>
                  <w:r>
                    <w:rPr>
                      <w:rFonts w:hAnsi="宋体"/>
                      <w:b/>
                      <w:bCs/>
                      <w:color w:val="auto"/>
                      <w:sz w:val="18"/>
                      <w:szCs w:val="18"/>
                    </w:rPr>
                    <w:t>污染物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208" w:type="dxa"/>
                  <w:vMerge w:val="continue"/>
                  <w:vAlign w:val="center"/>
                </w:tcPr>
                <w:p>
                  <w:pPr>
                    <w:snapToGrid w:val="0"/>
                    <w:jc w:val="center"/>
                    <w:rPr>
                      <w:b/>
                      <w:color w:val="auto"/>
                      <w:sz w:val="18"/>
                    </w:rPr>
                  </w:pPr>
                </w:p>
              </w:tc>
              <w:tc>
                <w:tcPr>
                  <w:tcW w:w="1313" w:type="dxa"/>
                  <w:vMerge w:val="continue"/>
                  <w:vAlign w:val="center"/>
                </w:tcPr>
                <w:p>
                  <w:pPr>
                    <w:snapToGrid w:val="0"/>
                    <w:jc w:val="center"/>
                    <w:rPr>
                      <w:b/>
                      <w:color w:val="auto"/>
                      <w:sz w:val="18"/>
                    </w:rPr>
                  </w:pPr>
                </w:p>
              </w:tc>
              <w:tc>
                <w:tcPr>
                  <w:tcW w:w="1094" w:type="dxa"/>
                  <w:vAlign w:val="center"/>
                </w:tcPr>
                <w:p>
                  <w:pPr>
                    <w:adjustRightInd w:val="0"/>
                    <w:snapToGrid w:val="0"/>
                    <w:jc w:val="center"/>
                    <w:rPr>
                      <w:b/>
                      <w:color w:val="auto"/>
                      <w:sz w:val="18"/>
                    </w:rPr>
                  </w:pPr>
                  <w:r>
                    <w:rPr>
                      <w:rFonts w:hAnsi="宋体"/>
                      <w:b/>
                      <w:bCs/>
                      <w:color w:val="auto"/>
                      <w:sz w:val="18"/>
                      <w:szCs w:val="18"/>
                    </w:rPr>
                    <w:t>单位</w:t>
                  </w:r>
                </w:p>
              </w:tc>
              <w:tc>
                <w:tcPr>
                  <w:tcW w:w="1433" w:type="dxa"/>
                  <w:vAlign w:val="center"/>
                </w:tcPr>
                <w:p>
                  <w:pPr>
                    <w:adjustRightInd w:val="0"/>
                    <w:snapToGrid w:val="0"/>
                    <w:jc w:val="center"/>
                    <w:rPr>
                      <w:b/>
                      <w:color w:val="auto"/>
                      <w:sz w:val="18"/>
                    </w:rPr>
                  </w:pPr>
                  <w:r>
                    <w:rPr>
                      <w:b/>
                      <w:bCs/>
                      <w:color w:val="auto"/>
                      <w:sz w:val="18"/>
                      <w:szCs w:val="18"/>
                    </w:rPr>
                    <w:t>COD</w:t>
                  </w:r>
                  <w:r>
                    <w:rPr>
                      <w:rFonts w:hint="eastAsia"/>
                      <w:b/>
                      <w:bCs/>
                      <w:color w:val="auto"/>
                      <w:sz w:val="18"/>
                      <w:szCs w:val="18"/>
                    </w:rPr>
                    <w:t>cr</w:t>
                  </w:r>
                </w:p>
              </w:tc>
              <w:tc>
                <w:tcPr>
                  <w:tcW w:w="1247" w:type="dxa"/>
                  <w:vAlign w:val="center"/>
                </w:tcPr>
                <w:p>
                  <w:pPr>
                    <w:adjustRightInd w:val="0"/>
                    <w:snapToGrid w:val="0"/>
                    <w:jc w:val="center"/>
                    <w:rPr>
                      <w:b/>
                      <w:color w:val="auto"/>
                      <w:sz w:val="18"/>
                    </w:rPr>
                  </w:pPr>
                  <w:r>
                    <w:rPr>
                      <w:rFonts w:hint="eastAsia"/>
                      <w:b/>
                      <w:color w:val="auto"/>
                      <w:sz w:val="18"/>
                    </w:rPr>
                    <w:t>氨氮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08" w:type="dxa"/>
                  <w:vMerge w:val="restart"/>
                  <w:vAlign w:val="center"/>
                </w:tcPr>
                <w:p>
                  <w:pPr>
                    <w:snapToGrid w:val="0"/>
                    <w:jc w:val="center"/>
                    <w:rPr>
                      <w:color w:val="auto"/>
                    </w:rPr>
                  </w:pPr>
                  <w:r>
                    <w:rPr>
                      <w:rFonts w:hint="eastAsia"/>
                      <w:color w:val="auto"/>
                      <w:szCs w:val="18"/>
                    </w:rPr>
                    <w:t>喷淋精馏冷凝废水</w:t>
                  </w:r>
                </w:p>
              </w:tc>
              <w:tc>
                <w:tcPr>
                  <w:tcW w:w="1313" w:type="dxa"/>
                  <w:vMerge w:val="restart"/>
                  <w:vAlign w:val="center"/>
                </w:tcPr>
                <w:p>
                  <w:pPr>
                    <w:adjustRightInd w:val="0"/>
                    <w:snapToGrid w:val="0"/>
                    <w:jc w:val="center"/>
                    <w:rPr>
                      <w:color w:val="auto"/>
                    </w:rPr>
                  </w:pPr>
                  <w:r>
                    <w:rPr>
                      <w:rFonts w:hint="eastAsia"/>
                      <w:color w:val="auto"/>
                      <w:szCs w:val="18"/>
                    </w:rPr>
                    <w:t>148.03</w:t>
                  </w:r>
                </w:p>
              </w:tc>
              <w:tc>
                <w:tcPr>
                  <w:tcW w:w="1094" w:type="dxa"/>
                  <w:vAlign w:val="center"/>
                </w:tcPr>
                <w:p>
                  <w:pPr>
                    <w:snapToGrid w:val="0"/>
                    <w:jc w:val="center"/>
                    <w:rPr>
                      <w:color w:val="auto"/>
                    </w:rPr>
                  </w:pPr>
                  <w:r>
                    <w:rPr>
                      <w:color w:val="auto"/>
                      <w:szCs w:val="18"/>
                    </w:rPr>
                    <w:t>mg/L</w:t>
                  </w:r>
                </w:p>
              </w:tc>
              <w:tc>
                <w:tcPr>
                  <w:tcW w:w="1433" w:type="dxa"/>
                  <w:vAlign w:val="center"/>
                </w:tcPr>
                <w:p>
                  <w:pPr>
                    <w:adjustRightInd w:val="0"/>
                    <w:snapToGrid w:val="0"/>
                    <w:jc w:val="center"/>
                    <w:rPr>
                      <w:color w:val="auto"/>
                    </w:rPr>
                  </w:pPr>
                  <w:r>
                    <w:rPr>
                      <w:rFonts w:hint="eastAsia"/>
                      <w:color w:val="auto"/>
                    </w:rPr>
                    <w:t>432.34</w:t>
                  </w:r>
                </w:p>
              </w:tc>
              <w:tc>
                <w:tcPr>
                  <w:tcW w:w="1247" w:type="dxa"/>
                  <w:vAlign w:val="center"/>
                </w:tcPr>
                <w:p>
                  <w:pPr>
                    <w:adjustRightInd w:val="0"/>
                    <w:snapToGrid w:val="0"/>
                    <w:jc w:val="center"/>
                    <w:rPr>
                      <w:color w:val="auto"/>
                    </w:rPr>
                  </w:pPr>
                  <w:r>
                    <w:rPr>
                      <w:rFonts w:hint="eastAsia"/>
                      <w:color w:val="auto"/>
                    </w:rPr>
                    <w:t>33.78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08" w:type="dxa"/>
                  <w:vMerge w:val="continue"/>
                  <w:vAlign w:val="center"/>
                </w:tcPr>
                <w:p>
                  <w:pPr>
                    <w:snapToGrid w:val="0"/>
                    <w:jc w:val="center"/>
                    <w:rPr>
                      <w:color w:val="auto"/>
                    </w:rPr>
                  </w:pPr>
                </w:p>
              </w:tc>
              <w:tc>
                <w:tcPr>
                  <w:tcW w:w="1313" w:type="dxa"/>
                  <w:vMerge w:val="continue"/>
                  <w:vAlign w:val="center"/>
                </w:tcPr>
                <w:p>
                  <w:pPr>
                    <w:adjustRightInd w:val="0"/>
                    <w:snapToGrid w:val="0"/>
                    <w:jc w:val="center"/>
                    <w:rPr>
                      <w:color w:val="auto"/>
                    </w:rPr>
                  </w:pPr>
                </w:p>
              </w:tc>
              <w:tc>
                <w:tcPr>
                  <w:tcW w:w="1094" w:type="dxa"/>
                  <w:vAlign w:val="center"/>
                </w:tcPr>
                <w:p>
                  <w:pPr>
                    <w:snapToGrid w:val="0"/>
                    <w:jc w:val="center"/>
                    <w:rPr>
                      <w:color w:val="auto"/>
                    </w:rPr>
                  </w:pPr>
                  <w:r>
                    <w:rPr>
                      <w:color w:val="auto"/>
                      <w:szCs w:val="18"/>
                    </w:rPr>
                    <w:t>t/a</w:t>
                  </w:r>
                </w:p>
              </w:tc>
              <w:tc>
                <w:tcPr>
                  <w:tcW w:w="1433" w:type="dxa"/>
                  <w:vAlign w:val="center"/>
                </w:tcPr>
                <w:p>
                  <w:pPr>
                    <w:adjustRightInd w:val="0"/>
                    <w:snapToGrid w:val="0"/>
                    <w:jc w:val="center"/>
                    <w:rPr>
                      <w:color w:val="auto"/>
                    </w:rPr>
                  </w:pPr>
                  <w:r>
                    <w:rPr>
                      <w:rFonts w:hint="eastAsia"/>
                      <w:color w:val="auto"/>
                    </w:rPr>
                    <w:t>0.064</w:t>
                  </w:r>
                </w:p>
              </w:tc>
              <w:tc>
                <w:tcPr>
                  <w:tcW w:w="1247" w:type="dxa"/>
                  <w:vAlign w:val="center"/>
                </w:tcPr>
                <w:p>
                  <w:pPr>
                    <w:adjustRightInd w:val="0"/>
                    <w:snapToGrid w:val="0"/>
                    <w:jc w:val="center"/>
                    <w:rPr>
                      <w:color w:val="auto"/>
                    </w:rPr>
                  </w:pPr>
                  <w:r>
                    <w:rPr>
                      <w:rFonts w:hint="eastAsia"/>
                      <w:color w:val="auto"/>
                    </w:rPr>
                    <w:t>0.005</w:t>
                  </w:r>
                </w:p>
              </w:tc>
            </w:tr>
          </w:tbl>
          <w:p>
            <w:pPr>
              <w:spacing w:line="360" w:lineRule="auto"/>
              <w:ind w:firstLine="422" w:firstLineChars="200"/>
              <w:jc w:val="left"/>
              <w:rPr>
                <w:b/>
                <w:bCs/>
                <w:color w:val="auto"/>
                <w:szCs w:val="21"/>
              </w:rPr>
            </w:pPr>
            <w:r>
              <w:rPr>
                <w:b/>
                <w:bCs/>
                <w:color w:val="auto"/>
                <w:szCs w:val="21"/>
              </w:rPr>
              <w:t>②生活废水</w:t>
            </w:r>
          </w:p>
          <w:p>
            <w:pPr>
              <w:spacing w:line="360" w:lineRule="auto"/>
              <w:ind w:firstLine="420" w:firstLineChars="200"/>
              <w:jc w:val="left"/>
              <w:rPr>
                <w:color w:val="auto"/>
                <w:szCs w:val="20"/>
              </w:rPr>
            </w:pPr>
            <w:r>
              <w:rPr>
                <w:rFonts w:hint="eastAsia"/>
                <w:color w:val="auto"/>
                <w:szCs w:val="21"/>
              </w:rPr>
              <w:t>本项目新增劳动定员</w:t>
            </w:r>
            <w:r>
              <w:rPr>
                <w:color w:val="auto"/>
                <w:szCs w:val="21"/>
              </w:rPr>
              <w:t>6人，</w:t>
            </w:r>
            <w:r>
              <w:rPr>
                <w:rFonts w:hint="eastAsia"/>
                <w:color w:val="auto"/>
                <w:szCs w:val="21"/>
              </w:rPr>
              <w:t>均不住厂，</w:t>
            </w:r>
            <w:r>
              <w:rPr>
                <w:color w:val="auto"/>
                <w:szCs w:val="21"/>
              </w:rPr>
              <w:t>根据福建省《行业用水定额》（DB35/T772-2018），不住厂职工用水按50L/人·d计，年工作日300天，则生活用水量为</w:t>
            </w:r>
            <w:r>
              <w:rPr>
                <w:rFonts w:hint="eastAsia"/>
                <w:color w:val="auto"/>
                <w:szCs w:val="21"/>
              </w:rPr>
              <w:t>90</w:t>
            </w:r>
            <w:r>
              <w:rPr>
                <w:color w:val="auto"/>
                <w:szCs w:val="20"/>
              </w:rPr>
              <w:t>t/a（</w:t>
            </w:r>
            <w:r>
              <w:rPr>
                <w:rFonts w:hint="eastAsia"/>
                <w:color w:val="auto"/>
                <w:szCs w:val="20"/>
              </w:rPr>
              <w:t>0.3</w:t>
            </w:r>
            <w:r>
              <w:rPr>
                <w:color w:val="auto"/>
                <w:szCs w:val="20"/>
              </w:rPr>
              <w:t>t/d），生活污水产污系数按生活水量的80%计，则本项目生活污水排放量为</w:t>
            </w:r>
            <w:r>
              <w:rPr>
                <w:rFonts w:hint="eastAsia"/>
                <w:color w:val="auto"/>
                <w:szCs w:val="20"/>
              </w:rPr>
              <w:t>72</w:t>
            </w:r>
            <w:r>
              <w:rPr>
                <w:color w:val="auto"/>
                <w:szCs w:val="20"/>
              </w:rPr>
              <w:t>t/a（</w:t>
            </w:r>
            <w:r>
              <w:rPr>
                <w:rFonts w:hint="eastAsia"/>
                <w:color w:val="auto"/>
                <w:szCs w:val="20"/>
              </w:rPr>
              <w:t>0.24t</w:t>
            </w:r>
            <w:r>
              <w:rPr>
                <w:color w:val="auto"/>
                <w:szCs w:val="20"/>
              </w:rPr>
              <w:t>/d）。</w:t>
            </w:r>
          </w:p>
          <w:p>
            <w:pPr>
              <w:spacing w:line="360" w:lineRule="auto"/>
              <w:ind w:firstLine="420" w:firstLineChars="200"/>
              <w:jc w:val="left"/>
              <w:rPr>
                <w:color w:val="auto"/>
                <w:szCs w:val="20"/>
              </w:rPr>
            </w:pPr>
            <w:r>
              <w:rPr>
                <w:color w:val="auto"/>
                <w:szCs w:val="20"/>
              </w:rPr>
              <w:t>根据《排放源统计调查产排污核算方法和系数手册》中生活源产排污系数手册，COD</w:t>
            </w:r>
            <w:r>
              <w:rPr>
                <w:rFonts w:hint="eastAsia"/>
                <w:color w:val="auto"/>
                <w:szCs w:val="20"/>
                <w:vertAlign w:val="subscript"/>
              </w:rPr>
              <w:t>Cr</w:t>
            </w:r>
            <w:r>
              <w:rPr>
                <w:color w:val="auto"/>
                <w:szCs w:val="20"/>
              </w:rPr>
              <w:t>及氨氮水质浓度取340mg/L、32.6mg/L，根据《城市污水处理技术及工程实例》（化学工业出版社）中的中等偏低浓度水质作为本项目的生活污水水质，BOD</w:t>
            </w:r>
            <w:r>
              <w:rPr>
                <w:color w:val="auto"/>
                <w:szCs w:val="20"/>
                <w:vertAlign w:val="subscript"/>
              </w:rPr>
              <w:t>5</w:t>
            </w:r>
            <w:r>
              <w:rPr>
                <w:color w:val="auto"/>
                <w:szCs w:val="20"/>
              </w:rPr>
              <w:t>及SS水质浓度取150mg/L、200mg/L。</w:t>
            </w:r>
          </w:p>
          <w:p>
            <w:pPr>
              <w:spacing w:line="360" w:lineRule="auto"/>
              <w:ind w:firstLine="420" w:firstLineChars="200"/>
              <w:jc w:val="left"/>
              <w:rPr>
                <w:color w:val="auto"/>
                <w:szCs w:val="21"/>
              </w:rPr>
            </w:pPr>
            <w:r>
              <w:rPr>
                <w:rFonts w:hint="eastAsia"/>
                <w:color w:val="auto"/>
                <w:szCs w:val="21"/>
              </w:rPr>
              <w:t>生活污水经化粪池预处理后和生产废水一同进入一厂污水站进行处理，处理后由园区管网排入</w:t>
            </w:r>
            <w:r>
              <w:rPr>
                <w:rFonts w:hint="eastAsia"/>
                <w:color w:val="auto"/>
                <w:szCs w:val="21"/>
                <w:lang w:eastAsia="zh-CN"/>
              </w:rPr>
              <w:t>明溪经济开发区工业污水处理厂</w:t>
            </w:r>
            <w:r>
              <w:rPr>
                <w:rFonts w:hint="eastAsia"/>
                <w:color w:val="auto"/>
                <w:szCs w:val="21"/>
              </w:rPr>
              <w:t>处理。生活污水产生及排放情况见下表。</w:t>
            </w:r>
          </w:p>
          <w:p>
            <w:pPr>
              <w:spacing w:before="194" w:beforeLines="50"/>
              <w:jc w:val="center"/>
              <w:outlineLvl w:val="5"/>
              <w:rPr>
                <w:rFonts w:hint="eastAsia"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表4-19</w:t>
            </w:r>
            <w:r>
              <w:rPr>
                <w:rFonts w:hint="eastAsia" w:cs="Times New Roman"/>
                <w:b/>
                <w:color w:val="auto"/>
                <w:spacing w:val="0"/>
                <w:sz w:val="21"/>
                <w:szCs w:val="21"/>
                <w:lang w:val="en-US" w:eastAsia="zh-CN"/>
              </w:rPr>
              <w:t xml:space="preserve">  </w:t>
            </w:r>
            <w:r>
              <w:rPr>
                <w:rFonts w:hint="eastAsia" w:eastAsia="宋体" w:cs="Times New Roman"/>
                <w:b/>
                <w:color w:val="auto"/>
                <w:spacing w:val="0"/>
                <w:sz w:val="21"/>
                <w:szCs w:val="21"/>
                <w:lang w:val="en-US" w:eastAsia="zh-CN"/>
              </w:rPr>
              <w:t>生活污水污染物排放情况一览表</w:t>
            </w:r>
          </w:p>
          <w:tbl>
            <w:tblPr>
              <w:tblStyle w:val="1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830"/>
              <w:gridCol w:w="966"/>
              <w:gridCol w:w="929"/>
              <w:gridCol w:w="890"/>
              <w:gridCol w:w="721"/>
              <w:gridCol w:w="1052"/>
              <w:gridCol w:w="921"/>
              <w:gridCol w:w="9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508" w:type="pct"/>
                  <w:vMerge w:val="restart"/>
                  <w:vAlign w:val="center"/>
                </w:tcPr>
                <w:p>
                  <w:pPr>
                    <w:widowControl/>
                    <w:snapToGrid w:val="0"/>
                    <w:jc w:val="center"/>
                    <w:textAlignment w:val="center"/>
                    <w:rPr>
                      <w:b/>
                      <w:color w:val="auto"/>
                      <w:sz w:val="18"/>
                      <w:szCs w:val="18"/>
                    </w:rPr>
                  </w:pPr>
                  <w:r>
                    <w:rPr>
                      <w:b/>
                      <w:color w:val="auto"/>
                      <w:kern w:val="0"/>
                      <w:sz w:val="18"/>
                      <w:szCs w:val="18"/>
                      <w:lang w:bidi="ar"/>
                    </w:rPr>
                    <w:t>污染源</w:t>
                  </w:r>
                </w:p>
              </w:tc>
              <w:tc>
                <w:tcPr>
                  <w:tcW w:w="510" w:type="pct"/>
                  <w:vMerge w:val="restart"/>
                  <w:vAlign w:val="center"/>
                </w:tcPr>
                <w:p>
                  <w:pPr>
                    <w:widowControl/>
                    <w:snapToGrid w:val="0"/>
                    <w:jc w:val="center"/>
                    <w:textAlignment w:val="center"/>
                    <w:rPr>
                      <w:b/>
                      <w:color w:val="auto"/>
                      <w:sz w:val="18"/>
                      <w:szCs w:val="18"/>
                    </w:rPr>
                  </w:pPr>
                  <w:r>
                    <w:rPr>
                      <w:b/>
                      <w:color w:val="auto"/>
                      <w:kern w:val="0"/>
                      <w:sz w:val="18"/>
                      <w:szCs w:val="18"/>
                      <w:lang w:bidi="ar"/>
                    </w:rPr>
                    <w:t>污染物</w:t>
                  </w:r>
                </w:p>
              </w:tc>
              <w:tc>
                <w:tcPr>
                  <w:tcW w:w="1712" w:type="pct"/>
                  <w:gridSpan w:val="3"/>
                  <w:vAlign w:val="center"/>
                </w:tcPr>
                <w:p>
                  <w:pPr>
                    <w:widowControl/>
                    <w:snapToGrid w:val="0"/>
                    <w:jc w:val="center"/>
                    <w:textAlignment w:val="center"/>
                    <w:rPr>
                      <w:b/>
                      <w:color w:val="auto"/>
                      <w:sz w:val="18"/>
                      <w:szCs w:val="18"/>
                    </w:rPr>
                  </w:pPr>
                  <w:r>
                    <w:rPr>
                      <w:b/>
                      <w:color w:val="auto"/>
                      <w:kern w:val="0"/>
                      <w:sz w:val="18"/>
                      <w:szCs w:val="18"/>
                      <w:lang w:bidi="ar"/>
                    </w:rPr>
                    <w:t>厂区污染物产生</w:t>
                  </w:r>
                </w:p>
              </w:tc>
              <w:tc>
                <w:tcPr>
                  <w:tcW w:w="443" w:type="pct"/>
                  <w:vMerge w:val="restart"/>
                  <w:vAlign w:val="center"/>
                </w:tcPr>
                <w:p>
                  <w:pPr>
                    <w:widowControl/>
                    <w:snapToGrid w:val="0"/>
                    <w:jc w:val="center"/>
                    <w:textAlignment w:val="center"/>
                    <w:rPr>
                      <w:b/>
                      <w:color w:val="auto"/>
                      <w:kern w:val="0"/>
                      <w:sz w:val="18"/>
                      <w:szCs w:val="18"/>
                      <w:lang w:bidi="ar"/>
                    </w:rPr>
                  </w:pPr>
                  <w:r>
                    <w:rPr>
                      <w:b/>
                      <w:color w:val="auto"/>
                      <w:kern w:val="0"/>
                      <w:sz w:val="18"/>
                      <w:szCs w:val="18"/>
                      <w:lang w:bidi="ar"/>
                    </w:rPr>
                    <w:t>化粪池净化效率</w:t>
                  </w:r>
                </w:p>
              </w:tc>
              <w:tc>
                <w:tcPr>
                  <w:tcW w:w="1825" w:type="pct"/>
                  <w:gridSpan w:val="3"/>
                  <w:vAlign w:val="center"/>
                </w:tcPr>
                <w:p>
                  <w:pPr>
                    <w:widowControl/>
                    <w:snapToGrid w:val="0"/>
                    <w:jc w:val="center"/>
                    <w:textAlignment w:val="center"/>
                    <w:rPr>
                      <w:b/>
                      <w:color w:val="auto"/>
                      <w:sz w:val="18"/>
                      <w:szCs w:val="18"/>
                    </w:rPr>
                  </w:pPr>
                  <w:r>
                    <w:rPr>
                      <w:b/>
                      <w:color w:val="auto"/>
                      <w:kern w:val="0"/>
                      <w:sz w:val="18"/>
                      <w:szCs w:val="18"/>
                      <w:lang w:bidi="ar"/>
                    </w:rPr>
                    <w:t>化粪池预处理后进入污水站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08" w:type="pct"/>
                  <w:vMerge w:val="continue"/>
                  <w:vAlign w:val="center"/>
                </w:tcPr>
                <w:p>
                  <w:pPr>
                    <w:widowControl/>
                    <w:snapToGrid w:val="0"/>
                    <w:jc w:val="center"/>
                    <w:rPr>
                      <w:b/>
                      <w:color w:val="auto"/>
                      <w:sz w:val="18"/>
                      <w:szCs w:val="18"/>
                    </w:rPr>
                  </w:pPr>
                </w:p>
              </w:tc>
              <w:tc>
                <w:tcPr>
                  <w:tcW w:w="510" w:type="pct"/>
                  <w:vMerge w:val="continue"/>
                  <w:vAlign w:val="center"/>
                </w:tcPr>
                <w:p>
                  <w:pPr>
                    <w:widowControl/>
                    <w:snapToGrid w:val="0"/>
                    <w:jc w:val="center"/>
                    <w:rPr>
                      <w:b/>
                      <w:color w:val="auto"/>
                      <w:sz w:val="18"/>
                      <w:szCs w:val="18"/>
                    </w:rPr>
                  </w:pPr>
                </w:p>
              </w:tc>
              <w:tc>
                <w:tcPr>
                  <w:tcW w:w="594" w:type="pct"/>
                  <w:vAlign w:val="center"/>
                </w:tcPr>
                <w:p>
                  <w:pPr>
                    <w:widowControl/>
                    <w:snapToGrid w:val="0"/>
                    <w:jc w:val="center"/>
                    <w:textAlignment w:val="center"/>
                    <w:rPr>
                      <w:b/>
                      <w:color w:val="auto"/>
                      <w:sz w:val="18"/>
                      <w:szCs w:val="18"/>
                    </w:rPr>
                  </w:pPr>
                  <w:r>
                    <w:rPr>
                      <w:b/>
                      <w:color w:val="auto"/>
                      <w:kern w:val="0"/>
                      <w:sz w:val="18"/>
                      <w:szCs w:val="18"/>
                      <w:lang w:bidi="ar"/>
                    </w:rPr>
                    <w:t>废水产生量（t/a</w:t>
                  </w:r>
                  <w:r>
                    <w:rPr>
                      <w:rStyle w:val="50"/>
                      <w:rFonts w:hint="default" w:ascii="Times New Roman" w:hAnsi="Times New Roman" w:cs="Times New Roman"/>
                      <w:b/>
                      <w:color w:val="auto"/>
                      <w:lang w:bidi="ar"/>
                    </w:rPr>
                    <w:t>）</w:t>
                  </w:r>
                </w:p>
              </w:tc>
              <w:tc>
                <w:tcPr>
                  <w:tcW w:w="571" w:type="pct"/>
                  <w:vAlign w:val="center"/>
                </w:tcPr>
                <w:p>
                  <w:pPr>
                    <w:widowControl/>
                    <w:snapToGrid w:val="0"/>
                    <w:jc w:val="center"/>
                    <w:textAlignment w:val="center"/>
                    <w:rPr>
                      <w:b/>
                      <w:color w:val="auto"/>
                      <w:sz w:val="18"/>
                      <w:szCs w:val="18"/>
                    </w:rPr>
                  </w:pPr>
                  <w:r>
                    <w:rPr>
                      <w:b/>
                      <w:color w:val="auto"/>
                      <w:kern w:val="0"/>
                      <w:sz w:val="18"/>
                      <w:szCs w:val="18"/>
                      <w:lang w:bidi="ar"/>
                    </w:rPr>
                    <w:t>产生浓度(mg/L)</w:t>
                  </w:r>
                </w:p>
              </w:tc>
              <w:tc>
                <w:tcPr>
                  <w:tcW w:w="546" w:type="pct"/>
                  <w:vAlign w:val="center"/>
                </w:tcPr>
                <w:p>
                  <w:pPr>
                    <w:widowControl/>
                    <w:snapToGrid w:val="0"/>
                    <w:jc w:val="center"/>
                    <w:textAlignment w:val="center"/>
                    <w:rPr>
                      <w:b/>
                      <w:color w:val="auto"/>
                      <w:kern w:val="0"/>
                      <w:sz w:val="18"/>
                      <w:szCs w:val="18"/>
                      <w:lang w:bidi="ar"/>
                    </w:rPr>
                  </w:pPr>
                  <w:r>
                    <w:rPr>
                      <w:b/>
                      <w:color w:val="auto"/>
                      <w:kern w:val="0"/>
                      <w:sz w:val="18"/>
                      <w:szCs w:val="18"/>
                      <w:lang w:bidi="ar"/>
                    </w:rPr>
                    <w:t>产生量</w:t>
                  </w:r>
                </w:p>
                <w:p>
                  <w:pPr>
                    <w:widowControl/>
                    <w:snapToGrid w:val="0"/>
                    <w:jc w:val="center"/>
                    <w:textAlignment w:val="center"/>
                    <w:rPr>
                      <w:b/>
                      <w:color w:val="auto"/>
                      <w:sz w:val="18"/>
                      <w:szCs w:val="18"/>
                    </w:rPr>
                  </w:pPr>
                  <w:r>
                    <w:rPr>
                      <w:b/>
                      <w:color w:val="auto"/>
                      <w:kern w:val="0"/>
                      <w:sz w:val="18"/>
                      <w:szCs w:val="18"/>
                      <w:lang w:bidi="ar"/>
                    </w:rPr>
                    <w:t>（t/a</w:t>
                  </w:r>
                  <w:r>
                    <w:rPr>
                      <w:rStyle w:val="50"/>
                      <w:rFonts w:hint="default" w:ascii="Times New Roman" w:hAnsi="Times New Roman" w:cs="Times New Roman"/>
                      <w:b/>
                      <w:color w:val="auto"/>
                      <w:lang w:bidi="ar"/>
                    </w:rPr>
                    <w:t>）</w:t>
                  </w:r>
                </w:p>
              </w:tc>
              <w:tc>
                <w:tcPr>
                  <w:tcW w:w="443" w:type="pct"/>
                  <w:vMerge w:val="continue"/>
                  <w:vAlign w:val="center"/>
                </w:tcPr>
                <w:p>
                  <w:pPr>
                    <w:widowControl/>
                    <w:snapToGrid w:val="0"/>
                    <w:jc w:val="center"/>
                    <w:textAlignment w:val="center"/>
                    <w:rPr>
                      <w:b/>
                      <w:color w:val="auto"/>
                      <w:kern w:val="0"/>
                      <w:sz w:val="18"/>
                      <w:szCs w:val="18"/>
                      <w:lang w:bidi="ar"/>
                    </w:rPr>
                  </w:pPr>
                </w:p>
              </w:tc>
              <w:tc>
                <w:tcPr>
                  <w:tcW w:w="647" w:type="pct"/>
                  <w:vAlign w:val="center"/>
                </w:tcPr>
                <w:p>
                  <w:pPr>
                    <w:widowControl/>
                    <w:snapToGrid w:val="0"/>
                    <w:jc w:val="center"/>
                    <w:textAlignment w:val="center"/>
                    <w:rPr>
                      <w:b/>
                      <w:color w:val="auto"/>
                      <w:kern w:val="0"/>
                      <w:sz w:val="18"/>
                      <w:szCs w:val="18"/>
                      <w:lang w:bidi="ar"/>
                    </w:rPr>
                  </w:pPr>
                  <w:r>
                    <w:rPr>
                      <w:b/>
                      <w:color w:val="auto"/>
                      <w:kern w:val="0"/>
                      <w:sz w:val="18"/>
                      <w:szCs w:val="18"/>
                      <w:lang w:bidi="ar"/>
                    </w:rPr>
                    <w:t>废水排放量</w:t>
                  </w:r>
                </w:p>
                <w:p>
                  <w:pPr>
                    <w:widowControl/>
                    <w:snapToGrid w:val="0"/>
                    <w:jc w:val="center"/>
                    <w:textAlignment w:val="center"/>
                    <w:rPr>
                      <w:b/>
                      <w:color w:val="auto"/>
                      <w:sz w:val="18"/>
                      <w:szCs w:val="18"/>
                    </w:rPr>
                  </w:pPr>
                  <w:r>
                    <w:rPr>
                      <w:b/>
                      <w:color w:val="auto"/>
                      <w:kern w:val="0"/>
                      <w:sz w:val="18"/>
                      <w:szCs w:val="18"/>
                      <w:lang w:bidi="ar"/>
                    </w:rPr>
                    <w:t>（t/a</w:t>
                  </w:r>
                  <w:r>
                    <w:rPr>
                      <w:rStyle w:val="50"/>
                      <w:rFonts w:hint="default" w:ascii="Times New Roman" w:hAnsi="Times New Roman" w:cs="Times New Roman"/>
                      <w:b/>
                      <w:color w:val="auto"/>
                      <w:lang w:bidi="ar"/>
                    </w:rPr>
                    <w:t>）</w:t>
                  </w:r>
                </w:p>
              </w:tc>
              <w:tc>
                <w:tcPr>
                  <w:tcW w:w="566" w:type="pct"/>
                  <w:vAlign w:val="center"/>
                </w:tcPr>
                <w:p>
                  <w:pPr>
                    <w:widowControl/>
                    <w:snapToGrid w:val="0"/>
                    <w:jc w:val="center"/>
                    <w:textAlignment w:val="center"/>
                    <w:rPr>
                      <w:b/>
                      <w:color w:val="auto"/>
                      <w:kern w:val="0"/>
                      <w:sz w:val="18"/>
                      <w:szCs w:val="18"/>
                      <w:lang w:bidi="ar"/>
                    </w:rPr>
                  </w:pPr>
                  <w:r>
                    <w:rPr>
                      <w:b/>
                      <w:color w:val="auto"/>
                      <w:kern w:val="0"/>
                      <w:sz w:val="18"/>
                      <w:szCs w:val="18"/>
                      <w:lang w:bidi="ar"/>
                    </w:rPr>
                    <w:t>预处理后浓度</w:t>
                  </w:r>
                </w:p>
                <w:p>
                  <w:pPr>
                    <w:widowControl/>
                    <w:snapToGrid w:val="0"/>
                    <w:jc w:val="center"/>
                    <w:textAlignment w:val="center"/>
                    <w:rPr>
                      <w:b/>
                      <w:color w:val="auto"/>
                      <w:sz w:val="18"/>
                      <w:szCs w:val="18"/>
                    </w:rPr>
                  </w:pPr>
                  <w:r>
                    <w:rPr>
                      <w:b/>
                      <w:color w:val="auto"/>
                      <w:kern w:val="0"/>
                      <w:sz w:val="18"/>
                      <w:szCs w:val="18"/>
                      <w:lang w:bidi="ar"/>
                    </w:rPr>
                    <w:t>(mg/L)</w:t>
                  </w:r>
                </w:p>
              </w:tc>
              <w:tc>
                <w:tcPr>
                  <w:tcW w:w="611" w:type="pct"/>
                  <w:vAlign w:val="center"/>
                </w:tcPr>
                <w:p>
                  <w:pPr>
                    <w:widowControl/>
                    <w:snapToGrid w:val="0"/>
                    <w:jc w:val="center"/>
                    <w:textAlignment w:val="center"/>
                    <w:rPr>
                      <w:b/>
                      <w:color w:val="auto"/>
                      <w:kern w:val="0"/>
                      <w:sz w:val="18"/>
                      <w:szCs w:val="18"/>
                      <w:lang w:bidi="ar"/>
                    </w:rPr>
                  </w:pPr>
                  <w:r>
                    <w:rPr>
                      <w:b/>
                      <w:color w:val="auto"/>
                      <w:kern w:val="0"/>
                      <w:sz w:val="18"/>
                      <w:szCs w:val="18"/>
                      <w:lang w:bidi="ar"/>
                    </w:rPr>
                    <w:t>预处理后排放量</w:t>
                  </w:r>
                </w:p>
                <w:p>
                  <w:pPr>
                    <w:widowControl/>
                    <w:snapToGrid w:val="0"/>
                    <w:jc w:val="center"/>
                    <w:textAlignment w:val="center"/>
                    <w:rPr>
                      <w:b/>
                      <w:color w:val="auto"/>
                      <w:sz w:val="18"/>
                      <w:szCs w:val="18"/>
                    </w:rPr>
                  </w:pPr>
                  <w:r>
                    <w:rPr>
                      <w:b/>
                      <w:color w:val="auto"/>
                      <w:kern w:val="0"/>
                      <w:sz w:val="18"/>
                      <w:szCs w:val="18"/>
                      <w:lang w:bidi="ar"/>
                    </w:rPr>
                    <w:t>（t/a</w:t>
                  </w:r>
                  <w:r>
                    <w:rPr>
                      <w:rStyle w:val="50"/>
                      <w:rFonts w:hint="default" w:ascii="Times New Roman" w:hAnsi="Times New Roman" w:cs="Times New Roman"/>
                      <w:b/>
                      <w:color w:val="auto"/>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pct"/>
                  <w:vMerge w:val="restart"/>
                  <w:vAlign w:val="center"/>
                </w:tcPr>
                <w:p>
                  <w:pPr>
                    <w:widowControl/>
                    <w:snapToGrid w:val="0"/>
                    <w:jc w:val="center"/>
                    <w:textAlignment w:val="center"/>
                    <w:rPr>
                      <w:color w:val="auto"/>
                      <w:sz w:val="18"/>
                      <w:szCs w:val="18"/>
                    </w:rPr>
                  </w:pPr>
                  <w:r>
                    <w:rPr>
                      <w:color w:val="auto"/>
                      <w:kern w:val="0"/>
                      <w:sz w:val="18"/>
                      <w:szCs w:val="18"/>
                      <w:lang w:bidi="ar"/>
                    </w:rPr>
                    <w:t>生活污水</w:t>
                  </w:r>
                </w:p>
              </w:tc>
              <w:tc>
                <w:tcPr>
                  <w:tcW w:w="510" w:type="pct"/>
                  <w:vAlign w:val="center"/>
                </w:tcPr>
                <w:p>
                  <w:pPr>
                    <w:widowControl/>
                    <w:snapToGrid w:val="0"/>
                    <w:jc w:val="center"/>
                    <w:textAlignment w:val="center"/>
                    <w:rPr>
                      <w:color w:val="auto"/>
                      <w:sz w:val="18"/>
                      <w:szCs w:val="18"/>
                    </w:rPr>
                  </w:pPr>
                  <w:r>
                    <w:rPr>
                      <w:color w:val="auto"/>
                      <w:kern w:val="0"/>
                      <w:sz w:val="18"/>
                      <w:szCs w:val="18"/>
                      <w:lang w:bidi="ar"/>
                    </w:rPr>
                    <w:t>COD</w:t>
                  </w:r>
                </w:p>
              </w:tc>
              <w:tc>
                <w:tcPr>
                  <w:tcW w:w="594" w:type="pct"/>
                  <w:vMerge w:val="restart"/>
                  <w:vAlign w:val="center"/>
                </w:tcPr>
                <w:p>
                  <w:pPr>
                    <w:widowControl/>
                    <w:snapToGrid w:val="0"/>
                    <w:jc w:val="center"/>
                    <w:textAlignment w:val="center"/>
                    <w:rPr>
                      <w:color w:val="auto"/>
                      <w:sz w:val="18"/>
                      <w:szCs w:val="18"/>
                    </w:rPr>
                  </w:pPr>
                  <w:r>
                    <w:rPr>
                      <w:color w:val="auto"/>
                      <w:kern w:val="0"/>
                      <w:sz w:val="18"/>
                      <w:szCs w:val="18"/>
                      <w:lang w:bidi="ar"/>
                    </w:rPr>
                    <w:t>72</w:t>
                  </w:r>
                </w:p>
              </w:tc>
              <w:tc>
                <w:tcPr>
                  <w:tcW w:w="571" w:type="pct"/>
                  <w:vAlign w:val="center"/>
                </w:tcPr>
                <w:p>
                  <w:pPr>
                    <w:widowControl/>
                    <w:snapToGrid w:val="0"/>
                    <w:jc w:val="center"/>
                    <w:textAlignment w:val="center"/>
                    <w:rPr>
                      <w:color w:val="auto"/>
                      <w:sz w:val="18"/>
                      <w:szCs w:val="18"/>
                    </w:rPr>
                  </w:pPr>
                  <w:r>
                    <w:rPr>
                      <w:color w:val="auto"/>
                      <w:sz w:val="18"/>
                      <w:szCs w:val="18"/>
                    </w:rPr>
                    <w:t>340</w:t>
                  </w:r>
                </w:p>
              </w:tc>
              <w:tc>
                <w:tcPr>
                  <w:tcW w:w="546" w:type="pct"/>
                  <w:vAlign w:val="center"/>
                </w:tcPr>
                <w:p>
                  <w:pPr>
                    <w:widowControl/>
                    <w:snapToGrid w:val="0"/>
                    <w:jc w:val="center"/>
                    <w:textAlignment w:val="center"/>
                    <w:rPr>
                      <w:color w:val="auto"/>
                      <w:sz w:val="18"/>
                      <w:szCs w:val="18"/>
                    </w:rPr>
                  </w:pPr>
                  <w:r>
                    <w:rPr>
                      <w:color w:val="auto"/>
                      <w:kern w:val="0"/>
                      <w:sz w:val="18"/>
                      <w:szCs w:val="18"/>
                      <w:lang w:bidi="ar"/>
                    </w:rPr>
                    <w:t>0.02</w:t>
                  </w:r>
                  <w:r>
                    <w:rPr>
                      <w:rFonts w:hint="eastAsia"/>
                      <w:color w:val="auto"/>
                      <w:kern w:val="0"/>
                      <w:sz w:val="18"/>
                      <w:szCs w:val="18"/>
                      <w:lang w:bidi="ar"/>
                    </w:rPr>
                    <w:t>5</w:t>
                  </w:r>
                </w:p>
              </w:tc>
              <w:tc>
                <w:tcPr>
                  <w:tcW w:w="443" w:type="pct"/>
                  <w:vAlign w:val="center"/>
                </w:tcPr>
                <w:p>
                  <w:pPr>
                    <w:widowControl/>
                    <w:snapToGrid w:val="0"/>
                    <w:jc w:val="center"/>
                    <w:textAlignment w:val="center"/>
                    <w:rPr>
                      <w:color w:val="auto"/>
                      <w:sz w:val="18"/>
                      <w:szCs w:val="18"/>
                    </w:rPr>
                  </w:pPr>
                  <w:r>
                    <w:rPr>
                      <w:color w:val="auto"/>
                      <w:sz w:val="18"/>
                      <w:szCs w:val="18"/>
                    </w:rPr>
                    <w:t>15%</w:t>
                  </w:r>
                </w:p>
              </w:tc>
              <w:tc>
                <w:tcPr>
                  <w:tcW w:w="647" w:type="pct"/>
                  <w:vMerge w:val="restart"/>
                  <w:vAlign w:val="center"/>
                </w:tcPr>
                <w:p>
                  <w:pPr>
                    <w:widowControl/>
                    <w:snapToGrid w:val="0"/>
                    <w:jc w:val="center"/>
                    <w:textAlignment w:val="center"/>
                    <w:rPr>
                      <w:color w:val="auto"/>
                      <w:sz w:val="18"/>
                      <w:szCs w:val="18"/>
                    </w:rPr>
                  </w:pPr>
                  <w:r>
                    <w:rPr>
                      <w:color w:val="auto"/>
                      <w:kern w:val="0"/>
                      <w:sz w:val="18"/>
                      <w:szCs w:val="18"/>
                      <w:lang w:bidi="ar"/>
                    </w:rPr>
                    <w:t>72</w:t>
                  </w:r>
                </w:p>
              </w:tc>
              <w:tc>
                <w:tcPr>
                  <w:tcW w:w="566" w:type="pct"/>
                  <w:vAlign w:val="center"/>
                </w:tcPr>
                <w:p>
                  <w:pPr>
                    <w:widowControl/>
                    <w:snapToGrid w:val="0"/>
                    <w:jc w:val="center"/>
                    <w:textAlignment w:val="center"/>
                    <w:rPr>
                      <w:color w:val="auto"/>
                      <w:sz w:val="18"/>
                      <w:szCs w:val="18"/>
                    </w:rPr>
                  </w:pPr>
                  <w:r>
                    <w:rPr>
                      <w:color w:val="auto"/>
                      <w:kern w:val="0"/>
                      <w:sz w:val="18"/>
                      <w:szCs w:val="18"/>
                      <w:lang w:bidi="ar"/>
                    </w:rPr>
                    <w:t>289</w:t>
                  </w:r>
                </w:p>
              </w:tc>
              <w:tc>
                <w:tcPr>
                  <w:tcW w:w="611" w:type="pct"/>
                  <w:vAlign w:val="center"/>
                </w:tcPr>
                <w:p>
                  <w:pPr>
                    <w:widowControl/>
                    <w:snapToGrid w:val="0"/>
                    <w:jc w:val="center"/>
                    <w:textAlignment w:val="center"/>
                    <w:rPr>
                      <w:color w:val="auto"/>
                      <w:sz w:val="18"/>
                      <w:szCs w:val="18"/>
                    </w:rPr>
                  </w:pPr>
                  <w:r>
                    <w:rPr>
                      <w:color w:val="auto"/>
                      <w:kern w:val="0"/>
                      <w:sz w:val="18"/>
                      <w:szCs w:val="18"/>
                      <w:lang w:bidi="ar"/>
                    </w:rPr>
                    <w:t>0.02</w:t>
                  </w:r>
                  <w:r>
                    <w:rPr>
                      <w:rFonts w:hint="eastAsia"/>
                      <w:color w:val="auto"/>
                      <w:kern w:val="0"/>
                      <w:sz w:val="18"/>
                      <w:szCs w:val="18"/>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pct"/>
                  <w:vMerge w:val="continue"/>
                  <w:vAlign w:val="center"/>
                </w:tcPr>
                <w:p>
                  <w:pPr>
                    <w:snapToGrid w:val="0"/>
                    <w:jc w:val="center"/>
                    <w:rPr>
                      <w:color w:val="auto"/>
                      <w:sz w:val="18"/>
                      <w:szCs w:val="18"/>
                    </w:rPr>
                  </w:pPr>
                </w:p>
              </w:tc>
              <w:tc>
                <w:tcPr>
                  <w:tcW w:w="510" w:type="pct"/>
                  <w:vAlign w:val="center"/>
                </w:tcPr>
                <w:p>
                  <w:pPr>
                    <w:widowControl/>
                    <w:snapToGrid w:val="0"/>
                    <w:jc w:val="center"/>
                    <w:textAlignment w:val="center"/>
                    <w:rPr>
                      <w:color w:val="auto"/>
                      <w:sz w:val="18"/>
                      <w:szCs w:val="18"/>
                    </w:rPr>
                  </w:pPr>
                  <w:r>
                    <w:rPr>
                      <w:color w:val="auto"/>
                      <w:kern w:val="0"/>
                      <w:sz w:val="18"/>
                      <w:szCs w:val="18"/>
                      <w:lang w:bidi="ar"/>
                    </w:rPr>
                    <w:t>BOD</w:t>
                  </w:r>
                  <w:r>
                    <w:rPr>
                      <w:rStyle w:val="51"/>
                      <w:color w:val="auto"/>
                      <w:lang w:bidi="ar"/>
                    </w:rPr>
                    <w:t>5</w:t>
                  </w:r>
                </w:p>
              </w:tc>
              <w:tc>
                <w:tcPr>
                  <w:tcW w:w="594" w:type="pct"/>
                  <w:vMerge w:val="continue"/>
                  <w:vAlign w:val="center"/>
                </w:tcPr>
                <w:p>
                  <w:pPr>
                    <w:snapToGrid w:val="0"/>
                    <w:jc w:val="center"/>
                    <w:rPr>
                      <w:color w:val="auto"/>
                      <w:sz w:val="18"/>
                      <w:szCs w:val="18"/>
                    </w:rPr>
                  </w:pPr>
                </w:p>
              </w:tc>
              <w:tc>
                <w:tcPr>
                  <w:tcW w:w="571" w:type="pct"/>
                  <w:vAlign w:val="center"/>
                </w:tcPr>
                <w:p>
                  <w:pPr>
                    <w:widowControl/>
                    <w:snapToGrid w:val="0"/>
                    <w:jc w:val="center"/>
                    <w:textAlignment w:val="center"/>
                    <w:rPr>
                      <w:color w:val="auto"/>
                      <w:sz w:val="18"/>
                      <w:szCs w:val="18"/>
                    </w:rPr>
                  </w:pPr>
                  <w:r>
                    <w:rPr>
                      <w:color w:val="auto"/>
                      <w:sz w:val="18"/>
                      <w:szCs w:val="18"/>
                    </w:rPr>
                    <w:t>150</w:t>
                  </w:r>
                </w:p>
              </w:tc>
              <w:tc>
                <w:tcPr>
                  <w:tcW w:w="546" w:type="pct"/>
                  <w:vAlign w:val="center"/>
                </w:tcPr>
                <w:p>
                  <w:pPr>
                    <w:widowControl/>
                    <w:snapToGrid w:val="0"/>
                    <w:jc w:val="center"/>
                    <w:textAlignment w:val="center"/>
                    <w:rPr>
                      <w:color w:val="auto"/>
                      <w:sz w:val="18"/>
                      <w:szCs w:val="18"/>
                    </w:rPr>
                  </w:pPr>
                  <w:r>
                    <w:rPr>
                      <w:color w:val="auto"/>
                      <w:kern w:val="0"/>
                      <w:sz w:val="18"/>
                      <w:szCs w:val="18"/>
                      <w:lang w:bidi="ar"/>
                    </w:rPr>
                    <w:t>0.01</w:t>
                  </w:r>
                  <w:r>
                    <w:rPr>
                      <w:rFonts w:hint="eastAsia"/>
                      <w:color w:val="auto"/>
                      <w:kern w:val="0"/>
                      <w:sz w:val="18"/>
                      <w:szCs w:val="18"/>
                      <w:lang w:bidi="ar"/>
                    </w:rPr>
                    <w:t>1</w:t>
                  </w:r>
                </w:p>
              </w:tc>
              <w:tc>
                <w:tcPr>
                  <w:tcW w:w="443" w:type="pct"/>
                  <w:vAlign w:val="center"/>
                </w:tcPr>
                <w:p>
                  <w:pPr>
                    <w:widowControl/>
                    <w:snapToGrid w:val="0"/>
                    <w:jc w:val="center"/>
                    <w:textAlignment w:val="center"/>
                    <w:rPr>
                      <w:color w:val="auto"/>
                      <w:sz w:val="18"/>
                      <w:szCs w:val="18"/>
                    </w:rPr>
                  </w:pPr>
                  <w:r>
                    <w:rPr>
                      <w:color w:val="auto"/>
                      <w:sz w:val="18"/>
                      <w:szCs w:val="18"/>
                    </w:rPr>
                    <w:t>9%</w:t>
                  </w:r>
                </w:p>
              </w:tc>
              <w:tc>
                <w:tcPr>
                  <w:tcW w:w="647" w:type="pct"/>
                  <w:vMerge w:val="continue"/>
                  <w:vAlign w:val="center"/>
                </w:tcPr>
                <w:p>
                  <w:pPr>
                    <w:snapToGrid w:val="0"/>
                    <w:jc w:val="center"/>
                    <w:rPr>
                      <w:color w:val="auto"/>
                      <w:sz w:val="18"/>
                      <w:szCs w:val="18"/>
                    </w:rPr>
                  </w:pPr>
                </w:p>
              </w:tc>
              <w:tc>
                <w:tcPr>
                  <w:tcW w:w="566" w:type="pct"/>
                  <w:vAlign w:val="center"/>
                </w:tcPr>
                <w:p>
                  <w:pPr>
                    <w:widowControl/>
                    <w:snapToGrid w:val="0"/>
                    <w:jc w:val="center"/>
                    <w:textAlignment w:val="center"/>
                    <w:rPr>
                      <w:color w:val="auto"/>
                      <w:sz w:val="18"/>
                      <w:szCs w:val="18"/>
                    </w:rPr>
                  </w:pPr>
                  <w:r>
                    <w:rPr>
                      <w:color w:val="auto"/>
                      <w:kern w:val="0"/>
                      <w:sz w:val="18"/>
                      <w:szCs w:val="18"/>
                      <w:lang w:bidi="ar"/>
                    </w:rPr>
                    <w:t>136.5</w:t>
                  </w:r>
                </w:p>
              </w:tc>
              <w:tc>
                <w:tcPr>
                  <w:tcW w:w="611" w:type="pct"/>
                  <w:vAlign w:val="center"/>
                </w:tcPr>
                <w:p>
                  <w:pPr>
                    <w:widowControl/>
                    <w:snapToGrid w:val="0"/>
                    <w:jc w:val="center"/>
                    <w:textAlignment w:val="center"/>
                    <w:rPr>
                      <w:color w:val="auto"/>
                      <w:sz w:val="18"/>
                      <w:szCs w:val="18"/>
                    </w:rPr>
                  </w:pPr>
                  <w:r>
                    <w:rPr>
                      <w:color w:val="auto"/>
                      <w:kern w:val="0"/>
                      <w:sz w:val="18"/>
                      <w:szCs w:val="18"/>
                      <w:lang w:bidi="ar"/>
                    </w:rPr>
                    <w:t>0.0</w:t>
                  </w:r>
                  <w:r>
                    <w:rPr>
                      <w:rFonts w:hint="eastAsia"/>
                      <w:color w:val="auto"/>
                      <w:kern w:val="0"/>
                      <w:sz w:val="18"/>
                      <w:szCs w:val="18"/>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pct"/>
                  <w:vMerge w:val="continue"/>
                  <w:vAlign w:val="center"/>
                </w:tcPr>
                <w:p>
                  <w:pPr>
                    <w:snapToGrid w:val="0"/>
                    <w:jc w:val="center"/>
                    <w:rPr>
                      <w:color w:val="auto"/>
                      <w:sz w:val="18"/>
                      <w:szCs w:val="18"/>
                    </w:rPr>
                  </w:pPr>
                </w:p>
              </w:tc>
              <w:tc>
                <w:tcPr>
                  <w:tcW w:w="510" w:type="pct"/>
                  <w:vAlign w:val="center"/>
                </w:tcPr>
                <w:p>
                  <w:pPr>
                    <w:widowControl/>
                    <w:snapToGrid w:val="0"/>
                    <w:jc w:val="center"/>
                    <w:textAlignment w:val="center"/>
                    <w:rPr>
                      <w:color w:val="auto"/>
                      <w:sz w:val="18"/>
                      <w:szCs w:val="18"/>
                    </w:rPr>
                  </w:pPr>
                  <w:r>
                    <w:rPr>
                      <w:color w:val="auto"/>
                      <w:kern w:val="0"/>
                      <w:sz w:val="18"/>
                      <w:szCs w:val="18"/>
                      <w:lang w:bidi="ar"/>
                    </w:rPr>
                    <w:t>SS</w:t>
                  </w:r>
                </w:p>
              </w:tc>
              <w:tc>
                <w:tcPr>
                  <w:tcW w:w="594" w:type="pct"/>
                  <w:vMerge w:val="continue"/>
                  <w:vAlign w:val="center"/>
                </w:tcPr>
                <w:p>
                  <w:pPr>
                    <w:snapToGrid w:val="0"/>
                    <w:jc w:val="center"/>
                    <w:rPr>
                      <w:color w:val="auto"/>
                      <w:sz w:val="18"/>
                      <w:szCs w:val="18"/>
                    </w:rPr>
                  </w:pPr>
                </w:p>
              </w:tc>
              <w:tc>
                <w:tcPr>
                  <w:tcW w:w="571" w:type="pct"/>
                  <w:vAlign w:val="center"/>
                </w:tcPr>
                <w:p>
                  <w:pPr>
                    <w:widowControl/>
                    <w:snapToGrid w:val="0"/>
                    <w:jc w:val="center"/>
                    <w:textAlignment w:val="center"/>
                    <w:rPr>
                      <w:color w:val="auto"/>
                      <w:sz w:val="18"/>
                      <w:szCs w:val="18"/>
                    </w:rPr>
                  </w:pPr>
                  <w:r>
                    <w:rPr>
                      <w:color w:val="auto"/>
                      <w:sz w:val="18"/>
                      <w:szCs w:val="18"/>
                    </w:rPr>
                    <w:t>200</w:t>
                  </w:r>
                </w:p>
              </w:tc>
              <w:tc>
                <w:tcPr>
                  <w:tcW w:w="546" w:type="pct"/>
                  <w:vAlign w:val="center"/>
                </w:tcPr>
                <w:p>
                  <w:pPr>
                    <w:widowControl/>
                    <w:snapToGrid w:val="0"/>
                    <w:jc w:val="center"/>
                    <w:textAlignment w:val="center"/>
                    <w:rPr>
                      <w:color w:val="auto"/>
                      <w:sz w:val="18"/>
                      <w:szCs w:val="18"/>
                    </w:rPr>
                  </w:pPr>
                  <w:r>
                    <w:rPr>
                      <w:color w:val="auto"/>
                      <w:kern w:val="0"/>
                      <w:sz w:val="18"/>
                      <w:szCs w:val="18"/>
                      <w:lang w:bidi="ar"/>
                    </w:rPr>
                    <w:t>0.014</w:t>
                  </w:r>
                </w:p>
              </w:tc>
              <w:tc>
                <w:tcPr>
                  <w:tcW w:w="443" w:type="pct"/>
                  <w:vAlign w:val="center"/>
                </w:tcPr>
                <w:p>
                  <w:pPr>
                    <w:widowControl/>
                    <w:snapToGrid w:val="0"/>
                    <w:jc w:val="center"/>
                    <w:textAlignment w:val="center"/>
                    <w:rPr>
                      <w:color w:val="auto"/>
                      <w:sz w:val="18"/>
                      <w:szCs w:val="18"/>
                    </w:rPr>
                  </w:pPr>
                  <w:r>
                    <w:rPr>
                      <w:color w:val="auto"/>
                      <w:sz w:val="18"/>
                      <w:szCs w:val="18"/>
                    </w:rPr>
                    <w:t>30%</w:t>
                  </w:r>
                </w:p>
              </w:tc>
              <w:tc>
                <w:tcPr>
                  <w:tcW w:w="647" w:type="pct"/>
                  <w:vMerge w:val="continue"/>
                  <w:vAlign w:val="center"/>
                </w:tcPr>
                <w:p>
                  <w:pPr>
                    <w:snapToGrid w:val="0"/>
                    <w:jc w:val="center"/>
                    <w:rPr>
                      <w:color w:val="auto"/>
                      <w:sz w:val="18"/>
                      <w:szCs w:val="18"/>
                    </w:rPr>
                  </w:pPr>
                </w:p>
              </w:tc>
              <w:tc>
                <w:tcPr>
                  <w:tcW w:w="566" w:type="pct"/>
                  <w:vAlign w:val="center"/>
                </w:tcPr>
                <w:p>
                  <w:pPr>
                    <w:widowControl/>
                    <w:snapToGrid w:val="0"/>
                    <w:jc w:val="center"/>
                    <w:textAlignment w:val="center"/>
                    <w:rPr>
                      <w:color w:val="auto"/>
                      <w:sz w:val="18"/>
                      <w:szCs w:val="18"/>
                    </w:rPr>
                  </w:pPr>
                  <w:r>
                    <w:rPr>
                      <w:color w:val="auto"/>
                      <w:kern w:val="0"/>
                      <w:sz w:val="18"/>
                      <w:szCs w:val="18"/>
                      <w:lang w:bidi="ar"/>
                    </w:rPr>
                    <w:t>140</w:t>
                  </w:r>
                </w:p>
              </w:tc>
              <w:tc>
                <w:tcPr>
                  <w:tcW w:w="611" w:type="pct"/>
                  <w:vAlign w:val="center"/>
                </w:tcPr>
                <w:p>
                  <w:pPr>
                    <w:widowControl/>
                    <w:snapToGrid w:val="0"/>
                    <w:jc w:val="center"/>
                    <w:textAlignment w:val="center"/>
                    <w:rPr>
                      <w:color w:val="auto"/>
                      <w:sz w:val="18"/>
                      <w:szCs w:val="18"/>
                    </w:rPr>
                  </w:pPr>
                  <w:r>
                    <w:rPr>
                      <w:color w:val="auto"/>
                      <w:kern w:val="0"/>
                      <w:sz w:val="18"/>
                      <w:szCs w:val="18"/>
                      <w:lang w:bidi="ar"/>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pct"/>
                  <w:vMerge w:val="continue"/>
                  <w:vAlign w:val="center"/>
                </w:tcPr>
                <w:p>
                  <w:pPr>
                    <w:snapToGrid w:val="0"/>
                    <w:jc w:val="center"/>
                    <w:rPr>
                      <w:color w:val="auto"/>
                      <w:sz w:val="18"/>
                      <w:szCs w:val="18"/>
                    </w:rPr>
                  </w:pPr>
                </w:p>
              </w:tc>
              <w:tc>
                <w:tcPr>
                  <w:tcW w:w="510" w:type="pct"/>
                  <w:vAlign w:val="center"/>
                </w:tcPr>
                <w:p>
                  <w:pPr>
                    <w:widowControl/>
                    <w:snapToGrid w:val="0"/>
                    <w:jc w:val="center"/>
                    <w:textAlignment w:val="center"/>
                    <w:rPr>
                      <w:color w:val="auto"/>
                      <w:sz w:val="18"/>
                      <w:szCs w:val="18"/>
                    </w:rPr>
                  </w:pPr>
                  <w:r>
                    <w:rPr>
                      <w:color w:val="auto"/>
                      <w:kern w:val="0"/>
                      <w:sz w:val="18"/>
                      <w:szCs w:val="18"/>
                      <w:lang w:bidi="ar"/>
                    </w:rPr>
                    <w:t>NH</w:t>
                  </w:r>
                  <w:r>
                    <w:rPr>
                      <w:rStyle w:val="51"/>
                      <w:color w:val="auto"/>
                      <w:lang w:bidi="ar"/>
                    </w:rPr>
                    <w:t>3</w:t>
                  </w:r>
                  <w:r>
                    <w:rPr>
                      <w:color w:val="auto"/>
                      <w:kern w:val="0"/>
                      <w:sz w:val="18"/>
                      <w:szCs w:val="18"/>
                      <w:lang w:bidi="ar"/>
                    </w:rPr>
                    <w:t>-N</w:t>
                  </w:r>
                </w:p>
              </w:tc>
              <w:tc>
                <w:tcPr>
                  <w:tcW w:w="594" w:type="pct"/>
                  <w:vMerge w:val="continue"/>
                  <w:vAlign w:val="center"/>
                </w:tcPr>
                <w:p>
                  <w:pPr>
                    <w:snapToGrid w:val="0"/>
                    <w:jc w:val="center"/>
                    <w:rPr>
                      <w:color w:val="auto"/>
                      <w:sz w:val="18"/>
                      <w:szCs w:val="18"/>
                    </w:rPr>
                  </w:pPr>
                </w:p>
              </w:tc>
              <w:tc>
                <w:tcPr>
                  <w:tcW w:w="571" w:type="pct"/>
                  <w:vAlign w:val="center"/>
                </w:tcPr>
                <w:p>
                  <w:pPr>
                    <w:widowControl/>
                    <w:snapToGrid w:val="0"/>
                    <w:jc w:val="center"/>
                    <w:textAlignment w:val="center"/>
                    <w:rPr>
                      <w:color w:val="auto"/>
                      <w:sz w:val="18"/>
                      <w:szCs w:val="18"/>
                    </w:rPr>
                  </w:pPr>
                  <w:r>
                    <w:rPr>
                      <w:color w:val="auto"/>
                      <w:sz w:val="18"/>
                      <w:szCs w:val="18"/>
                    </w:rPr>
                    <w:t>32.6</w:t>
                  </w:r>
                </w:p>
              </w:tc>
              <w:tc>
                <w:tcPr>
                  <w:tcW w:w="546" w:type="pct"/>
                  <w:vAlign w:val="center"/>
                </w:tcPr>
                <w:p>
                  <w:pPr>
                    <w:widowControl/>
                    <w:snapToGrid w:val="0"/>
                    <w:jc w:val="center"/>
                    <w:textAlignment w:val="center"/>
                    <w:rPr>
                      <w:color w:val="auto"/>
                      <w:sz w:val="18"/>
                      <w:szCs w:val="18"/>
                    </w:rPr>
                  </w:pPr>
                  <w:r>
                    <w:rPr>
                      <w:color w:val="auto"/>
                      <w:kern w:val="0"/>
                      <w:sz w:val="18"/>
                      <w:szCs w:val="18"/>
                      <w:lang w:bidi="ar"/>
                    </w:rPr>
                    <w:t>0.002</w:t>
                  </w:r>
                </w:p>
              </w:tc>
              <w:tc>
                <w:tcPr>
                  <w:tcW w:w="443" w:type="pct"/>
                  <w:vAlign w:val="center"/>
                </w:tcPr>
                <w:p>
                  <w:pPr>
                    <w:widowControl/>
                    <w:snapToGrid w:val="0"/>
                    <w:jc w:val="center"/>
                    <w:textAlignment w:val="center"/>
                    <w:rPr>
                      <w:color w:val="auto"/>
                      <w:sz w:val="18"/>
                      <w:szCs w:val="18"/>
                    </w:rPr>
                  </w:pPr>
                  <w:r>
                    <w:rPr>
                      <w:color w:val="auto"/>
                      <w:sz w:val="18"/>
                      <w:szCs w:val="18"/>
                    </w:rPr>
                    <w:t>3%</w:t>
                  </w:r>
                </w:p>
              </w:tc>
              <w:tc>
                <w:tcPr>
                  <w:tcW w:w="647" w:type="pct"/>
                  <w:vMerge w:val="continue"/>
                  <w:vAlign w:val="center"/>
                </w:tcPr>
                <w:p>
                  <w:pPr>
                    <w:snapToGrid w:val="0"/>
                    <w:jc w:val="center"/>
                    <w:rPr>
                      <w:color w:val="auto"/>
                      <w:sz w:val="18"/>
                      <w:szCs w:val="18"/>
                    </w:rPr>
                  </w:pPr>
                </w:p>
              </w:tc>
              <w:tc>
                <w:tcPr>
                  <w:tcW w:w="566" w:type="pct"/>
                  <w:vAlign w:val="center"/>
                </w:tcPr>
                <w:p>
                  <w:pPr>
                    <w:widowControl/>
                    <w:snapToGrid w:val="0"/>
                    <w:jc w:val="center"/>
                    <w:textAlignment w:val="center"/>
                    <w:rPr>
                      <w:color w:val="auto"/>
                      <w:sz w:val="18"/>
                      <w:szCs w:val="18"/>
                    </w:rPr>
                  </w:pPr>
                  <w:r>
                    <w:rPr>
                      <w:color w:val="auto"/>
                      <w:kern w:val="0"/>
                      <w:sz w:val="18"/>
                      <w:szCs w:val="18"/>
                      <w:lang w:bidi="ar"/>
                    </w:rPr>
                    <w:t>31.62</w:t>
                  </w:r>
                </w:p>
              </w:tc>
              <w:tc>
                <w:tcPr>
                  <w:tcW w:w="611" w:type="pct"/>
                  <w:vAlign w:val="center"/>
                </w:tcPr>
                <w:p>
                  <w:pPr>
                    <w:widowControl/>
                    <w:snapToGrid w:val="0"/>
                    <w:jc w:val="center"/>
                    <w:textAlignment w:val="center"/>
                    <w:rPr>
                      <w:color w:val="auto"/>
                      <w:sz w:val="18"/>
                      <w:szCs w:val="18"/>
                    </w:rPr>
                  </w:pPr>
                  <w:r>
                    <w:rPr>
                      <w:color w:val="auto"/>
                      <w:kern w:val="0"/>
                      <w:sz w:val="18"/>
                      <w:szCs w:val="18"/>
                      <w:lang w:bidi="ar"/>
                    </w:rPr>
                    <w:t>0.002</w:t>
                  </w:r>
                </w:p>
              </w:tc>
            </w:tr>
          </w:tbl>
          <w:p>
            <w:pPr>
              <w:spacing w:line="360" w:lineRule="auto"/>
              <w:ind w:firstLine="422" w:firstLineChars="200"/>
              <w:jc w:val="left"/>
              <w:rPr>
                <w:rFonts w:hint="default" w:eastAsia="宋体"/>
                <w:b/>
                <w:bCs/>
                <w:color w:val="auto"/>
                <w:szCs w:val="21"/>
                <w:lang w:val="en-US" w:eastAsia="zh-CN"/>
              </w:rPr>
            </w:pPr>
            <w:r>
              <w:rPr>
                <w:rFonts w:hint="eastAsia" w:ascii="宋体" w:hAnsi="宋体" w:cs="宋体"/>
                <w:b/>
                <w:bCs/>
                <w:color w:val="auto"/>
                <w:szCs w:val="21"/>
              </w:rPr>
              <w:t>③</w:t>
            </w:r>
            <w:r>
              <w:rPr>
                <w:rFonts w:hint="eastAsia"/>
                <w:b/>
                <w:bCs/>
                <w:color w:val="auto"/>
                <w:szCs w:val="21"/>
                <w:lang w:val="en-US" w:eastAsia="zh-CN"/>
              </w:rPr>
              <w:t>中水系统产生浓水</w:t>
            </w:r>
          </w:p>
          <w:p>
            <w:pPr>
              <w:spacing w:line="360" w:lineRule="auto"/>
              <w:ind w:firstLine="420" w:firstLineChars="200"/>
              <w:jc w:val="left"/>
              <w:rPr>
                <w:rFonts w:hint="default" w:ascii="Times New Roman" w:hAnsi="Times New Roman" w:cs="Times New Roman"/>
                <w:b w:val="0"/>
                <w:bCs w:val="0"/>
                <w:color w:val="auto"/>
                <w:szCs w:val="21"/>
              </w:rPr>
            </w:pPr>
            <w:r>
              <w:rPr>
                <w:rFonts w:hint="default" w:ascii="Times New Roman" w:hAnsi="Times New Roman" w:cs="Times New Roman"/>
                <w:b w:val="0"/>
                <w:bCs w:val="0"/>
                <w:color w:val="auto"/>
                <w:szCs w:val="21"/>
              </w:rPr>
              <w:t>本项目对</w:t>
            </w:r>
            <w:r>
              <w:rPr>
                <w:rFonts w:hint="eastAsia" w:cs="Times New Roman"/>
                <w:b w:val="0"/>
                <w:bCs w:val="0"/>
                <w:color w:val="auto"/>
                <w:szCs w:val="21"/>
                <w:lang w:eastAsia="zh-CN"/>
              </w:rPr>
              <w:t>溶剂</w:t>
            </w:r>
            <w:r>
              <w:rPr>
                <w:rFonts w:hint="default" w:ascii="Times New Roman" w:hAnsi="Times New Roman" w:cs="Times New Roman"/>
                <w:b w:val="0"/>
                <w:bCs w:val="0"/>
                <w:color w:val="auto"/>
                <w:szCs w:val="21"/>
              </w:rPr>
              <w:t>高温废气采用二级冷凝，冷却水经冷却塔循环使用，循环水流量为10m</w:t>
            </w:r>
            <w:r>
              <w:rPr>
                <w:rFonts w:hint="default" w:ascii="Times New Roman" w:hAnsi="Times New Roman" w:cs="Times New Roman"/>
                <w:b w:val="0"/>
                <w:bCs w:val="0"/>
                <w:color w:val="auto"/>
                <w:szCs w:val="21"/>
                <w:vertAlign w:val="superscript"/>
              </w:rPr>
              <w:t>3</w:t>
            </w:r>
            <w:r>
              <w:rPr>
                <w:rFonts w:hint="default" w:ascii="Times New Roman" w:hAnsi="Times New Roman" w:cs="Times New Roman"/>
                <w:b w:val="0"/>
                <w:bCs w:val="0"/>
                <w:color w:val="auto"/>
                <w:szCs w:val="21"/>
              </w:rPr>
              <w:t>/h。冷却塔年运行7200h，年循环水量72000m</w:t>
            </w:r>
            <w:r>
              <w:rPr>
                <w:rFonts w:hint="default" w:ascii="Times New Roman" w:hAnsi="Times New Roman" w:cs="Times New Roman"/>
                <w:b w:val="0"/>
                <w:bCs w:val="0"/>
                <w:color w:val="auto"/>
                <w:szCs w:val="21"/>
                <w:vertAlign w:val="superscript"/>
              </w:rPr>
              <w:t>3</w:t>
            </w:r>
            <w:r>
              <w:rPr>
                <w:rFonts w:hint="default" w:ascii="Times New Roman" w:hAnsi="Times New Roman" w:cs="Times New Roman"/>
                <w:b w:val="0"/>
                <w:bCs w:val="0"/>
                <w:color w:val="auto"/>
                <w:szCs w:val="21"/>
              </w:rPr>
              <w:t>。依据《化学工业循环冷却水系统设计规范》（GB 50648-2011）</w:t>
            </w:r>
            <w:r>
              <w:rPr>
                <w:rFonts w:hint="eastAsia" w:cs="Times New Roman"/>
                <w:b w:val="0"/>
                <w:bCs w:val="0"/>
                <w:color w:val="auto"/>
                <w:szCs w:val="21"/>
                <w:lang w:eastAsia="zh-CN"/>
              </w:rPr>
              <w:t>：</w:t>
            </w:r>
            <w:r>
              <w:rPr>
                <w:rFonts w:hint="default" w:ascii="Times New Roman" w:hAnsi="Times New Roman" w:cs="Times New Roman"/>
                <w:b w:val="0"/>
                <w:bCs w:val="0"/>
                <w:color w:val="auto"/>
                <w:szCs w:val="21"/>
              </w:rPr>
              <w:t>冷却水排污量按循环水量的0.3%计，</w:t>
            </w:r>
            <w:r>
              <w:rPr>
                <w:rFonts w:hint="eastAsia" w:cs="Times New Roman"/>
                <w:b w:val="0"/>
                <w:bCs w:val="0"/>
                <w:color w:val="auto"/>
                <w:szCs w:val="21"/>
                <w:lang w:val="en-US" w:eastAsia="zh-CN"/>
              </w:rPr>
              <w:t>则</w:t>
            </w:r>
            <w:r>
              <w:rPr>
                <w:rFonts w:hint="default" w:ascii="Times New Roman" w:hAnsi="Times New Roman" w:cs="Times New Roman"/>
                <w:b w:val="0"/>
                <w:bCs w:val="0"/>
                <w:color w:val="auto"/>
                <w:szCs w:val="21"/>
              </w:rPr>
              <w:t>排污量为0.03m</w:t>
            </w:r>
            <w:r>
              <w:rPr>
                <w:rFonts w:hint="default" w:ascii="Times New Roman" w:hAnsi="Times New Roman" w:cs="Times New Roman"/>
                <w:b w:val="0"/>
                <w:bCs w:val="0"/>
                <w:color w:val="auto"/>
                <w:szCs w:val="21"/>
                <w:vertAlign w:val="superscript"/>
              </w:rPr>
              <w:t>3</w:t>
            </w:r>
            <w:r>
              <w:rPr>
                <w:rFonts w:hint="default" w:ascii="Times New Roman" w:hAnsi="Times New Roman" w:cs="Times New Roman"/>
                <w:b w:val="0"/>
                <w:bCs w:val="0"/>
                <w:color w:val="auto"/>
                <w:szCs w:val="21"/>
              </w:rPr>
              <w:t>/h</w:t>
            </w:r>
            <w:r>
              <w:rPr>
                <w:rFonts w:hint="eastAsia" w:cs="Times New Roman"/>
                <w:b w:val="0"/>
                <w:bCs w:val="0"/>
                <w:color w:val="auto"/>
                <w:szCs w:val="21"/>
                <w:lang w:val="en-US" w:eastAsia="zh-CN"/>
              </w:rPr>
              <w:t>即</w:t>
            </w:r>
            <w:r>
              <w:rPr>
                <w:rFonts w:hint="default" w:ascii="Times New Roman" w:hAnsi="Times New Roman" w:cs="Times New Roman"/>
                <w:b w:val="0"/>
                <w:bCs w:val="0"/>
                <w:color w:val="auto"/>
                <w:szCs w:val="21"/>
              </w:rPr>
              <w:t>216m</w:t>
            </w:r>
            <w:r>
              <w:rPr>
                <w:rFonts w:hint="default" w:ascii="Times New Roman" w:hAnsi="Times New Roman" w:cs="Times New Roman"/>
                <w:b w:val="0"/>
                <w:bCs w:val="0"/>
                <w:color w:val="auto"/>
                <w:szCs w:val="21"/>
                <w:vertAlign w:val="superscript"/>
              </w:rPr>
              <w:t>3</w:t>
            </w:r>
            <w:r>
              <w:rPr>
                <w:rFonts w:hint="default" w:ascii="Times New Roman" w:hAnsi="Times New Roman" w:cs="Times New Roman"/>
                <w:b w:val="0"/>
                <w:bCs w:val="0"/>
                <w:color w:val="auto"/>
                <w:szCs w:val="21"/>
              </w:rPr>
              <w:t>/a（216t/a）。冷却塔排污水进入中水回用系统进行处理。</w:t>
            </w:r>
          </w:p>
          <w:p>
            <w:pPr>
              <w:spacing w:line="360" w:lineRule="auto"/>
              <w:ind w:firstLine="420" w:firstLineChars="200"/>
              <w:jc w:val="left"/>
              <w:rPr>
                <w:rFonts w:hint="default" w:ascii="Times New Roman" w:hAnsi="Times New Roman" w:cs="Times New Roman"/>
                <w:b w:val="0"/>
                <w:bCs w:val="0"/>
                <w:color w:val="auto"/>
                <w:szCs w:val="21"/>
              </w:rPr>
            </w:pPr>
            <w:r>
              <w:rPr>
                <w:rFonts w:hint="default" w:ascii="Times New Roman" w:hAnsi="Times New Roman" w:cs="Times New Roman"/>
                <w:b w:val="0"/>
                <w:bCs w:val="0"/>
                <w:color w:val="auto"/>
                <w:szCs w:val="21"/>
              </w:rPr>
              <w:t>本项目精馏塔热源依托二厂供热工程供蒸汽，精馏塔需蒸汽约192.17t/a，损耗按蒸汽量的20%计，则产生蒸汽冷凝水153.7t/a，该部分冷凝水进入中水回用系统进行处理。</w:t>
            </w:r>
          </w:p>
          <w:p>
            <w:pPr>
              <w:spacing w:line="360" w:lineRule="auto"/>
              <w:ind w:firstLine="420" w:firstLineChars="200"/>
              <w:jc w:val="left"/>
              <w:rPr>
                <w:rFonts w:hint="eastAsia" w:cs="Times New Roman"/>
                <w:b w:val="0"/>
                <w:bCs w:val="0"/>
                <w:color w:val="auto"/>
                <w:szCs w:val="21"/>
                <w:lang w:val="en-US" w:eastAsia="zh-CN"/>
              </w:rPr>
            </w:pPr>
            <w:r>
              <w:rPr>
                <w:rFonts w:hint="eastAsia" w:cs="Times New Roman"/>
                <w:b w:val="0"/>
                <w:bCs w:val="0"/>
                <w:color w:val="auto"/>
                <w:szCs w:val="21"/>
                <w:lang w:val="en-US" w:eastAsia="zh-CN"/>
              </w:rPr>
              <w:t>根据以上本项目总共有369.7t/a的水进入中水回用系统，根据建设单位提供资料，</w:t>
            </w:r>
            <w:r>
              <w:rPr>
                <w:rFonts w:hint="eastAsia"/>
                <w:color w:val="auto"/>
                <w:szCs w:val="21"/>
              </w:rPr>
              <w:t>中水回用系统约有</w:t>
            </w:r>
            <w:r>
              <w:rPr>
                <w:rFonts w:hint="eastAsia"/>
                <w:color w:val="auto"/>
                <w:szCs w:val="21"/>
                <w:lang w:val="en-US" w:eastAsia="zh-CN"/>
              </w:rPr>
              <w:t>15%-</w:t>
            </w:r>
            <w:r>
              <w:rPr>
                <w:rFonts w:hint="eastAsia"/>
                <w:color w:val="auto"/>
                <w:szCs w:val="21"/>
              </w:rPr>
              <w:t>20%的水量以浓水形式排放，</w:t>
            </w:r>
            <w:r>
              <w:rPr>
                <w:rFonts w:hint="eastAsia"/>
                <w:color w:val="auto"/>
                <w:szCs w:val="21"/>
                <w:lang w:val="en-US" w:eastAsia="zh-CN"/>
              </w:rPr>
              <w:t>本次浓水产生系数取20%</w:t>
            </w:r>
            <w:r>
              <w:rPr>
                <w:rFonts w:hint="eastAsia"/>
                <w:color w:val="auto"/>
                <w:szCs w:val="21"/>
                <w:lang w:eastAsia="zh-CN"/>
              </w:rPr>
              <w:t>，</w:t>
            </w:r>
            <w:r>
              <w:rPr>
                <w:rFonts w:hint="eastAsia"/>
                <w:color w:val="auto"/>
                <w:szCs w:val="21"/>
              </w:rPr>
              <w:t>由此计算浓水产生量为73.94t/a。</w:t>
            </w:r>
            <w:r>
              <w:rPr>
                <w:rFonts w:hint="eastAsia" w:cs="Times New Roman"/>
                <w:b w:val="0"/>
                <w:bCs w:val="0"/>
                <w:color w:val="auto"/>
                <w:szCs w:val="21"/>
                <w:lang w:val="en-US" w:eastAsia="zh-CN"/>
              </w:rPr>
              <w:t>中水回用系统进水COD</w:t>
            </w:r>
            <w:r>
              <w:rPr>
                <w:rFonts w:hint="default" w:ascii="Arial" w:hAnsi="Arial" w:cs="Arial"/>
                <w:b w:val="0"/>
                <w:bCs w:val="0"/>
                <w:color w:val="auto"/>
                <w:szCs w:val="21"/>
                <w:lang w:val="en-US" w:eastAsia="zh-CN"/>
              </w:rPr>
              <w:t>≤</w:t>
            </w:r>
            <w:r>
              <w:rPr>
                <w:rFonts w:hint="eastAsia" w:cs="Times New Roman"/>
                <w:b w:val="0"/>
                <w:bCs w:val="0"/>
                <w:color w:val="auto"/>
                <w:szCs w:val="21"/>
                <w:lang w:val="en-US" w:eastAsia="zh-CN"/>
              </w:rPr>
              <w:t>300mg/L，产水COD</w:t>
            </w:r>
            <w:r>
              <w:rPr>
                <w:rFonts w:hint="default" w:ascii="Arial" w:hAnsi="Arial" w:cs="Arial"/>
                <w:b w:val="0"/>
                <w:bCs w:val="0"/>
                <w:color w:val="auto"/>
                <w:szCs w:val="21"/>
                <w:lang w:val="en-US" w:eastAsia="zh-CN"/>
              </w:rPr>
              <w:t>≤</w:t>
            </w:r>
            <w:r>
              <w:rPr>
                <w:rFonts w:hint="eastAsia" w:cs="Times New Roman"/>
                <w:b w:val="0"/>
                <w:bCs w:val="0"/>
                <w:color w:val="auto"/>
                <w:szCs w:val="21"/>
                <w:lang w:val="en-US" w:eastAsia="zh-CN"/>
              </w:rPr>
              <w:t>5mg/L，则浓水COD产生源强=（300-5）mg/L</w:t>
            </w:r>
            <w:r>
              <w:rPr>
                <w:rFonts w:hint="default" w:ascii="Arial" w:hAnsi="Arial" w:cs="Arial"/>
                <w:b w:val="0"/>
                <w:bCs w:val="0"/>
                <w:color w:val="auto"/>
                <w:szCs w:val="21"/>
                <w:lang w:val="en-US" w:eastAsia="zh-CN"/>
              </w:rPr>
              <w:t>×</w:t>
            </w:r>
            <w:r>
              <w:rPr>
                <w:rFonts w:hint="default" w:ascii="Times New Roman" w:hAnsi="Times New Roman" w:cs="Times New Roman"/>
                <w:b w:val="0"/>
                <w:bCs w:val="0"/>
                <w:color w:val="auto"/>
                <w:szCs w:val="21"/>
                <w:lang w:val="en-US" w:eastAsia="zh-CN"/>
              </w:rPr>
              <w:t>5</w:t>
            </w:r>
            <w:r>
              <w:rPr>
                <w:rFonts w:hint="eastAsia" w:cs="Times New Roman"/>
                <w:b w:val="0"/>
                <w:bCs w:val="0"/>
                <w:color w:val="auto"/>
                <w:szCs w:val="21"/>
                <w:lang w:val="en-US" w:eastAsia="zh-CN"/>
              </w:rPr>
              <w:t>（浓水浓缩倍数）=1475mg/L。中水系统浓水产生及排放情况见下表。</w:t>
            </w:r>
          </w:p>
          <w:p>
            <w:pPr>
              <w:spacing w:before="194" w:beforeLines="50"/>
              <w:jc w:val="center"/>
              <w:outlineLvl w:val="5"/>
              <w:rPr>
                <w:rFonts w:hint="eastAsia"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表4-20  中水系统浓水排放情况一览表</w:t>
            </w:r>
          </w:p>
          <w:tbl>
            <w:tblPr>
              <w:tblStyle w:val="20"/>
              <w:tblW w:w="82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08"/>
              <w:gridCol w:w="1313"/>
              <w:gridCol w:w="1094"/>
              <w:gridCol w:w="2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208" w:type="dxa"/>
                  <w:vMerge w:val="restart"/>
                  <w:vAlign w:val="center"/>
                </w:tcPr>
                <w:p>
                  <w:pPr>
                    <w:adjustRightInd w:val="0"/>
                    <w:snapToGrid w:val="0"/>
                    <w:jc w:val="center"/>
                    <w:rPr>
                      <w:b/>
                      <w:color w:val="auto"/>
                      <w:sz w:val="18"/>
                    </w:rPr>
                  </w:pPr>
                  <w:r>
                    <w:rPr>
                      <w:rFonts w:hAnsi="宋体"/>
                      <w:b/>
                      <w:bCs/>
                      <w:color w:val="auto"/>
                      <w:sz w:val="18"/>
                      <w:szCs w:val="18"/>
                    </w:rPr>
                    <w:t>废水来源</w:t>
                  </w:r>
                </w:p>
              </w:tc>
              <w:tc>
                <w:tcPr>
                  <w:tcW w:w="1313" w:type="dxa"/>
                  <w:vMerge w:val="restart"/>
                  <w:vAlign w:val="center"/>
                </w:tcPr>
                <w:p>
                  <w:pPr>
                    <w:adjustRightInd w:val="0"/>
                    <w:snapToGrid w:val="0"/>
                    <w:jc w:val="center"/>
                    <w:rPr>
                      <w:b/>
                      <w:color w:val="auto"/>
                      <w:sz w:val="18"/>
                    </w:rPr>
                  </w:pPr>
                  <w:r>
                    <w:rPr>
                      <w:rFonts w:hAnsi="宋体"/>
                      <w:b/>
                      <w:bCs/>
                      <w:color w:val="auto"/>
                      <w:sz w:val="18"/>
                      <w:szCs w:val="18"/>
                    </w:rPr>
                    <w:t>水量</w:t>
                  </w:r>
                  <w:r>
                    <w:rPr>
                      <w:b/>
                      <w:bCs/>
                      <w:color w:val="auto"/>
                      <w:sz w:val="18"/>
                      <w:szCs w:val="18"/>
                    </w:rPr>
                    <w:t>m</w:t>
                  </w:r>
                  <w:r>
                    <w:rPr>
                      <w:b/>
                      <w:bCs/>
                      <w:color w:val="auto"/>
                      <w:sz w:val="18"/>
                      <w:szCs w:val="18"/>
                      <w:vertAlign w:val="superscript"/>
                    </w:rPr>
                    <w:t>3</w:t>
                  </w:r>
                  <w:r>
                    <w:rPr>
                      <w:b/>
                      <w:bCs/>
                      <w:color w:val="auto"/>
                      <w:sz w:val="18"/>
                      <w:szCs w:val="18"/>
                    </w:rPr>
                    <w:t>/a</w:t>
                  </w:r>
                </w:p>
              </w:tc>
              <w:tc>
                <w:tcPr>
                  <w:tcW w:w="3774" w:type="dxa"/>
                  <w:gridSpan w:val="2"/>
                  <w:vAlign w:val="center"/>
                </w:tcPr>
                <w:p>
                  <w:pPr>
                    <w:snapToGrid w:val="0"/>
                    <w:jc w:val="center"/>
                    <w:rPr>
                      <w:b/>
                      <w:color w:val="auto"/>
                      <w:sz w:val="18"/>
                    </w:rPr>
                  </w:pPr>
                  <w:r>
                    <w:rPr>
                      <w:rFonts w:hAnsi="宋体"/>
                      <w:b/>
                      <w:bCs/>
                      <w:color w:val="auto"/>
                      <w:sz w:val="18"/>
                      <w:szCs w:val="18"/>
                    </w:rPr>
                    <w:t>污染物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208" w:type="dxa"/>
                  <w:vMerge w:val="continue"/>
                  <w:vAlign w:val="center"/>
                </w:tcPr>
                <w:p>
                  <w:pPr>
                    <w:snapToGrid w:val="0"/>
                    <w:jc w:val="center"/>
                    <w:rPr>
                      <w:b/>
                      <w:color w:val="auto"/>
                      <w:sz w:val="18"/>
                    </w:rPr>
                  </w:pPr>
                </w:p>
              </w:tc>
              <w:tc>
                <w:tcPr>
                  <w:tcW w:w="1313" w:type="dxa"/>
                  <w:vMerge w:val="continue"/>
                  <w:vAlign w:val="center"/>
                </w:tcPr>
                <w:p>
                  <w:pPr>
                    <w:snapToGrid w:val="0"/>
                    <w:jc w:val="center"/>
                    <w:rPr>
                      <w:b/>
                      <w:color w:val="auto"/>
                      <w:sz w:val="18"/>
                    </w:rPr>
                  </w:pPr>
                </w:p>
              </w:tc>
              <w:tc>
                <w:tcPr>
                  <w:tcW w:w="1094" w:type="dxa"/>
                  <w:vAlign w:val="center"/>
                </w:tcPr>
                <w:p>
                  <w:pPr>
                    <w:adjustRightInd w:val="0"/>
                    <w:snapToGrid w:val="0"/>
                    <w:jc w:val="center"/>
                    <w:rPr>
                      <w:b/>
                      <w:color w:val="auto"/>
                      <w:sz w:val="18"/>
                    </w:rPr>
                  </w:pPr>
                  <w:r>
                    <w:rPr>
                      <w:rFonts w:hAnsi="宋体"/>
                      <w:b/>
                      <w:bCs/>
                      <w:color w:val="auto"/>
                      <w:sz w:val="18"/>
                      <w:szCs w:val="18"/>
                    </w:rPr>
                    <w:t>单位</w:t>
                  </w:r>
                </w:p>
              </w:tc>
              <w:tc>
                <w:tcPr>
                  <w:tcW w:w="2680" w:type="dxa"/>
                  <w:vAlign w:val="center"/>
                </w:tcPr>
                <w:p>
                  <w:pPr>
                    <w:adjustRightInd w:val="0"/>
                    <w:snapToGrid w:val="0"/>
                    <w:jc w:val="center"/>
                    <w:rPr>
                      <w:b/>
                      <w:color w:val="auto"/>
                      <w:sz w:val="18"/>
                    </w:rPr>
                  </w:pPr>
                  <w:r>
                    <w:rPr>
                      <w:b/>
                      <w:bCs/>
                      <w:color w:val="auto"/>
                      <w:sz w:val="18"/>
                      <w:szCs w:val="18"/>
                    </w:rPr>
                    <w:t>COD</w:t>
                  </w:r>
                  <w:r>
                    <w:rPr>
                      <w:rFonts w:hint="eastAsia"/>
                      <w:b/>
                      <w:bCs/>
                      <w:color w:val="auto"/>
                      <w:sz w:val="18"/>
                      <w:szCs w:val="18"/>
                    </w:rPr>
                    <w:t>cr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08" w:type="dxa"/>
                  <w:vMerge w:val="restart"/>
                  <w:vAlign w:val="center"/>
                </w:tcPr>
                <w:p>
                  <w:pPr>
                    <w:snapToGrid w:val="0"/>
                    <w:jc w:val="center"/>
                    <w:rPr>
                      <w:color w:val="auto"/>
                    </w:rPr>
                  </w:pPr>
                  <w:r>
                    <w:rPr>
                      <w:rFonts w:hint="eastAsia"/>
                      <w:color w:val="auto"/>
                      <w:szCs w:val="18"/>
                      <w:lang w:val="en-US" w:eastAsia="zh-CN"/>
                    </w:rPr>
                    <w:t>中水系统产生浓</w:t>
                  </w:r>
                  <w:r>
                    <w:rPr>
                      <w:rFonts w:hint="eastAsia"/>
                      <w:color w:val="auto"/>
                      <w:szCs w:val="18"/>
                    </w:rPr>
                    <w:t>水</w:t>
                  </w:r>
                </w:p>
              </w:tc>
              <w:tc>
                <w:tcPr>
                  <w:tcW w:w="1313" w:type="dxa"/>
                  <w:vMerge w:val="restart"/>
                  <w:vAlign w:val="center"/>
                </w:tcPr>
                <w:p>
                  <w:pPr>
                    <w:adjustRightInd w:val="0"/>
                    <w:snapToGrid w:val="0"/>
                    <w:jc w:val="center"/>
                    <w:rPr>
                      <w:rFonts w:hint="default" w:eastAsia="宋体"/>
                      <w:color w:val="auto"/>
                      <w:lang w:val="en-US" w:eastAsia="zh-CN"/>
                    </w:rPr>
                  </w:pPr>
                  <w:r>
                    <w:rPr>
                      <w:rFonts w:hint="eastAsia"/>
                      <w:color w:val="auto"/>
                      <w:szCs w:val="18"/>
                      <w:lang w:val="en-US" w:eastAsia="zh-CN"/>
                    </w:rPr>
                    <w:t>73.94</w:t>
                  </w:r>
                </w:p>
              </w:tc>
              <w:tc>
                <w:tcPr>
                  <w:tcW w:w="1094" w:type="dxa"/>
                  <w:vAlign w:val="center"/>
                </w:tcPr>
                <w:p>
                  <w:pPr>
                    <w:snapToGrid w:val="0"/>
                    <w:jc w:val="center"/>
                    <w:rPr>
                      <w:color w:val="auto"/>
                    </w:rPr>
                  </w:pPr>
                  <w:r>
                    <w:rPr>
                      <w:color w:val="auto"/>
                      <w:szCs w:val="18"/>
                    </w:rPr>
                    <w:t>mg/L</w:t>
                  </w:r>
                </w:p>
              </w:tc>
              <w:tc>
                <w:tcPr>
                  <w:tcW w:w="2680" w:type="dxa"/>
                  <w:vAlign w:val="center"/>
                </w:tcPr>
                <w:p>
                  <w:pPr>
                    <w:adjustRightInd w:val="0"/>
                    <w:snapToGrid w:val="0"/>
                    <w:jc w:val="center"/>
                    <w:rPr>
                      <w:rFonts w:hint="default" w:eastAsia="宋体"/>
                      <w:color w:val="auto"/>
                      <w:lang w:val="en-US" w:eastAsia="zh-CN"/>
                    </w:rPr>
                  </w:pPr>
                  <w:r>
                    <w:rPr>
                      <w:rFonts w:hint="eastAsia"/>
                      <w:color w:val="auto"/>
                      <w:lang w:val="en-US" w:eastAsia="zh-CN"/>
                    </w:rPr>
                    <w:t>1475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08" w:type="dxa"/>
                  <w:vMerge w:val="continue"/>
                  <w:vAlign w:val="center"/>
                </w:tcPr>
                <w:p>
                  <w:pPr>
                    <w:snapToGrid w:val="0"/>
                    <w:jc w:val="center"/>
                    <w:rPr>
                      <w:color w:val="auto"/>
                    </w:rPr>
                  </w:pPr>
                </w:p>
              </w:tc>
              <w:tc>
                <w:tcPr>
                  <w:tcW w:w="1313" w:type="dxa"/>
                  <w:vMerge w:val="continue"/>
                  <w:vAlign w:val="center"/>
                </w:tcPr>
                <w:p>
                  <w:pPr>
                    <w:adjustRightInd w:val="0"/>
                    <w:snapToGrid w:val="0"/>
                    <w:jc w:val="center"/>
                    <w:rPr>
                      <w:color w:val="auto"/>
                    </w:rPr>
                  </w:pPr>
                </w:p>
              </w:tc>
              <w:tc>
                <w:tcPr>
                  <w:tcW w:w="1094" w:type="dxa"/>
                  <w:vAlign w:val="center"/>
                </w:tcPr>
                <w:p>
                  <w:pPr>
                    <w:snapToGrid w:val="0"/>
                    <w:jc w:val="center"/>
                    <w:rPr>
                      <w:color w:val="auto"/>
                    </w:rPr>
                  </w:pPr>
                  <w:r>
                    <w:rPr>
                      <w:color w:val="auto"/>
                      <w:szCs w:val="18"/>
                    </w:rPr>
                    <w:t>t/a</w:t>
                  </w:r>
                </w:p>
              </w:tc>
              <w:tc>
                <w:tcPr>
                  <w:tcW w:w="2680" w:type="dxa"/>
                  <w:vAlign w:val="center"/>
                </w:tcPr>
                <w:p>
                  <w:pPr>
                    <w:adjustRightInd w:val="0"/>
                    <w:snapToGrid w:val="0"/>
                    <w:jc w:val="center"/>
                    <w:rPr>
                      <w:rFonts w:hint="default" w:eastAsia="宋体"/>
                      <w:color w:val="auto"/>
                      <w:lang w:val="en-US" w:eastAsia="zh-CN"/>
                    </w:rPr>
                  </w:pPr>
                  <w:r>
                    <w:rPr>
                      <w:rFonts w:hint="eastAsia"/>
                      <w:color w:val="auto"/>
                      <w:lang w:val="en-US" w:eastAsia="zh-CN"/>
                    </w:rPr>
                    <w:t>0.109</w:t>
                  </w:r>
                </w:p>
              </w:tc>
            </w:tr>
          </w:tbl>
          <w:p>
            <w:pPr>
              <w:spacing w:line="360" w:lineRule="auto"/>
              <w:ind w:firstLine="422" w:firstLineChars="200"/>
              <w:jc w:val="left"/>
              <w:rPr>
                <w:color w:val="auto"/>
                <w:szCs w:val="21"/>
              </w:rPr>
            </w:pPr>
            <w:r>
              <w:rPr>
                <w:rFonts w:hint="eastAsia" w:ascii="宋体" w:hAnsi="宋体" w:eastAsia="宋体" w:cs="宋体"/>
                <w:b/>
                <w:bCs/>
                <w:color w:val="auto"/>
                <w:szCs w:val="21"/>
              </w:rPr>
              <w:t>④</w:t>
            </w:r>
            <w:r>
              <w:rPr>
                <w:b/>
                <w:bCs/>
                <w:color w:val="auto"/>
                <w:szCs w:val="21"/>
              </w:rPr>
              <w:t>生产废水</w:t>
            </w:r>
            <w:r>
              <w:rPr>
                <w:rFonts w:hint="eastAsia"/>
                <w:b/>
                <w:bCs/>
                <w:color w:val="auto"/>
                <w:szCs w:val="21"/>
                <w:lang w:val="en-US" w:eastAsia="zh-CN"/>
              </w:rPr>
              <w:t>+中水浓水</w:t>
            </w:r>
            <w:r>
              <w:rPr>
                <w:rFonts w:hint="eastAsia"/>
                <w:b/>
                <w:bCs/>
                <w:color w:val="auto"/>
                <w:szCs w:val="21"/>
              </w:rPr>
              <w:t>+</w:t>
            </w:r>
            <w:r>
              <w:rPr>
                <w:b/>
                <w:bCs/>
                <w:color w:val="auto"/>
                <w:szCs w:val="21"/>
              </w:rPr>
              <w:t>生活废水</w:t>
            </w:r>
          </w:p>
          <w:p>
            <w:pPr>
              <w:spacing w:line="360" w:lineRule="auto"/>
              <w:ind w:firstLine="420" w:firstLineChars="200"/>
              <w:jc w:val="left"/>
              <w:rPr>
                <w:rFonts w:hint="eastAsia"/>
                <w:color w:val="auto"/>
                <w:szCs w:val="21"/>
              </w:rPr>
            </w:pPr>
            <w:r>
              <w:rPr>
                <w:rFonts w:hint="eastAsia"/>
                <w:color w:val="auto"/>
                <w:szCs w:val="21"/>
              </w:rPr>
              <w:t>生活污水经化粪池预处理后和生产废水</w:t>
            </w:r>
            <w:r>
              <w:rPr>
                <w:rFonts w:hint="eastAsia"/>
                <w:color w:val="auto"/>
                <w:szCs w:val="21"/>
                <w:lang w:eastAsia="zh-CN"/>
              </w:rPr>
              <w:t>、</w:t>
            </w:r>
            <w:r>
              <w:rPr>
                <w:rFonts w:hint="eastAsia"/>
                <w:color w:val="auto"/>
                <w:szCs w:val="21"/>
                <w:lang w:val="en-US" w:eastAsia="zh-CN"/>
              </w:rPr>
              <w:t>中水浓水</w:t>
            </w:r>
            <w:r>
              <w:rPr>
                <w:rFonts w:hint="eastAsia"/>
                <w:color w:val="auto"/>
                <w:szCs w:val="21"/>
              </w:rPr>
              <w:t>一同进入一厂污水站进行处理，生产废水</w:t>
            </w:r>
            <w:r>
              <w:rPr>
                <w:rFonts w:hint="eastAsia"/>
                <w:color w:val="auto"/>
                <w:szCs w:val="21"/>
                <w:lang w:eastAsia="zh-CN"/>
              </w:rPr>
              <w:t>、</w:t>
            </w:r>
            <w:r>
              <w:rPr>
                <w:rFonts w:hint="eastAsia"/>
                <w:color w:val="auto"/>
                <w:szCs w:val="21"/>
                <w:lang w:val="en-US" w:eastAsia="zh-CN"/>
              </w:rPr>
              <w:t>中水浓水</w:t>
            </w:r>
            <w:r>
              <w:rPr>
                <w:rFonts w:hint="eastAsia"/>
                <w:color w:val="auto"/>
                <w:szCs w:val="21"/>
              </w:rPr>
              <w:t>和预处理后的生活废水形成的混合废水源强见下表。</w:t>
            </w:r>
          </w:p>
          <w:p>
            <w:pPr>
              <w:spacing w:before="194" w:beforeLines="50"/>
              <w:jc w:val="center"/>
              <w:outlineLvl w:val="5"/>
              <w:rPr>
                <w:rFonts w:hint="default"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表4-21本次项目废水源强</w:t>
            </w:r>
          </w:p>
          <w:tbl>
            <w:tblPr>
              <w:tblStyle w:val="2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6"/>
              <w:gridCol w:w="1234"/>
              <w:gridCol w:w="769"/>
              <w:gridCol w:w="986"/>
              <w:gridCol w:w="1026"/>
              <w:gridCol w:w="925"/>
              <w:gridCol w:w="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1436" w:type="pct"/>
                  <w:vMerge w:val="restart"/>
                  <w:vAlign w:val="center"/>
                </w:tcPr>
                <w:p>
                  <w:pPr>
                    <w:adjustRightInd w:val="0"/>
                    <w:snapToGrid w:val="0"/>
                    <w:jc w:val="center"/>
                    <w:rPr>
                      <w:color w:val="auto"/>
                    </w:rPr>
                  </w:pPr>
                  <w:r>
                    <w:rPr>
                      <w:rFonts w:hAnsi="宋体"/>
                      <w:b/>
                      <w:bCs/>
                      <w:color w:val="auto"/>
                      <w:sz w:val="18"/>
                      <w:szCs w:val="18"/>
                    </w:rPr>
                    <w:t>废水来源</w:t>
                  </w:r>
                </w:p>
              </w:tc>
              <w:tc>
                <w:tcPr>
                  <w:tcW w:w="759" w:type="pct"/>
                  <w:vMerge w:val="restart"/>
                  <w:vAlign w:val="center"/>
                </w:tcPr>
                <w:p>
                  <w:pPr>
                    <w:adjustRightInd w:val="0"/>
                    <w:snapToGrid w:val="0"/>
                    <w:jc w:val="center"/>
                    <w:rPr>
                      <w:color w:val="auto"/>
                    </w:rPr>
                  </w:pPr>
                  <w:r>
                    <w:rPr>
                      <w:rFonts w:hAnsi="宋体"/>
                      <w:b/>
                      <w:bCs/>
                      <w:color w:val="auto"/>
                      <w:sz w:val="18"/>
                      <w:szCs w:val="18"/>
                    </w:rPr>
                    <w:t>水量</w:t>
                  </w:r>
                  <w:r>
                    <w:rPr>
                      <w:b/>
                      <w:bCs/>
                      <w:color w:val="auto"/>
                      <w:sz w:val="18"/>
                      <w:szCs w:val="18"/>
                    </w:rPr>
                    <w:t>m</w:t>
                  </w:r>
                  <w:r>
                    <w:rPr>
                      <w:b/>
                      <w:bCs/>
                      <w:color w:val="auto"/>
                      <w:sz w:val="18"/>
                      <w:szCs w:val="18"/>
                      <w:vertAlign w:val="superscript"/>
                    </w:rPr>
                    <w:t>3</w:t>
                  </w:r>
                  <w:r>
                    <w:rPr>
                      <w:b/>
                      <w:bCs/>
                      <w:color w:val="auto"/>
                      <w:sz w:val="18"/>
                      <w:szCs w:val="18"/>
                    </w:rPr>
                    <w:t>/a</w:t>
                  </w:r>
                </w:p>
              </w:tc>
              <w:tc>
                <w:tcPr>
                  <w:tcW w:w="2804" w:type="pct"/>
                  <w:gridSpan w:val="5"/>
                  <w:vAlign w:val="center"/>
                </w:tcPr>
                <w:p>
                  <w:pPr>
                    <w:jc w:val="center"/>
                    <w:rPr>
                      <w:rFonts w:hAnsi="宋体"/>
                      <w:b/>
                      <w:bCs/>
                      <w:color w:val="auto"/>
                      <w:sz w:val="18"/>
                      <w:szCs w:val="18"/>
                    </w:rPr>
                  </w:pPr>
                  <w:r>
                    <w:rPr>
                      <w:rFonts w:hAnsi="宋体"/>
                      <w:b/>
                      <w:bCs/>
                      <w:color w:val="auto"/>
                      <w:sz w:val="18"/>
                      <w:szCs w:val="18"/>
                    </w:rPr>
                    <w:t>污染物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1436" w:type="pct"/>
                  <w:vMerge w:val="continue"/>
                  <w:vAlign w:val="center"/>
                </w:tcPr>
                <w:p>
                  <w:pPr>
                    <w:jc w:val="center"/>
                    <w:rPr>
                      <w:color w:val="auto"/>
                    </w:rPr>
                  </w:pPr>
                </w:p>
              </w:tc>
              <w:tc>
                <w:tcPr>
                  <w:tcW w:w="759" w:type="pct"/>
                  <w:vMerge w:val="continue"/>
                  <w:vAlign w:val="center"/>
                </w:tcPr>
                <w:p>
                  <w:pPr>
                    <w:jc w:val="center"/>
                    <w:rPr>
                      <w:color w:val="auto"/>
                    </w:rPr>
                  </w:pPr>
                </w:p>
              </w:tc>
              <w:tc>
                <w:tcPr>
                  <w:tcW w:w="473" w:type="pct"/>
                  <w:vAlign w:val="center"/>
                </w:tcPr>
                <w:p>
                  <w:pPr>
                    <w:adjustRightInd w:val="0"/>
                    <w:snapToGrid w:val="0"/>
                    <w:jc w:val="center"/>
                    <w:rPr>
                      <w:color w:val="auto"/>
                    </w:rPr>
                  </w:pPr>
                  <w:r>
                    <w:rPr>
                      <w:rFonts w:hAnsi="宋体"/>
                      <w:b/>
                      <w:bCs/>
                      <w:color w:val="auto"/>
                      <w:sz w:val="18"/>
                      <w:szCs w:val="18"/>
                    </w:rPr>
                    <w:t>单位</w:t>
                  </w:r>
                </w:p>
              </w:tc>
              <w:tc>
                <w:tcPr>
                  <w:tcW w:w="606" w:type="pct"/>
                  <w:vAlign w:val="center"/>
                </w:tcPr>
                <w:p>
                  <w:pPr>
                    <w:adjustRightInd w:val="0"/>
                    <w:snapToGrid w:val="0"/>
                    <w:jc w:val="center"/>
                    <w:rPr>
                      <w:color w:val="auto"/>
                    </w:rPr>
                  </w:pPr>
                  <w:r>
                    <w:rPr>
                      <w:b/>
                      <w:bCs/>
                      <w:color w:val="auto"/>
                      <w:sz w:val="18"/>
                      <w:szCs w:val="18"/>
                    </w:rPr>
                    <w:t>COD</w:t>
                  </w:r>
                  <w:r>
                    <w:rPr>
                      <w:rFonts w:hint="eastAsia"/>
                      <w:b/>
                      <w:bCs/>
                      <w:color w:val="auto"/>
                      <w:sz w:val="18"/>
                      <w:szCs w:val="18"/>
                    </w:rPr>
                    <w:t>cr</w:t>
                  </w:r>
                </w:p>
              </w:tc>
              <w:tc>
                <w:tcPr>
                  <w:tcW w:w="631" w:type="pct"/>
                  <w:vAlign w:val="center"/>
                </w:tcPr>
                <w:p>
                  <w:pPr>
                    <w:adjustRightInd w:val="0"/>
                    <w:snapToGrid w:val="0"/>
                    <w:jc w:val="center"/>
                    <w:rPr>
                      <w:color w:val="auto"/>
                    </w:rPr>
                  </w:pPr>
                  <w:r>
                    <w:rPr>
                      <w:color w:val="auto"/>
                      <w:kern w:val="0"/>
                      <w:szCs w:val="21"/>
                      <w:lang w:bidi="ar"/>
                    </w:rPr>
                    <w:t>NH</w:t>
                  </w:r>
                  <w:r>
                    <w:rPr>
                      <w:rStyle w:val="51"/>
                      <w:color w:val="auto"/>
                      <w:sz w:val="21"/>
                      <w:szCs w:val="21"/>
                      <w:lang w:bidi="ar"/>
                    </w:rPr>
                    <w:t>3</w:t>
                  </w:r>
                  <w:r>
                    <w:rPr>
                      <w:color w:val="auto"/>
                      <w:kern w:val="0"/>
                      <w:szCs w:val="21"/>
                      <w:lang w:bidi="ar"/>
                    </w:rPr>
                    <w:t>-N</w:t>
                  </w:r>
                </w:p>
              </w:tc>
              <w:tc>
                <w:tcPr>
                  <w:tcW w:w="569" w:type="pct"/>
                  <w:vAlign w:val="center"/>
                </w:tcPr>
                <w:p>
                  <w:pPr>
                    <w:adjustRightInd w:val="0"/>
                    <w:snapToGrid w:val="0"/>
                    <w:jc w:val="center"/>
                    <w:rPr>
                      <w:b/>
                      <w:bCs/>
                      <w:color w:val="auto"/>
                      <w:sz w:val="18"/>
                      <w:szCs w:val="18"/>
                    </w:rPr>
                  </w:pPr>
                  <w:r>
                    <w:rPr>
                      <w:color w:val="auto"/>
                      <w:kern w:val="0"/>
                      <w:szCs w:val="21"/>
                      <w:lang w:bidi="ar"/>
                    </w:rPr>
                    <w:t>BOD</w:t>
                  </w:r>
                  <w:r>
                    <w:rPr>
                      <w:rStyle w:val="51"/>
                      <w:color w:val="auto"/>
                      <w:sz w:val="21"/>
                      <w:szCs w:val="21"/>
                      <w:lang w:bidi="ar"/>
                    </w:rPr>
                    <w:t>5</w:t>
                  </w:r>
                </w:p>
              </w:tc>
              <w:tc>
                <w:tcPr>
                  <w:tcW w:w="523" w:type="pct"/>
                  <w:vAlign w:val="center"/>
                </w:tcPr>
                <w:p>
                  <w:pPr>
                    <w:adjustRightInd w:val="0"/>
                    <w:snapToGrid w:val="0"/>
                    <w:jc w:val="center"/>
                    <w:rPr>
                      <w:b/>
                      <w:bCs/>
                      <w:color w:val="auto"/>
                      <w:sz w:val="18"/>
                      <w:szCs w:val="18"/>
                    </w:rPr>
                  </w:pPr>
                  <w:r>
                    <w:rPr>
                      <w:color w:val="auto"/>
                      <w:kern w:val="0"/>
                      <w:szCs w:val="21"/>
                      <w:lang w:bidi="ar"/>
                    </w:rPr>
                    <w:t>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pct"/>
                  <w:vMerge w:val="restart"/>
                  <w:vAlign w:val="center"/>
                </w:tcPr>
                <w:p>
                  <w:pPr>
                    <w:jc w:val="center"/>
                    <w:rPr>
                      <w:color w:val="auto"/>
                    </w:rPr>
                  </w:pPr>
                  <w:r>
                    <w:rPr>
                      <w:rFonts w:hint="eastAsia"/>
                      <w:color w:val="auto"/>
                      <w:sz w:val="18"/>
                      <w:szCs w:val="18"/>
                    </w:rPr>
                    <w:t>喷淋精馏冷凝废水</w:t>
                  </w:r>
                </w:p>
              </w:tc>
              <w:tc>
                <w:tcPr>
                  <w:tcW w:w="759" w:type="pct"/>
                  <w:vMerge w:val="restart"/>
                  <w:vAlign w:val="center"/>
                </w:tcPr>
                <w:p>
                  <w:pPr>
                    <w:adjustRightInd w:val="0"/>
                    <w:snapToGrid w:val="0"/>
                    <w:jc w:val="center"/>
                    <w:rPr>
                      <w:color w:val="auto"/>
                    </w:rPr>
                  </w:pPr>
                  <w:r>
                    <w:rPr>
                      <w:rFonts w:hint="eastAsia"/>
                      <w:color w:val="auto"/>
                      <w:sz w:val="18"/>
                      <w:szCs w:val="18"/>
                    </w:rPr>
                    <w:t>148.03</w:t>
                  </w:r>
                </w:p>
              </w:tc>
              <w:tc>
                <w:tcPr>
                  <w:tcW w:w="473" w:type="pct"/>
                  <w:vAlign w:val="center"/>
                </w:tcPr>
                <w:p>
                  <w:pPr>
                    <w:jc w:val="center"/>
                    <w:rPr>
                      <w:color w:val="auto"/>
                    </w:rPr>
                  </w:pPr>
                  <w:r>
                    <w:rPr>
                      <w:color w:val="auto"/>
                      <w:sz w:val="18"/>
                      <w:szCs w:val="18"/>
                    </w:rPr>
                    <w:t>mg/L</w:t>
                  </w:r>
                </w:p>
              </w:tc>
              <w:tc>
                <w:tcPr>
                  <w:tcW w:w="606" w:type="pct"/>
                  <w:vAlign w:val="center"/>
                </w:tcPr>
                <w:p>
                  <w:pPr>
                    <w:adjustRightInd w:val="0"/>
                    <w:snapToGrid w:val="0"/>
                    <w:jc w:val="center"/>
                    <w:rPr>
                      <w:color w:val="auto"/>
                      <w:sz w:val="18"/>
                      <w:szCs w:val="18"/>
                    </w:rPr>
                  </w:pPr>
                  <w:r>
                    <w:rPr>
                      <w:color w:val="auto"/>
                      <w:sz w:val="18"/>
                      <w:szCs w:val="18"/>
                    </w:rPr>
                    <w:t>432.34</w:t>
                  </w:r>
                </w:p>
              </w:tc>
              <w:tc>
                <w:tcPr>
                  <w:tcW w:w="631" w:type="pct"/>
                  <w:vAlign w:val="center"/>
                </w:tcPr>
                <w:p>
                  <w:pPr>
                    <w:adjustRightInd w:val="0"/>
                    <w:snapToGrid w:val="0"/>
                    <w:jc w:val="center"/>
                    <w:rPr>
                      <w:color w:val="auto"/>
                      <w:sz w:val="18"/>
                      <w:szCs w:val="18"/>
                    </w:rPr>
                  </w:pPr>
                  <w:r>
                    <w:rPr>
                      <w:color w:val="auto"/>
                      <w:sz w:val="18"/>
                      <w:szCs w:val="18"/>
                    </w:rPr>
                    <w:t>33.78</w:t>
                  </w:r>
                </w:p>
              </w:tc>
              <w:tc>
                <w:tcPr>
                  <w:tcW w:w="569" w:type="pct"/>
                  <w:vAlign w:val="center"/>
                </w:tcPr>
                <w:p>
                  <w:pPr>
                    <w:adjustRightInd w:val="0"/>
                    <w:snapToGrid w:val="0"/>
                    <w:jc w:val="center"/>
                    <w:rPr>
                      <w:b/>
                      <w:bCs/>
                      <w:color w:val="auto"/>
                      <w:sz w:val="18"/>
                      <w:szCs w:val="18"/>
                    </w:rPr>
                  </w:pPr>
                  <w:r>
                    <w:rPr>
                      <w:color w:val="auto"/>
                      <w:sz w:val="18"/>
                      <w:szCs w:val="18"/>
                    </w:rPr>
                    <w:t>/</w:t>
                  </w:r>
                </w:p>
              </w:tc>
              <w:tc>
                <w:tcPr>
                  <w:tcW w:w="523" w:type="pct"/>
                  <w:vAlign w:val="center"/>
                </w:tcPr>
                <w:p>
                  <w:pPr>
                    <w:adjustRightInd w:val="0"/>
                    <w:snapToGrid w:val="0"/>
                    <w:jc w:val="center"/>
                    <w:rPr>
                      <w:b/>
                      <w:bCs/>
                      <w:color w:val="auto"/>
                      <w:sz w:val="18"/>
                      <w:szCs w:val="18"/>
                    </w:rPr>
                  </w:pPr>
                  <w:r>
                    <w:rPr>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pct"/>
                  <w:vMerge w:val="continue"/>
                  <w:vAlign w:val="center"/>
                </w:tcPr>
                <w:p>
                  <w:pPr>
                    <w:jc w:val="center"/>
                    <w:rPr>
                      <w:color w:val="auto"/>
                    </w:rPr>
                  </w:pPr>
                </w:p>
              </w:tc>
              <w:tc>
                <w:tcPr>
                  <w:tcW w:w="759" w:type="pct"/>
                  <w:vMerge w:val="continue"/>
                  <w:vAlign w:val="center"/>
                </w:tcPr>
                <w:p>
                  <w:pPr>
                    <w:adjustRightInd w:val="0"/>
                    <w:snapToGrid w:val="0"/>
                    <w:jc w:val="center"/>
                    <w:rPr>
                      <w:color w:val="auto"/>
                    </w:rPr>
                  </w:pPr>
                </w:p>
              </w:tc>
              <w:tc>
                <w:tcPr>
                  <w:tcW w:w="473" w:type="pct"/>
                  <w:vAlign w:val="center"/>
                </w:tcPr>
                <w:p>
                  <w:pPr>
                    <w:jc w:val="center"/>
                    <w:rPr>
                      <w:color w:val="auto"/>
                    </w:rPr>
                  </w:pPr>
                  <w:r>
                    <w:rPr>
                      <w:color w:val="auto"/>
                      <w:sz w:val="18"/>
                      <w:szCs w:val="18"/>
                    </w:rPr>
                    <w:t>t/a</w:t>
                  </w:r>
                </w:p>
              </w:tc>
              <w:tc>
                <w:tcPr>
                  <w:tcW w:w="606" w:type="pct"/>
                  <w:vAlign w:val="center"/>
                </w:tcPr>
                <w:p>
                  <w:pPr>
                    <w:adjustRightInd w:val="0"/>
                    <w:snapToGrid w:val="0"/>
                    <w:jc w:val="center"/>
                    <w:rPr>
                      <w:color w:val="auto"/>
                      <w:sz w:val="18"/>
                      <w:szCs w:val="18"/>
                    </w:rPr>
                  </w:pPr>
                  <w:r>
                    <w:rPr>
                      <w:color w:val="auto"/>
                      <w:sz w:val="18"/>
                      <w:szCs w:val="18"/>
                    </w:rPr>
                    <w:t>0.064</w:t>
                  </w:r>
                </w:p>
              </w:tc>
              <w:tc>
                <w:tcPr>
                  <w:tcW w:w="631" w:type="pct"/>
                  <w:vAlign w:val="center"/>
                </w:tcPr>
                <w:p>
                  <w:pPr>
                    <w:adjustRightInd w:val="0"/>
                    <w:snapToGrid w:val="0"/>
                    <w:jc w:val="center"/>
                    <w:rPr>
                      <w:color w:val="auto"/>
                      <w:sz w:val="18"/>
                      <w:szCs w:val="18"/>
                    </w:rPr>
                  </w:pPr>
                  <w:r>
                    <w:rPr>
                      <w:color w:val="auto"/>
                      <w:sz w:val="18"/>
                      <w:szCs w:val="18"/>
                    </w:rPr>
                    <w:t>0.005</w:t>
                  </w:r>
                </w:p>
              </w:tc>
              <w:tc>
                <w:tcPr>
                  <w:tcW w:w="569" w:type="pct"/>
                  <w:vAlign w:val="center"/>
                </w:tcPr>
                <w:p>
                  <w:pPr>
                    <w:adjustRightInd w:val="0"/>
                    <w:snapToGrid w:val="0"/>
                    <w:jc w:val="center"/>
                    <w:rPr>
                      <w:b/>
                      <w:bCs/>
                      <w:color w:val="auto"/>
                      <w:sz w:val="18"/>
                      <w:szCs w:val="18"/>
                    </w:rPr>
                  </w:pPr>
                  <w:r>
                    <w:rPr>
                      <w:color w:val="auto"/>
                      <w:sz w:val="18"/>
                      <w:szCs w:val="18"/>
                    </w:rPr>
                    <w:t>/</w:t>
                  </w:r>
                </w:p>
              </w:tc>
              <w:tc>
                <w:tcPr>
                  <w:tcW w:w="523" w:type="pct"/>
                  <w:vAlign w:val="center"/>
                </w:tcPr>
                <w:p>
                  <w:pPr>
                    <w:adjustRightInd w:val="0"/>
                    <w:snapToGrid w:val="0"/>
                    <w:jc w:val="center"/>
                    <w:rPr>
                      <w:b/>
                      <w:bCs/>
                      <w:color w:val="auto"/>
                      <w:sz w:val="18"/>
                      <w:szCs w:val="18"/>
                    </w:rPr>
                  </w:pPr>
                  <w:r>
                    <w:rPr>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pct"/>
                  <w:vMerge w:val="restart"/>
                  <w:vAlign w:val="center"/>
                </w:tcPr>
                <w:p>
                  <w:pPr>
                    <w:jc w:val="center"/>
                    <w:rPr>
                      <w:color w:val="auto"/>
                    </w:rPr>
                  </w:pPr>
                  <w:r>
                    <w:rPr>
                      <w:rFonts w:hint="eastAsia"/>
                      <w:color w:val="auto"/>
                      <w:sz w:val="18"/>
                      <w:szCs w:val="18"/>
                    </w:rPr>
                    <w:t>预处理后</w:t>
                  </w:r>
                  <w:r>
                    <w:rPr>
                      <w:color w:val="auto"/>
                      <w:sz w:val="18"/>
                      <w:szCs w:val="18"/>
                    </w:rPr>
                    <w:t>生活污水</w:t>
                  </w:r>
                </w:p>
              </w:tc>
              <w:tc>
                <w:tcPr>
                  <w:tcW w:w="759" w:type="pct"/>
                  <w:vMerge w:val="restart"/>
                  <w:vAlign w:val="center"/>
                </w:tcPr>
                <w:p>
                  <w:pPr>
                    <w:adjustRightInd w:val="0"/>
                    <w:snapToGrid w:val="0"/>
                    <w:jc w:val="center"/>
                    <w:rPr>
                      <w:color w:val="auto"/>
                      <w:sz w:val="18"/>
                      <w:szCs w:val="18"/>
                    </w:rPr>
                  </w:pPr>
                  <w:r>
                    <w:rPr>
                      <w:rFonts w:hint="eastAsia"/>
                      <w:color w:val="auto"/>
                      <w:sz w:val="18"/>
                      <w:szCs w:val="18"/>
                    </w:rPr>
                    <w:t>72</w:t>
                  </w:r>
                </w:p>
              </w:tc>
              <w:tc>
                <w:tcPr>
                  <w:tcW w:w="473" w:type="pct"/>
                  <w:vAlign w:val="center"/>
                </w:tcPr>
                <w:p>
                  <w:pPr>
                    <w:jc w:val="center"/>
                    <w:rPr>
                      <w:color w:val="auto"/>
                      <w:sz w:val="18"/>
                      <w:szCs w:val="18"/>
                    </w:rPr>
                  </w:pPr>
                  <w:r>
                    <w:rPr>
                      <w:color w:val="auto"/>
                      <w:sz w:val="18"/>
                      <w:szCs w:val="18"/>
                    </w:rPr>
                    <w:t>mg/L</w:t>
                  </w:r>
                </w:p>
              </w:tc>
              <w:tc>
                <w:tcPr>
                  <w:tcW w:w="606" w:type="pct"/>
                  <w:vAlign w:val="center"/>
                </w:tcPr>
                <w:p>
                  <w:pPr>
                    <w:adjustRightInd w:val="0"/>
                    <w:snapToGrid w:val="0"/>
                    <w:jc w:val="center"/>
                    <w:rPr>
                      <w:color w:val="auto"/>
                      <w:sz w:val="18"/>
                      <w:szCs w:val="18"/>
                    </w:rPr>
                  </w:pPr>
                  <w:r>
                    <w:rPr>
                      <w:color w:val="auto"/>
                      <w:kern w:val="0"/>
                      <w:sz w:val="18"/>
                      <w:szCs w:val="18"/>
                      <w:lang w:bidi="ar"/>
                    </w:rPr>
                    <w:t>289</w:t>
                  </w:r>
                </w:p>
              </w:tc>
              <w:tc>
                <w:tcPr>
                  <w:tcW w:w="631" w:type="pct"/>
                  <w:vAlign w:val="center"/>
                </w:tcPr>
                <w:p>
                  <w:pPr>
                    <w:adjustRightInd w:val="0"/>
                    <w:snapToGrid w:val="0"/>
                    <w:jc w:val="center"/>
                    <w:rPr>
                      <w:color w:val="auto"/>
                      <w:sz w:val="18"/>
                      <w:szCs w:val="18"/>
                    </w:rPr>
                  </w:pPr>
                  <w:r>
                    <w:rPr>
                      <w:color w:val="auto"/>
                      <w:kern w:val="0"/>
                      <w:sz w:val="18"/>
                      <w:szCs w:val="18"/>
                      <w:lang w:bidi="ar"/>
                    </w:rPr>
                    <w:t>31.62</w:t>
                  </w:r>
                </w:p>
              </w:tc>
              <w:tc>
                <w:tcPr>
                  <w:tcW w:w="569" w:type="pct"/>
                  <w:shd w:val="clear" w:color="auto" w:fill="auto"/>
                  <w:vAlign w:val="center"/>
                </w:tcPr>
                <w:p>
                  <w:pPr>
                    <w:widowControl/>
                    <w:snapToGrid w:val="0"/>
                    <w:jc w:val="center"/>
                    <w:textAlignment w:val="center"/>
                    <w:rPr>
                      <w:color w:val="auto"/>
                      <w:sz w:val="18"/>
                      <w:szCs w:val="18"/>
                    </w:rPr>
                  </w:pPr>
                  <w:r>
                    <w:rPr>
                      <w:color w:val="auto"/>
                      <w:kern w:val="0"/>
                      <w:sz w:val="18"/>
                      <w:szCs w:val="18"/>
                      <w:lang w:bidi="ar"/>
                    </w:rPr>
                    <w:t>136.5</w:t>
                  </w:r>
                </w:p>
              </w:tc>
              <w:tc>
                <w:tcPr>
                  <w:tcW w:w="523" w:type="pct"/>
                  <w:vAlign w:val="center"/>
                </w:tcPr>
                <w:p>
                  <w:pPr>
                    <w:widowControl/>
                    <w:snapToGrid w:val="0"/>
                    <w:jc w:val="center"/>
                    <w:textAlignment w:val="center"/>
                    <w:rPr>
                      <w:color w:val="auto"/>
                      <w:sz w:val="18"/>
                      <w:szCs w:val="18"/>
                    </w:rPr>
                  </w:pPr>
                  <w:r>
                    <w:rPr>
                      <w:color w:val="auto"/>
                      <w:kern w:val="0"/>
                      <w:sz w:val="18"/>
                      <w:szCs w:val="18"/>
                      <w:lang w:bidi="ar"/>
                    </w:rPr>
                    <w:t>140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pct"/>
                  <w:vMerge w:val="continue"/>
                  <w:vAlign w:val="center"/>
                </w:tcPr>
                <w:p>
                  <w:pPr>
                    <w:jc w:val="center"/>
                    <w:rPr>
                      <w:color w:val="auto"/>
                    </w:rPr>
                  </w:pPr>
                </w:p>
              </w:tc>
              <w:tc>
                <w:tcPr>
                  <w:tcW w:w="759" w:type="pct"/>
                  <w:vMerge w:val="continue"/>
                  <w:vAlign w:val="center"/>
                </w:tcPr>
                <w:p>
                  <w:pPr>
                    <w:adjustRightInd w:val="0"/>
                    <w:snapToGrid w:val="0"/>
                    <w:jc w:val="center"/>
                    <w:rPr>
                      <w:color w:val="auto"/>
                      <w:sz w:val="18"/>
                      <w:szCs w:val="18"/>
                    </w:rPr>
                  </w:pPr>
                </w:p>
              </w:tc>
              <w:tc>
                <w:tcPr>
                  <w:tcW w:w="473" w:type="pct"/>
                  <w:vAlign w:val="center"/>
                </w:tcPr>
                <w:p>
                  <w:pPr>
                    <w:jc w:val="center"/>
                    <w:rPr>
                      <w:color w:val="auto"/>
                      <w:sz w:val="18"/>
                      <w:szCs w:val="18"/>
                    </w:rPr>
                  </w:pPr>
                  <w:r>
                    <w:rPr>
                      <w:color w:val="auto"/>
                      <w:sz w:val="18"/>
                      <w:szCs w:val="18"/>
                    </w:rPr>
                    <w:t>t/a</w:t>
                  </w:r>
                </w:p>
              </w:tc>
              <w:tc>
                <w:tcPr>
                  <w:tcW w:w="606" w:type="pct"/>
                  <w:vAlign w:val="center"/>
                </w:tcPr>
                <w:p>
                  <w:pPr>
                    <w:adjustRightInd w:val="0"/>
                    <w:snapToGrid w:val="0"/>
                    <w:jc w:val="center"/>
                    <w:rPr>
                      <w:color w:val="auto"/>
                      <w:sz w:val="18"/>
                      <w:szCs w:val="18"/>
                    </w:rPr>
                  </w:pPr>
                  <w:r>
                    <w:rPr>
                      <w:color w:val="auto"/>
                      <w:kern w:val="0"/>
                      <w:sz w:val="18"/>
                      <w:szCs w:val="18"/>
                      <w:lang w:bidi="ar"/>
                    </w:rPr>
                    <w:t>0.021</w:t>
                  </w:r>
                </w:p>
              </w:tc>
              <w:tc>
                <w:tcPr>
                  <w:tcW w:w="631" w:type="pct"/>
                  <w:vAlign w:val="center"/>
                </w:tcPr>
                <w:p>
                  <w:pPr>
                    <w:adjustRightInd w:val="0"/>
                    <w:snapToGrid w:val="0"/>
                    <w:jc w:val="center"/>
                    <w:rPr>
                      <w:color w:val="auto"/>
                      <w:sz w:val="18"/>
                      <w:szCs w:val="18"/>
                    </w:rPr>
                  </w:pPr>
                  <w:r>
                    <w:rPr>
                      <w:color w:val="auto"/>
                      <w:kern w:val="0"/>
                      <w:sz w:val="18"/>
                      <w:szCs w:val="18"/>
                      <w:lang w:bidi="ar"/>
                    </w:rPr>
                    <w:t>0.002</w:t>
                  </w:r>
                </w:p>
              </w:tc>
              <w:tc>
                <w:tcPr>
                  <w:tcW w:w="569" w:type="pct"/>
                  <w:vAlign w:val="center"/>
                </w:tcPr>
                <w:p>
                  <w:pPr>
                    <w:adjustRightInd w:val="0"/>
                    <w:snapToGrid w:val="0"/>
                    <w:jc w:val="center"/>
                    <w:rPr>
                      <w:color w:val="auto"/>
                      <w:sz w:val="18"/>
                      <w:szCs w:val="18"/>
                    </w:rPr>
                  </w:pPr>
                  <w:r>
                    <w:rPr>
                      <w:color w:val="auto"/>
                      <w:kern w:val="0"/>
                      <w:sz w:val="18"/>
                      <w:szCs w:val="18"/>
                      <w:lang w:bidi="ar"/>
                    </w:rPr>
                    <w:t>0.01</w:t>
                  </w:r>
                </w:p>
              </w:tc>
              <w:tc>
                <w:tcPr>
                  <w:tcW w:w="523" w:type="pct"/>
                  <w:vAlign w:val="center"/>
                </w:tcPr>
                <w:p>
                  <w:pPr>
                    <w:adjustRightInd w:val="0"/>
                    <w:snapToGrid w:val="0"/>
                    <w:jc w:val="center"/>
                    <w:rPr>
                      <w:color w:val="auto"/>
                      <w:sz w:val="18"/>
                      <w:szCs w:val="18"/>
                    </w:rPr>
                  </w:pPr>
                  <w:r>
                    <w:rPr>
                      <w:color w:val="auto"/>
                      <w:kern w:val="0"/>
                      <w:sz w:val="18"/>
                      <w:szCs w:val="18"/>
                      <w:lang w:bidi="ar"/>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pct"/>
                  <w:vMerge w:val="restart"/>
                  <w:vAlign w:val="center"/>
                </w:tcPr>
                <w:p>
                  <w:pPr>
                    <w:snapToGrid w:val="0"/>
                    <w:jc w:val="center"/>
                    <w:rPr>
                      <w:color w:val="auto"/>
                      <w:sz w:val="18"/>
                      <w:szCs w:val="18"/>
                    </w:rPr>
                  </w:pPr>
                  <w:r>
                    <w:rPr>
                      <w:rFonts w:hint="eastAsia"/>
                      <w:color w:val="auto"/>
                      <w:sz w:val="18"/>
                      <w:szCs w:val="18"/>
                      <w:lang w:val="en-US" w:eastAsia="zh-CN"/>
                    </w:rPr>
                    <w:t>中水系统产生浓</w:t>
                  </w:r>
                  <w:r>
                    <w:rPr>
                      <w:rFonts w:hint="eastAsia"/>
                      <w:color w:val="auto"/>
                      <w:sz w:val="18"/>
                      <w:szCs w:val="18"/>
                    </w:rPr>
                    <w:t>水</w:t>
                  </w:r>
                </w:p>
              </w:tc>
              <w:tc>
                <w:tcPr>
                  <w:tcW w:w="759" w:type="pct"/>
                  <w:vMerge w:val="restart"/>
                  <w:vAlign w:val="center"/>
                </w:tcPr>
                <w:p>
                  <w:pPr>
                    <w:adjustRightInd w:val="0"/>
                    <w:snapToGrid w:val="0"/>
                    <w:jc w:val="center"/>
                    <w:rPr>
                      <w:color w:val="auto"/>
                      <w:sz w:val="18"/>
                      <w:szCs w:val="18"/>
                    </w:rPr>
                  </w:pPr>
                  <w:r>
                    <w:rPr>
                      <w:rFonts w:hint="eastAsia"/>
                      <w:color w:val="auto"/>
                      <w:sz w:val="18"/>
                      <w:szCs w:val="18"/>
                      <w:lang w:val="en-US" w:eastAsia="zh-CN"/>
                    </w:rPr>
                    <w:t>73.94</w:t>
                  </w:r>
                </w:p>
              </w:tc>
              <w:tc>
                <w:tcPr>
                  <w:tcW w:w="473" w:type="pct"/>
                  <w:vAlign w:val="center"/>
                </w:tcPr>
                <w:p>
                  <w:pPr>
                    <w:snapToGrid w:val="0"/>
                    <w:jc w:val="center"/>
                    <w:rPr>
                      <w:color w:val="auto"/>
                      <w:sz w:val="18"/>
                      <w:szCs w:val="18"/>
                    </w:rPr>
                  </w:pPr>
                  <w:r>
                    <w:rPr>
                      <w:color w:val="auto"/>
                      <w:sz w:val="18"/>
                      <w:szCs w:val="18"/>
                    </w:rPr>
                    <w:t>mg/L</w:t>
                  </w:r>
                </w:p>
              </w:tc>
              <w:tc>
                <w:tcPr>
                  <w:tcW w:w="606" w:type="pct"/>
                  <w:vAlign w:val="center"/>
                </w:tcPr>
                <w:p>
                  <w:pPr>
                    <w:adjustRightInd w:val="0"/>
                    <w:snapToGrid w:val="0"/>
                    <w:jc w:val="center"/>
                    <w:rPr>
                      <w:color w:val="auto"/>
                      <w:kern w:val="0"/>
                      <w:sz w:val="18"/>
                      <w:szCs w:val="18"/>
                      <w:lang w:bidi="ar"/>
                    </w:rPr>
                  </w:pPr>
                  <w:r>
                    <w:rPr>
                      <w:rFonts w:hint="eastAsia"/>
                      <w:color w:val="auto"/>
                      <w:sz w:val="18"/>
                      <w:szCs w:val="18"/>
                      <w:lang w:val="en-US" w:eastAsia="zh-CN"/>
                    </w:rPr>
                    <w:t>1475</w:t>
                  </w:r>
                </w:p>
              </w:tc>
              <w:tc>
                <w:tcPr>
                  <w:tcW w:w="631" w:type="pct"/>
                  <w:vAlign w:val="center"/>
                </w:tcPr>
                <w:p>
                  <w:pPr>
                    <w:adjustRightInd w:val="0"/>
                    <w:snapToGrid w:val="0"/>
                    <w:jc w:val="center"/>
                    <w:rPr>
                      <w:color w:val="auto"/>
                      <w:kern w:val="0"/>
                      <w:sz w:val="18"/>
                      <w:szCs w:val="18"/>
                      <w:lang w:bidi="ar"/>
                    </w:rPr>
                  </w:pPr>
                  <w:r>
                    <w:rPr>
                      <w:color w:val="auto"/>
                      <w:sz w:val="18"/>
                      <w:szCs w:val="18"/>
                    </w:rPr>
                    <w:t>/</w:t>
                  </w:r>
                </w:p>
              </w:tc>
              <w:tc>
                <w:tcPr>
                  <w:tcW w:w="569" w:type="pct"/>
                  <w:vAlign w:val="center"/>
                </w:tcPr>
                <w:p>
                  <w:pPr>
                    <w:adjustRightInd w:val="0"/>
                    <w:snapToGrid w:val="0"/>
                    <w:jc w:val="center"/>
                    <w:rPr>
                      <w:color w:val="auto"/>
                      <w:kern w:val="0"/>
                      <w:sz w:val="18"/>
                      <w:szCs w:val="18"/>
                      <w:lang w:bidi="ar"/>
                    </w:rPr>
                  </w:pPr>
                  <w:r>
                    <w:rPr>
                      <w:color w:val="auto"/>
                      <w:sz w:val="18"/>
                      <w:szCs w:val="18"/>
                    </w:rPr>
                    <w:t>/</w:t>
                  </w:r>
                </w:p>
              </w:tc>
              <w:tc>
                <w:tcPr>
                  <w:tcW w:w="523" w:type="pct"/>
                  <w:vAlign w:val="center"/>
                </w:tcPr>
                <w:p>
                  <w:pPr>
                    <w:adjustRightInd w:val="0"/>
                    <w:snapToGrid w:val="0"/>
                    <w:jc w:val="center"/>
                    <w:rPr>
                      <w:color w:val="auto"/>
                      <w:kern w:val="0"/>
                      <w:sz w:val="18"/>
                      <w:szCs w:val="18"/>
                      <w:lang w:bidi="ar"/>
                    </w:rPr>
                  </w:pPr>
                  <w:r>
                    <w:rPr>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pct"/>
                  <w:vMerge w:val="continue"/>
                  <w:vAlign w:val="center"/>
                </w:tcPr>
                <w:p>
                  <w:pPr>
                    <w:jc w:val="center"/>
                    <w:rPr>
                      <w:color w:val="auto"/>
                      <w:sz w:val="18"/>
                      <w:szCs w:val="18"/>
                    </w:rPr>
                  </w:pPr>
                </w:p>
              </w:tc>
              <w:tc>
                <w:tcPr>
                  <w:tcW w:w="759" w:type="pct"/>
                  <w:vMerge w:val="continue"/>
                  <w:vAlign w:val="center"/>
                </w:tcPr>
                <w:p>
                  <w:pPr>
                    <w:adjustRightInd w:val="0"/>
                    <w:snapToGrid w:val="0"/>
                    <w:jc w:val="center"/>
                    <w:rPr>
                      <w:color w:val="auto"/>
                      <w:sz w:val="18"/>
                      <w:szCs w:val="18"/>
                    </w:rPr>
                  </w:pPr>
                </w:p>
              </w:tc>
              <w:tc>
                <w:tcPr>
                  <w:tcW w:w="473" w:type="pct"/>
                  <w:vAlign w:val="center"/>
                </w:tcPr>
                <w:p>
                  <w:pPr>
                    <w:snapToGrid w:val="0"/>
                    <w:jc w:val="center"/>
                    <w:rPr>
                      <w:color w:val="auto"/>
                      <w:sz w:val="18"/>
                      <w:szCs w:val="18"/>
                    </w:rPr>
                  </w:pPr>
                  <w:r>
                    <w:rPr>
                      <w:color w:val="auto"/>
                      <w:sz w:val="18"/>
                      <w:szCs w:val="18"/>
                    </w:rPr>
                    <w:t>t/a</w:t>
                  </w:r>
                </w:p>
              </w:tc>
              <w:tc>
                <w:tcPr>
                  <w:tcW w:w="606" w:type="pct"/>
                  <w:vAlign w:val="center"/>
                </w:tcPr>
                <w:p>
                  <w:pPr>
                    <w:adjustRightInd w:val="0"/>
                    <w:snapToGrid w:val="0"/>
                    <w:jc w:val="center"/>
                    <w:rPr>
                      <w:color w:val="auto"/>
                      <w:kern w:val="0"/>
                      <w:sz w:val="18"/>
                      <w:szCs w:val="18"/>
                      <w:lang w:bidi="ar"/>
                    </w:rPr>
                  </w:pPr>
                  <w:r>
                    <w:rPr>
                      <w:rFonts w:hint="eastAsia"/>
                      <w:color w:val="auto"/>
                      <w:sz w:val="18"/>
                      <w:szCs w:val="18"/>
                      <w:lang w:val="en-US" w:eastAsia="zh-CN"/>
                    </w:rPr>
                    <w:t>0.109</w:t>
                  </w:r>
                </w:p>
              </w:tc>
              <w:tc>
                <w:tcPr>
                  <w:tcW w:w="631" w:type="pct"/>
                  <w:vAlign w:val="center"/>
                </w:tcPr>
                <w:p>
                  <w:pPr>
                    <w:adjustRightInd w:val="0"/>
                    <w:snapToGrid w:val="0"/>
                    <w:jc w:val="center"/>
                    <w:rPr>
                      <w:color w:val="auto"/>
                      <w:kern w:val="0"/>
                      <w:sz w:val="18"/>
                      <w:szCs w:val="18"/>
                      <w:lang w:bidi="ar"/>
                    </w:rPr>
                  </w:pPr>
                  <w:r>
                    <w:rPr>
                      <w:color w:val="auto"/>
                      <w:sz w:val="18"/>
                      <w:szCs w:val="18"/>
                    </w:rPr>
                    <w:t>/</w:t>
                  </w:r>
                </w:p>
              </w:tc>
              <w:tc>
                <w:tcPr>
                  <w:tcW w:w="569" w:type="pct"/>
                  <w:vAlign w:val="center"/>
                </w:tcPr>
                <w:p>
                  <w:pPr>
                    <w:adjustRightInd w:val="0"/>
                    <w:snapToGrid w:val="0"/>
                    <w:jc w:val="center"/>
                    <w:rPr>
                      <w:color w:val="auto"/>
                      <w:kern w:val="0"/>
                      <w:sz w:val="18"/>
                      <w:szCs w:val="18"/>
                      <w:lang w:bidi="ar"/>
                    </w:rPr>
                  </w:pPr>
                  <w:r>
                    <w:rPr>
                      <w:color w:val="auto"/>
                      <w:sz w:val="18"/>
                      <w:szCs w:val="18"/>
                    </w:rPr>
                    <w:t>/</w:t>
                  </w:r>
                </w:p>
              </w:tc>
              <w:tc>
                <w:tcPr>
                  <w:tcW w:w="523" w:type="pct"/>
                  <w:vAlign w:val="center"/>
                </w:tcPr>
                <w:p>
                  <w:pPr>
                    <w:adjustRightInd w:val="0"/>
                    <w:snapToGrid w:val="0"/>
                    <w:jc w:val="center"/>
                    <w:rPr>
                      <w:color w:val="auto"/>
                      <w:kern w:val="0"/>
                      <w:sz w:val="18"/>
                      <w:szCs w:val="18"/>
                      <w:lang w:bidi="ar"/>
                    </w:rPr>
                  </w:pPr>
                  <w:r>
                    <w:rPr>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pct"/>
                  <w:vMerge w:val="restart"/>
                  <w:vAlign w:val="center"/>
                </w:tcPr>
                <w:p>
                  <w:pPr>
                    <w:jc w:val="center"/>
                    <w:rPr>
                      <w:color w:val="auto"/>
                    </w:rPr>
                  </w:pPr>
                  <w:r>
                    <w:rPr>
                      <w:rFonts w:hint="eastAsia"/>
                      <w:color w:val="auto"/>
                      <w:sz w:val="18"/>
                      <w:szCs w:val="18"/>
                    </w:rPr>
                    <w:t>汇总</w:t>
                  </w:r>
                </w:p>
              </w:tc>
              <w:tc>
                <w:tcPr>
                  <w:tcW w:w="759" w:type="pct"/>
                  <w:vMerge w:val="restart"/>
                  <w:vAlign w:val="center"/>
                </w:tcPr>
                <w:p>
                  <w:pPr>
                    <w:adjustRightInd w:val="0"/>
                    <w:snapToGrid w:val="0"/>
                    <w:jc w:val="center"/>
                    <w:rPr>
                      <w:rFonts w:hint="eastAsia" w:eastAsia="宋体"/>
                      <w:color w:val="auto"/>
                      <w:sz w:val="18"/>
                      <w:szCs w:val="18"/>
                      <w:lang w:val="en-US" w:eastAsia="zh-CN"/>
                    </w:rPr>
                  </w:pPr>
                  <w:r>
                    <w:rPr>
                      <w:rFonts w:hint="eastAsia"/>
                      <w:color w:val="auto"/>
                      <w:sz w:val="18"/>
                      <w:szCs w:val="18"/>
                      <w:lang w:eastAsia="zh-CN"/>
                    </w:rPr>
                    <w:t>293.97</w:t>
                  </w:r>
                </w:p>
              </w:tc>
              <w:tc>
                <w:tcPr>
                  <w:tcW w:w="473" w:type="pct"/>
                  <w:vAlign w:val="center"/>
                </w:tcPr>
                <w:p>
                  <w:pPr>
                    <w:jc w:val="center"/>
                    <w:rPr>
                      <w:color w:val="auto"/>
                      <w:sz w:val="18"/>
                      <w:szCs w:val="18"/>
                    </w:rPr>
                  </w:pPr>
                  <w:r>
                    <w:rPr>
                      <w:color w:val="auto"/>
                      <w:sz w:val="18"/>
                      <w:szCs w:val="18"/>
                    </w:rPr>
                    <w:t>mg/L</w:t>
                  </w:r>
                </w:p>
              </w:tc>
              <w:tc>
                <w:tcPr>
                  <w:tcW w:w="606" w:type="pct"/>
                  <w:vAlign w:val="center"/>
                </w:tcPr>
                <w:p>
                  <w:pPr>
                    <w:keepNext w:val="0"/>
                    <w:keepLines w:val="0"/>
                    <w:widowControl/>
                    <w:suppressLineNumbers w:val="0"/>
                    <w:jc w:val="center"/>
                    <w:textAlignment w:val="center"/>
                    <w:rPr>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659.93</w:t>
                  </w:r>
                </w:p>
              </w:tc>
              <w:tc>
                <w:tcPr>
                  <w:tcW w:w="631" w:type="pct"/>
                  <w:vAlign w:val="center"/>
                </w:tcPr>
                <w:p>
                  <w:pPr>
                    <w:keepNext w:val="0"/>
                    <w:keepLines w:val="0"/>
                    <w:widowControl/>
                    <w:suppressLineNumbers w:val="0"/>
                    <w:jc w:val="center"/>
                    <w:textAlignment w:val="center"/>
                    <w:rPr>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23.81</w:t>
                  </w:r>
                </w:p>
              </w:tc>
              <w:tc>
                <w:tcPr>
                  <w:tcW w:w="569" w:type="pct"/>
                  <w:shd w:val="clear" w:color="auto" w:fill="auto"/>
                  <w:vAlign w:val="center"/>
                </w:tcPr>
                <w:p>
                  <w:pPr>
                    <w:keepNext w:val="0"/>
                    <w:keepLines w:val="0"/>
                    <w:widowControl/>
                    <w:suppressLineNumbers w:val="0"/>
                    <w:jc w:val="center"/>
                    <w:textAlignment w:val="center"/>
                    <w:rPr>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34.02</w:t>
                  </w:r>
                </w:p>
              </w:tc>
              <w:tc>
                <w:tcPr>
                  <w:tcW w:w="523" w:type="pct"/>
                  <w:vAlign w:val="center"/>
                </w:tcPr>
                <w:p>
                  <w:pPr>
                    <w:keepNext w:val="0"/>
                    <w:keepLines w:val="0"/>
                    <w:widowControl/>
                    <w:suppressLineNumbers w:val="0"/>
                    <w:jc w:val="center"/>
                    <w:textAlignment w:val="center"/>
                    <w:rPr>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34.02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pct"/>
                  <w:vMerge w:val="continue"/>
                  <w:vAlign w:val="center"/>
                </w:tcPr>
                <w:p>
                  <w:pPr>
                    <w:jc w:val="center"/>
                    <w:rPr>
                      <w:color w:val="auto"/>
                    </w:rPr>
                  </w:pPr>
                </w:p>
              </w:tc>
              <w:tc>
                <w:tcPr>
                  <w:tcW w:w="759" w:type="pct"/>
                  <w:vMerge w:val="continue"/>
                  <w:vAlign w:val="center"/>
                </w:tcPr>
                <w:p>
                  <w:pPr>
                    <w:adjustRightInd w:val="0"/>
                    <w:snapToGrid w:val="0"/>
                    <w:jc w:val="center"/>
                    <w:rPr>
                      <w:color w:val="auto"/>
                      <w:sz w:val="18"/>
                      <w:szCs w:val="18"/>
                    </w:rPr>
                  </w:pPr>
                </w:p>
              </w:tc>
              <w:tc>
                <w:tcPr>
                  <w:tcW w:w="473" w:type="pct"/>
                  <w:vAlign w:val="center"/>
                </w:tcPr>
                <w:p>
                  <w:pPr>
                    <w:jc w:val="center"/>
                    <w:rPr>
                      <w:color w:val="auto"/>
                      <w:sz w:val="18"/>
                      <w:szCs w:val="18"/>
                    </w:rPr>
                  </w:pPr>
                  <w:r>
                    <w:rPr>
                      <w:color w:val="auto"/>
                      <w:sz w:val="18"/>
                      <w:szCs w:val="18"/>
                    </w:rPr>
                    <w:t>t/a</w:t>
                  </w:r>
                </w:p>
              </w:tc>
              <w:tc>
                <w:tcPr>
                  <w:tcW w:w="606" w:type="pct"/>
                  <w:vAlign w:val="center"/>
                </w:tcPr>
                <w:p>
                  <w:pPr>
                    <w:keepNext w:val="0"/>
                    <w:keepLines w:val="0"/>
                    <w:widowControl/>
                    <w:suppressLineNumbers w:val="0"/>
                    <w:jc w:val="center"/>
                    <w:textAlignment w:val="center"/>
                    <w:rPr>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0.194</w:t>
                  </w:r>
                </w:p>
              </w:tc>
              <w:tc>
                <w:tcPr>
                  <w:tcW w:w="631" w:type="pct"/>
                  <w:vAlign w:val="center"/>
                </w:tcPr>
                <w:p>
                  <w:pPr>
                    <w:keepNext w:val="0"/>
                    <w:keepLines w:val="0"/>
                    <w:widowControl/>
                    <w:suppressLineNumbers w:val="0"/>
                    <w:jc w:val="center"/>
                    <w:textAlignment w:val="center"/>
                    <w:rPr>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0.007</w:t>
                  </w:r>
                </w:p>
              </w:tc>
              <w:tc>
                <w:tcPr>
                  <w:tcW w:w="569" w:type="pct"/>
                  <w:vAlign w:val="center"/>
                </w:tcPr>
                <w:p>
                  <w:pPr>
                    <w:keepNext w:val="0"/>
                    <w:keepLines w:val="0"/>
                    <w:widowControl/>
                    <w:suppressLineNumbers w:val="0"/>
                    <w:jc w:val="center"/>
                    <w:textAlignment w:val="center"/>
                    <w:rPr>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0.01</w:t>
                  </w:r>
                </w:p>
              </w:tc>
              <w:tc>
                <w:tcPr>
                  <w:tcW w:w="523" w:type="pct"/>
                  <w:vAlign w:val="center"/>
                </w:tcPr>
                <w:p>
                  <w:pPr>
                    <w:keepNext w:val="0"/>
                    <w:keepLines w:val="0"/>
                    <w:widowControl/>
                    <w:suppressLineNumbers w:val="0"/>
                    <w:jc w:val="center"/>
                    <w:textAlignment w:val="center"/>
                    <w:rPr>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0.01</w:t>
                  </w:r>
                </w:p>
              </w:tc>
            </w:tr>
          </w:tbl>
          <w:p>
            <w:pPr>
              <w:numPr>
                <w:ilvl w:val="0"/>
                <w:numId w:val="5"/>
              </w:numPr>
              <w:spacing w:line="360" w:lineRule="auto"/>
              <w:ind w:firstLine="422" w:firstLineChars="200"/>
              <w:jc w:val="left"/>
              <w:rPr>
                <w:b/>
                <w:bCs/>
                <w:color w:val="auto"/>
                <w:szCs w:val="21"/>
              </w:rPr>
            </w:pPr>
            <w:r>
              <w:rPr>
                <w:rFonts w:hint="eastAsia"/>
                <w:b/>
                <w:bCs/>
                <w:color w:val="auto"/>
                <w:szCs w:val="21"/>
              </w:rPr>
              <w:t>废水防治措施及可行性分析</w:t>
            </w:r>
          </w:p>
          <w:p>
            <w:pPr>
              <w:spacing w:line="360" w:lineRule="auto"/>
              <w:ind w:firstLine="420" w:firstLineChars="200"/>
              <w:jc w:val="left"/>
              <w:rPr>
                <w:rFonts w:hint="eastAsia"/>
                <w:color w:val="auto"/>
                <w:szCs w:val="21"/>
                <w:lang w:eastAsia="zh-CN"/>
              </w:rPr>
            </w:pPr>
            <w:r>
              <w:rPr>
                <w:rFonts w:hint="eastAsia"/>
                <w:color w:val="auto"/>
                <w:szCs w:val="21"/>
              </w:rPr>
              <w:t>本</w:t>
            </w:r>
            <w:r>
              <w:rPr>
                <w:rFonts w:hint="eastAsia"/>
                <w:color w:val="auto"/>
                <w:szCs w:val="21"/>
                <w:lang w:val="en-US" w:eastAsia="zh-CN"/>
              </w:rPr>
              <w:t>扩建</w:t>
            </w:r>
            <w:r>
              <w:rPr>
                <w:rFonts w:hint="eastAsia"/>
                <w:color w:val="auto"/>
                <w:szCs w:val="21"/>
              </w:rPr>
              <w:t>项目新增废水</w:t>
            </w:r>
            <w:r>
              <w:rPr>
                <w:rFonts w:hint="eastAsia"/>
                <w:color w:val="auto"/>
                <w:szCs w:val="21"/>
                <w:lang w:val="en-US" w:eastAsia="zh-CN"/>
              </w:rPr>
              <w:t>包括</w:t>
            </w:r>
            <w:r>
              <w:rPr>
                <w:rFonts w:hint="eastAsia"/>
                <w:color w:val="auto"/>
                <w:szCs w:val="21"/>
              </w:rPr>
              <w:t>生产废水</w:t>
            </w:r>
            <w:r>
              <w:rPr>
                <w:rFonts w:hint="eastAsia"/>
                <w:color w:val="auto"/>
                <w:szCs w:val="21"/>
                <w:lang w:eastAsia="zh-CN"/>
              </w:rPr>
              <w:t>、</w:t>
            </w:r>
            <w:r>
              <w:rPr>
                <w:rFonts w:hint="eastAsia"/>
                <w:color w:val="auto"/>
                <w:szCs w:val="21"/>
                <w:lang w:val="en-US" w:eastAsia="zh-CN"/>
              </w:rPr>
              <w:t>中水浓水</w:t>
            </w:r>
            <w:r>
              <w:rPr>
                <w:rFonts w:hint="eastAsia"/>
                <w:color w:val="auto"/>
                <w:szCs w:val="21"/>
              </w:rPr>
              <w:t>和经预处理后的生活污水</w:t>
            </w:r>
            <w:r>
              <w:rPr>
                <w:rFonts w:hint="eastAsia"/>
                <w:color w:val="auto"/>
                <w:szCs w:val="21"/>
                <w:lang w:eastAsia="zh-CN"/>
              </w:rPr>
              <w:t>，</w:t>
            </w:r>
            <w:r>
              <w:rPr>
                <w:rFonts w:hint="eastAsia"/>
                <w:b/>
                <w:bCs/>
                <w:color w:val="auto"/>
                <w:szCs w:val="21"/>
                <w:lang w:eastAsia="zh-CN"/>
              </w:rPr>
              <w:t>合计仅0.98 t/d</w:t>
            </w:r>
            <w:r>
              <w:rPr>
                <w:rFonts w:hint="eastAsia"/>
                <w:color w:val="auto"/>
                <w:szCs w:val="21"/>
                <w:lang w:eastAsia="zh-CN"/>
              </w:rPr>
              <w:t>，全部依托一厂现有污水站处理。该</w:t>
            </w:r>
            <w:r>
              <w:rPr>
                <w:rFonts w:hint="eastAsia"/>
                <w:b/>
                <w:bCs/>
                <w:color w:val="auto"/>
                <w:szCs w:val="21"/>
                <w:lang w:eastAsia="zh-CN"/>
              </w:rPr>
              <w:t>污水站设计处理能力100 t/d</w:t>
            </w:r>
            <w:r>
              <w:rPr>
                <w:rFonts w:hint="eastAsia"/>
                <w:color w:val="auto"/>
                <w:szCs w:val="21"/>
                <w:lang w:eastAsia="zh-CN"/>
              </w:rPr>
              <w:t>，</w:t>
            </w:r>
            <w:r>
              <w:rPr>
                <w:rFonts w:hint="eastAsia"/>
                <w:b/>
                <w:bCs/>
                <w:color w:val="auto"/>
                <w:szCs w:val="21"/>
                <w:lang w:val="en-US" w:eastAsia="zh-CN"/>
              </w:rPr>
              <w:t>现状</w:t>
            </w:r>
            <w:r>
              <w:rPr>
                <w:rFonts w:hint="eastAsia"/>
                <w:b/>
                <w:bCs/>
                <w:color w:val="auto"/>
                <w:szCs w:val="21"/>
                <w:lang w:eastAsia="zh-CN"/>
              </w:rPr>
              <w:t>处理量约52.147 t/d</w:t>
            </w:r>
            <w:r>
              <w:rPr>
                <w:rFonts w:hint="eastAsia"/>
                <w:color w:val="auto"/>
                <w:szCs w:val="21"/>
                <w:lang w:eastAsia="zh-CN"/>
              </w:rPr>
              <w:t>，余量充足，新增水量影响甚微。厂区已建成污水管网，废水可接入</w:t>
            </w:r>
            <w:r>
              <w:rPr>
                <w:rFonts w:hint="eastAsia"/>
                <w:color w:val="auto"/>
                <w:szCs w:val="21"/>
                <w:lang w:val="en-US" w:eastAsia="zh-CN"/>
              </w:rPr>
              <w:t>并管</w:t>
            </w:r>
            <w:r>
              <w:rPr>
                <w:rFonts w:hint="eastAsia"/>
                <w:color w:val="auto"/>
                <w:szCs w:val="21"/>
                <w:lang w:eastAsia="zh-CN"/>
              </w:rPr>
              <w:t>。</w:t>
            </w:r>
          </w:p>
          <w:p>
            <w:pPr>
              <w:spacing w:line="360" w:lineRule="auto"/>
              <w:ind w:firstLine="420" w:firstLineChars="200"/>
              <w:jc w:val="left"/>
              <w:rPr>
                <w:rFonts w:hint="eastAsia"/>
                <w:color w:val="auto"/>
                <w:szCs w:val="20"/>
              </w:rPr>
            </w:pPr>
            <w:r>
              <w:rPr>
                <w:color w:val="auto"/>
                <w:szCs w:val="20"/>
              </w:rPr>
              <w:t>根据生产工艺及原辅料使用情况，</w:t>
            </w:r>
            <w:r>
              <w:rPr>
                <w:rFonts w:hint="eastAsia"/>
                <w:color w:val="auto"/>
                <w:szCs w:val="20"/>
              </w:rPr>
              <w:t>本项目废水的COD主要来自冷凝水</w:t>
            </w:r>
            <w:r>
              <w:rPr>
                <w:rFonts w:hint="eastAsia"/>
                <w:color w:val="auto"/>
                <w:szCs w:val="20"/>
                <w:lang w:eastAsia="zh-CN"/>
              </w:rPr>
              <w:t>和</w:t>
            </w:r>
            <w:r>
              <w:rPr>
                <w:rFonts w:hint="eastAsia"/>
                <w:color w:val="auto"/>
                <w:szCs w:val="20"/>
              </w:rPr>
              <w:t>中水处理产生的浓水；氨氮则主要由冷凝水</w:t>
            </w:r>
            <w:r>
              <w:rPr>
                <w:rFonts w:hint="eastAsia"/>
                <w:color w:val="auto"/>
                <w:szCs w:val="20"/>
                <w:lang w:val="en-US" w:eastAsia="zh-CN"/>
              </w:rPr>
              <w:t>中</w:t>
            </w:r>
            <w:r>
              <w:rPr>
                <w:rFonts w:hint="eastAsia"/>
                <w:color w:val="auto"/>
                <w:szCs w:val="20"/>
              </w:rPr>
              <w:t>极少量</w:t>
            </w:r>
            <w:r>
              <w:rPr>
                <w:rFonts w:hint="eastAsia"/>
                <w:color w:val="auto"/>
                <w:szCs w:val="20"/>
                <w:lang w:eastAsia="zh-CN"/>
              </w:rPr>
              <w:t>溶剂</w:t>
            </w:r>
            <w:r>
              <w:rPr>
                <w:rFonts w:hint="eastAsia"/>
                <w:color w:val="auto"/>
                <w:szCs w:val="20"/>
              </w:rPr>
              <w:t>贡献</w:t>
            </w:r>
            <w:r>
              <w:rPr>
                <w:rFonts w:hint="eastAsia"/>
                <w:color w:val="auto"/>
                <w:szCs w:val="20"/>
                <w:lang w:eastAsia="zh-CN"/>
              </w:rPr>
              <w:t>；</w:t>
            </w:r>
            <w:r>
              <w:rPr>
                <w:color w:val="auto"/>
                <w:szCs w:val="20"/>
              </w:rPr>
              <w:t>BOD</w:t>
            </w:r>
            <w:r>
              <w:rPr>
                <w:rFonts w:hint="eastAsia"/>
                <w:color w:val="auto"/>
                <w:szCs w:val="20"/>
                <w:vertAlign w:val="subscript"/>
              </w:rPr>
              <w:t>5</w:t>
            </w:r>
            <w:r>
              <w:rPr>
                <w:color w:val="auto"/>
                <w:szCs w:val="20"/>
              </w:rPr>
              <w:t>、SS则主要由新增劳动定员的生活污水贡献。</w:t>
            </w:r>
            <w:r>
              <w:rPr>
                <w:rFonts w:hint="eastAsia"/>
                <w:color w:val="auto"/>
                <w:szCs w:val="20"/>
                <w:lang w:eastAsia="zh-CN"/>
              </w:rPr>
              <w:t>溶剂</w:t>
            </w:r>
            <w:r>
              <w:rPr>
                <w:rFonts w:hint="eastAsia"/>
                <w:color w:val="auto"/>
                <w:szCs w:val="20"/>
              </w:rPr>
              <w:t>属难生化降解的酰胺类有机物。一厂污水处理站采用“调节+铁碳微电解+中和+厌氧好氧”组合工艺，对此类废水适用性良好。</w:t>
            </w:r>
          </w:p>
          <w:p>
            <w:pPr>
              <w:spacing w:line="360" w:lineRule="auto"/>
              <w:ind w:firstLine="420" w:firstLineChars="200"/>
              <w:jc w:val="left"/>
              <w:rPr>
                <w:rFonts w:hint="eastAsia"/>
                <w:color w:val="auto"/>
                <w:szCs w:val="20"/>
              </w:rPr>
            </w:pPr>
            <w:r>
              <w:rPr>
                <w:rFonts w:hint="eastAsia"/>
                <w:color w:val="auto"/>
                <w:szCs w:val="20"/>
              </w:rPr>
              <w:t>废水经调节均质后进入铁碳微电解单元，利用微原电池产生新生态</w:t>
            </w:r>
            <w:r>
              <w:rPr>
                <w:rFonts w:hint="eastAsia"/>
                <w:color w:val="auto"/>
                <w:szCs w:val="21"/>
              </w:rPr>
              <w:t>[H]和Fe</w:t>
            </w:r>
            <w:r>
              <w:rPr>
                <w:rFonts w:hint="eastAsia"/>
                <w:color w:val="auto"/>
                <w:szCs w:val="21"/>
                <w:vertAlign w:val="superscript"/>
              </w:rPr>
              <w:t>2+</w:t>
            </w:r>
            <w:r>
              <w:rPr>
                <w:rFonts w:hint="eastAsia"/>
                <w:color w:val="auto"/>
                <w:szCs w:val="20"/>
              </w:rPr>
              <w:t>，破坏</w:t>
            </w:r>
            <w:r>
              <w:rPr>
                <w:rFonts w:hint="eastAsia"/>
                <w:color w:val="auto"/>
                <w:szCs w:val="21"/>
                <w:lang w:eastAsia="zh-CN"/>
              </w:rPr>
              <w:t>溶剂</w:t>
            </w:r>
            <w:r>
              <w:rPr>
                <w:rFonts w:hint="eastAsia"/>
                <w:color w:val="auto"/>
                <w:szCs w:val="20"/>
              </w:rPr>
              <w:t>酰胺键，将难降解大分子转化为小分子中间产物，显著提高可生化性；后续中和段形成铁盐絮体，通过吸附、网捕有效去除SS。预处理出水再经厌氧—好氧生化处理，残留有机物进一步水解酸化和矿化降解，并通过硝化—反硝化实现脱氮。</w:t>
            </w:r>
          </w:p>
          <w:p>
            <w:pPr>
              <w:spacing w:line="360" w:lineRule="auto"/>
              <w:ind w:firstLine="420" w:firstLineChars="200"/>
              <w:jc w:val="left"/>
              <w:rPr>
                <w:color w:val="auto"/>
                <w:szCs w:val="21"/>
              </w:rPr>
            </w:pPr>
            <w:r>
              <w:rPr>
                <w:rFonts w:hint="eastAsia"/>
                <w:color w:val="auto"/>
                <w:szCs w:val="21"/>
              </w:rPr>
              <w:t>参考《铁炭内电解预处理DMF和DMAC废水研究》（《西安科技大学学报》，Vol.14，No.1，215-218），铁碳单元对</w:t>
            </w:r>
            <w:r>
              <w:rPr>
                <w:rFonts w:hint="eastAsia"/>
                <w:color w:val="auto"/>
                <w:szCs w:val="21"/>
                <w:lang w:eastAsia="zh-CN"/>
              </w:rPr>
              <w:t>溶剂</w:t>
            </w:r>
            <w:r>
              <w:rPr>
                <w:rFonts w:hint="eastAsia"/>
                <w:color w:val="auto"/>
                <w:szCs w:val="21"/>
              </w:rPr>
              <w:t>废水中CODcr的去除率达37%以上，可生化性大幅提升；参考《中空纤维膜生产中</w:t>
            </w:r>
            <w:r>
              <w:rPr>
                <w:rFonts w:hint="eastAsia"/>
                <w:color w:val="auto"/>
                <w:szCs w:val="21"/>
                <w:lang w:eastAsia="zh-CN"/>
              </w:rPr>
              <w:t>溶剂</w:t>
            </w:r>
            <w:r>
              <w:rPr>
                <w:rFonts w:hint="eastAsia"/>
                <w:color w:val="auto"/>
                <w:szCs w:val="21"/>
              </w:rPr>
              <w:t>废液深度处理研究》（中国石油大学（华东），孙灿，2013）对含</w:t>
            </w:r>
            <w:r>
              <w:rPr>
                <w:rFonts w:hint="eastAsia"/>
                <w:color w:val="auto"/>
                <w:szCs w:val="21"/>
                <w:lang w:eastAsia="zh-CN"/>
              </w:rPr>
              <w:t>溶剂</w:t>
            </w:r>
            <w:r>
              <w:rPr>
                <w:rFonts w:hint="eastAsia"/>
                <w:color w:val="auto"/>
                <w:szCs w:val="21"/>
              </w:rPr>
              <w:t>废水治理现状的总结，厌氧—好氧工艺对含</w:t>
            </w:r>
            <w:r>
              <w:rPr>
                <w:rFonts w:hint="eastAsia"/>
                <w:color w:val="auto"/>
                <w:szCs w:val="21"/>
                <w:lang w:eastAsia="zh-CN"/>
              </w:rPr>
              <w:t>溶剂</w:t>
            </w:r>
            <w:r>
              <w:rPr>
                <w:rFonts w:hint="eastAsia"/>
                <w:color w:val="auto"/>
                <w:szCs w:val="21"/>
              </w:rPr>
              <w:t>废水中COD的去除率可达60%以上，BOD</w:t>
            </w:r>
            <w:r>
              <w:rPr>
                <w:rFonts w:hint="eastAsia"/>
                <w:color w:val="auto"/>
                <w:szCs w:val="21"/>
                <w:vertAlign w:val="subscript"/>
              </w:rPr>
              <w:t>5</w:t>
            </w:r>
            <w:r>
              <w:rPr>
                <w:rFonts w:hint="eastAsia"/>
                <w:color w:val="auto"/>
                <w:szCs w:val="21"/>
              </w:rPr>
              <w:t>去除率可达90%。据此，铁碳微电解+生化组合工艺对COD的去除效率至少可达70%，BOD</w:t>
            </w:r>
            <w:r>
              <w:rPr>
                <w:rFonts w:hint="eastAsia"/>
                <w:color w:val="auto"/>
                <w:szCs w:val="21"/>
                <w:vertAlign w:val="subscript"/>
              </w:rPr>
              <w:t>5</w:t>
            </w:r>
            <w:r>
              <w:rPr>
                <w:rFonts w:hint="eastAsia"/>
                <w:color w:val="auto"/>
                <w:szCs w:val="21"/>
              </w:rPr>
              <w:t>去除效率可达90%。另参考《排放源统计调查产排污核算方法和系数手册》，“调节+铁碳微电解+中和+厌氧好氧”属“物理化学法+厌氧生物处理法+好氧生物处理法”组合技术，其对氨氮的去除效率可达85%，对SS的去除效率可达91%。</w:t>
            </w:r>
          </w:p>
          <w:p>
            <w:pPr>
              <w:spacing w:line="360" w:lineRule="auto"/>
              <w:ind w:firstLine="420" w:firstLineChars="200"/>
              <w:jc w:val="left"/>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综上，依托一厂污水处理站现有工艺，本项目新增废水中COD去除率≥70%，BOD</w:t>
            </w:r>
            <w:r>
              <w:rPr>
                <w:rFonts w:hint="eastAsia" w:ascii="Times New Roman" w:hAnsi="Times New Roman" w:eastAsia="宋体" w:cs="Times New Roman"/>
                <w:color w:val="auto"/>
                <w:szCs w:val="21"/>
                <w:vertAlign w:val="subscript"/>
              </w:rPr>
              <w:t>5</w:t>
            </w:r>
            <w:r>
              <w:rPr>
                <w:rFonts w:hint="eastAsia" w:ascii="Times New Roman" w:hAnsi="Times New Roman" w:eastAsia="宋体" w:cs="Times New Roman"/>
                <w:color w:val="auto"/>
                <w:szCs w:val="21"/>
              </w:rPr>
              <w:t>去除率≥90%，氨氮去除率≥85%，SS去除率≥91%。</w:t>
            </w:r>
          </w:p>
          <w:p>
            <w:pPr>
              <w:spacing w:line="360" w:lineRule="auto"/>
              <w:ind w:firstLine="420" w:firstLineChars="200"/>
              <w:jc w:val="left"/>
              <w:rPr>
                <w:rFonts w:hint="eastAsia" w:ascii="Times New Roman" w:hAnsi="Times New Roman" w:eastAsia="宋体" w:cs="Times New Roman"/>
                <w:b w:val="0"/>
                <w:bCs w:val="0"/>
                <w:color w:val="auto"/>
                <w:szCs w:val="21"/>
                <w:lang w:val="en-US" w:eastAsia="zh-CN"/>
              </w:rPr>
            </w:pPr>
            <w:r>
              <w:rPr>
                <w:rFonts w:hint="eastAsia" w:ascii="Times New Roman" w:hAnsi="Times New Roman" w:eastAsia="宋体" w:cs="Times New Roman"/>
                <w:color w:val="auto"/>
                <w:szCs w:val="21"/>
              </w:rPr>
              <w:t>由下表可知，本项目新增废水依托一厂污水处理站现有工艺处理后，废水排放浓度为COD≤</w:t>
            </w:r>
            <w:r>
              <w:rPr>
                <w:rFonts w:hint="eastAsia" w:ascii="Times New Roman" w:hAnsi="Times New Roman" w:eastAsia="宋体" w:cs="Times New Roman"/>
                <w:color w:val="auto"/>
                <w:szCs w:val="21"/>
                <w:lang w:val="en-US" w:eastAsia="zh-CN"/>
              </w:rPr>
              <w:t>198</w:t>
            </w:r>
            <w:r>
              <w:rPr>
                <w:rFonts w:hint="eastAsia" w:ascii="Times New Roman" w:hAnsi="Times New Roman" w:eastAsia="宋体" w:cs="Times New Roman"/>
                <w:color w:val="auto"/>
                <w:szCs w:val="21"/>
              </w:rPr>
              <w:t>mg/L、BOD</w:t>
            </w:r>
            <w:r>
              <w:rPr>
                <w:rFonts w:hint="eastAsia" w:ascii="Times New Roman" w:hAnsi="Times New Roman" w:eastAsia="宋体" w:cs="Times New Roman"/>
                <w:color w:val="auto"/>
                <w:szCs w:val="21"/>
                <w:vertAlign w:val="subscript"/>
              </w:rPr>
              <w:t>5</w:t>
            </w:r>
            <w:r>
              <w:rPr>
                <w:rFonts w:hint="eastAsia" w:ascii="Times New Roman" w:hAnsi="Times New Roman" w:eastAsia="宋体" w:cs="Times New Roman"/>
                <w:color w:val="auto"/>
                <w:szCs w:val="21"/>
              </w:rPr>
              <w:t>≤</w:t>
            </w:r>
            <w:r>
              <w:rPr>
                <w:rFonts w:hint="eastAsia" w:ascii="Times New Roman" w:hAnsi="Times New Roman" w:eastAsia="宋体" w:cs="Times New Roman"/>
                <w:color w:val="auto"/>
                <w:szCs w:val="21"/>
                <w:lang w:val="en-US" w:eastAsia="zh-CN"/>
              </w:rPr>
              <w:t>3.402</w:t>
            </w:r>
            <w:r>
              <w:rPr>
                <w:rFonts w:hint="eastAsia" w:ascii="Times New Roman" w:hAnsi="Times New Roman" w:eastAsia="宋体" w:cs="Times New Roman"/>
                <w:color w:val="auto"/>
                <w:szCs w:val="21"/>
              </w:rPr>
              <w:t>mg/L、SS≤</w:t>
            </w:r>
            <w:r>
              <w:rPr>
                <w:rFonts w:hint="eastAsia" w:ascii="Times New Roman" w:hAnsi="Times New Roman" w:eastAsia="宋体" w:cs="Times New Roman"/>
                <w:color w:val="auto"/>
                <w:szCs w:val="21"/>
                <w:lang w:val="en-US" w:eastAsia="zh-CN"/>
              </w:rPr>
              <w:t>3.062</w:t>
            </w:r>
            <w:r>
              <w:rPr>
                <w:rFonts w:hint="eastAsia" w:ascii="Times New Roman" w:hAnsi="Times New Roman" w:eastAsia="宋体" w:cs="Times New Roman"/>
                <w:color w:val="auto"/>
                <w:szCs w:val="21"/>
              </w:rPr>
              <w:t>mg/L、氨氮≤</w:t>
            </w:r>
            <w:r>
              <w:rPr>
                <w:rFonts w:hint="eastAsia" w:ascii="Times New Roman" w:hAnsi="Times New Roman" w:eastAsia="宋体" w:cs="Times New Roman"/>
                <w:color w:val="auto"/>
                <w:szCs w:val="21"/>
                <w:lang w:val="en-US" w:eastAsia="zh-CN"/>
              </w:rPr>
              <w:t>3.572</w:t>
            </w:r>
            <w:r>
              <w:rPr>
                <w:rFonts w:hint="eastAsia" w:ascii="Times New Roman" w:hAnsi="Times New Roman" w:eastAsia="宋体" w:cs="Times New Roman"/>
                <w:color w:val="auto"/>
                <w:szCs w:val="21"/>
              </w:rPr>
              <w:t>mg/L，处理效果可稳定满足园区污水厂接管要求，本项目新增废水依托一厂污水处理站现有措施可行。</w:t>
            </w:r>
          </w:p>
          <w:p>
            <w:pPr>
              <w:spacing w:before="194" w:beforeLines="50"/>
              <w:jc w:val="center"/>
              <w:outlineLvl w:val="5"/>
              <w:rPr>
                <w:rFonts w:hint="eastAsia"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表4-22废水污染物产生、排放源强</w:t>
            </w:r>
          </w:p>
          <w:tbl>
            <w:tblPr>
              <w:tblStyle w:val="1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706"/>
              <w:gridCol w:w="996"/>
              <w:gridCol w:w="960"/>
              <w:gridCol w:w="570"/>
              <w:gridCol w:w="1103"/>
              <w:gridCol w:w="1106"/>
              <w:gridCol w:w="666"/>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28" w:type="pct"/>
                  <w:vMerge w:val="restart"/>
                  <w:shd w:val="clear" w:color="auto" w:fill="auto"/>
                  <w:vAlign w:val="center"/>
                </w:tcPr>
                <w:p>
                  <w:pPr>
                    <w:keepNext/>
                    <w:widowControl/>
                    <w:snapToGrid w:val="0"/>
                    <w:jc w:val="center"/>
                    <w:textAlignment w:val="center"/>
                    <w:rPr>
                      <w:b/>
                      <w:bCs/>
                      <w:color w:val="auto"/>
                      <w:sz w:val="18"/>
                      <w:szCs w:val="18"/>
                    </w:rPr>
                  </w:pPr>
                  <w:r>
                    <w:rPr>
                      <w:b/>
                      <w:bCs/>
                      <w:color w:val="auto"/>
                      <w:kern w:val="0"/>
                      <w:sz w:val="18"/>
                      <w:szCs w:val="18"/>
                      <w:lang w:bidi="ar"/>
                    </w:rPr>
                    <w:t>工序</w:t>
                  </w:r>
                </w:p>
              </w:tc>
              <w:tc>
                <w:tcPr>
                  <w:tcW w:w="439" w:type="pct"/>
                  <w:vMerge w:val="restart"/>
                  <w:shd w:val="clear" w:color="auto" w:fill="auto"/>
                  <w:vAlign w:val="center"/>
                </w:tcPr>
                <w:p>
                  <w:pPr>
                    <w:keepNext/>
                    <w:widowControl/>
                    <w:snapToGrid w:val="0"/>
                    <w:jc w:val="center"/>
                    <w:textAlignment w:val="center"/>
                    <w:rPr>
                      <w:b/>
                      <w:bCs/>
                      <w:color w:val="auto"/>
                      <w:sz w:val="18"/>
                      <w:szCs w:val="18"/>
                    </w:rPr>
                  </w:pPr>
                  <w:r>
                    <w:rPr>
                      <w:b/>
                      <w:bCs/>
                      <w:color w:val="auto"/>
                      <w:kern w:val="0"/>
                      <w:sz w:val="18"/>
                      <w:szCs w:val="18"/>
                      <w:lang w:bidi="ar"/>
                    </w:rPr>
                    <w:t>污染物</w:t>
                  </w:r>
                </w:p>
              </w:tc>
              <w:tc>
                <w:tcPr>
                  <w:tcW w:w="1167" w:type="pct"/>
                  <w:gridSpan w:val="2"/>
                  <w:shd w:val="clear" w:color="auto" w:fill="auto"/>
                  <w:vAlign w:val="center"/>
                </w:tcPr>
                <w:p>
                  <w:pPr>
                    <w:keepNext/>
                    <w:widowControl/>
                    <w:snapToGrid w:val="0"/>
                    <w:jc w:val="center"/>
                    <w:textAlignment w:val="center"/>
                    <w:rPr>
                      <w:b/>
                      <w:bCs/>
                      <w:color w:val="auto"/>
                      <w:sz w:val="18"/>
                      <w:szCs w:val="18"/>
                    </w:rPr>
                  </w:pPr>
                  <w:r>
                    <w:rPr>
                      <w:b/>
                      <w:bCs/>
                      <w:color w:val="auto"/>
                      <w:kern w:val="0"/>
                      <w:sz w:val="18"/>
                      <w:szCs w:val="18"/>
                      <w:lang w:bidi="ar"/>
                    </w:rPr>
                    <w:t>产生情况</w:t>
                  </w:r>
                </w:p>
              </w:tc>
              <w:tc>
                <w:tcPr>
                  <w:tcW w:w="355" w:type="pct"/>
                  <w:vMerge w:val="restart"/>
                  <w:shd w:val="clear" w:color="auto" w:fill="auto"/>
                  <w:vAlign w:val="center"/>
                </w:tcPr>
                <w:p>
                  <w:pPr>
                    <w:keepNext/>
                    <w:widowControl/>
                    <w:snapToGrid w:val="0"/>
                    <w:jc w:val="center"/>
                    <w:textAlignment w:val="center"/>
                    <w:rPr>
                      <w:b/>
                      <w:bCs/>
                      <w:color w:val="auto"/>
                      <w:sz w:val="18"/>
                      <w:szCs w:val="18"/>
                    </w:rPr>
                  </w:pPr>
                  <w:r>
                    <w:rPr>
                      <w:b/>
                      <w:bCs/>
                      <w:color w:val="auto"/>
                      <w:kern w:val="0"/>
                      <w:sz w:val="18"/>
                      <w:szCs w:val="18"/>
                      <w:lang w:bidi="ar"/>
                    </w:rPr>
                    <w:t>处理效率</w:t>
                  </w:r>
                </w:p>
              </w:tc>
              <w:tc>
                <w:tcPr>
                  <w:tcW w:w="1368" w:type="pct"/>
                  <w:gridSpan w:val="2"/>
                  <w:shd w:val="clear" w:color="auto" w:fill="auto"/>
                  <w:vAlign w:val="center"/>
                </w:tcPr>
                <w:p>
                  <w:pPr>
                    <w:keepNext/>
                    <w:widowControl/>
                    <w:snapToGrid w:val="0"/>
                    <w:jc w:val="center"/>
                    <w:textAlignment w:val="center"/>
                    <w:rPr>
                      <w:b/>
                      <w:bCs/>
                      <w:color w:val="auto"/>
                      <w:sz w:val="18"/>
                      <w:szCs w:val="18"/>
                    </w:rPr>
                  </w:pPr>
                  <w:r>
                    <w:rPr>
                      <w:b/>
                      <w:bCs/>
                      <w:color w:val="auto"/>
                      <w:kern w:val="0"/>
                      <w:sz w:val="18"/>
                      <w:szCs w:val="18"/>
                      <w:lang w:bidi="ar"/>
                    </w:rPr>
                    <w:t>排放情况（进入</w:t>
                  </w:r>
                  <w:r>
                    <w:rPr>
                      <w:rFonts w:hint="eastAsia"/>
                      <w:b/>
                      <w:bCs/>
                      <w:color w:val="auto"/>
                      <w:kern w:val="0"/>
                      <w:sz w:val="18"/>
                      <w:szCs w:val="18"/>
                      <w:lang w:eastAsia="zh-CN" w:bidi="ar"/>
                    </w:rPr>
                    <w:t>明溪经济开发区工业污水处理厂</w:t>
                  </w:r>
                  <w:r>
                    <w:rPr>
                      <w:b/>
                      <w:bCs/>
                      <w:color w:val="auto"/>
                      <w:kern w:val="0"/>
                      <w:sz w:val="18"/>
                      <w:szCs w:val="18"/>
                      <w:lang w:bidi="ar"/>
                    </w:rPr>
                    <w:t>）</w:t>
                  </w:r>
                </w:p>
              </w:tc>
              <w:tc>
                <w:tcPr>
                  <w:tcW w:w="1140" w:type="pct"/>
                  <w:gridSpan w:val="2"/>
                  <w:shd w:val="clear" w:color="auto" w:fill="auto"/>
                  <w:vAlign w:val="center"/>
                </w:tcPr>
                <w:p>
                  <w:pPr>
                    <w:keepNext/>
                    <w:widowControl/>
                    <w:snapToGrid w:val="0"/>
                    <w:jc w:val="center"/>
                    <w:textAlignment w:val="center"/>
                    <w:rPr>
                      <w:b/>
                      <w:bCs/>
                      <w:color w:val="auto"/>
                      <w:sz w:val="18"/>
                      <w:szCs w:val="18"/>
                    </w:rPr>
                  </w:pPr>
                  <w:r>
                    <w:rPr>
                      <w:rFonts w:hint="eastAsia"/>
                      <w:b/>
                      <w:bCs/>
                      <w:color w:val="auto"/>
                      <w:kern w:val="0"/>
                      <w:sz w:val="18"/>
                      <w:szCs w:val="18"/>
                      <w:lang w:eastAsia="zh-CN" w:bidi="ar"/>
                    </w:rPr>
                    <w:t>明溪经济开发区工业污水处理厂</w:t>
                  </w:r>
                  <w:r>
                    <w:rPr>
                      <w:b/>
                      <w:bCs/>
                      <w:color w:val="auto"/>
                      <w:kern w:val="0"/>
                      <w:sz w:val="18"/>
                      <w:szCs w:val="18"/>
                      <w:lang w:bidi="ar"/>
                    </w:rPr>
                    <w:t>出厂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28" w:type="pct"/>
                  <w:vMerge w:val="continue"/>
                  <w:shd w:val="clear" w:color="auto" w:fill="auto"/>
                  <w:vAlign w:val="center"/>
                </w:tcPr>
                <w:p>
                  <w:pPr>
                    <w:keepNext/>
                    <w:snapToGrid w:val="0"/>
                    <w:jc w:val="center"/>
                    <w:rPr>
                      <w:b/>
                      <w:bCs/>
                      <w:color w:val="auto"/>
                      <w:sz w:val="18"/>
                      <w:szCs w:val="18"/>
                    </w:rPr>
                  </w:pPr>
                </w:p>
              </w:tc>
              <w:tc>
                <w:tcPr>
                  <w:tcW w:w="439" w:type="pct"/>
                  <w:vMerge w:val="continue"/>
                  <w:shd w:val="clear" w:color="auto" w:fill="auto"/>
                  <w:vAlign w:val="center"/>
                </w:tcPr>
                <w:p>
                  <w:pPr>
                    <w:keepNext/>
                    <w:snapToGrid w:val="0"/>
                    <w:jc w:val="center"/>
                    <w:rPr>
                      <w:b/>
                      <w:bCs/>
                      <w:color w:val="auto"/>
                      <w:sz w:val="18"/>
                      <w:szCs w:val="18"/>
                    </w:rPr>
                  </w:pPr>
                </w:p>
              </w:tc>
              <w:tc>
                <w:tcPr>
                  <w:tcW w:w="594" w:type="pct"/>
                  <w:shd w:val="clear" w:color="auto" w:fill="auto"/>
                  <w:vAlign w:val="center"/>
                </w:tcPr>
                <w:p>
                  <w:pPr>
                    <w:keepNext/>
                    <w:widowControl/>
                    <w:snapToGrid w:val="0"/>
                    <w:jc w:val="center"/>
                    <w:textAlignment w:val="center"/>
                    <w:rPr>
                      <w:b/>
                      <w:bCs/>
                      <w:color w:val="auto"/>
                      <w:sz w:val="18"/>
                      <w:szCs w:val="18"/>
                    </w:rPr>
                  </w:pPr>
                  <w:r>
                    <w:rPr>
                      <w:b/>
                      <w:bCs/>
                      <w:color w:val="auto"/>
                      <w:kern w:val="0"/>
                      <w:sz w:val="18"/>
                      <w:szCs w:val="18"/>
                      <w:lang w:bidi="ar"/>
                    </w:rPr>
                    <w:t>浓度</w:t>
                  </w:r>
                  <w:r>
                    <w:rPr>
                      <w:rStyle w:val="52"/>
                      <w:color w:val="auto"/>
                      <w:sz w:val="18"/>
                      <w:szCs w:val="18"/>
                      <w:lang w:bidi="ar"/>
                    </w:rPr>
                    <w:t>mg/L</w:t>
                  </w:r>
                </w:p>
              </w:tc>
              <w:tc>
                <w:tcPr>
                  <w:tcW w:w="573" w:type="pct"/>
                  <w:shd w:val="clear" w:color="auto" w:fill="auto"/>
                  <w:vAlign w:val="center"/>
                </w:tcPr>
                <w:p>
                  <w:pPr>
                    <w:keepNext/>
                    <w:widowControl/>
                    <w:snapToGrid w:val="0"/>
                    <w:jc w:val="center"/>
                    <w:textAlignment w:val="center"/>
                    <w:rPr>
                      <w:b/>
                      <w:bCs/>
                      <w:color w:val="auto"/>
                      <w:sz w:val="18"/>
                      <w:szCs w:val="18"/>
                    </w:rPr>
                  </w:pPr>
                  <w:r>
                    <w:rPr>
                      <w:b/>
                      <w:bCs/>
                      <w:color w:val="auto"/>
                      <w:kern w:val="0"/>
                      <w:sz w:val="18"/>
                      <w:szCs w:val="18"/>
                      <w:lang w:bidi="ar"/>
                    </w:rPr>
                    <w:t>产生量</w:t>
                  </w:r>
                  <w:r>
                    <w:rPr>
                      <w:rStyle w:val="52"/>
                      <w:color w:val="auto"/>
                      <w:sz w:val="18"/>
                      <w:szCs w:val="18"/>
                      <w:lang w:bidi="ar"/>
                    </w:rPr>
                    <w:t>t/a</w:t>
                  </w:r>
                </w:p>
              </w:tc>
              <w:tc>
                <w:tcPr>
                  <w:tcW w:w="355" w:type="pct"/>
                  <w:vMerge w:val="continue"/>
                  <w:shd w:val="clear" w:color="auto" w:fill="auto"/>
                  <w:vAlign w:val="center"/>
                </w:tcPr>
                <w:p>
                  <w:pPr>
                    <w:keepNext/>
                    <w:snapToGrid w:val="0"/>
                    <w:jc w:val="center"/>
                    <w:rPr>
                      <w:b/>
                      <w:color w:val="auto"/>
                      <w:sz w:val="18"/>
                      <w:szCs w:val="18"/>
                    </w:rPr>
                  </w:pPr>
                </w:p>
              </w:tc>
              <w:tc>
                <w:tcPr>
                  <w:tcW w:w="683" w:type="pct"/>
                  <w:shd w:val="clear" w:color="auto" w:fill="auto"/>
                  <w:vAlign w:val="center"/>
                </w:tcPr>
                <w:p>
                  <w:pPr>
                    <w:keepNext/>
                    <w:widowControl/>
                    <w:snapToGrid w:val="0"/>
                    <w:jc w:val="center"/>
                    <w:textAlignment w:val="center"/>
                    <w:rPr>
                      <w:b/>
                      <w:bCs/>
                      <w:color w:val="auto"/>
                      <w:sz w:val="18"/>
                      <w:szCs w:val="18"/>
                    </w:rPr>
                  </w:pPr>
                  <w:r>
                    <w:rPr>
                      <w:b/>
                      <w:bCs/>
                      <w:color w:val="auto"/>
                      <w:kern w:val="0"/>
                      <w:sz w:val="18"/>
                      <w:szCs w:val="18"/>
                      <w:lang w:bidi="ar"/>
                    </w:rPr>
                    <w:t>浓度</w:t>
                  </w:r>
                  <w:r>
                    <w:rPr>
                      <w:rStyle w:val="52"/>
                      <w:color w:val="auto"/>
                      <w:sz w:val="18"/>
                      <w:szCs w:val="18"/>
                      <w:lang w:bidi="ar"/>
                    </w:rPr>
                    <w:t>mg/L</w:t>
                  </w:r>
                </w:p>
              </w:tc>
              <w:tc>
                <w:tcPr>
                  <w:tcW w:w="684" w:type="pct"/>
                  <w:shd w:val="clear" w:color="auto" w:fill="auto"/>
                  <w:vAlign w:val="center"/>
                </w:tcPr>
                <w:p>
                  <w:pPr>
                    <w:keepNext/>
                    <w:widowControl/>
                    <w:snapToGrid w:val="0"/>
                    <w:jc w:val="center"/>
                    <w:textAlignment w:val="center"/>
                    <w:rPr>
                      <w:b/>
                      <w:bCs/>
                      <w:color w:val="auto"/>
                      <w:sz w:val="18"/>
                      <w:szCs w:val="18"/>
                    </w:rPr>
                  </w:pPr>
                  <w:r>
                    <w:rPr>
                      <w:b/>
                      <w:bCs/>
                      <w:color w:val="auto"/>
                      <w:kern w:val="0"/>
                      <w:sz w:val="18"/>
                      <w:szCs w:val="18"/>
                      <w:lang w:bidi="ar"/>
                    </w:rPr>
                    <w:t>排放量</w:t>
                  </w:r>
                  <w:r>
                    <w:rPr>
                      <w:rStyle w:val="52"/>
                      <w:color w:val="auto"/>
                      <w:sz w:val="18"/>
                      <w:szCs w:val="18"/>
                      <w:lang w:bidi="ar"/>
                    </w:rPr>
                    <w:t>t/a</w:t>
                  </w:r>
                </w:p>
              </w:tc>
              <w:tc>
                <w:tcPr>
                  <w:tcW w:w="414" w:type="pct"/>
                  <w:shd w:val="clear" w:color="auto" w:fill="auto"/>
                  <w:vAlign w:val="center"/>
                </w:tcPr>
                <w:p>
                  <w:pPr>
                    <w:keepNext/>
                    <w:widowControl/>
                    <w:snapToGrid w:val="0"/>
                    <w:jc w:val="center"/>
                    <w:textAlignment w:val="center"/>
                    <w:rPr>
                      <w:b/>
                      <w:bCs/>
                      <w:color w:val="auto"/>
                      <w:sz w:val="18"/>
                      <w:szCs w:val="18"/>
                    </w:rPr>
                  </w:pPr>
                  <w:r>
                    <w:rPr>
                      <w:b/>
                      <w:bCs/>
                      <w:color w:val="auto"/>
                      <w:kern w:val="0"/>
                      <w:sz w:val="18"/>
                      <w:szCs w:val="18"/>
                      <w:lang w:bidi="ar"/>
                    </w:rPr>
                    <w:t>浓度</w:t>
                  </w:r>
                  <w:r>
                    <w:rPr>
                      <w:rStyle w:val="52"/>
                      <w:color w:val="auto"/>
                      <w:sz w:val="18"/>
                      <w:szCs w:val="18"/>
                      <w:lang w:bidi="ar"/>
                    </w:rPr>
                    <w:t>mg/L</w:t>
                  </w:r>
                </w:p>
              </w:tc>
              <w:tc>
                <w:tcPr>
                  <w:tcW w:w="726" w:type="pct"/>
                  <w:shd w:val="clear" w:color="auto" w:fill="auto"/>
                  <w:vAlign w:val="center"/>
                </w:tcPr>
                <w:p>
                  <w:pPr>
                    <w:keepNext/>
                    <w:widowControl/>
                    <w:snapToGrid w:val="0"/>
                    <w:jc w:val="center"/>
                    <w:textAlignment w:val="center"/>
                    <w:rPr>
                      <w:b/>
                      <w:bCs/>
                      <w:color w:val="auto"/>
                      <w:sz w:val="18"/>
                      <w:szCs w:val="18"/>
                    </w:rPr>
                  </w:pPr>
                  <w:r>
                    <w:rPr>
                      <w:b/>
                      <w:bCs/>
                      <w:color w:val="auto"/>
                      <w:kern w:val="0"/>
                      <w:sz w:val="18"/>
                      <w:szCs w:val="18"/>
                      <w:lang w:bidi="ar"/>
                    </w:rPr>
                    <w:t>排放量</w:t>
                  </w:r>
                  <w:r>
                    <w:rPr>
                      <w:rStyle w:val="52"/>
                      <w:color w:val="auto"/>
                      <w:sz w:val="18"/>
                      <w:szCs w:val="18"/>
                      <w:lang w:bidi="ar"/>
                    </w:rPr>
                    <w:t>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8" w:type="pct"/>
                  <w:vMerge w:val="restart"/>
                  <w:shd w:val="clear" w:color="auto" w:fill="auto"/>
                  <w:vAlign w:val="center"/>
                </w:tcPr>
                <w:p>
                  <w:pPr>
                    <w:keepNext/>
                    <w:widowControl/>
                    <w:snapToGrid w:val="0"/>
                    <w:jc w:val="center"/>
                    <w:textAlignment w:val="center"/>
                    <w:rPr>
                      <w:color w:val="auto"/>
                      <w:sz w:val="18"/>
                      <w:szCs w:val="18"/>
                    </w:rPr>
                  </w:pPr>
                  <w:r>
                    <w:rPr>
                      <w:rFonts w:hint="eastAsia" w:hAnsi="宋体" w:cs="宋体"/>
                      <w:color w:val="auto"/>
                      <w:kern w:val="0"/>
                      <w:sz w:val="18"/>
                      <w:szCs w:val="18"/>
                      <w:lang w:bidi="ar"/>
                    </w:rPr>
                    <w:t>废水</w:t>
                  </w:r>
                </w:p>
              </w:tc>
              <w:tc>
                <w:tcPr>
                  <w:tcW w:w="439" w:type="pct"/>
                  <w:shd w:val="clear" w:color="auto" w:fill="auto"/>
                  <w:vAlign w:val="center"/>
                </w:tcPr>
                <w:p>
                  <w:pPr>
                    <w:keepNext/>
                    <w:widowControl/>
                    <w:snapToGrid w:val="0"/>
                    <w:jc w:val="center"/>
                    <w:textAlignment w:val="center"/>
                    <w:rPr>
                      <w:rFonts w:hAnsi="宋体" w:cs="宋体"/>
                      <w:color w:val="auto"/>
                      <w:sz w:val="18"/>
                      <w:szCs w:val="18"/>
                    </w:rPr>
                  </w:pPr>
                  <w:r>
                    <w:rPr>
                      <w:rFonts w:hint="eastAsia" w:hAnsi="宋体" w:cs="宋体"/>
                      <w:color w:val="auto"/>
                      <w:kern w:val="0"/>
                      <w:sz w:val="18"/>
                      <w:szCs w:val="18"/>
                      <w:lang w:bidi="ar"/>
                    </w:rPr>
                    <w:t>废水量</w:t>
                  </w:r>
                </w:p>
              </w:tc>
              <w:tc>
                <w:tcPr>
                  <w:tcW w:w="594" w:type="pct"/>
                  <w:shd w:val="clear" w:color="auto" w:fill="auto"/>
                  <w:vAlign w:val="center"/>
                </w:tcPr>
                <w:p>
                  <w:pPr>
                    <w:keepNext/>
                    <w:widowControl/>
                    <w:snapToGrid w:val="0"/>
                    <w:jc w:val="center"/>
                    <w:textAlignment w:val="center"/>
                    <w:rPr>
                      <w:color w:val="auto"/>
                      <w:sz w:val="18"/>
                      <w:szCs w:val="18"/>
                    </w:rPr>
                  </w:pPr>
                  <w:r>
                    <w:rPr>
                      <w:color w:val="auto"/>
                      <w:kern w:val="0"/>
                      <w:sz w:val="18"/>
                      <w:szCs w:val="18"/>
                      <w:lang w:bidi="ar"/>
                    </w:rPr>
                    <w:t>/</w:t>
                  </w:r>
                </w:p>
              </w:tc>
              <w:tc>
                <w:tcPr>
                  <w:tcW w:w="960" w:type="dxa"/>
                  <w:shd w:val="clear" w:color="auto" w:fill="auto"/>
                  <w:vAlign w:val="center"/>
                </w:tcPr>
                <w:p>
                  <w:pPr>
                    <w:keepNext w:val="0"/>
                    <w:keepLines w:val="0"/>
                    <w:widowControl/>
                    <w:suppressLineNumbers w:val="0"/>
                    <w:jc w:val="center"/>
                    <w:textAlignment w:val="center"/>
                    <w:rPr>
                      <w:color w:val="auto"/>
                      <w:sz w:val="18"/>
                      <w:szCs w:val="18"/>
                    </w:rPr>
                  </w:pPr>
                  <w:r>
                    <w:rPr>
                      <w:rFonts w:hint="eastAsia" w:cs="Times New Roman"/>
                      <w:i w:val="0"/>
                      <w:iCs w:val="0"/>
                      <w:color w:val="auto"/>
                      <w:kern w:val="0"/>
                      <w:sz w:val="18"/>
                      <w:szCs w:val="18"/>
                      <w:u w:val="none"/>
                      <w:lang w:val="en-US" w:eastAsia="zh-CN" w:bidi="ar"/>
                    </w:rPr>
                    <w:t>293.97</w:t>
                  </w:r>
                </w:p>
              </w:tc>
              <w:tc>
                <w:tcPr>
                  <w:tcW w:w="355" w:type="pct"/>
                  <w:shd w:val="clear" w:color="auto" w:fill="auto"/>
                  <w:vAlign w:val="center"/>
                </w:tcPr>
                <w:p>
                  <w:pPr>
                    <w:keepNext/>
                    <w:widowControl/>
                    <w:snapToGrid w:val="0"/>
                    <w:jc w:val="center"/>
                    <w:textAlignment w:val="center"/>
                    <w:rPr>
                      <w:color w:val="auto"/>
                      <w:sz w:val="18"/>
                      <w:szCs w:val="18"/>
                    </w:rPr>
                  </w:pPr>
                  <w:r>
                    <w:rPr>
                      <w:color w:val="auto"/>
                      <w:kern w:val="0"/>
                      <w:sz w:val="18"/>
                      <w:szCs w:val="18"/>
                      <w:lang w:bidi="ar"/>
                    </w:rPr>
                    <w:t>/</w:t>
                  </w:r>
                </w:p>
              </w:tc>
              <w:tc>
                <w:tcPr>
                  <w:tcW w:w="1145" w:type="dxa"/>
                  <w:shd w:val="clear" w:color="auto" w:fill="auto"/>
                  <w:vAlign w:val="center"/>
                </w:tcPr>
                <w:p>
                  <w:pPr>
                    <w:keepNext w:val="0"/>
                    <w:keepLines w:val="0"/>
                    <w:widowControl/>
                    <w:suppressLineNumbers w:val="0"/>
                    <w:jc w:val="center"/>
                    <w:textAlignment w:val="center"/>
                    <w:rPr>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w:t>
                  </w:r>
                </w:p>
              </w:tc>
              <w:tc>
                <w:tcPr>
                  <w:tcW w:w="1148" w:type="dxa"/>
                  <w:shd w:val="clear" w:color="auto" w:fill="auto"/>
                  <w:vAlign w:val="center"/>
                </w:tcPr>
                <w:p>
                  <w:pPr>
                    <w:keepNext w:val="0"/>
                    <w:keepLines w:val="0"/>
                    <w:widowControl/>
                    <w:suppressLineNumbers w:val="0"/>
                    <w:jc w:val="center"/>
                    <w:textAlignment w:val="center"/>
                    <w:rPr>
                      <w:color w:val="auto"/>
                      <w:sz w:val="18"/>
                      <w:szCs w:val="18"/>
                    </w:rPr>
                  </w:pPr>
                  <w:r>
                    <w:rPr>
                      <w:rFonts w:hint="eastAsia" w:cs="Times New Roman"/>
                      <w:i w:val="0"/>
                      <w:iCs w:val="0"/>
                      <w:color w:val="auto"/>
                      <w:kern w:val="0"/>
                      <w:sz w:val="18"/>
                      <w:szCs w:val="18"/>
                      <w:u w:val="none"/>
                      <w:lang w:val="en-US" w:eastAsia="zh-CN" w:bidi="ar"/>
                    </w:rPr>
                    <w:t>293.97</w:t>
                  </w:r>
                </w:p>
              </w:tc>
              <w:tc>
                <w:tcPr>
                  <w:tcW w:w="694" w:type="dxa"/>
                  <w:shd w:val="clear" w:color="auto" w:fill="auto"/>
                  <w:vAlign w:val="center"/>
                </w:tcPr>
                <w:p>
                  <w:pPr>
                    <w:keepNext w:val="0"/>
                    <w:keepLines w:val="0"/>
                    <w:widowControl/>
                    <w:suppressLineNumbers w:val="0"/>
                    <w:jc w:val="center"/>
                    <w:textAlignment w:val="center"/>
                    <w:rPr>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w:t>
                  </w:r>
                </w:p>
              </w:tc>
              <w:tc>
                <w:tcPr>
                  <w:tcW w:w="1217" w:type="dxa"/>
                  <w:shd w:val="clear" w:color="auto" w:fill="auto"/>
                  <w:vAlign w:val="center"/>
                </w:tcPr>
                <w:p>
                  <w:pPr>
                    <w:keepNext w:val="0"/>
                    <w:keepLines w:val="0"/>
                    <w:widowControl/>
                    <w:suppressLineNumbers w:val="0"/>
                    <w:jc w:val="center"/>
                    <w:textAlignment w:val="center"/>
                    <w:rPr>
                      <w:color w:val="auto"/>
                      <w:sz w:val="18"/>
                      <w:szCs w:val="18"/>
                    </w:rPr>
                  </w:pPr>
                  <w:r>
                    <w:rPr>
                      <w:rFonts w:hint="eastAsia" w:cs="Times New Roman"/>
                      <w:i w:val="0"/>
                      <w:iCs w:val="0"/>
                      <w:color w:val="auto"/>
                      <w:kern w:val="0"/>
                      <w:sz w:val="18"/>
                      <w:szCs w:val="18"/>
                      <w:u w:val="none"/>
                      <w:lang w:val="en-US" w:eastAsia="zh-CN" w:bidi="ar"/>
                    </w:rPr>
                    <w:t>293.97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28" w:type="pct"/>
                  <w:vMerge w:val="continue"/>
                  <w:shd w:val="clear" w:color="auto" w:fill="auto"/>
                  <w:vAlign w:val="center"/>
                </w:tcPr>
                <w:p>
                  <w:pPr>
                    <w:keepNext/>
                    <w:snapToGrid w:val="0"/>
                    <w:jc w:val="center"/>
                    <w:rPr>
                      <w:color w:val="auto"/>
                      <w:sz w:val="18"/>
                      <w:szCs w:val="18"/>
                    </w:rPr>
                  </w:pPr>
                </w:p>
              </w:tc>
              <w:tc>
                <w:tcPr>
                  <w:tcW w:w="439" w:type="pct"/>
                  <w:shd w:val="clear" w:color="auto" w:fill="auto"/>
                  <w:vAlign w:val="center"/>
                </w:tcPr>
                <w:p>
                  <w:pPr>
                    <w:keepNext/>
                    <w:widowControl/>
                    <w:snapToGrid w:val="0"/>
                    <w:jc w:val="center"/>
                    <w:textAlignment w:val="center"/>
                    <w:rPr>
                      <w:color w:val="auto"/>
                      <w:sz w:val="18"/>
                      <w:szCs w:val="18"/>
                    </w:rPr>
                  </w:pPr>
                  <w:r>
                    <w:rPr>
                      <w:color w:val="auto"/>
                      <w:kern w:val="0"/>
                      <w:sz w:val="18"/>
                      <w:szCs w:val="18"/>
                      <w:lang w:bidi="ar"/>
                    </w:rPr>
                    <w:t>COD</w:t>
                  </w:r>
                </w:p>
              </w:tc>
              <w:tc>
                <w:tcPr>
                  <w:tcW w:w="996" w:type="dxa"/>
                  <w:shd w:val="clear" w:color="auto" w:fill="auto"/>
                  <w:noWrap/>
                  <w:vAlign w:val="center"/>
                </w:tcPr>
                <w:p>
                  <w:pPr>
                    <w:keepNext w:val="0"/>
                    <w:keepLines w:val="0"/>
                    <w:widowControl/>
                    <w:suppressLineNumbers w:val="0"/>
                    <w:jc w:val="center"/>
                    <w:textAlignment w:val="center"/>
                    <w:rPr>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659.931</w:t>
                  </w:r>
                </w:p>
              </w:tc>
              <w:tc>
                <w:tcPr>
                  <w:tcW w:w="960" w:type="dxa"/>
                  <w:shd w:val="clear" w:color="auto" w:fill="auto"/>
                  <w:noWrap/>
                  <w:vAlign w:val="center"/>
                </w:tcPr>
                <w:p>
                  <w:pPr>
                    <w:keepNext w:val="0"/>
                    <w:keepLines w:val="0"/>
                    <w:widowControl/>
                    <w:suppressLineNumbers w:val="0"/>
                    <w:jc w:val="center"/>
                    <w:textAlignment w:val="center"/>
                    <w:rPr>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0.194</w:t>
                  </w:r>
                </w:p>
              </w:tc>
              <w:tc>
                <w:tcPr>
                  <w:tcW w:w="355" w:type="pct"/>
                  <w:shd w:val="clear" w:color="auto" w:fill="auto"/>
                  <w:vAlign w:val="center"/>
                </w:tcPr>
                <w:p>
                  <w:pPr>
                    <w:keepNext/>
                    <w:widowControl/>
                    <w:snapToGrid w:val="0"/>
                    <w:jc w:val="center"/>
                    <w:textAlignment w:val="center"/>
                    <w:rPr>
                      <w:color w:val="auto"/>
                      <w:sz w:val="18"/>
                      <w:szCs w:val="18"/>
                    </w:rPr>
                  </w:pPr>
                  <w:r>
                    <w:rPr>
                      <w:color w:val="auto"/>
                      <w:kern w:val="0"/>
                      <w:sz w:val="18"/>
                      <w:szCs w:val="18"/>
                      <w:lang w:bidi="ar"/>
                    </w:rPr>
                    <w:t>70%</w:t>
                  </w:r>
                </w:p>
              </w:tc>
              <w:tc>
                <w:tcPr>
                  <w:tcW w:w="1145" w:type="dxa"/>
                  <w:shd w:val="clear" w:color="auto" w:fill="auto"/>
                  <w:vAlign w:val="center"/>
                </w:tcPr>
                <w:p>
                  <w:pPr>
                    <w:keepNext w:val="0"/>
                    <w:keepLines w:val="0"/>
                    <w:widowControl/>
                    <w:suppressLineNumbers w:val="0"/>
                    <w:jc w:val="center"/>
                    <w:textAlignment w:val="center"/>
                    <w:rPr>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197.979</w:t>
                  </w:r>
                </w:p>
              </w:tc>
              <w:tc>
                <w:tcPr>
                  <w:tcW w:w="1148" w:type="dxa"/>
                  <w:shd w:val="clear" w:color="auto" w:fill="auto"/>
                  <w:vAlign w:val="center"/>
                </w:tcPr>
                <w:p>
                  <w:pPr>
                    <w:keepNext w:val="0"/>
                    <w:keepLines w:val="0"/>
                    <w:widowControl/>
                    <w:suppressLineNumbers w:val="0"/>
                    <w:jc w:val="center"/>
                    <w:textAlignment w:val="center"/>
                    <w:rPr>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0.0582</w:t>
                  </w:r>
                </w:p>
              </w:tc>
              <w:tc>
                <w:tcPr>
                  <w:tcW w:w="694" w:type="dxa"/>
                  <w:shd w:val="clear" w:color="auto" w:fill="auto"/>
                  <w:vAlign w:val="center"/>
                </w:tcPr>
                <w:p>
                  <w:pPr>
                    <w:keepNext w:val="0"/>
                    <w:keepLines w:val="0"/>
                    <w:widowControl/>
                    <w:suppressLineNumbers w:val="0"/>
                    <w:jc w:val="center"/>
                    <w:textAlignment w:val="center"/>
                    <w:rPr>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50</w:t>
                  </w:r>
                </w:p>
              </w:tc>
              <w:tc>
                <w:tcPr>
                  <w:tcW w:w="1217" w:type="dxa"/>
                  <w:shd w:val="clear" w:color="auto" w:fill="auto"/>
                  <w:vAlign w:val="center"/>
                </w:tcPr>
                <w:p>
                  <w:pPr>
                    <w:keepNext w:val="0"/>
                    <w:keepLines w:val="0"/>
                    <w:widowControl/>
                    <w:suppressLineNumbers w:val="0"/>
                    <w:jc w:val="center"/>
                    <w:textAlignment w:val="center"/>
                    <w:rPr>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0.0147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8" w:type="pct"/>
                  <w:vMerge w:val="continue"/>
                  <w:shd w:val="clear" w:color="auto" w:fill="auto"/>
                  <w:vAlign w:val="center"/>
                </w:tcPr>
                <w:p>
                  <w:pPr>
                    <w:keepNext/>
                    <w:snapToGrid w:val="0"/>
                    <w:jc w:val="center"/>
                    <w:rPr>
                      <w:color w:val="auto"/>
                      <w:sz w:val="18"/>
                      <w:szCs w:val="18"/>
                    </w:rPr>
                  </w:pPr>
                </w:p>
              </w:tc>
              <w:tc>
                <w:tcPr>
                  <w:tcW w:w="439" w:type="pct"/>
                  <w:shd w:val="clear" w:color="auto" w:fill="auto"/>
                  <w:vAlign w:val="center"/>
                </w:tcPr>
                <w:p>
                  <w:pPr>
                    <w:keepNext/>
                    <w:widowControl/>
                    <w:snapToGrid w:val="0"/>
                    <w:jc w:val="center"/>
                    <w:textAlignment w:val="center"/>
                    <w:rPr>
                      <w:color w:val="auto"/>
                      <w:sz w:val="18"/>
                      <w:szCs w:val="18"/>
                    </w:rPr>
                  </w:pPr>
                  <w:r>
                    <w:rPr>
                      <w:color w:val="auto"/>
                      <w:kern w:val="0"/>
                      <w:sz w:val="18"/>
                      <w:szCs w:val="18"/>
                      <w:lang w:bidi="ar"/>
                    </w:rPr>
                    <w:t>BOD</w:t>
                  </w:r>
                  <w:r>
                    <w:rPr>
                      <w:rStyle w:val="53"/>
                      <w:color w:val="auto"/>
                      <w:sz w:val="18"/>
                      <w:szCs w:val="18"/>
                      <w:lang w:bidi="ar"/>
                    </w:rPr>
                    <w:t>5</w:t>
                  </w:r>
                </w:p>
              </w:tc>
              <w:tc>
                <w:tcPr>
                  <w:tcW w:w="996" w:type="dxa"/>
                  <w:shd w:val="clear" w:color="auto" w:fill="auto"/>
                  <w:noWrap/>
                  <w:vAlign w:val="center"/>
                </w:tcPr>
                <w:p>
                  <w:pPr>
                    <w:keepNext w:val="0"/>
                    <w:keepLines w:val="0"/>
                    <w:widowControl/>
                    <w:suppressLineNumbers w:val="0"/>
                    <w:jc w:val="center"/>
                    <w:textAlignment w:val="center"/>
                    <w:rPr>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34.017</w:t>
                  </w:r>
                </w:p>
              </w:tc>
              <w:tc>
                <w:tcPr>
                  <w:tcW w:w="960" w:type="dxa"/>
                  <w:shd w:val="clear" w:color="auto" w:fill="auto"/>
                  <w:noWrap/>
                  <w:vAlign w:val="center"/>
                </w:tcPr>
                <w:p>
                  <w:pPr>
                    <w:keepNext w:val="0"/>
                    <w:keepLines w:val="0"/>
                    <w:widowControl/>
                    <w:suppressLineNumbers w:val="0"/>
                    <w:jc w:val="center"/>
                    <w:textAlignment w:val="center"/>
                    <w:rPr>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0.01</w:t>
                  </w:r>
                </w:p>
              </w:tc>
              <w:tc>
                <w:tcPr>
                  <w:tcW w:w="355" w:type="pct"/>
                  <w:shd w:val="clear" w:color="auto" w:fill="auto"/>
                  <w:vAlign w:val="center"/>
                </w:tcPr>
                <w:p>
                  <w:pPr>
                    <w:keepNext/>
                    <w:widowControl/>
                    <w:snapToGrid w:val="0"/>
                    <w:jc w:val="center"/>
                    <w:textAlignment w:val="center"/>
                    <w:rPr>
                      <w:color w:val="auto"/>
                      <w:sz w:val="18"/>
                      <w:szCs w:val="18"/>
                    </w:rPr>
                  </w:pPr>
                  <w:r>
                    <w:rPr>
                      <w:color w:val="auto"/>
                      <w:kern w:val="0"/>
                      <w:sz w:val="18"/>
                      <w:szCs w:val="18"/>
                      <w:lang w:bidi="ar"/>
                    </w:rPr>
                    <w:t>90%</w:t>
                  </w:r>
                </w:p>
              </w:tc>
              <w:tc>
                <w:tcPr>
                  <w:tcW w:w="1145" w:type="dxa"/>
                  <w:shd w:val="clear" w:color="auto" w:fill="auto"/>
                  <w:vAlign w:val="center"/>
                </w:tcPr>
                <w:p>
                  <w:pPr>
                    <w:keepNext w:val="0"/>
                    <w:keepLines w:val="0"/>
                    <w:widowControl/>
                    <w:suppressLineNumbers w:val="0"/>
                    <w:jc w:val="center"/>
                    <w:textAlignment w:val="center"/>
                    <w:rPr>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3.402</w:t>
                  </w:r>
                </w:p>
              </w:tc>
              <w:tc>
                <w:tcPr>
                  <w:tcW w:w="1148" w:type="dxa"/>
                  <w:shd w:val="clear" w:color="auto" w:fill="auto"/>
                  <w:vAlign w:val="center"/>
                </w:tcPr>
                <w:p>
                  <w:pPr>
                    <w:keepNext w:val="0"/>
                    <w:keepLines w:val="0"/>
                    <w:widowControl/>
                    <w:suppressLineNumbers w:val="0"/>
                    <w:jc w:val="center"/>
                    <w:textAlignment w:val="center"/>
                    <w:rPr>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0.001</w:t>
                  </w:r>
                </w:p>
              </w:tc>
              <w:tc>
                <w:tcPr>
                  <w:tcW w:w="694" w:type="dxa"/>
                  <w:shd w:val="clear" w:color="auto" w:fill="auto"/>
                  <w:vAlign w:val="center"/>
                </w:tcPr>
                <w:p>
                  <w:pPr>
                    <w:keepNext w:val="0"/>
                    <w:keepLines w:val="0"/>
                    <w:widowControl/>
                    <w:suppressLineNumbers w:val="0"/>
                    <w:jc w:val="center"/>
                    <w:textAlignment w:val="center"/>
                    <w:rPr>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10</w:t>
                  </w:r>
                </w:p>
              </w:tc>
              <w:tc>
                <w:tcPr>
                  <w:tcW w:w="1217" w:type="dxa"/>
                  <w:shd w:val="clear" w:color="auto" w:fill="auto"/>
                  <w:vAlign w:val="center"/>
                </w:tcPr>
                <w:p>
                  <w:pPr>
                    <w:keepNext w:val="0"/>
                    <w:keepLines w:val="0"/>
                    <w:widowControl/>
                    <w:suppressLineNumbers w:val="0"/>
                    <w:jc w:val="center"/>
                    <w:textAlignment w:val="center"/>
                    <w:rPr>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0.0029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8" w:type="pct"/>
                  <w:vMerge w:val="continue"/>
                  <w:shd w:val="clear" w:color="auto" w:fill="auto"/>
                  <w:vAlign w:val="center"/>
                </w:tcPr>
                <w:p>
                  <w:pPr>
                    <w:keepNext/>
                    <w:snapToGrid w:val="0"/>
                    <w:jc w:val="center"/>
                    <w:rPr>
                      <w:color w:val="auto"/>
                      <w:sz w:val="18"/>
                      <w:szCs w:val="18"/>
                    </w:rPr>
                  </w:pPr>
                </w:p>
              </w:tc>
              <w:tc>
                <w:tcPr>
                  <w:tcW w:w="439" w:type="pct"/>
                  <w:shd w:val="clear" w:color="auto" w:fill="auto"/>
                  <w:vAlign w:val="center"/>
                </w:tcPr>
                <w:p>
                  <w:pPr>
                    <w:keepNext/>
                    <w:widowControl/>
                    <w:snapToGrid w:val="0"/>
                    <w:jc w:val="center"/>
                    <w:textAlignment w:val="center"/>
                    <w:rPr>
                      <w:color w:val="auto"/>
                      <w:sz w:val="18"/>
                      <w:szCs w:val="18"/>
                    </w:rPr>
                  </w:pPr>
                  <w:r>
                    <w:rPr>
                      <w:color w:val="auto"/>
                      <w:kern w:val="0"/>
                      <w:sz w:val="18"/>
                      <w:szCs w:val="18"/>
                      <w:lang w:bidi="ar"/>
                    </w:rPr>
                    <w:t>SS</w:t>
                  </w:r>
                </w:p>
              </w:tc>
              <w:tc>
                <w:tcPr>
                  <w:tcW w:w="996" w:type="dxa"/>
                  <w:shd w:val="clear" w:color="auto" w:fill="auto"/>
                  <w:noWrap/>
                  <w:vAlign w:val="center"/>
                </w:tcPr>
                <w:p>
                  <w:pPr>
                    <w:keepNext w:val="0"/>
                    <w:keepLines w:val="0"/>
                    <w:widowControl/>
                    <w:suppressLineNumbers w:val="0"/>
                    <w:jc w:val="center"/>
                    <w:textAlignment w:val="center"/>
                    <w:rPr>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34.017</w:t>
                  </w:r>
                </w:p>
              </w:tc>
              <w:tc>
                <w:tcPr>
                  <w:tcW w:w="960" w:type="dxa"/>
                  <w:shd w:val="clear" w:color="auto" w:fill="auto"/>
                  <w:noWrap/>
                  <w:vAlign w:val="center"/>
                </w:tcPr>
                <w:p>
                  <w:pPr>
                    <w:keepNext w:val="0"/>
                    <w:keepLines w:val="0"/>
                    <w:widowControl/>
                    <w:suppressLineNumbers w:val="0"/>
                    <w:jc w:val="center"/>
                    <w:textAlignment w:val="center"/>
                    <w:rPr>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0.01</w:t>
                  </w:r>
                </w:p>
              </w:tc>
              <w:tc>
                <w:tcPr>
                  <w:tcW w:w="355" w:type="pct"/>
                  <w:shd w:val="clear" w:color="auto" w:fill="auto"/>
                  <w:vAlign w:val="center"/>
                </w:tcPr>
                <w:p>
                  <w:pPr>
                    <w:keepNext/>
                    <w:widowControl/>
                    <w:snapToGrid w:val="0"/>
                    <w:jc w:val="center"/>
                    <w:textAlignment w:val="center"/>
                    <w:rPr>
                      <w:color w:val="auto"/>
                      <w:sz w:val="18"/>
                      <w:szCs w:val="18"/>
                    </w:rPr>
                  </w:pPr>
                  <w:r>
                    <w:rPr>
                      <w:color w:val="auto"/>
                      <w:kern w:val="0"/>
                      <w:sz w:val="18"/>
                      <w:szCs w:val="18"/>
                      <w:lang w:bidi="ar"/>
                    </w:rPr>
                    <w:t>91%</w:t>
                  </w:r>
                </w:p>
              </w:tc>
              <w:tc>
                <w:tcPr>
                  <w:tcW w:w="1145" w:type="dxa"/>
                  <w:shd w:val="clear" w:color="auto" w:fill="auto"/>
                  <w:vAlign w:val="center"/>
                </w:tcPr>
                <w:p>
                  <w:pPr>
                    <w:keepNext w:val="0"/>
                    <w:keepLines w:val="0"/>
                    <w:widowControl/>
                    <w:suppressLineNumbers w:val="0"/>
                    <w:jc w:val="center"/>
                    <w:textAlignment w:val="center"/>
                    <w:rPr>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3.062</w:t>
                  </w:r>
                </w:p>
              </w:tc>
              <w:tc>
                <w:tcPr>
                  <w:tcW w:w="1148" w:type="dxa"/>
                  <w:shd w:val="clear" w:color="auto" w:fill="auto"/>
                  <w:vAlign w:val="center"/>
                </w:tcPr>
                <w:p>
                  <w:pPr>
                    <w:keepNext w:val="0"/>
                    <w:keepLines w:val="0"/>
                    <w:widowControl/>
                    <w:suppressLineNumbers w:val="0"/>
                    <w:jc w:val="center"/>
                    <w:textAlignment w:val="center"/>
                    <w:rPr>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0.0009</w:t>
                  </w:r>
                </w:p>
              </w:tc>
              <w:tc>
                <w:tcPr>
                  <w:tcW w:w="694" w:type="dxa"/>
                  <w:shd w:val="clear" w:color="auto" w:fill="auto"/>
                  <w:vAlign w:val="center"/>
                </w:tcPr>
                <w:p>
                  <w:pPr>
                    <w:keepNext w:val="0"/>
                    <w:keepLines w:val="0"/>
                    <w:widowControl/>
                    <w:suppressLineNumbers w:val="0"/>
                    <w:jc w:val="center"/>
                    <w:textAlignment w:val="center"/>
                    <w:rPr>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10</w:t>
                  </w:r>
                </w:p>
              </w:tc>
              <w:tc>
                <w:tcPr>
                  <w:tcW w:w="1217" w:type="dxa"/>
                  <w:shd w:val="clear" w:color="auto" w:fill="auto"/>
                  <w:vAlign w:val="center"/>
                </w:tcPr>
                <w:p>
                  <w:pPr>
                    <w:keepNext w:val="0"/>
                    <w:keepLines w:val="0"/>
                    <w:widowControl/>
                    <w:suppressLineNumbers w:val="0"/>
                    <w:jc w:val="center"/>
                    <w:textAlignment w:val="center"/>
                    <w:rPr>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0.0029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8" w:type="pct"/>
                  <w:vMerge w:val="continue"/>
                  <w:shd w:val="clear" w:color="auto" w:fill="auto"/>
                  <w:vAlign w:val="center"/>
                </w:tcPr>
                <w:p>
                  <w:pPr>
                    <w:keepNext/>
                    <w:snapToGrid w:val="0"/>
                    <w:jc w:val="center"/>
                    <w:rPr>
                      <w:color w:val="auto"/>
                      <w:sz w:val="18"/>
                      <w:szCs w:val="18"/>
                    </w:rPr>
                  </w:pPr>
                </w:p>
              </w:tc>
              <w:tc>
                <w:tcPr>
                  <w:tcW w:w="439" w:type="pct"/>
                  <w:shd w:val="clear" w:color="auto" w:fill="auto"/>
                  <w:vAlign w:val="center"/>
                </w:tcPr>
                <w:p>
                  <w:pPr>
                    <w:keepNext/>
                    <w:widowControl/>
                    <w:snapToGrid w:val="0"/>
                    <w:jc w:val="center"/>
                    <w:textAlignment w:val="center"/>
                    <w:rPr>
                      <w:rFonts w:hAnsi="宋体" w:cs="宋体"/>
                      <w:color w:val="auto"/>
                      <w:sz w:val="18"/>
                      <w:szCs w:val="18"/>
                    </w:rPr>
                  </w:pPr>
                  <w:r>
                    <w:rPr>
                      <w:rFonts w:hint="eastAsia" w:hAnsi="宋体" w:cs="宋体"/>
                      <w:color w:val="auto"/>
                      <w:kern w:val="0"/>
                      <w:sz w:val="18"/>
                      <w:szCs w:val="18"/>
                      <w:lang w:bidi="ar"/>
                    </w:rPr>
                    <w:t>氨氮</w:t>
                  </w:r>
                </w:p>
              </w:tc>
              <w:tc>
                <w:tcPr>
                  <w:tcW w:w="996" w:type="dxa"/>
                  <w:shd w:val="clear" w:color="auto" w:fill="auto"/>
                  <w:noWrap/>
                  <w:vAlign w:val="center"/>
                </w:tcPr>
                <w:p>
                  <w:pPr>
                    <w:keepNext w:val="0"/>
                    <w:keepLines w:val="0"/>
                    <w:widowControl/>
                    <w:suppressLineNumbers w:val="0"/>
                    <w:jc w:val="center"/>
                    <w:textAlignment w:val="center"/>
                    <w:rPr>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23.812</w:t>
                  </w:r>
                </w:p>
              </w:tc>
              <w:tc>
                <w:tcPr>
                  <w:tcW w:w="960" w:type="dxa"/>
                  <w:shd w:val="clear" w:color="auto" w:fill="auto"/>
                  <w:noWrap/>
                  <w:vAlign w:val="center"/>
                </w:tcPr>
                <w:p>
                  <w:pPr>
                    <w:keepNext w:val="0"/>
                    <w:keepLines w:val="0"/>
                    <w:widowControl/>
                    <w:suppressLineNumbers w:val="0"/>
                    <w:jc w:val="center"/>
                    <w:textAlignment w:val="center"/>
                    <w:rPr>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0.007</w:t>
                  </w:r>
                </w:p>
              </w:tc>
              <w:tc>
                <w:tcPr>
                  <w:tcW w:w="355" w:type="pct"/>
                  <w:shd w:val="clear" w:color="auto" w:fill="auto"/>
                  <w:vAlign w:val="center"/>
                </w:tcPr>
                <w:p>
                  <w:pPr>
                    <w:keepNext/>
                    <w:widowControl/>
                    <w:snapToGrid w:val="0"/>
                    <w:jc w:val="center"/>
                    <w:textAlignment w:val="center"/>
                    <w:rPr>
                      <w:color w:val="auto"/>
                      <w:sz w:val="18"/>
                      <w:szCs w:val="18"/>
                    </w:rPr>
                  </w:pPr>
                  <w:r>
                    <w:rPr>
                      <w:color w:val="auto"/>
                      <w:kern w:val="0"/>
                      <w:sz w:val="18"/>
                      <w:szCs w:val="18"/>
                      <w:lang w:bidi="ar"/>
                    </w:rPr>
                    <w:t>85%</w:t>
                  </w:r>
                </w:p>
              </w:tc>
              <w:tc>
                <w:tcPr>
                  <w:tcW w:w="1145" w:type="dxa"/>
                  <w:shd w:val="clear" w:color="auto" w:fill="auto"/>
                  <w:vAlign w:val="center"/>
                </w:tcPr>
                <w:p>
                  <w:pPr>
                    <w:keepNext w:val="0"/>
                    <w:keepLines w:val="0"/>
                    <w:widowControl/>
                    <w:suppressLineNumbers w:val="0"/>
                    <w:jc w:val="center"/>
                    <w:textAlignment w:val="center"/>
                    <w:rPr>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3.572</w:t>
                  </w:r>
                </w:p>
              </w:tc>
              <w:tc>
                <w:tcPr>
                  <w:tcW w:w="1148" w:type="dxa"/>
                  <w:shd w:val="clear" w:color="auto" w:fill="auto"/>
                  <w:vAlign w:val="center"/>
                </w:tcPr>
                <w:p>
                  <w:pPr>
                    <w:keepNext w:val="0"/>
                    <w:keepLines w:val="0"/>
                    <w:widowControl/>
                    <w:suppressLineNumbers w:val="0"/>
                    <w:jc w:val="center"/>
                    <w:textAlignment w:val="center"/>
                    <w:rPr>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0.00105</w:t>
                  </w:r>
                </w:p>
              </w:tc>
              <w:tc>
                <w:tcPr>
                  <w:tcW w:w="694" w:type="dxa"/>
                  <w:shd w:val="clear" w:color="auto" w:fill="auto"/>
                  <w:vAlign w:val="center"/>
                </w:tcPr>
                <w:p>
                  <w:pPr>
                    <w:keepNext w:val="0"/>
                    <w:keepLines w:val="0"/>
                    <w:widowControl/>
                    <w:suppressLineNumbers w:val="0"/>
                    <w:jc w:val="center"/>
                    <w:textAlignment w:val="center"/>
                    <w:rPr>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15</w:t>
                  </w:r>
                </w:p>
              </w:tc>
              <w:tc>
                <w:tcPr>
                  <w:tcW w:w="1217" w:type="dxa"/>
                  <w:shd w:val="clear" w:color="auto" w:fill="auto"/>
                  <w:vAlign w:val="center"/>
                </w:tcPr>
                <w:p>
                  <w:pPr>
                    <w:keepNext w:val="0"/>
                    <w:keepLines w:val="0"/>
                    <w:widowControl/>
                    <w:suppressLineNumbers w:val="0"/>
                    <w:jc w:val="center"/>
                    <w:textAlignment w:val="center"/>
                    <w:rPr>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0.0044</w:t>
                  </w:r>
                </w:p>
              </w:tc>
            </w:tr>
          </w:tbl>
          <w:p>
            <w:pPr>
              <w:numPr>
                <w:ilvl w:val="0"/>
                <w:numId w:val="5"/>
              </w:numPr>
              <w:spacing w:line="360" w:lineRule="auto"/>
              <w:ind w:firstLine="422" w:firstLineChars="200"/>
              <w:jc w:val="left"/>
              <w:rPr>
                <w:b/>
                <w:bCs/>
                <w:color w:val="auto"/>
                <w:szCs w:val="21"/>
              </w:rPr>
            </w:pPr>
            <w:r>
              <w:rPr>
                <w:rFonts w:hint="eastAsia"/>
                <w:b/>
                <w:bCs/>
                <w:color w:val="auto"/>
                <w:szCs w:val="21"/>
              </w:rPr>
              <w:t>废水排入</w:t>
            </w:r>
            <w:r>
              <w:rPr>
                <w:rFonts w:hint="eastAsia"/>
                <w:b/>
                <w:bCs/>
                <w:color w:val="auto"/>
                <w:szCs w:val="21"/>
                <w:lang w:eastAsia="zh-CN"/>
              </w:rPr>
              <w:t>明溪经济开发区工业污水处理厂</w:t>
            </w:r>
            <w:r>
              <w:rPr>
                <w:rFonts w:hint="eastAsia"/>
                <w:b/>
                <w:bCs/>
                <w:color w:val="auto"/>
                <w:szCs w:val="21"/>
              </w:rPr>
              <w:t>可行性分析</w:t>
            </w:r>
          </w:p>
          <w:p>
            <w:pPr>
              <w:spacing w:line="360" w:lineRule="auto"/>
              <w:ind w:firstLine="422" w:firstLineChars="200"/>
              <w:jc w:val="left"/>
              <w:rPr>
                <w:b/>
                <w:bCs/>
                <w:color w:val="auto"/>
                <w:szCs w:val="21"/>
              </w:rPr>
            </w:pPr>
            <w:r>
              <w:rPr>
                <w:b/>
                <w:bCs/>
                <w:color w:val="auto"/>
                <w:szCs w:val="21"/>
              </w:rPr>
              <w:t>①</w:t>
            </w:r>
            <w:r>
              <w:rPr>
                <w:rFonts w:hint="eastAsia"/>
                <w:b/>
                <w:bCs/>
                <w:color w:val="auto"/>
                <w:szCs w:val="21"/>
                <w:lang w:eastAsia="zh-CN"/>
              </w:rPr>
              <w:t>明溪经济开发区工业污水处理厂</w:t>
            </w:r>
            <w:r>
              <w:rPr>
                <w:rFonts w:hint="eastAsia"/>
                <w:b/>
                <w:bCs/>
                <w:color w:val="auto"/>
                <w:szCs w:val="21"/>
              </w:rPr>
              <w:t>概况</w:t>
            </w:r>
          </w:p>
          <w:p>
            <w:pPr>
              <w:spacing w:line="360" w:lineRule="auto"/>
              <w:ind w:firstLine="420" w:firstLineChars="200"/>
              <w:rPr>
                <w:color w:val="auto"/>
                <w:szCs w:val="21"/>
              </w:rPr>
            </w:pPr>
            <w:r>
              <w:rPr>
                <w:color w:val="auto"/>
                <w:szCs w:val="21"/>
              </w:rPr>
              <w:t>明溪经济开发区工业污水处理厂位于明溪县瀚仙镇王陂村，由明溪县经济开发区管理委员会投资建设，主要服务明溪工业集中区一区和D区，本项目位于一区，在其服务范围内。该厂一期工程设计处理能力1000 m</w:t>
            </w:r>
            <w:r>
              <w:rPr>
                <w:rFonts w:hint="eastAsia"/>
                <w:color w:val="auto"/>
                <w:szCs w:val="21"/>
                <w:vertAlign w:val="superscript"/>
              </w:rPr>
              <w:t>3</w:t>
            </w:r>
            <w:r>
              <w:rPr>
                <w:color w:val="auto"/>
                <w:szCs w:val="21"/>
              </w:rPr>
              <w:t>/d，采用“格栅+pH调节+混凝沉淀+A</w:t>
            </w:r>
            <w:r>
              <w:rPr>
                <w:rFonts w:hint="eastAsia"/>
                <w:color w:val="auto"/>
                <w:szCs w:val="21"/>
                <w:vertAlign w:val="superscript"/>
              </w:rPr>
              <w:t>2</w:t>
            </w:r>
            <w:r>
              <w:rPr>
                <w:color w:val="auto"/>
                <w:szCs w:val="21"/>
              </w:rPr>
              <w:t>/O+混凝沉淀+紫外消毒”工艺，出水执行《城镇污水处理厂污染物排放标准》（GB 18918—2002）一级B标准，后提标至一级A标准，于2024年3月通过自主环保验收。二期扩建工程新增处理能力3000 m</w:t>
            </w:r>
            <w:r>
              <w:rPr>
                <w:rFonts w:hint="eastAsia"/>
                <w:color w:val="auto"/>
                <w:szCs w:val="21"/>
                <w:vertAlign w:val="superscript"/>
              </w:rPr>
              <w:t>3</w:t>
            </w:r>
            <w:r>
              <w:rPr>
                <w:color w:val="auto"/>
                <w:szCs w:val="21"/>
              </w:rPr>
              <w:t>/d，总处理规模达4000 m</w:t>
            </w:r>
            <w:r>
              <w:rPr>
                <w:rFonts w:hint="eastAsia"/>
                <w:color w:val="auto"/>
                <w:szCs w:val="21"/>
                <w:vertAlign w:val="superscript"/>
              </w:rPr>
              <w:t>3</w:t>
            </w:r>
            <w:r>
              <w:rPr>
                <w:color w:val="auto"/>
                <w:szCs w:val="21"/>
              </w:rPr>
              <w:t>/d，出水执行一级A标准，于2025年3月通过自主验收正式投运。污水处理厂已取得排污许可证，突发环境事件应急预案已完成备案。</w:t>
            </w:r>
          </w:p>
          <w:p>
            <w:pPr>
              <w:spacing w:line="360" w:lineRule="auto"/>
              <w:ind w:firstLine="420" w:firstLineChars="200"/>
              <w:rPr>
                <w:b/>
                <w:bCs/>
                <w:color w:val="auto"/>
                <w:szCs w:val="21"/>
              </w:rPr>
            </w:pPr>
            <w:r>
              <w:rPr>
                <w:color w:val="auto"/>
                <w:szCs w:val="21"/>
              </w:rPr>
              <w:t>目前该污水处理厂已建成投运，现状处理总规模为4000 m</w:t>
            </w:r>
            <w:r>
              <w:rPr>
                <w:rFonts w:hint="eastAsia"/>
                <w:color w:val="auto"/>
                <w:szCs w:val="21"/>
                <w:vertAlign w:val="superscript"/>
              </w:rPr>
              <w:t>3</w:t>
            </w:r>
            <w:r>
              <w:rPr>
                <w:color w:val="auto"/>
                <w:szCs w:val="21"/>
              </w:rPr>
              <w:t>/d，园区现有企业废水量约2560 m</w:t>
            </w:r>
            <w:r>
              <w:rPr>
                <w:rFonts w:hint="eastAsia"/>
                <w:color w:val="auto"/>
                <w:szCs w:val="21"/>
                <w:vertAlign w:val="superscript"/>
              </w:rPr>
              <w:t>3</w:t>
            </w:r>
            <w:r>
              <w:rPr>
                <w:color w:val="auto"/>
                <w:szCs w:val="21"/>
              </w:rPr>
              <w:t>/d</w:t>
            </w:r>
            <w:r>
              <w:rPr>
                <w:rFonts w:hint="eastAsia"/>
                <w:color w:val="auto"/>
                <w:szCs w:val="21"/>
              </w:rPr>
              <w:t>（含已批在建、未建的项目）</w:t>
            </w:r>
            <w:r>
              <w:rPr>
                <w:color w:val="auto"/>
                <w:szCs w:val="21"/>
              </w:rPr>
              <w:t>，剩余处理能力约1440 m</w:t>
            </w:r>
            <w:r>
              <w:rPr>
                <w:rFonts w:hint="eastAsia"/>
                <w:color w:val="auto"/>
                <w:szCs w:val="21"/>
                <w:vertAlign w:val="superscript"/>
              </w:rPr>
              <w:t>3</w:t>
            </w:r>
            <w:r>
              <w:rPr>
                <w:color w:val="auto"/>
                <w:szCs w:val="21"/>
              </w:rPr>
              <w:t>/d。本项目新增废水排放量仅0.</w:t>
            </w:r>
            <w:r>
              <w:rPr>
                <w:rFonts w:hint="eastAsia"/>
                <w:color w:val="auto"/>
                <w:szCs w:val="21"/>
                <w:lang w:val="en-US" w:eastAsia="zh-CN"/>
              </w:rPr>
              <w:t>98</w:t>
            </w:r>
            <w:r>
              <w:rPr>
                <w:color w:val="auto"/>
                <w:szCs w:val="21"/>
              </w:rPr>
              <w:t xml:space="preserve"> m</w:t>
            </w:r>
            <w:r>
              <w:rPr>
                <w:rFonts w:hint="eastAsia"/>
                <w:color w:val="auto"/>
                <w:szCs w:val="21"/>
                <w:vertAlign w:val="superscript"/>
              </w:rPr>
              <w:t>3</w:t>
            </w:r>
            <w:r>
              <w:rPr>
                <w:color w:val="auto"/>
                <w:szCs w:val="21"/>
              </w:rPr>
              <w:t>/d，占剩余处理能力的0.0</w:t>
            </w:r>
            <w:r>
              <w:rPr>
                <w:rFonts w:hint="eastAsia"/>
                <w:color w:val="auto"/>
                <w:szCs w:val="21"/>
                <w:lang w:val="en-US" w:eastAsia="zh-CN"/>
              </w:rPr>
              <w:t>7</w:t>
            </w:r>
            <w:r>
              <w:rPr>
                <w:color w:val="auto"/>
                <w:szCs w:val="21"/>
              </w:rPr>
              <w:t>%，远小于污水处理厂可接纳余量。因此，本项目新增废水纳入明溪经济开发区工业污水处理厂集中处理是可行的。</w:t>
            </w:r>
          </w:p>
          <w:p>
            <w:pPr>
              <w:spacing w:line="360" w:lineRule="auto"/>
              <w:ind w:firstLine="422" w:firstLineChars="200"/>
              <w:jc w:val="left"/>
              <w:rPr>
                <w:b/>
                <w:bCs/>
                <w:color w:val="auto"/>
                <w:szCs w:val="21"/>
              </w:rPr>
            </w:pPr>
            <w:r>
              <w:rPr>
                <w:b/>
                <w:bCs/>
                <w:color w:val="auto"/>
                <w:szCs w:val="21"/>
              </w:rPr>
              <w:t>②污水厂纳管范围</w:t>
            </w:r>
          </w:p>
          <w:p>
            <w:pPr>
              <w:spacing w:line="360" w:lineRule="auto"/>
              <w:ind w:firstLine="420" w:firstLineChars="200"/>
              <w:rPr>
                <w:color w:val="auto"/>
                <w:szCs w:val="21"/>
              </w:rPr>
            </w:pPr>
            <w:r>
              <w:rPr>
                <w:color w:val="auto"/>
                <w:szCs w:val="21"/>
              </w:rPr>
              <w:t>明溪经济开发区工业污水处理厂主要接纳明溪县工业集中区D区、明溪县经济开发区D区及一区的工业废水和生活污水。本项目位于明溪县经济开发区D区海斯福一厂内，属于该污水处理厂的服务范围，且海斯福一厂现有工程废水已纳入其处理范畴，故本项目新增废水可一并依托该污水处理厂接管处理。</w:t>
            </w:r>
          </w:p>
          <w:p>
            <w:pPr>
              <w:spacing w:line="360" w:lineRule="auto"/>
              <w:ind w:firstLine="422" w:firstLineChars="200"/>
              <w:jc w:val="left"/>
              <w:rPr>
                <w:b/>
                <w:bCs/>
                <w:color w:val="auto"/>
                <w:szCs w:val="21"/>
              </w:rPr>
            </w:pPr>
            <w:r>
              <w:rPr>
                <w:b/>
                <w:bCs/>
                <w:color w:val="auto"/>
                <w:szCs w:val="21"/>
              </w:rPr>
              <w:t>③污水处理工艺及设计进、出水水质</w:t>
            </w:r>
          </w:p>
          <w:p>
            <w:pPr>
              <w:spacing w:line="360" w:lineRule="auto"/>
              <w:ind w:firstLine="420" w:firstLineChars="200"/>
              <w:rPr>
                <w:color w:val="auto"/>
                <w:szCs w:val="21"/>
              </w:rPr>
            </w:pPr>
            <w:r>
              <w:rPr>
                <w:rFonts w:hint="eastAsia"/>
                <w:color w:val="auto"/>
                <w:szCs w:val="21"/>
                <w:lang w:eastAsia="zh-CN"/>
              </w:rPr>
              <w:t>明溪经济开发区工业污水处理厂</w:t>
            </w:r>
            <w:r>
              <w:rPr>
                <w:color w:val="auto"/>
                <w:szCs w:val="21"/>
              </w:rPr>
              <w:t>采用以“水解酸化+AAO”为核心，后端衔接“MBR/二沉池+芬顿氧化+过滤”进行深度处理与双重消毒，并配有污泥脱水系统的工艺流程，确保废水稳定达标排放。</w:t>
            </w:r>
          </w:p>
          <w:p>
            <w:pPr>
              <w:spacing w:line="360" w:lineRule="auto"/>
              <w:jc w:val="center"/>
              <w:rPr>
                <w:color w:val="auto"/>
              </w:rPr>
            </w:pPr>
            <w:r>
              <w:rPr>
                <w:color w:val="auto"/>
              </w:rPr>
              <w:drawing>
                <wp:inline distT="0" distB="0" distL="114300" distR="114300">
                  <wp:extent cx="3561080" cy="5650230"/>
                  <wp:effectExtent l="0" t="0" r="1270" b="7620"/>
                  <wp:docPr id="2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0"/>
                          <pic:cNvPicPr>
                            <a:picLocks noChangeAspect="1"/>
                          </pic:cNvPicPr>
                        </pic:nvPicPr>
                        <pic:blipFill>
                          <a:blip r:embed="rId17"/>
                          <a:stretch>
                            <a:fillRect/>
                          </a:stretch>
                        </pic:blipFill>
                        <pic:spPr>
                          <a:xfrm>
                            <a:off x="0" y="0"/>
                            <a:ext cx="3561080" cy="5650230"/>
                          </a:xfrm>
                          <a:prstGeom prst="rect">
                            <a:avLst/>
                          </a:prstGeom>
                          <a:noFill/>
                          <a:ln>
                            <a:noFill/>
                          </a:ln>
                        </pic:spPr>
                      </pic:pic>
                    </a:graphicData>
                  </a:graphic>
                </wp:inline>
              </w:drawing>
            </w:r>
          </w:p>
          <w:p>
            <w:pPr>
              <w:spacing w:line="360" w:lineRule="auto"/>
              <w:jc w:val="center"/>
              <w:rPr>
                <w:rFonts w:hint="default" w:cs="Times New Roman"/>
                <w:b/>
                <w:bCs/>
                <w:color w:val="auto"/>
                <w:szCs w:val="21"/>
                <w:lang w:val="en-US" w:eastAsia="zh-CN"/>
              </w:rPr>
            </w:pPr>
            <w:r>
              <w:rPr>
                <w:rFonts w:hint="eastAsia" w:cs="Times New Roman"/>
                <w:b/>
                <w:bCs/>
                <w:color w:val="auto"/>
                <w:szCs w:val="21"/>
                <w:lang w:val="en-US" w:eastAsia="zh-CN"/>
              </w:rPr>
              <w:t>图4-5明溪经济开发区工业污水处理厂工艺</w:t>
            </w:r>
          </w:p>
          <w:p>
            <w:pPr>
              <w:spacing w:line="360" w:lineRule="auto"/>
              <w:ind w:firstLine="420" w:firstLineChars="200"/>
              <w:jc w:val="left"/>
              <w:rPr>
                <w:color w:val="auto"/>
                <w:szCs w:val="21"/>
              </w:rPr>
            </w:pPr>
            <w:r>
              <w:rPr>
                <w:rFonts w:hint="eastAsia"/>
                <w:color w:val="auto"/>
                <w:szCs w:val="21"/>
              </w:rPr>
              <w:t>明溪经济开发区工业污水处理厂设计进出水水质见下表。</w:t>
            </w:r>
            <w:r>
              <w:rPr>
                <w:rFonts w:hint="eastAsia"/>
                <w:color w:val="auto"/>
                <w:szCs w:val="21"/>
                <w:lang w:eastAsia="zh-CN"/>
              </w:rPr>
              <w:t>明溪经济开发区工业污水处理厂</w:t>
            </w:r>
            <w:r>
              <w:rPr>
                <w:rFonts w:hint="eastAsia"/>
                <w:color w:val="auto"/>
                <w:szCs w:val="21"/>
              </w:rPr>
              <w:t>的排放口设于渔塘溪，</w:t>
            </w:r>
            <w:r>
              <w:rPr>
                <w:color w:val="auto"/>
                <w:szCs w:val="21"/>
              </w:rPr>
              <w:t>尾水排放执行《城镇污水处理厂污染物排放标准》（GB18918-2002）</w:t>
            </w:r>
            <w:r>
              <w:rPr>
                <w:rFonts w:hint="eastAsia"/>
                <w:color w:val="auto"/>
                <w:szCs w:val="21"/>
              </w:rPr>
              <w:t>及其修改单</w:t>
            </w:r>
            <w:r>
              <w:rPr>
                <w:color w:val="auto"/>
                <w:szCs w:val="21"/>
              </w:rPr>
              <w:t>一级A标准</w:t>
            </w:r>
            <w:r>
              <w:rPr>
                <w:rFonts w:hint="eastAsia"/>
                <w:color w:val="auto"/>
                <w:szCs w:val="21"/>
              </w:rPr>
              <w:t>。具体情况见下表。详见下表。</w:t>
            </w:r>
          </w:p>
          <w:p>
            <w:pPr>
              <w:spacing w:before="194" w:beforeLines="50"/>
              <w:jc w:val="center"/>
              <w:outlineLvl w:val="5"/>
              <w:rPr>
                <w:rFonts w:hint="eastAsia"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表4-23明溪经济开发区工业污水处理厂设计进出水水质 单位：mg/L</w:t>
            </w:r>
          </w:p>
          <w:tbl>
            <w:tblPr>
              <w:tblStyle w:val="20"/>
              <w:tblW w:w="4998"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737"/>
              <w:gridCol w:w="738"/>
              <w:gridCol w:w="735"/>
              <w:gridCol w:w="750"/>
              <w:gridCol w:w="738"/>
              <w:gridCol w:w="737"/>
              <w:gridCol w:w="738"/>
              <w:gridCol w:w="738"/>
              <w:gridCol w:w="737"/>
              <w:gridCol w:w="7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pct"/>
                  <w:vAlign w:val="center"/>
                </w:tcPr>
                <w:p>
                  <w:pPr>
                    <w:jc w:val="center"/>
                    <w:rPr>
                      <w:b/>
                      <w:bCs/>
                      <w:color w:val="auto"/>
                      <w:sz w:val="18"/>
                      <w:szCs w:val="18"/>
                    </w:rPr>
                  </w:pPr>
                  <w:r>
                    <w:rPr>
                      <w:rFonts w:hint="eastAsia"/>
                      <w:b/>
                      <w:bCs/>
                      <w:color w:val="auto"/>
                      <w:sz w:val="18"/>
                      <w:szCs w:val="18"/>
                    </w:rPr>
                    <w:t>项目</w:t>
                  </w:r>
                </w:p>
              </w:tc>
              <w:tc>
                <w:tcPr>
                  <w:tcW w:w="453" w:type="pct"/>
                  <w:vAlign w:val="center"/>
                </w:tcPr>
                <w:p>
                  <w:pPr>
                    <w:jc w:val="center"/>
                    <w:rPr>
                      <w:b/>
                      <w:bCs/>
                      <w:color w:val="auto"/>
                      <w:sz w:val="18"/>
                      <w:szCs w:val="18"/>
                    </w:rPr>
                  </w:pPr>
                  <w:r>
                    <w:rPr>
                      <w:rFonts w:hint="eastAsia"/>
                      <w:b/>
                      <w:bCs/>
                      <w:color w:val="auto"/>
                      <w:sz w:val="18"/>
                      <w:szCs w:val="18"/>
                    </w:rPr>
                    <w:t>COD</w:t>
                  </w:r>
                </w:p>
              </w:tc>
              <w:tc>
                <w:tcPr>
                  <w:tcW w:w="454" w:type="pct"/>
                  <w:vAlign w:val="center"/>
                </w:tcPr>
                <w:p>
                  <w:pPr>
                    <w:jc w:val="center"/>
                    <w:rPr>
                      <w:b/>
                      <w:bCs/>
                      <w:color w:val="auto"/>
                      <w:sz w:val="18"/>
                      <w:szCs w:val="18"/>
                    </w:rPr>
                  </w:pPr>
                  <w:r>
                    <w:rPr>
                      <w:rFonts w:hint="eastAsia"/>
                      <w:b/>
                      <w:bCs/>
                      <w:color w:val="auto"/>
                      <w:sz w:val="18"/>
                      <w:szCs w:val="18"/>
                    </w:rPr>
                    <w:t>BOD</w:t>
                  </w:r>
                  <w:r>
                    <w:rPr>
                      <w:rFonts w:hint="eastAsia"/>
                      <w:b/>
                      <w:bCs/>
                      <w:color w:val="auto"/>
                      <w:sz w:val="18"/>
                      <w:szCs w:val="18"/>
                      <w:vertAlign w:val="subscript"/>
                    </w:rPr>
                    <w:t>5</w:t>
                  </w:r>
                </w:p>
              </w:tc>
              <w:tc>
                <w:tcPr>
                  <w:tcW w:w="452" w:type="pct"/>
                  <w:vAlign w:val="center"/>
                </w:tcPr>
                <w:p>
                  <w:pPr>
                    <w:jc w:val="center"/>
                    <w:rPr>
                      <w:b/>
                      <w:bCs/>
                      <w:color w:val="auto"/>
                      <w:sz w:val="18"/>
                      <w:szCs w:val="18"/>
                    </w:rPr>
                  </w:pPr>
                  <w:r>
                    <w:rPr>
                      <w:rFonts w:hint="eastAsia"/>
                      <w:b/>
                      <w:bCs/>
                      <w:color w:val="auto"/>
                      <w:sz w:val="18"/>
                      <w:szCs w:val="18"/>
                    </w:rPr>
                    <w:t>SS</w:t>
                  </w:r>
                </w:p>
              </w:tc>
              <w:tc>
                <w:tcPr>
                  <w:tcW w:w="462" w:type="pct"/>
                  <w:vAlign w:val="center"/>
                </w:tcPr>
                <w:p>
                  <w:pPr>
                    <w:jc w:val="center"/>
                    <w:rPr>
                      <w:b/>
                      <w:bCs/>
                      <w:color w:val="auto"/>
                      <w:sz w:val="18"/>
                      <w:szCs w:val="18"/>
                    </w:rPr>
                  </w:pPr>
                  <w:r>
                    <w:rPr>
                      <w:rFonts w:hint="eastAsia"/>
                      <w:b/>
                      <w:bCs/>
                      <w:color w:val="auto"/>
                      <w:sz w:val="18"/>
                      <w:szCs w:val="18"/>
                    </w:rPr>
                    <w:t>NH</w:t>
                  </w:r>
                  <w:r>
                    <w:rPr>
                      <w:rFonts w:hint="eastAsia"/>
                      <w:b/>
                      <w:bCs/>
                      <w:color w:val="auto"/>
                      <w:sz w:val="18"/>
                      <w:szCs w:val="18"/>
                      <w:vertAlign w:val="subscript"/>
                    </w:rPr>
                    <w:t>3</w:t>
                  </w:r>
                  <w:r>
                    <w:rPr>
                      <w:rFonts w:hint="eastAsia"/>
                      <w:b/>
                      <w:bCs/>
                      <w:color w:val="auto"/>
                      <w:sz w:val="18"/>
                      <w:szCs w:val="18"/>
                    </w:rPr>
                    <w:t>-N</w:t>
                  </w:r>
                </w:p>
              </w:tc>
              <w:tc>
                <w:tcPr>
                  <w:tcW w:w="454" w:type="pct"/>
                  <w:vAlign w:val="center"/>
                </w:tcPr>
                <w:p>
                  <w:pPr>
                    <w:jc w:val="center"/>
                    <w:rPr>
                      <w:b/>
                      <w:bCs/>
                      <w:color w:val="auto"/>
                      <w:sz w:val="18"/>
                      <w:szCs w:val="18"/>
                    </w:rPr>
                  </w:pPr>
                  <w:r>
                    <w:rPr>
                      <w:rFonts w:hint="eastAsia"/>
                      <w:b/>
                      <w:bCs/>
                      <w:color w:val="auto"/>
                      <w:sz w:val="18"/>
                      <w:szCs w:val="18"/>
                    </w:rPr>
                    <w:t>TP</w:t>
                  </w:r>
                </w:p>
              </w:tc>
              <w:tc>
                <w:tcPr>
                  <w:tcW w:w="453" w:type="pct"/>
                  <w:vAlign w:val="center"/>
                </w:tcPr>
                <w:p>
                  <w:pPr>
                    <w:jc w:val="center"/>
                    <w:rPr>
                      <w:b/>
                      <w:bCs/>
                      <w:color w:val="auto"/>
                      <w:sz w:val="18"/>
                      <w:szCs w:val="18"/>
                    </w:rPr>
                  </w:pPr>
                  <w:r>
                    <w:rPr>
                      <w:rFonts w:hint="eastAsia"/>
                      <w:b/>
                      <w:bCs/>
                      <w:color w:val="auto"/>
                      <w:sz w:val="18"/>
                      <w:szCs w:val="18"/>
                    </w:rPr>
                    <w:t>TN</w:t>
                  </w:r>
                </w:p>
              </w:tc>
              <w:tc>
                <w:tcPr>
                  <w:tcW w:w="454" w:type="pct"/>
                  <w:vAlign w:val="center"/>
                </w:tcPr>
                <w:p>
                  <w:pPr>
                    <w:jc w:val="center"/>
                    <w:rPr>
                      <w:b/>
                      <w:bCs/>
                      <w:color w:val="auto"/>
                      <w:sz w:val="18"/>
                      <w:szCs w:val="18"/>
                    </w:rPr>
                  </w:pPr>
                  <w:r>
                    <w:rPr>
                      <w:rFonts w:hint="eastAsia"/>
                      <w:b/>
                      <w:bCs/>
                      <w:color w:val="auto"/>
                      <w:sz w:val="18"/>
                      <w:szCs w:val="18"/>
                    </w:rPr>
                    <w:t>氟化物</w:t>
                  </w:r>
                </w:p>
              </w:tc>
              <w:tc>
                <w:tcPr>
                  <w:tcW w:w="454" w:type="pct"/>
                  <w:vAlign w:val="center"/>
                </w:tcPr>
                <w:p>
                  <w:pPr>
                    <w:jc w:val="center"/>
                    <w:rPr>
                      <w:b/>
                      <w:bCs/>
                      <w:color w:val="auto"/>
                      <w:sz w:val="18"/>
                      <w:szCs w:val="18"/>
                    </w:rPr>
                  </w:pPr>
                  <w:r>
                    <w:rPr>
                      <w:rFonts w:hint="eastAsia"/>
                      <w:b/>
                      <w:bCs/>
                      <w:color w:val="auto"/>
                      <w:sz w:val="18"/>
                      <w:szCs w:val="18"/>
                    </w:rPr>
                    <w:t>溶解性总固体</w:t>
                  </w:r>
                </w:p>
              </w:tc>
              <w:tc>
                <w:tcPr>
                  <w:tcW w:w="453" w:type="pct"/>
                  <w:vAlign w:val="center"/>
                </w:tcPr>
                <w:p>
                  <w:pPr>
                    <w:jc w:val="center"/>
                    <w:rPr>
                      <w:b/>
                      <w:bCs/>
                      <w:color w:val="auto"/>
                      <w:sz w:val="18"/>
                      <w:szCs w:val="18"/>
                    </w:rPr>
                  </w:pPr>
                  <w:r>
                    <w:rPr>
                      <w:rFonts w:hint="eastAsia"/>
                      <w:b/>
                      <w:bCs/>
                      <w:color w:val="auto"/>
                      <w:sz w:val="18"/>
                      <w:szCs w:val="18"/>
                    </w:rPr>
                    <w:t>硫酸盐</w:t>
                  </w:r>
                </w:p>
              </w:tc>
              <w:tc>
                <w:tcPr>
                  <w:tcW w:w="454" w:type="pct"/>
                  <w:vAlign w:val="center"/>
                </w:tcPr>
                <w:p>
                  <w:pPr>
                    <w:jc w:val="center"/>
                    <w:rPr>
                      <w:b/>
                      <w:bCs/>
                      <w:color w:val="auto"/>
                      <w:sz w:val="18"/>
                      <w:szCs w:val="18"/>
                    </w:rPr>
                  </w:pPr>
                  <w:r>
                    <w:rPr>
                      <w:rFonts w:hint="eastAsia"/>
                      <w:b/>
                      <w:bCs/>
                      <w:color w:val="auto"/>
                      <w:sz w:val="18"/>
                      <w:szCs w:val="18"/>
                    </w:rPr>
                    <w:t>氯化物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pct"/>
                  <w:vAlign w:val="center"/>
                </w:tcPr>
                <w:p>
                  <w:pPr>
                    <w:jc w:val="center"/>
                    <w:rPr>
                      <w:color w:val="auto"/>
                      <w:sz w:val="18"/>
                      <w:szCs w:val="18"/>
                    </w:rPr>
                  </w:pPr>
                  <w:r>
                    <w:rPr>
                      <w:rFonts w:hint="eastAsia"/>
                      <w:color w:val="auto"/>
                      <w:sz w:val="18"/>
                      <w:szCs w:val="18"/>
                    </w:rPr>
                    <w:t>进水</w:t>
                  </w:r>
                </w:p>
              </w:tc>
              <w:tc>
                <w:tcPr>
                  <w:tcW w:w="453" w:type="pct"/>
                  <w:vAlign w:val="center"/>
                </w:tcPr>
                <w:p>
                  <w:pPr>
                    <w:jc w:val="center"/>
                    <w:rPr>
                      <w:color w:val="auto"/>
                      <w:sz w:val="18"/>
                      <w:szCs w:val="18"/>
                    </w:rPr>
                  </w:pPr>
                  <w:r>
                    <w:rPr>
                      <w:rFonts w:hint="eastAsia"/>
                      <w:color w:val="auto"/>
                      <w:sz w:val="18"/>
                      <w:szCs w:val="18"/>
                    </w:rPr>
                    <w:t>500</w:t>
                  </w:r>
                </w:p>
              </w:tc>
              <w:tc>
                <w:tcPr>
                  <w:tcW w:w="454" w:type="pct"/>
                  <w:vAlign w:val="center"/>
                </w:tcPr>
                <w:p>
                  <w:pPr>
                    <w:jc w:val="center"/>
                    <w:rPr>
                      <w:color w:val="auto"/>
                      <w:sz w:val="18"/>
                      <w:szCs w:val="18"/>
                    </w:rPr>
                  </w:pPr>
                  <w:r>
                    <w:rPr>
                      <w:rFonts w:hint="eastAsia"/>
                      <w:color w:val="auto"/>
                      <w:sz w:val="18"/>
                      <w:szCs w:val="18"/>
                    </w:rPr>
                    <w:t>300</w:t>
                  </w:r>
                </w:p>
              </w:tc>
              <w:tc>
                <w:tcPr>
                  <w:tcW w:w="452" w:type="pct"/>
                  <w:vAlign w:val="center"/>
                </w:tcPr>
                <w:p>
                  <w:pPr>
                    <w:jc w:val="center"/>
                    <w:rPr>
                      <w:color w:val="auto"/>
                      <w:sz w:val="18"/>
                      <w:szCs w:val="18"/>
                    </w:rPr>
                  </w:pPr>
                  <w:r>
                    <w:rPr>
                      <w:rFonts w:hint="eastAsia"/>
                      <w:color w:val="auto"/>
                      <w:sz w:val="18"/>
                      <w:szCs w:val="18"/>
                    </w:rPr>
                    <w:t>400</w:t>
                  </w:r>
                </w:p>
              </w:tc>
              <w:tc>
                <w:tcPr>
                  <w:tcW w:w="462" w:type="pct"/>
                  <w:vAlign w:val="center"/>
                </w:tcPr>
                <w:p>
                  <w:pPr>
                    <w:jc w:val="center"/>
                    <w:rPr>
                      <w:color w:val="auto"/>
                      <w:sz w:val="18"/>
                      <w:szCs w:val="18"/>
                    </w:rPr>
                  </w:pPr>
                  <w:r>
                    <w:rPr>
                      <w:rFonts w:hint="eastAsia"/>
                      <w:color w:val="auto"/>
                      <w:sz w:val="18"/>
                      <w:szCs w:val="18"/>
                    </w:rPr>
                    <w:t>35</w:t>
                  </w:r>
                </w:p>
              </w:tc>
              <w:tc>
                <w:tcPr>
                  <w:tcW w:w="454" w:type="pct"/>
                  <w:vAlign w:val="center"/>
                </w:tcPr>
                <w:p>
                  <w:pPr>
                    <w:jc w:val="center"/>
                    <w:rPr>
                      <w:color w:val="auto"/>
                      <w:sz w:val="18"/>
                      <w:szCs w:val="18"/>
                    </w:rPr>
                  </w:pPr>
                  <w:r>
                    <w:rPr>
                      <w:rFonts w:hint="eastAsia"/>
                      <w:color w:val="auto"/>
                      <w:sz w:val="18"/>
                      <w:szCs w:val="18"/>
                    </w:rPr>
                    <w:t>8</w:t>
                  </w:r>
                </w:p>
              </w:tc>
              <w:tc>
                <w:tcPr>
                  <w:tcW w:w="453" w:type="pct"/>
                  <w:vAlign w:val="center"/>
                </w:tcPr>
                <w:p>
                  <w:pPr>
                    <w:jc w:val="center"/>
                    <w:rPr>
                      <w:color w:val="auto"/>
                      <w:sz w:val="18"/>
                      <w:szCs w:val="18"/>
                    </w:rPr>
                  </w:pPr>
                  <w:r>
                    <w:rPr>
                      <w:rFonts w:hint="eastAsia"/>
                      <w:color w:val="auto"/>
                      <w:sz w:val="18"/>
                      <w:szCs w:val="18"/>
                    </w:rPr>
                    <w:t>70</w:t>
                  </w:r>
                </w:p>
              </w:tc>
              <w:tc>
                <w:tcPr>
                  <w:tcW w:w="454" w:type="pct"/>
                  <w:vAlign w:val="center"/>
                </w:tcPr>
                <w:p>
                  <w:pPr>
                    <w:jc w:val="center"/>
                    <w:rPr>
                      <w:color w:val="auto"/>
                      <w:sz w:val="18"/>
                      <w:szCs w:val="18"/>
                    </w:rPr>
                  </w:pPr>
                  <w:r>
                    <w:rPr>
                      <w:rFonts w:hint="eastAsia"/>
                      <w:color w:val="auto"/>
                      <w:sz w:val="18"/>
                      <w:szCs w:val="18"/>
                    </w:rPr>
                    <w:t>6（2）</w:t>
                  </w:r>
                </w:p>
              </w:tc>
              <w:tc>
                <w:tcPr>
                  <w:tcW w:w="454" w:type="pct"/>
                  <w:vAlign w:val="center"/>
                </w:tcPr>
                <w:p>
                  <w:pPr>
                    <w:jc w:val="center"/>
                    <w:rPr>
                      <w:color w:val="auto"/>
                      <w:sz w:val="18"/>
                      <w:szCs w:val="18"/>
                    </w:rPr>
                  </w:pPr>
                  <w:r>
                    <w:rPr>
                      <w:rFonts w:hint="eastAsia"/>
                      <w:color w:val="auto"/>
                      <w:sz w:val="18"/>
                      <w:szCs w:val="18"/>
                    </w:rPr>
                    <w:t>2000</w:t>
                  </w:r>
                </w:p>
              </w:tc>
              <w:tc>
                <w:tcPr>
                  <w:tcW w:w="453" w:type="pct"/>
                  <w:vAlign w:val="center"/>
                </w:tcPr>
                <w:p>
                  <w:pPr>
                    <w:jc w:val="center"/>
                    <w:rPr>
                      <w:color w:val="auto"/>
                      <w:sz w:val="18"/>
                      <w:szCs w:val="18"/>
                    </w:rPr>
                  </w:pPr>
                  <w:r>
                    <w:rPr>
                      <w:rFonts w:hint="eastAsia"/>
                      <w:color w:val="auto"/>
                      <w:sz w:val="18"/>
                      <w:szCs w:val="18"/>
                    </w:rPr>
                    <w:t>600</w:t>
                  </w:r>
                </w:p>
              </w:tc>
              <w:tc>
                <w:tcPr>
                  <w:tcW w:w="454" w:type="pct"/>
                  <w:vAlign w:val="center"/>
                </w:tcPr>
                <w:p>
                  <w:pPr>
                    <w:jc w:val="center"/>
                    <w:rPr>
                      <w:color w:val="auto"/>
                      <w:sz w:val="18"/>
                      <w:szCs w:val="18"/>
                    </w:rPr>
                  </w:pPr>
                  <w:r>
                    <w:rPr>
                      <w:rFonts w:hint="eastAsia"/>
                      <w:color w:val="auto"/>
                      <w:sz w:val="18"/>
                      <w:szCs w:val="18"/>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pct"/>
                  <w:vAlign w:val="center"/>
                </w:tcPr>
                <w:p>
                  <w:pPr>
                    <w:jc w:val="center"/>
                    <w:rPr>
                      <w:color w:val="auto"/>
                      <w:sz w:val="18"/>
                      <w:szCs w:val="18"/>
                    </w:rPr>
                  </w:pPr>
                  <w:r>
                    <w:rPr>
                      <w:rFonts w:hint="eastAsia"/>
                      <w:color w:val="auto"/>
                      <w:sz w:val="18"/>
                      <w:szCs w:val="18"/>
                    </w:rPr>
                    <w:t>出水</w:t>
                  </w:r>
                </w:p>
              </w:tc>
              <w:tc>
                <w:tcPr>
                  <w:tcW w:w="453" w:type="pct"/>
                  <w:vAlign w:val="center"/>
                </w:tcPr>
                <w:p>
                  <w:pPr>
                    <w:jc w:val="center"/>
                    <w:rPr>
                      <w:color w:val="auto"/>
                      <w:sz w:val="18"/>
                      <w:szCs w:val="18"/>
                    </w:rPr>
                  </w:pPr>
                  <w:r>
                    <w:rPr>
                      <w:color w:val="auto"/>
                      <w:sz w:val="18"/>
                      <w:szCs w:val="18"/>
                    </w:rPr>
                    <w:t>≤</w:t>
                  </w:r>
                  <w:r>
                    <w:rPr>
                      <w:rFonts w:hint="eastAsia"/>
                      <w:color w:val="auto"/>
                      <w:sz w:val="18"/>
                      <w:szCs w:val="18"/>
                    </w:rPr>
                    <w:t>50</w:t>
                  </w:r>
                </w:p>
              </w:tc>
              <w:tc>
                <w:tcPr>
                  <w:tcW w:w="454" w:type="pct"/>
                  <w:vAlign w:val="center"/>
                </w:tcPr>
                <w:p>
                  <w:pPr>
                    <w:jc w:val="center"/>
                    <w:rPr>
                      <w:color w:val="auto"/>
                      <w:sz w:val="18"/>
                      <w:szCs w:val="18"/>
                    </w:rPr>
                  </w:pPr>
                  <w:r>
                    <w:rPr>
                      <w:color w:val="auto"/>
                      <w:sz w:val="18"/>
                      <w:szCs w:val="18"/>
                    </w:rPr>
                    <w:t>≤</w:t>
                  </w:r>
                  <w:r>
                    <w:rPr>
                      <w:rFonts w:hint="eastAsia"/>
                      <w:color w:val="auto"/>
                      <w:sz w:val="18"/>
                      <w:szCs w:val="18"/>
                    </w:rPr>
                    <w:t>10</w:t>
                  </w:r>
                </w:p>
              </w:tc>
              <w:tc>
                <w:tcPr>
                  <w:tcW w:w="452" w:type="pct"/>
                  <w:vAlign w:val="center"/>
                </w:tcPr>
                <w:p>
                  <w:pPr>
                    <w:jc w:val="center"/>
                    <w:rPr>
                      <w:color w:val="auto"/>
                      <w:sz w:val="18"/>
                      <w:szCs w:val="18"/>
                    </w:rPr>
                  </w:pPr>
                  <w:r>
                    <w:rPr>
                      <w:color w:val="auto"/>
                      <w:sz w:val="18"/>
                      <w:szCs w:val="18"/>
                    </w:rPr>
                    <w:t>≤</w:t>
                  </w:r>
                  <w:r>
                    <w:rPr>
                      <w:rFonts w:hint="eastAsia"/>
                      <w:color w:val="auto"/>
                      <w:sz w:val="18"/>
                      <w:szCs w:val="18"/>
                    </w:rPr>
                    <w:t>10</w:t>
                  </w:r>
                </w:p>
              </w:tc>
              <w:tc>
                <w:tcPr>
                  <w:tcW w:w="462" w:type="pct"/>
                  <w:vAlign w:val="center"/>
                </w:tcPr>
                <w:p>
                  <w:pPr>
                    <w:jc w:val="center"/>
                    <w:rPr>
                      <w:color w:val="auto"/>
                      <w:sz w:val="18"/>
                      <w:szCs w:val="18"/>
                    </w:rPr>
                  </w:pPr>
                  <w:r>
                    <w:rPr>
                      <w:color w:val="auto"/>
                      <w:sz w:val="18"/>
                      <w:szCs w:val="18"/>
                    </w:rPr>
                    <w:t>≤</w:t>
                  </w:r>
                  <w:r>
                    <w:rPr>
                      <w:rFonts w:hint="eastAsia"/>
                      <w:color w:val="auto"/>
                      <w:sz w:val="18"/>
                      <w:szCs w:val="18"/>
                    </w:rPr>
                    <w:t>5（8）</w:t>
                  </w:r>
                </w:p>
              </w:tc>
              <w:tc>
                <w:tcPr>
                  <w:tcW w:w="454" w:type="pct"/>
                  <w:vAlign w:val="center"/>
                </w:tcPr>
                <w:p>
                  <w:pPr>
                    <w:jc w:val="center"/>
                    <w:rPr>
                      <w:color w:val="auto"/>
                      <w:sz w:val="18"/>
                      <w:szCs w:val="18"/>
                    </w:rPr>
                  </w:pPr>
                  <w:r>
                    <w:rPr>
                      <w:color w:val="auto"/>
                      <w:sz w:val="18"/>
                      <w:szCs w:val="18"/>
                    </w:rPr>
                    <w:t>≤</w:t>
                  </w:r>
                  <w:r>
                    <w:rPr>
                      <w:rFonts w:hint="eastAsia"/>
                      <w:color w:val="auto"/>
                      <w:sz w:val="18"/>
                      <w:szCs w:val="18"/>
                    </w:rPr>
                    <w:t>0.5</w:t>
                  </w:r>
                </w:p>
              </w:tc>
              <w:tc>
                <w:tcPr>
                  <w:tcW w:w="453" w:type="pct"/>
                  <w:vAlign w:val="center"/>
                </w:tcPr>
                <w:p>
                  <w:pPr>
                    <w:jc w:val="center"/>
                    <w:rPr>
                      <w:color w:val="auto"/>
                      <w:sz w:val="18"/>
                      <w:szCs w:val="18"/>
                    </w:rPr>
                  </w:pPr>
                  <w:r>
                    <w:rPr>
                      <w:color w:val="auto"/>
                      <w:sz w:val="18"/>
                      <w:szCs w:val="18"/>
                    </w:rPr>
                    <w:t>≤</w:t>
                  </w:r>
                  <w:r>
                    <w:rPr>
                      <w:rFonts w:hint="eastAsia"/>
                      <w:color w:val="auto"/>
                      <w:sz w:val="18"/>
                      <w:szCs w:val="18"/>
                    </w:rPr>
                    <w:t>15</w:t>
                  </w:r>
                </w:p>
              </w:tc>
              <w:tc>
                <w:tcPr>
                  <w:tcW w:w="454" w:type="pct"/>
                  <w:vAlign w:val="center"/>
                </w:tcPr>
                <w:p>
                  <w:pPr>
                    <w:jc w:val="center"/>
                    <w:rPr>
                      <w:color w:val="auto"/>
                      <w:sz w:val="18"/>
                      <w:szCs w:val="18"/>
                    </w:rPr>
                  </w:pPr>
                  <w:r>
                    <w:rPr>
                      <w:color w:val="auto"/>
                      <w:sz w:val="18"/>
                      <w:szCs w:val="18"/>
                    </w:rPr>
                    <w:t>≤</w:t>
                  </w:r>
                  <w:r>
                    <w:rPr>
                      <w:rFonts w:hint="eastAsia"/>
                      <w:color w:val="auto"/>
                      <w:sz w:val="18"/>
                      <w:szCs w:val="18"/>
                    </w:rPr>
                    <w:t>2</w:t>
                  </w:r>
                </w:p>
              </w:tc>
              <w:tc>
                <w:tcPr>
                  <w:tcW w:w="454" w:type="pct"/>
                  <w:vAlign w:val="center"/>
                </w:tcPr>
                <w:p>
                  <w:pPr>
                    <w:jc w:val="center"/>
                    <w:rPr>
                      <w:color w:val="auto"/>
                      <w:sz w:val="18"/>
                      <w:szCs w:val="18"/>
                    </w:rPr>
                  </w:pPr>
                  <w:r>
                    <w:rPr>
                      <w:rFonts w:hint="eastAsia"/>
                      <w:color w:val="auto"/>
                      <w:sz w:val="18"/>
                      <w:szCs w:val="18"/>
                    </w:rPr>
                    <w:t>/</w:t>
                  </w:r>
                </w:p>
              </w:tc>
              <w:tc>
                <w:tcPr>
                  <w:tcW w:w="453" w:type="pct"/>
                  <w:vAlign w:val="center"/>
                </w:tcPr>
                <w:p>
                  <w:pPr>
                    <w:jc w:val="center"/>
                    <w:rPr>
                      <w:color w:val="auto"/>
                      <w:sz w:val="18"/>
                      <w:szCs w:val="18"/>
                    </w:rPr>
                  </w:pPr>
                  <w:r>
                    <w:rPr>
                      <w:rFonts w:hint="eastAsia"/>
                      <w:color w:val="auto"/>
                      <w:sz w:val="18"/>
                      <w:szCs w:val="18"/>
                    </w:rPr>
                    <w:t>/</w:t>
                  </w:r>
                </w:p>
              </w:tc>
              <w:tc>
                <w:tcPr>
                  <w:tcW w:w="454" w:type="pct"/>
                  <w:vAlign w:val="center"/>
                </w:tcPr>
                <w:p>
                  <w:pPr>
                    <w:jc w:val="center"/>
                    <w:rPr>
                      <w:color w:val="auto"/>
                      <w:sz w:val="18"/>
                      <w:szCs w:val="18"/>
                    </w:rPr>
                  </w:pPr>
                  <w:r>
                    <w:rPr>
                      <w:rFonts w:hint="eastAsia"/>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11"/>
                  <w:vAlign w:val="center"/>
                </w:tcPr>
                <w:p>
                  <w:pPr>
                    <w:jc w:val="left"/>
                    <w:rPr>
                      <w:color w:val="auto"/>
                      <w:sz w:val="18"/>
                      <w:szCs w:val="18"/>
                    </w:rPr>
                  </w:pPr>
                  <w:r>
                    <w:rPr>
                      <w:rFonts w:hint="eastAsia"/>
                      <w:color w:val="auto"/>
                      <w:sz w:val="18"/>
                      <w:szCs w:val="18"/>
                    </w:rPr>
                    <w:t>注：入园企业废水当需执行《无机化学工业污染物排放标准》(GB31573-2015)间接排放标准时，氟化物纳管标准应达到 2mg/L。</w:t>
                  </w:r>
                </w:p>
              </w:tc>
            </w:tr>
          </w:tbl>
          <w:p>
            <w:pPr>
              <w:spacing w:line="360" w:lineRule="auto"/>
              <w:ind w:firstLine="420" w:firstLineChars="200"/>
              <w:jc w:val="left"/>
              <w:rPr>
                <w:color w:val="auto"/>
                <w:szCs w:val="21"/>
              </w:rPr>
            </w:pPr>
            <w:r>
              <w:rPr>
                <w:rFonts w:hint="eastAsia"/>
                <w:color w:val="auto"/>
                <w:szCs w:val="21"/>
              </w:rPr>
              <w:t>而本项目新增废水依托一厂污水处理站现有工艺处理后，废水排放浓度为COD≤</w:t>
            </w:r>
            <w:r>
              <w:rPr>
                <w:rFonts w:hint="eastAsia"/>
                <w:color w:val="auto"/>
                <w:szCs w:val="21"/>
                <w:lang w:val="en-US" w:eastAsia="zh-CN"/>
              </w:rPr>
              <w:t>198</w:t>
            </w:r>
            <w:r>
              <w:rPr>
                <w:rFonts w:hint="eastAsia"/>
                <w:color w:val="auto"/>
                <w:szCs w:val="21"/>
              </w:rPr>
              <w:t>mg/L、BOD</w:t>
            </w:r>
            <w:r>
              <w:rPr>
                <w:rFonts w:hint="eastAsia"/>
                <w:color w:val="auto"/>
                <w:szCs w:val="21"/>
                <w:vertAlign w:val="subscript"/>
              </w:rPr>
              <w:t>5</w:t>
            </w:r>
            <w:r>
              <w:rPr>
                <w:rFonts w:hint="eastAsia"/>
                <w:color w:val="auto"/>
                <w:szCs w:val="21"/>
              </w:rPr>
              <w:t>≤</w:t>
            </w:r>
            <w:r>
              <w:rPr>
                <w:rFonts w:hint="eastAsia"/>
                <w:color w:val="auto"/>
                <w:szCs w:val="21"/>
                <w:lang w:val="en-US" w:eastAsia="zh-CN"/>
              </w:rPr>
              <w:t>3.402</w:t>
            </w:r>
            <w:r>
              <w:rPr>
                <w:rFonts w:hint="eastAsia"/>
                <w:color w:val="auto"/>
                <w:szCs w:val="21"/>
              </w:rPr>
              <w:t>mg/L、SS≤</w:t>
            </w:r>
            <w:r>
              <w:rPr>
                <w:rFonts w:hint="eastAsia"/>
                <w:color w:val="auto"/>
                <w:szCs w:val="21"/>
                <w:lang w:val="en-US" w:eastAsia="zh-CN"/>
              </w:rPr>
              <w:t>3.062</w:t>
            </w:r>
            <w:r>
              <w:rPr>
                <w:rFonts w:hint="eastAsia"/>
                <w:color w:val="auto"/>
                <w:szCs w:val="21"/>
              </w:rPr>
              <w:t>mg/L、氨氮≤</w:t>
            </w:r>
            <w:r>
              <w:rPr>
                <w:rFonts w:hint="eastAsia"/>
                <w:color w:val="auto"/>
                <w:szCs w:val="21"/>
                <w:lang w:val="en-US" w:eastAsia="zh-CN"/>
              </w:rPr>
              <w:t>3.572</w:t>
            </w:r>
            <w:r>
              <w:rPr>
                <w:rFonts w:hint="eastAsia"/>
                <w:color w:val="auto"/>
                <w:szCs w:val="21"/>
              </w:rPr>
              <w:t>mg/L，处理效果可稳定满足园区污水厂接管要求。</w:t>
            </w:r>
          </w:p>
          <w:p>
            <w:pPr>
              <w:spacing w:line="360" w:lineRule="auto"/>
              <w:ind w:firstLine="422" w:firstLineChars="200"/>
              <w:jc w:val="left"/>
              <w:rPr>
                <w:b/>
                <w:bCs/>
                <w:color w:val="auto"/>
                <w:szCs w:val="21"/>
              </w:rPr>
            </w:pPr>
            <w:r>
              <w:rPr>
                <w:rFonts w:hint="eastAsia"/>
                <w:b/>
                <w:bCs/>
                <w:color w:val="auto"/>
                <w:szCs w:val="21"/>
              </w:rPr>
              <w:t>④</w:t>
            </w:r>
            <w:r>
              <w:rPr>
                <w:rFonts w:hint="eastAsia"/>
                <w:b/>
                <w:bCs/>
                <w:color w:val="auto"/>
                <w:szCs w:val="21"/>
                <w:lang w:eastAsia="zh-CN"/>
              </w:rPr>
              <w:t>明溪经济开发区工业污水处理厂</w:t>
            </w:r>
            <w:r>
              <w:rPr>
                <w:rFonts w:hint="eastAsia"/>
                <w:b/>
                <w:bCs/>
                <w:color w:val="auto"/>
                <w:szCs w:val="21"/>
              </w:rPr>
              <w:t>达标排放情况</w:t>
            </w:r>
          </w:p>
          <w:p>
            <w:pPr>
              <w:spacing w:line="360" w:lineRule="auto"/>
              <w:ind w:firstLine="420" w:firstLineChars="200"/>
              <w:jc w:val="left"/>
              <w:rPr>
                <w:color w:val="auto"/>
                <w:szCs w:val="21"/>
              </w:rPr>
            </w:pPr>
            <w:r>
              <w:rPr>
                <w:rFonts w:hint="eastAsia"/>
                <w:color w:val="auto"/>
                <w:szCs w:val="21"/>
              </w:rPr>
              <w:t>为了解</w:t>
            </w:r>
            <w:r>
              <w:rPr>
                <w:rFonts w:hint="eastAsia"/>
                <w:color w:val="auto"/>
                <w:szCs w:val="21"/>
                <w:lang w:eastAsia="zh-CN"/>
              </w:rPr>
              <w:t>明溪经济开发区工业污水处理厂</w:t>
            </w:r>
            <w:r>
              <w:rPr>
                <w:rFonts w:hint="eastAsia"/>
                <w:color w:val="auto"/>
                <w:szCs w:val="21"/>
              </w:rPr>
              <w:t>（福建明溪经济开发区建设投资有限公司）废水达标排放情况，本次评价收集到该企业在福建省重点污染源信息综合发布平台发布的2025年自行监测年报，由监测结果可知各污染物均能稳定达标排放。</w:t>
            </w:r>
          </w:p>
          <w:p>
            <w:pPr>
              <w:spacing w:line="360" w:lineRule="auto"/>
              <w:ind w:firstLine="420" w:firstLineChars="200"/>
              <w:jc w:val="left"/>
              <w:rPr>
                <w:color w:val="auto"/>
                <w:szCs w:val="21"/>
              </w:rPr>
            </w:pPr>
            <w:r>
              <w:rPr>
                <w:rFonts w:hint="eastAsia"/>
                <w:color w:val="auto"/>
                <w:szCs w:val="21"/>
              </w:rPr>
              <w:t>综上所述，本项目废水纳入</w:t>
            </w:r>
            <w:r>
              <w:rPr>
                <w:rFonts w:hint="eastAsia"/>
                <w:color w:val="auto"/>
                <w:szCs w:val="21"/>
                <w:lang w:eastAsia="zh-CN"/>
              </w:rPr>
              <w:t>明溪经济开发区工业污水处理厂</w:t>
            </w:r>
            <w:r>
              <w:rPr>
                <w:rFonts w:hint="eastAsia"/>
                <w:color w:val="auto"/>
                <w:szCs w:val="21"/>
              </w:rPr>
              <w:t>处理可行。</w:t>
            </w:r>
          </w:p>
          <w:p>
            <w:pPr>
              <w:numPr>
                <w:ilvl w:val="0"/>
                <w:numId w:val="5"/>
              </w:numPr>
              <w:spacing w:line="360" w:lineRule="auto"/>
              <w:ind w:firstLine="422" w:firstLineChars="200"/>
              <w:jc w:val="left"/>
              <w:rPr>
                <w:b/>
                <w:bCs/>
                <w:color w:val="auto"/>
                <w:szCs w:val="21"/>
              </w:rPr>
            </w:pPr>
            <w:r>
              <w:rPr>
                <w:rFonts w:hint="eastAsia"/>
                <w:b/>
                <w:bCs/>
                <w:color w:val="auto"/>
                <w:szCs w:val="21"/>
              </w:rPr>
              <w:t>地表水环境影响分析</w:t>
            </w:r>
          </w:p>
          <w:p>
            <w:pPr>
              <w:spacing w:line="360" w:lineRule="auto"/>
              <w:ind w:firstLine="420" w:firstLineChars="200"/>
              <w:jc w:val="left"/>
              <w:rPr>
                <w:color w:val="auto"/>
                <w:szCs w:val="21"/>
              </w:rPr>
            </w:pPr>
            <w:r>
              <w:rPr>
                <w:rFonts w:hint="eastAsia"/>
                <w:color w:val="auto"/>
                <w:szCs w:val="21"/>
              </w:rPr>
              <w:t>拟建项目废水经一厂污水处理站处理达标后，排入明溪经济开发区工业污水处理厂集中处理。接管废水水质可满足</w:t>
            </w:r>
            <w:r>
              <w:rPr>
                <w:rFonts w:hint="eastAsia"/>
                <w:color w:val="auto"/>
                <w:szCs w:val="21"/>
                <w:lang w:eastAsia="zh-CN"/>
              </w:rPr>
              <w:t>明溪经济开发区工业污水处理厂</w:t>
            </w:r>
            <w:r>
              <w:rPr>
                <w:rFonts w:hint="eastAsia"/>
                <w:color w:val="auto"/>
                <w:szCs w:val="21"/>
              </w:rPr>
              <w:t>进水水质要求，经</w:t>
            </w:r>
            <w:r>
              <w:rPr>
                <w:rFonts w:hint="eastAsia"/>
                <w:color w:val="auto"/>
                <w:szCs w:val="21"/>
                <w:lang w:eastAsia="zh-CN"/>
              </w:rPr>
              <w:t>明溪经济开发区工业污水处理厂</w:t>
            </w:r>
            <w:r>
              <w:rPr>
                <w:rFonts w:hint="eastAsia"/>
                <w:color w:val="auto"/>
                <w:szCs w:val="21"/>
              </w:rPr>
              <w:t>进一步处理达到《城镇污水处理厂污染物排放标准》（GB 18918—2002）一级A标准后，尾水排入渔塘溪。本项目新增废水量小、污染物浓度低，总体对渔塘溪水环境影响较小。</w:t>
            </w:r>
          </w:p>
          <w:p>
            <w:pPr>
              <w:numPr>
                <w:ilvl w:val="0"/>
                <w:numId w:val="5"/>
              </w:numPr>
              <w:spacing w:line="360" w:lineRule="auto"/>
              <w:ind w:firstLine="422" w:firstLineChars="200"/>
              <w:jc w:val="left"/>
              <w:rPr>
                <w:b/>
                <w:bCs/>
                <w:color w:val="auto"/>
                <w:szCs w:val="21"/>
              </w:rPr>
            </w:pPr>
            <w:r>
              <w:rPr>
                <w:rFonts w:hint="eastAsia"/>
                <w:b/>
                <w:bCs/>
                <w:color w:val="auto"/>
                <w:szCs w:val="21"/>
              </w:rPr>
              <w:t>废水监测要求</w:t>
            </w:r>
          </w:p>
          <w:p>
            <w:pPr>
              <w:spacing w:line="360" w:lineRule="auto"/>
              <w:ind w:firstLine="420" w:firstLineChars="200"/>
              <w:jc w:val="left"/>
              <w:rPr>
                <w:color w:val="auto"/>
                <w:szCs w:val="21"/>
              </w:rPr>
            </w:pPr>
            <w:r>
              <w:rPr>
                <w:rFonts w:hint="eastAsia"/>
                <w:color w:val="auto"/>
                <w:szCs w:val="21"/>
              </w:rPr>
              <w:t>项目废水监测计划主要根据《排污单位自行监测技术指南  总则》（HJ819-2017）、《排污许可证申请与核发技术规范 橡胶和塑料制品工业》（HJ1122-2020）</w:t>
            </w:r>
            <w:r>
              <w:rPr>
                <w:rFonts w:hint="eastAsia"/>
                <w:color w:val="auto"/>
                <w:szCs w:val="21"/>
                <w:lang w:eastAsia="zh-CN"/>
              </w:rPr>
              <w:t>、《排污单位自行监测技术指南 橡胶和塑料制品》（</w:t>
            </w:r>
            <w:r>
              <w:rPr>
                <w:rFonts w:hint="eastAsia"/>
                <w:color w:val="auto"/>
                <w:szCs w:val="21"/>
                <w:lang w:val="en-US" w:eastAsia="zh-CN"/>
              </w:rPr>
              <w:t>HJ1207-2021</w:t>
            </w:r>
            <w:r>
              <w:rPr>
                <w:rFonts w:hint="eastAsia"/>
                <w:color w:val="auto"/>
                <w:szCs w:val="21"/>
                <w:lang w:eastAsia="zh-CN"/>
              </w:rPr>
              <w:t>）</w:t>
            </w:r>
            <w:r>
              <w:rPr>
                <w:rFonts w:hint="eastAsia"/>
                <w:color w:val="auto"/>
                <w:szCs w:val="21"/>
              </w:rPr>
              <w:t>的要求进行制定，在投产后开展自行监测。</w:t>
            </w:r>
          </w:p>
          <w:p>
            <w:pPr>
              <w:spacing w:line="360" w:lineRule="auto"/>
              <w:ind w:firstLine="420" w:firstLineChars="200"/>
              <w:jc w:val="left"/>
              <w:rPr>
                <w:rFonts w:hint="eastAsia"/>
                <w:color w:val="auto"/>
                <w:szCs w:val="21"/>
              </w:rPr>
            </w:pPr>
            <w:r>
              <w:rPr>
                <w:rFonts w:hint="eastAsia"/>
                <w:color w:val="auto"/>
                <w:szCs w:val="21"/>
              </w:rPr>
              <w:t>废水基本情况及监测要求见下表。</w:t>
            </w:r>
          </w:p>
          <w:p>
            <w:pPr>
              <w:spacing w:before="194" w:beforeLines="50"/>
              <w:jc w:val="center"/>
              <w:outlineLvl w:val="5"/>
              <w:rPr>
                <w:rFonts w:hint="eastAsia"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表4-24废水污染物监测点位、指标及频次</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6"/>
              <w:gridCol w:w="1275"/>
              <w:gridCol w:w="3828"/>
              <w:gridCol w:w="16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6" w:type="dxa"/>
                  <w:vMerge w:val="restart"/>
                  <w:vAlign w:val="center"/>
                </w:tcPr>
                <w:p>
                  <w:pPr>
                    <w:pStyle w:val="15"/>
                    <w:spacing w:before="0" w:beforeAutospacing="0" w:after="0" w:afterAutospacing="0" w:line="276" w:lineRule="auto"/>
                    <w:jc w:val="center"/>
                    <w:rPr>
                      <w:rFonts w:ascii="Times New Roman" w:hAnsi="Times New Roman"/>
                      <w:b/>
                      <w:bCs/>
                      <w:snapToGrid w:val="0"/>
                      <w:color w:val="auto"/>
                      <w:sz w:val="18"/>
                      <w:szCs w:val="18"/>
                    </w:rPr>
                  </w:pPr>
                  <w:r>
                    <w:rPr>
                      <w:rFonts w:hint="eastAsia" w:ascii="Times New Roman" w:hAnsi="Times New Roman"/>
                      <w:b/>
                      <w:bCs/>
                      <w:snapToGrid w:val="0"/>
                      <w:color w:val="auto"/>
                      <w:sz w:val="18"/>
                      <w:szCs w:val="18"/>
                    </w:rPr>
                    <w:t>行业类型</w:t>
                  </w:r>
                </w:p>
              </w:tc>
              <w:tc>
                <w:tcPr>
                  <w:tcW w:w="1275" w:type="dxa"/>
                  <w:vMerge w:val="restart"/>
                  <w:vAlign w:val="center"/>
                </w:tcPr>
                <w:p>
                  <w:pPr>
                    <w:pStyle w:val="15"/>
                    <w:spacing w:before="0" w:beforeAutospacing="0" w:after="0" w:afterAutospacing="0" w:line="276" w:lineRule="auto"/>
                    <w:jc w:val="center"/>
                    <w:rPr>
                      <w:rFonts w:ascii="Times New Roman" w:hAnsi="Times New Roman"/>
                      <w:b/>
                      <w:bCs/>
                      <w:snapToGrid w:val="0"/>
                      <w:color w:val="auto"/>
                      <w:sz w:val="18"/>
                      <w:szCs w:val="18"/>
                    </w:rPr>
                  </w:pPr>
                  <w:r>
                    <w:rPr>
                      <w:rFonts w:hint="eastAsia" w:ascii="Times New Roman" w:hAnsi="Times New Roman"/>
                      <w:b/>
                      <w:bCs/>
                      <w:snapToGrid w:val="0"/>
                      <w:color w:val="auto"/>
                      <w:sz w:val="18"/>
                      <w:szCs w:val="18"/>
                    </w:rPr>
                    <w:t>监测点位</w:t>
                  </w:r>
                </w:p>
              </w:tc>
              <w:tc>
                <w:tcPr>
                  <w:tcW w:w="3828" w:type="dxa"/>
                  <w:vMerge w:val="restart"/>
                  <w:vAlign w:val="center"/>
                </w:tcPr>
                <w:p>
                  <w:pPr>
                    <w:pStyle w:val="15"/>
                    <w:spacing w:before="0" w:beforeAutospacing="0" w:after="0" w:afterAutospacing="0" w:line="276" w:lineRule="auto"/>
                    <w:jc w:val="center"/>
                    <w:rPr>
                      <w:rFonts w:ascii="Times New Roman" w:hAnsi="Times New Roman"/>
                      <w:b/>
                      <w:bCs/>
                      <w:snapToGrid w:val="0"/>
                      <w:color w:val="auto"/>
                      <w:sz w:val="18"/>
                      <w:szCs w:val="18"/>
                    </w:rPr>
                  </w:pPr>
                  <w:r>
                    <w:rPr>
                      <w:rFonts w:hint="eastAsia" w:ascii="Times New Roman" w:hAnsi="Times New Roman"/>
                      <w:b/>
                      <w:bCs/>
                      <w:snapToGrid w:val="0"/>
                      <w:color w:val="auto"/>
                      <w:sz w:val="18"/>
                      <w:szCs w:val="18"/>
                    </w:rPr>
                    <w:t>监测指标</w:t>
                  </w:r>
                </w:p>
              </w:tc>
              <w:tc>
                <w:tcPr>
                  <w:tcW w:w="1603" w:type="dxa"/>
                  <w:vAlign w:val="center"/>
                </w:tcPr>
                <w:p>
                  <w:pPr>
                    <w:pStyle w:val="15"/>
                    <w:spacing w:before="0" w:beforeAutospacing="0" w:after="0" w:afterAutospacing="0" w:line="276" w:lineRule="auto"/>
                    <w:jc w:val="center"/>
                    <w:rPr>
                      <w:rFonts w:ascii="Times New Roman" w:hAnsi="Times New Roman"/>
                      <w:b/>
                      <w:bCs/>
                      <w:snapToGrid w:val="0"/>
                      <w:color w:val="auto"/>
                      <w:sz w:val="18"/>
                      <w:szCs w:val="18"/>
                    </w:rPr>
                  </w:pPr>
                  <w:r>
                    <w:rPr>
                      <w:rFonts w:hint="eastAsia" w:ascii="Times New Roman" w:hAnsi="Times New Roman"/>
                      <w:b/>
                      <w:bCs/>
                      <w:snapToGrid w:val="0"/>
                      <w:color w:val="auto"/>
                      <w:sz w:val="18"/>
                      <w:szCs w:val="18"/>
                    </w:rPr>
                    <w:t>最低监测频次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6" w:type="dxa"/>
                  <w:vMerge w:val="continue"/>
                  <w:vAlign w:val="center"/>
                </w:tcPr>
                <w:p>
                  <w:pPr>
                    <w:pStyle w:val="15"/>
                    <w:spacing w:before="0" w:beforeAutospacing="0" w:after="0" w:afterAutospacing="0" w:line="276" w:lineRule="auto"/>
                    <w:jc w:val="center"/>
                    <w:rPr>
                      <w:rFonts w:ascii="Times New Roman" w:hAnsi="Times New Roman"/>
                      <w:b/>
                      <w:bCs/>
                      <w:snapToGrid w:val="0"/>
                      <w:color w:val="auto"/>
                      <w:sz w:val="18"/>
                      <w:szCs w:val="18"/>
                    </w:rPr>
                  </w:pPr>
                </w:p>
              </w:tc>
              <w:tc>
                <w:tcPr>
                  <w:tcW w:w="1275" w:type="dxa"/>
                  <w:vMerge w:val="continue"/>
                  <w:vAlign w:val="center"/>
                </w:tcPr>
                <w:p>
                  <w:pPr>
                    <w:pStyle w:val="15"/>
                    <w:spacing w:before="0" w:beforeAutospacing="0" w:after="0" w:afterAutospacing="0" w:line="276" w:lineRule="auto"/>
                    <w:jc w:val="center"/>
                    <w:rPr>
                      <w:rFonts w:ascii="Times New Roman" w:hAnsi="Times New Roman"/>
                      <w:b/>
                      <w:bCs/>
                      <w:snapToGrid w:val="0"/>
                      <w:color w:val="auto"/>
                      <w:sz w:val="18"/>
                      <w:szCs w:val="18"/>
                    </w:rPr>
                  </w:pPr>
                </w:p>
              </w:tc>
              <w:tc>
                <w:tcPr>
                  <w:tcW w:w="3828" w:type="dxa"/>
                  <w:vMerge w:val="continue"/>
                  <w:vAlign w:val="center"/>
                </w:tcPr>
                <w:p>
                  <w:pPr>
                    <w:pStyle w:val="15"/>
                    <w:spacing w:before="0" w:beforeAutospacing="0" w:after="0" w:afterAutospacing="0" w:line="276" w:lineRule="auto"/>
                    <w:jc w:val="center"/>
                    <w:rPr>
                      <w:rFonts w:ascii="Times New Roman" w:hAnsi="Times New Roman"/>
                      <w:b/>
                      <w:bCs/>
                      <w:snapToGrid w:val="0"/>
                      <w:color w:val="auto"/>
                      <w:sz w:val="18"/>
                      <w:szCs w:val="18"/>
                    </w:rPr>
                  </w:pPr>
                </w:p>
              </w:tc>
              <w:tc>
                <w:tcPr>
                  <w:tcW w:w="1603" w:type="dxa"/>
                  <w:vAlign w:val="center"/>
                </w:tcPr>
                <w:p>
                  <w:pPr>
                    <w:pStyle w:val="15"/>
                    <w:spacing w:before="0" w:beforeAutospacing="0" w:after="0" w:afterAutospacing="0" w:line="276" w:lineRule="auto"/>
                    <w:jc w:val="center"/>
                    <w:rPr>
                      <w:rFonts w:ascii="Times New Roman" w:hAnsi="Times New Roman"/>
                      <w:b/>
                      <w:bCs/>
                      <w:snapToGrid w:val="0"/>
                      <w:color w:val="auto"/>
                      <w:sz w:val="18"/>
                      <w:szCs w:val="18"/>
                    </w:rPr>
                  </w:pPr>
                  <w:r>
                    <w:rPr>
                      <w:rFonts w:hint="eastAsia" w:ascii="Times New Roman" w:hAnsi="Times New Roman"/>
                      <w:b/>
                      <w:bCs/>
                      <w:snapToGrid w:val="0"/>
                      <w:color w:val="auto"/>
                      <w:sz w:val="18"/>
                      <w:szCs w:val="18"/>
                    </w:rPr>
                    <w:t>间接排放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6" w:type="dxa"/>
                  <w:vAlign w:val="center"/>
                </w:tcPr>
                <w:p>
                  <w:pPr>
                    <w:pStyle w:val="15"/>
                    <w:spacing w:before="0" w:beforeAutospacing="0" w:after="0" w:afterAutospacing="0" w:line="276" w:lineRule="auto"/>
                    <w:jc w:val="center"/>
                    <w:rPr>
                      <w:rFonts w:ascii="Times New Roman" w:hAnsi="Times New Roman"/>
                      <w:snapToGrid w:val="0"/>
                      <w:color w:val="auto"/>
                      <w:sz w:val="18"/>
                      <w:szCs w:val="18"/>
                    </w:rPr>
                  </w:pPr>
                  <w:r>
                    <w:rPr>
                      <w:rFonts w:hint="eastAsia" w:ascii="Times New Roman" w:hAnsi="Times New Roman"/>
                      <w:snapToGrid w:val="0"/>
                      <w:color w:val="auto"/>
                      <w:sz w:val="18"/>
                      <w:szCs w:val="18"/>
                    </w:rPr>
                    <w:t>橡胶和塑料制品工业</w:t>
                  </w:r>
                </w:p>
              </w:tc>
              <w:tc>
                <w:tcPr>
                  <w:tcW w:w="1275" w:type="dxa"/>
                  <w:vAlign w:val="center"/>
                </w:tcPr>
                <w:p>
                  <w:pPr>
                    <w:pStyle w:val="15"/>
                    <w:spacing w:before="0" w:beforeAutospacing="0" w:after="0" w:afterAutospacing="0" w:line="276" w:lineRule="auto"/>
                    <w:jc w:val="center"/>
                    <w:rPr>
                      <w:rFonts w:ascii="Times New Roman" w:hAnsi="Times New Roman"/>
                      <w:snapToGrid w:val="0"/>
                      <w:color w:val="auto"/>
                      <w:sz w:val="18"/>
                      <w:szCs w:val="18"/>
                    </w:rPr>
                  </w:pPr>
                  <w:r>
                    <w:rPr>
                      <w:rFonts w:hint="eastAsia" w:ascii="Times New Roman" w:hAnsi="Times New Roman"/>
                      <w:snapToGrid w:val="0"/>
                      <w:color w:val="auto"/>
                      <w:sz w:val="18"/>
                      <w:szCs w:val="18"/>
                    </w:rPr>
                    <w:t>排污单位废水总排口</w:t>
                  </w:r>
                </w:p>
              </w:tc>
              <w:tc>
                <w:tcPr>
                  <w:tcW w:w="3828" w:type="dxa"/>
                  <w:vAlign w:val="center"/>
                </w:tcPr>
                <w:p>
                  <w:pPr>
                    <w:pStyle w:val="15"/>
                    <w:spacing w:before="0" w:beforeAutospacing="0" w:after="0" w:afterAutospacing="0" w:line="276" w:lineRule="auto"/>
                    <w:jc w:val="center"/>
                    <w:rPr>
                      <w:rFonts w:ascii="Times New Roman" w:hAnsi="Times New Roman"/>
                      <w:snapToGrid w:val="0"/>
                      <w:color w:val="auto"/>
                      <w:sz w:val="18"/>
                      <w:szCs w:val="18"/>
                    </w:rPr>
                  </w:pPr>
                  <w:r>
                    <w:rPr>
                      <w:rFonts w:hint="eastAsia" w:ascii="Times New Roman" w:hAnsi="Times New Roman"/>
                      <w:snapToGrid w:val="0"/>
                      <w:color w:val="auto"/>
                      <w:sz w:val="18"/>
                      <w:szCs w:val="18"/>
                    </w:rPr>
                    <w:t>流量、SS、COD、BOD</w:t>
                  </w:r>
                  <w:r>
                    <w:rPr>
                      <w:rFonts w:hint="eastAsia" w:ascii="Times New Roman" w:hAnsi="Times New Roman"/>
                      <w:snapToGrid w:val="0"/>
                      <w:color w:val="auto"/>
                      <w:sz w:val="18"/>
                      <w:szCs w:val="18"/>
                      <w:vertAlign w:val="subscript"/>
                    </w:rPr>
                    <w:t>5</w:t>
                  </w:r>
                  <w:r>
                    <w:rPr>
                      <w:rFonts w:hint="eastAsia" w:ascii="Times New Roman" w:hAnsi="Times New Roman"/>
                      <w:snapToGrid w:val="0"/>
                      <w:color w:val="auto"/>
                      <w:sz w:val="18"/>
                      <w:szCs w:val="18"/>
                    </w:rPr>
                    <w:t>、氨氮</w:t>
                  </w:r>
                </w:p>
              </w:tc>
              <w:tc>
                <w:tcPr>
                  <w:tcW w:w="1603" w:type="dxa"/>
                  <w:vAlign w:val="center"/>
                </w:tcPr>
                <w:p>
                  <w:pPr>
                    <w:pStyle w:val="15"/>
                    <w:spacing w:before="0" w:beforeAutospacing="0" w:after="0" w:afterAutospacing="0" w:line="276" w:lineRule="auto"/>
                    <w:jc w:val="center"/>
                    <w:rPr>
                      <w:rFonts w:ascii="Times New Roman" w:hAnsi="Times New Roman"/>
                      <w:snapToGrid w:val="0"/>
                      <w:color w:val="auto"/>
                      <w:sz w:val="18"/>
                      <w:szCs w:val="18"/>
                    </w:rPr>
                  </w:pPr>
                  <w:r>
                    <w:rPr>
                      <w:rFonts w:hint="eastAsia" w:ascii="Times New Roman" w:hAnsi="Times New Roman"/>
                      <w:snapToGrid w:val="0"/>
                      <w:color w:val="auto"/>
                      <w:sz w:val="18"/>
                      <w:szCs w:val="18"/>
                    </w:rPr>
                    <w:t>1次/季度</w:t>
                  </w:r>
                </w:p>
              </w:tc>
            </w:tr>
          </w:tbl>
          <w:p>
            <w:pPr>
              <w:widowControl/>
              <w:adjustRightInd w:val="0"/>
              <w:snapToGrid w:val="0"/>
              <w:spacing w:before="156" w:beforeLines="50" w:line="360" w:lineRule="auto"/>
              <w:outlineLvl w:val="2"/>
              <w:rPr>
                <w:b/>
                <w:color w:val="auto"/>
                <w:szCs w:val="21"/>
              </w:rPr>
            </w:pPr>
            <w:r>
              <w:rPr>
                <w:b/>
                <w:color w:val="auto"/>
                <w:szCs w:val="21"/>
              </w:rPr>
              <w:t>4.2.</w:t>
            </w:r>
            <w:r>
              <w:rPr>
                <w:rFonts w:hint="eastAsia"/>
                <w:b/>
                <w:color w:val="auto"/>
                <w:szCs w:val="21"/>
              </w:rPr>
              <w:t>3声环境影响和保护措施</w:t>
            </w:r>
          </w:p>
          <w:p>
            <w:pPr>
              <w:spacing w:line="360" w:lineRule="auto"/>
              <w:ind w:firstLine="422" w:firstLineChars="200"/>
              <w:jc w:val="left"/>
              <w:rPr>
                <w:b/>
                <w:bCs/>
                <w:color w:val="auto"/>
                <w:szCs w:val="21"/>
              </w:rPr>
            </w:pPr>
            <w:r>
              <w:rPr>
                <w:rFonts w:hint="eastAsia"/>
                <w:b/>
                <w:bCs/>
                <w:color w:val="auto"/>
                <w:szCs w:val="21"/>
              </w:rPr>
              <w:t>（1）噪声污染源分析</w:t>
            </w:r>
          </w:p>
          <w:p>
            <w:pPr>
              <w:spacing w:line="360" w:lineRule="auto"/>
              <w:ind w:firstLine="420" w:firstLineChars="200"/>
              <w:jc w:val="left"/>
              <w:rPr>
                <w:color w:val="auto"/>
                <w:szCs w:val="21"/>
              </w:rPr>
            </w:pPr>
            <w:r>
              <w:rPr>
                <w:rFonts w:hint="eastAsia"/>
                <w:color w:val="auto"/>
                <w:szCs w:val="21"/>
              </w:rPr>
              <w:t>本工程主要噪声源为固定声源，源强在70~85 dB(A)之间，主要产噪设备包括消泡釜、流延机、纵向拉伸机、横向拉伸机、牵引收卷机、精馏塔、制冷机、空压机及冷却塔等。本项目拟建厂房为</w:t>
            </w:r>
            <w:r>
              <w:rPr>
                <w:rFonts w:hint="eastAsia"/>
                <w:color w:val="auto"/>
                <w:szCs w:val="21"/>
                <w:lang w:eastAsia="zh-CN"/>
              </w:rPr>
              <w:t>车间X1</w:t>
            </w:r>
            <w:r>
              <w:rPr>
                <w:rFonts w:hint="eastAsia"/>
                <w:color w:val="auto"/>
                <w:szCs w:val="21"/>
              </w:rPr>
              <w:t>，根据建设单位提供资料，厂房采用砖混结构；参考《机械工业环境保护设计规范》（GB 50894—2013），砖混结构等重型隔声间的隔声量一般为40~50dB(A)，本次评价取40dB(A)。室内外主要噪声设备、声源情况如下表所示。</w:t>
            </w:r>
          </w:p>
          <w:p>
            <w:pPr>
              <w:spacing w:before="194" w:beforeLines="50"/>
              <w:jc w:val="center"/>
              <w:outlineLvl w:val="5"/>
              <w:rPr>
                <w:rFonts w:hint="eastAsia"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表4-25室内声源</w:t>
            </w:r>
          </w:p>
          <w:tbl>
            <w:tblPr>
              <w:tblStyle w:val="20"/>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1134"/>
              <w:gridCol w:w="1281"/>
              <w:gridCol w:w="1380"/>
              <w:gridCol w:w="1163"/>
              <w:gridCol w:w="1163"/>
              <w:gridCol w:w="11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14" w:type="pct"/>
                  <w:vAlign w:val="center"/>
                </w:tcPr>
                <w:p>
                  <w:pPr>
                    <w:widowControl/>
                    <w:snapToGrid w:val="0"/>
                    <w:jc w:val="center"/>
                    <w:textAlignment w:val="center"/>
                    <w:rPr>
                      <w:color w:val="auto"/>
                    </w:rPr>
                  </w:pPr>
                  <w:r>
                    <w:rPr>
                      <w:rStyle w:val="54"/>
                      <w:rFonts w:hint="default"/>
                      <w:color w:val="auto"/>
                      <w:sz w:val="18"/>
                      <w:szCs w:val="18"/>
                      <w:lang w:bidi="ar"/>
                    </w:rPr>
                    <w:t>序号</w:t>
                  </w:r>
                </w:p>
              </w:tc>
              <w:tc>
                <w:tcPr>
                  <w:tcW w:w="697" w:type="pct"/>
                  <w:vAlign w:val="center"/>
                </w:tcPr>
                <w:p>
                  <w:pPr>
                    <w:widowControl/>
                    <w:snapToGrid w:val="0"/>
                    <w:jc w:val="center"/>
                    <w:textAlignment w:val="center"/>
                    <w:rPr>
                      <w:color w:val="auto"/>
                    </w:rPr>
                  </w:pPr>
                  <w:r>
                    <w:rPr>
                      <w:rStyle w:val="55"/>
                      <w:rFonts w:hint="default"/>
                      <w:color w:val="auto"/>
                      <w:sz w:val="18"/>
                      <w:szCs w:val="18"/>
                      <w:lang w:bidi="ar"/>
                    </w:rPr>
                    <w:t>厂房名称</w:t>
                  </w:r>
                </w:p>
              </w:tc>
              <w:tc>
                <w:tcPr>
                  <w:tcW w:w="787" w:type="pct"/>
                  <w:vAlign w:val="center"/>
                </w:tcPr>
                <w:p>
                  <w:pPr>
                    <w:widowControl/>
                    <w:snapToGrid w:val="0"/>
                    <w:jc w:val="center"/>
                    <w:textAlignment w:val="center"/>
                    <w:rPr>
                      <w:color w:val="auto"/>
                    </w:rPr>
                  </w:pPr>
                  <w:r>
                    <w:rPr>
                      <w:rStyle w:val="55"/>
                      <w:rFonts w:hint="default"/>
                      <w:color w:val="auto"/>
                      <w:sz w:val="18"/>
                      <w:szCs w:val="18"/>
                      <w:lang w:bidi="ar"/>
                    </w:rPr>
                    <w:t>设备名称</w:t>
                  </w:r>
                </w:p>
              </w:tc>
              <w:tc>
                <w:tcPr>
                  <w:tcW w:w="848" w:type="pct"/>
                  <w:vAlign w:val="center"/>
                </w:tcPr>
                <w:p>
                  <w:pPr>
                    <w:widowControl/>
                    <w:snapToGrid w:val="0"/>
                    <w:jc w:val="center"/>
                    <w:textAlignment w:val="center"/>
                    <w:rPr>
                      <w:color w:val="auto"/>
                    </w:rPr>
                  </w:pPr>
                  <w:r>
                    <w:rPr>
                      <w:rStyle w:val="55"/>
                      <w:rFonts w:hint="default"/>
                      <w:color w:val="auto"/>
                      <w:sz w:val="18"/>
                      <w:szCs w:val="18"/>
                      <w:lang w:bidi="ar"/>
                    </w:rPr>
                    <w:t>规格材质</w:t>
                  </w:r>
                </w:p>
              </w:tc>
              <w:tc>
                <w:tcPr>
                  <w:tcW w:w="715" w:type="pct"/>
                  <w:vAlign w:val="center"/>
                </w:tcPr>
                <w:p>
                  <w:pPr>
                    <w:widowControl/>
                    <w:snapToGrid w:val="0"/>
                    <w:jc w:val="center"/>
                    <w:textAlignment w:val="center"/>
                    <w:rPr>
                      <w:rStyle w:val="55"/>
                      <w:rFonts w:hint="default"/>
                      <w:color w:val="auto"/>
                      <w:sz w:val="18"/>
                      <w:szCs w:val="18"/>
                      <w:lang w:bidi="ar"/>
                    </w:rPr>
                  </w:pPr>
                  <w:r>
                    <w:rPr>
                      <w:rStyle w:val="55"/>
                      <w:rFonts w:hint="default"/>
                      <w:color w:val="auto"/>
                      <w:sz w:val="18"/>
                      <w:szCs w:val="18"/>
                      <w:lang w:bidi="ar"/>
                    </w:rPr>
                    <w:t>设备数量</w:t>
                  </w:r>
                </w:p>
                <w:p>
                  <w:pPr>
                    <w:widowControl/>
                    <w:snapToGrid w:val="0"/>
                    <w:jc w:val="center"/>
                    <w:textAlignment w:val="center"/>
                    <w:rPr>
                      <w:color w:val="auto"/>
                    </w:rPr>
                  </w:pPr>
                  <w:r>
                    <w:rPr>
                      <w:rStyle w:val="55"/>
                      <w:rFonts w:hint="default"/>
                      <w:color w:val="auto"/>
                      <w:sz w:val="18"/>
                      <w:szCs w:val="18"/>
                      <w:lang w:bidi="ar"/>
                    </w:rPr>
                    <w:t>（台）</w:t>
                  </w:r>
                </w:p>
              </w:tc>
              <w:tc>
                <w:tcPr>
                  <w:tcW w:w="715" w:type="pct"/>
                  <w:vAlign w:val="center"/>
                </w:tcPr>
                <w:p>
                  <w:pPr>
                    <w:widowControl/>
                    <w:snapToGrid w:val="0"/>
                    <w:jc w:val="center"/>
                    <w:textAlignment w:val="center"/>
                    <w:rPr>
                      <w:color w:val="auto"/>
                    </w:rPr>
                  </w:pPr>
                  <w:r>
                    <w:rPr>
                      <w:rStyle w:val="55"/>
                      <w:rFonts w:hint="default"/>
                      <w:color w:val="auto"/>
                      <w:sz w:val="18"/>
                      <w:szCs w:val="18"/>
                      <w:lang w:bidi="ar"/>
                    </w:rPr>
                    <w:t>声功率级（dB）</w:t>
                  </w:r>
                </w:p>
              </w:tc>
              <w:tc>
                <w:tcPr>
                  <w:tcW w:w="719" w:type="pct"/>
                  <w:vAlign w:val="center"/>
                </w:tcPr>
                <w:p>
                  <w:pPr>
                    <w:widowControl/>
                    <w:snapToGrid w:val="0"/>
                    <w:jc w:val="center"/>
                    <w:textAlignment w:val="center"/>
                    <w:rPr>
                      <w:color w:val="auto"/>
                    </w:rPr>
                  </w:pPr>
                  <w:r>
                    <w:rPr>
                      <w:rStyle w:val="56"/>
                      <w:rFonts w:hint="default"/>
                      <w:color w:val="auto"/>
                      <w:sz w:val="18"/>
                      <w:szCs w:val="18"/>
                      <w:lang w:bidi="ar"/>
                    </w:rPr>
                    <w:t>降噪措施（</w:t>
                  </w:r>
                  <w:r>
                    <w:rPr>
                      <w:rStyle w:val="55"/>
                      <w:rFonts w:hint="default"/>
                      <w:color w:val="auto"/>
                      <w:sz w:val="18"/>
                      <w:szCs w:val="18"/>
                      <w:lang w:bidi="ar"/>
                    </w:rPr>
                    <w:t>dB</w:t>
                  </w:r>
                  <w:r>
                    <w:rPr>
                      <w:rStyle w:val="56"/>
                      <w:rFonts w:hint="default"/>
                      <w:color w:val="auto"/>
                      <w:sz w:val="18"/>
                      <w:szCs w:val="18"/>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pct"/>
                  <w:vAlign w:val="center"/>
                </w:tcPr>
                <w:p>
                  <w:pPr>
                    <w:jc w:val="center"/>
                    <w:rPr>
                      <w:color w:val="auto"/>
                      <w:sz w:val="18"/>
                      <w:szCs w:val="18"/>
                    </w:rPr>
                  </w:pPr>
                  <w:r>
                    <w:rPr>
                      <w:rFonts w:hint="eastAsia"/>
                      <w:color w:val="auto"/>
                      <w:sz w:val="18"/>
                      <w:szCs w:val="18"/>
                    </w:rPr>
                    <w:t>1</w:t>
                  </w:r>
                </w:p>
              </w:tc>
              <w:tc>
                <w:tcPr>
                  <w:tcW w:w="697" w:type="pct"/>
                  <w:vMerge w:val="restart"/>
                  <w:vAlign w:val="center"/>
                </w:tcPr>
                <w:p>
                  <w:pPr>
                    <w:jc w:val="center"/>
                    <w:rPr>
                      <w:color w:val="auto"/>
                      <w:sz w:val="18"/>
                      <w:szCs w:val="18"/>
                    </w:rPr>
                  </w:pPr>
                  <w:r>
                    <w:rPr>
                      <w:rFonts w:hint="eastAsia"/>
                      <w:color w:val="auto"/>
                      <w:sz w:val="18"/>
                      <w:szCs w:val="18"/>
                      <w:lang w:eastAsia="zh-CN"/>
                    </w:rPr>
                    <w:t>车间X1</w:t>
                  </w:r>
                </w:p>
              </w:tc>
              <w:tc>
                <w:tcPr>
                  <w:tcW w:w="787" w:type="pct"/>
                  <w:vAlign w:val="center"/>
                </w:tcPr>
                <w:p>
                  <w:pPr>
                    <w:pStyle w:val="38"/>
                    <w:rPr>
                      <w:rFonts w:hint="default" w:eastAsia="宋体"/>
                      <w:color w:val="auto"/>
                      <w:sz w:val="18"/>
                      <w:szCs w:val="18"/>
                      <w:lang w:val="en-US" w:eastAsia="zh-CN"/>
                    </w:rPr>
                  </w:pPr>
                  <w:r>
                    <w:rPr>
                      <w:rFonts w:hint="eastAsia"/>
                      <w:color w:val="auto"/>
                      <w:sz w:val="18"/>
                      <w:szCs w:val="18"/>
                      <w:lang w:val="en-US" w:eastAsia="zh-CN"/>
                    </w:rPr>
                    <w:t>设备1</w:t>
                  </w:r>
                </w:p>
              </w:tc>
              <w:tc>
                <w:tcPr>
                  <w:tcW w:w="848" w:type="pct"/>
                  <w:vAlign w:val="center"/>
                </w:tcPr>
                <w:p>
                  <w:pPr>
                    <w:pStyle w:val="38"/>
                    <w:rPr>
                      <w:color w:val="auto"/>
                      <w:sz w:val="18"/>
                      <w:szCs w:val="18"/>
                    </w:rPr>
                  </w:pPr>
                  <w:r>
                    <w:rPr>
                      <w:rFonts w:cs="Times New Roman"/>
                      <w:color w:val="auto"/>
                      <w:sz w:val="18"/>
                      <w:szCs w:val="18"/>
                    </w:rPr>
                    <w:t>2m</w:t>
                  </w:r>
                  <w:r>
                    <w:rPr>
                      <w:rFonts w:cs="Times New Roman"/>
                      <w:color w:val="auto"/>
                      <w:sz w:val="18"/>
                      <w:szCs w:val="18"/>
                      <w:vertAlign w:val="superscript"/>
                    </w:rPr>
                    <w:t>3</w:t>
                  </w:r>
                  <w:r>
                    <w:rPr>
                      <w:rFonts w:cs="Times New Roman"/>
                      <w:color w:val="auto"/>
                      <w:sz w:val="18"/>
                      <w:szCs w:val="18"/>
                    </w:rPr>
                    <w:t>、304不锈钢</w:t>
                  </w:r>
                </w:p>
              </w:tc>
              <w:tc>
                <w:tcPr>
                  <w:tcW w:w="715" w:type="pct"/>
                  <w:vAlign w:val="center"/>
                </w:tcPr>
                <w:p>
                  <w:pPr>
                    <w:pStyle w:val="38"/>
                    <w:rPr>
                      <w:color w:val="auto"/>
                      <w:sz w:val="18"/>
                      <w:szCs w:val="18"/>
                    </w:rPr>
                  </w:pPr>
                  <w:r>
                    <w:rPr>
                      <w:rFonts w:cs="Times New Roman"/>
                      <w:color w:val="auto"/>
                      <w:sz w:val="18"/>
                      <w:szCs w:val="18"/>
                    </w:rPr>
                    <w:t>4</w:t>
                  </w:r>
                </w:p>
              </w:tc>
              <w:tc>
                <w:tcPr>
                  <w:tcW w:w="715" w:type="pct"/>
                  <w:vAlign w:val="center"/>
                </w:tcPr>
                <w:p>
                  <w:pPr>
                    <w:jc w:val="center"/>
                    <w:rPr>
                      <w:color w:val="auto"/>
                      <w:sz w:val="18"/>
                      <w:szCs w:val="18"/>
                    </w:rPr>
                  </w:pPr>
                  <w:r>
                    <w:rPr>
                      <w:rFonts w:hint="eastAsia"/>
                      <w:color w:val="auto"/>
                      <w:sz w:val="18"/>
                      <w:szCs w:val="18"/>
                    </w:rPr>
                    <w:t>75</w:t>
                  </w:r>
                </w:p>
              </w:tc>
              <w:tc>
                <w:tcPr>
                  <w:tcW w:w="719" w:type="pct"/>
                  <w:vMerge w:val="restart"/>
                  <w:vAlign w:val="center"/>
                </w:tcPr>
                <w:p>
                  <w:pPr>
                    <w:jc w:val="center"/>
                    <w:rPr>
                      <w:color w:val="auto"/>
                      <w:sz w:val="18"/>
                      <w:szCs w:val="18"/>
                    </w:rPr>
                  </w:pPr>
                  <w:r>
                    <w:rPr>
                      <w:rFonts w:hint="eastAsia"/>
                      <w:color w:val="auto"/>
                      <w:sz w:val="18"/>
                      <w:szCs w:val="18"/>
                    </w:rPr>
                    <w:t>选用低噪声设备，设备基础安装减震器，加盖隔声罩，建筑隔声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pct"/>
                  <w:vAlign w:val="center"/>
                </w:tcPr>
                <w:p>
                  <w:pPr>
                    <w:jc w:val="center"/>
                    <w:rPr>
                      <w:color w:val="auto"/>
                      <w:sz w:val="18"/>
                      <w:szCs w:val="18"/>
                    </w:rPr>
                  </w:pPr>
                  <w:r>
                    <w:rPr>
                      <w:rFonts w:hint="eastAsia"/>
                      <w:color w:val="auto"/>
                      <w:sz w:val="18"/>
                      <w:szCs w:val="18"/>
                    </w:rPr>
                    <w:t>2</w:t>
                  </w:r>
                </w:p>
              </w:tc>
              <w:tc>
                <w:tcPr>
                  <w:tcW w:w="697" w:type="pct"/>
                  <w:vMerge w:val="continue"/>
                </w:tcPr>
                <w:p>
                  <w:pPr>
                    <w:rPr>
                      <w:color w:val="auto"/>
                      <w:sz w:val="18"/>
                      <w:szCs w:val="18"/>
                    </w:rPr>
                  </w:pPr>
                </w:p>
              </w:tc>
              <w:tc>
                <w:tcPr>
                  <w:tcW w:w="787" w:type="pct"/>
                  <w:vAlign w:val="center"/>
                </w:tcPr>
                <w:p>
                  <w:pPr>
                    <w:pStyle w:val="38"/>
                    <w:rPr>
                      <w:rFonts w:hint="default"/>
                      <w:color w:val="auto"/>
                      <w:sz w:val="18"/>
                      <w:szCs w:val="18"/>
                      <w:lang w:val="en-US"/>
                    </w:rPr>
                  </w:pPr>
                  <w:r>
                    <w:rPr>
                      <w:rFonts w:hint="eastAsia"/>
                      <w:color w:val="auto"/>
                      <w:sz w:val="18"/>
                      <w:szCs w:val="18"/>
                      <w:lang w:val="en-US" w:eastAsia="zh-CN"/>
                    </w:rPr>
                    <w:t>设备2</w:t>
                  </w:r>
                </w:p>
              </w:tc>
              <w:tc>
                <w:tcPr>
                  <w:tcW w:w="848" w:type="pct"/>
                  <w:vAlign w:val="center"/>
                </w:tcPr>
                <w:p>
                  <w:pPr>
                    <w:pStyle w:val="38"/>
                    <w:rPr>
                      <w:color w:val="auto"/>
                      <w:sz w:val="18"/>
                      <w:szCs w:val="18"/>
                    </w:rPr>
                  </w:pPr>
                  <w:r>
                    <w:rPr>
                      <w:rFonts w:cs="Times New Roman"/>
                      <w:color w:val="auto"/>
                      <w:sz w:val="18"/>
                      <w:szCs w:val="18"/>
                    </w:rPr>
                    <w:t>/</w:t>
                  </w:r>
                </w:p>
              </w:tc>
              <w:tc>
                <w:tcPr>
                  <w:tcW w:w="715" w:type="pct"/>
                  <w:vAlign w:val="center"/>
                </w:tcPr>
                <w:p>
                  <w:pPr>
                    <w:pStyle w:val="38"/>
                    <w:rPr>
                      <w:color w:val="auto"/>
                      <w:sz w:val="18"/>
                      <w:szCs w:val="18"/>
                    </w:rPr>
                  </w:pPr>
                  <w:r>
                    <w:rPr>
                      <w:rFonts w:cs="Times New Roman"/>
                      <w:color w:val="auto"/>
                      <w:sz w:val="18"/>
                      <w:szCs w:val="18"/>
                    </w:rPr>
                    <w:t>2</w:t>
                  </w:r>
                </w:p>
              </w:tc>
              <w:tc>
                <w:tcPr>
                  <w:tcW w:w="715" w:type="pct"/>
                  <w:vAlign w:val="center"/>
                </w:tcPr>
                <w:p>
                  <w:pPr>
                    <w:jc w:val="center"/>
                    <w:rPr>
                      <w:color w:val="auto"/>
                      <w:sz w:val="18"/>
                      <w:szCs w:val="18"/>
                    </w:rPr>
                  </w:pPr>
                  <w:r>
                    <w:rPr>
                      <w:rFonts w:hint="eastAsia"/>
                      <w:color w:val="auto"/>
                      <w:sz w:val="18"/>
                      <w:szCs w:val="18"/>
                    </w:rPr>
                    <w:t>85</w:t>
                  </w:r>
                </w:p>
              </w:tc>
              <w:tc>
                <w:tcPr>
                  <w:tcW w:w="719" w:type="pct"/>
                  <w:vMerge w:val="continue"/>
                </w:tcPr>
                <w:p>
                  <w:pPr>
                    <w:rPr>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pct"/>
                  <w:shd w:val="clear" w:color="auto" w:fill="auto"/>
                  <w:vAlign w:val="center"/>
                </w:tcPr>
                <w:p>
                  <w:pPr>
                    <w:jc w:val="center"/>
                    <w:rPr>
                      <w:rFonts w:hint="eastAsia" w:ascii="Times New Roman" w:hAnsi="Times New Roman" w:eastAsia="宋体" w:cs="Times New Roman"/>
                      <w:color w:val="auto"/>
                      <w:kern w:val="2"/>
                      <w:sz w:val="18"/>
                      <w:szCs w:val="18"/>
                      <w:lang w:val="en-US" w:eastAsia="zh-CN" w:bidi="ar-SA"/>
                    </w:rPr>
                  </w:pPr>
                  <w:r>
                    <w:rPr>
                      <w:rFonts w:hint="eastAsia"/>
                      <w:color w:val="auto"/>
                      <w:sz w:val="18"/>
                      <w:szCs w:val="18"/>
                    </w:rPr>
                    <w:t>3</w:t>
                  </w:r>
                </w:p>
              </w:tc>
              <w:tc>
                <w:tcPr>
                  <w:tcW w:w="697" w:type="pct"/>
                  <w:vMerge w:val="continue"/>
                </w:tcPr>
                <w:p>
                  <w:pPr>
                    <w:rPr>
                      <w:color w:val="auto"/>
                      <w:sz w:val="18"/>
                      <w:szCs w:val="18"/>
                    </w:rPr>
                  </w:pPr>
                </w:p>
              </w:tc>
              <w:tc>
                <w:tcPr>
                  <w:tcW w:w="787" w:type="pct"/>
                  <w:vAlign w:val="center"/>
                </w:tcPr>
                <w:p>
                  <w:pPr>
                    <w:pStyle w:val="38"/>
                    <w:rPr>
                      <w:rFonts w:hint="default" w:cs="Times New Roman"/>
                      <w:color w:val="auto"/>
                      <w:sz w:val="18"/>
                      <w:szCs w:val="18"/>
                      <w:lang w:val="en-US"/>
                    </w:rPr>
                  </w:pPr>
                  <w:r>
                    <w:rPr>
                      <w:rFonts w:hint="eastAsia"/>
                      <w:color w:val="auto"/>
                      <w:sz w:val="18"/>
                      <w:szCs w:val="18"/>
                      <w:lang w:val="en-US" w:eastAsia="zh-CN"/>
                    </w:rPr>
                    <w:t>设备3</w:t>
                  </w:r>
                </w:p>
              </w:tc>
              <w:tc>
                <w:tcPr>
                  <w:tcW w:w="848" w:type="pct"/>
                  <w:vAlign w:val="center"/>
                </w:tcPr>
                <w:p>
                  <w:pPr>
                    <w:pStyle w:val="38"/>
                    <w:rPr>
                      <w:rFonts w:cs="Times New Roman"/>
                      <w:color w:val="auto"/>
                      <w:sz w:val="18"/>
                      <w:szCs w:val="18"/>
                    </w:rPr>
                  </w:pPr>
                  <w:r>
                    <w:rPr>
                      <w:rFonts w:hint="eastAsia" w:ascii="Times New Roman" w:hAnsi="Times New Roman" w:cs="Times New Roman"/>
                      <w:color w:val="auto"/>
                      <w:sz w:val="18"/>
                      <w:szCs w:val="18"/>
                      <w:lang w:val="en-US" w:eastAsia="zh-CN"/>
                    </w:rPr>
                    <w:t>功率：7.5</w:t>
                  </w:r>
                  <w:r>
                    <w:rPr>
                      <w:rFonts w:cs="Times New Roman"/>
                      <w:color w:val="auto"/>
                      <w:sz w:val="18"/>
                      <w:szCs w:val="18"/>
                    </w:rPr>
                    <w:t>KW</w:t>
                  </w:r>
                </w:p>
              </w:tc>
              <w:tc>
                <w:tcPr>
                  <w:tcW w:w="715" w:type="pct"/>
                  <w:vAlign w:val="center"/>
                </w:tcPr>
                <w:p>
                  <w:pPr>
                    <w:pStyle w:val="38"/>
                    <w:rPr>
                      <w:rFonts w:hint="eastAsia" w:eastAsia="宋体" w:cs="Times New Roman"/>
                      <w:color w:val="auto"/>
                      <w:sz w:val="18"/>
                      <w:szCs w:val="18"/>
                      <w:lang w:val="en-US" w:eastAsia="zh-CN"/>
                    </w:rPr>
                  </w:pPr>
                  <w:r>
                    <w:rPr>
                      <w:rFonts w:hint="eastAsia" w:cs="Times New Roman"/>
                      <w:color w:val="auto"/>
                      <w:sz w:val="18"/>
                      <w:szCs w:val="18"/>
                      <w:lang w:val="en-US" w:eastAsia="zh-CN"/>
                    </w:rPr>
                    <w:t>1</w:t>
                  </w:r>
                </w:p>
              </w:tc>
              <w:tc>
                <w:tcPr>
                  <w:tcW w:w="715" w:type="pct"/>
                  <w:vAlign w:val="center"/>
                </w:tcPr>
                <w:p>
                  <w:pPr>
                    <w:jc w:val="center"/>
                    <w:rPr>
                      <w:rFonts w:hint="default" w:eastAsia="宋体"/>
                      <w:color w:val="auto"/>
                      <w:sz w:val="18"/>
                      <w:szCs w:val="18"/>
                      <w:lang w:val="en-US" w:eastAsia="zh-CN"/>
                    </w:rPr>
                  </w:pPr>
                  <w:r>
                    <w:rPr>
                      <w:rFonts w:hint="eastAsia"/>
                      <w:color w:val="auto"/>
                      <w:sz w:val="18"/>
                      <w:szCs w:val="18"/>
                      <w:lang w:val="en-US" w:eastAsia="zh-CN"/>
                    </w:rPr>
                    <w:t>85</w:t>
                  </w:r>
                </w:p>
              </w:tc>
              <w:tc>
                <w:tcPr>
                  <w:tcW w:w="719" w:type="pct"/>
                  <w:vMerge w:val="continue"/>
                </w:tcPr>
                <w:p>
                  <w:pPr>
                    <w:rPr>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pct"/>
                  <w:shd w:val="clear" w:color="auto" w:fill="auto"/>
                  <w:vAlign w:val="center"/>
                </w:tcPr>
                <w:p>
                  <w:pPr>
                    <w:jc w:val="center"/>
                    <w:rPr>
                      <w:rFonts w:hint="eastAsia" w:ascii="Times New Roman" w:hAnsi="Times New Roman" w:eastAsia="宋体" w:cs="Times New Roman"/>
                      <w:color w:val="auto"/>
                      <w:kern w:val="2"/>
                      <w:sz w:val="18"/>
                      <w:szCs w:val="18"/>
                      <w:lang w:val="en-US" w:eastAsia="zh-CN" w:bidi="ar-SA"/>
                    </w:rPr>
                  </w:pPr>
                  <w:r>
                    <w:rPr>
                      <w:rFonts w:hint="eastAsia"/>
                      <w:color w:val="auto"/>
                      <w:sz w:val="18"/>
                      <w:szCs w:val="18"/>
                    </w:rPr>
                    <w:t>4</w:t>
                  </w:r>
                </w:p>
              </w:tc>
              <w:tc>
                <w:tcPr>
                  <w:tcW w:w="697" w:type="pct"/>
                  <w:vMerge w:val="continue"/>
                </w:tcPr>
                <w:p>
                  <w:pPr>
                    <w:rPr>
                      <w:color w:val="auto"/>
                      <w:sz w:val="18"/>
                      <w:szCs w:val="18"/>
                    </w:rPr>
                  </w:pPr>
                </w:p>
              </w:tc>
              <w:tc>
                <w:tcPr>
                  <w:tcW w:w="787" w:type="pct"/>
                  <w:vAlign w:val="center"/>
                </w:tcPr>
                <w:p>
                  <w:pPr>
                    <w:pStyle w:val="38"/>
                    <w:rPr>
                      <w:rFonts w:hint="default" w:cs="Times New Roman"/>
                      <w:color w:val="auto"/>
                      <w:sz w:val="18"/>
                      <w:szCs w:val="18"/>
                      <w:lang w:val="en-US"/>
                    </w:rPr>
                  </w:pPr>
                  <w:r>
                    <w:rPr>
                      <w:rFonts w:hint="eastAsia"/>
                      <w:color w:val="auto"/>
                      <w:sz w:val="18"/>
                      <w:szCs w:val="18"/>
                      <w:lang w:val="en-US" w:eastAsia="zh-CN"/>
                    </w:rPr>
                    <w:t>设备4</w:t>
                  </w:r>
                </w:p>
              </w:tc>
              <w:tc>
                <w:tcPr>
                  <w:tcW w:w="848" w:type="pct"/>
                  <w:vAlign w:val="center"/>
                </w:tcPr>
                <w:p>
                  <w:pPr>
                    <w:pStyle w:val="38"/>
                    <w:rPr>
                      <w:rFonts w:cs="Times New Roman"/>
                      <w:color w:val="auto"/>
                      <w:sz w:val="18"/>
                      <w:szCs w:val="18"/>
                    </w:rPr>
                  </w:pPr>
                  <w:r>
                    <w:rPr>
                      <w:rFonts w:hint="eastAsia" w:ascii="Times New Roman" w:hAnsi="Times New Roman" w:cs="Times New Roman"/>
                      <w:color w:val="auto"/>
                      <w:sz w:val="18"/>
                      <w:szCs w:val="18"/>
                      <w:lang w:val="en-US" w:eastAsia="zh-CN"/>
                    </w:rPr>
                    <w:t>功率：2.2</w:t>
                  </w:r>
                  <w:r>
                    <w:rPr>
                      <w:rFonts w:cs="Times New Roman"/>
                      <w:color w:val="auto"/>
                      <w:sz w:val="18"/>
                      <w:szCs w:val="18"/>
                    </w:rPr>
                    <w:t>KW</w:t>
                  </w:r>
                </w:p>
              </w:tc>
              <w:tc>
                <w:tcPr>
                  <w:tcW w:w="715" w:type="pct"/>
                  <w:vAlign w:val="center"/>
                </w:tcPr>
                <w:p>
                  <w:pPr>
                    <w:pStyle w:val="38"/>
                    <w:rPr>
                      <w:rFonts w:hint="eastAsia" w:eastAsia="宋体" w:cs="Times New Roman"/>
                      <w:color w:val="auto"/>
                      <w:sz w:val="18"/>
                      <w:szCs w:val="18"/>
                      <w:lang w:val="en-US" w:eastAsia="zh-CN"/>
                    </w:rPr>
                  </w:pPr>
                  <w:r>
                    <w:rPr>
                      <w:rFonts w:hint="eastAsia" w:cs="Times New Roman"/>
                      <w:color w:val="auto"/>
                      <w:sz w:val="18"/>
                      <w:szCs w:val="18"/>
                      <w:lang w:val="en-US" w:eastAsia="zh-CN"/>
                    </w:rPr>
                    <w:t>1</w:t>
                  </w:r>
                </w:p>
              </w:tc>
              <w:tc>
                <w:tcPr>
                  <w:tcW w:w="715" w:type="pct"/>
                  <w:vAlign w:val="center"/>
                </w:tcPr>
                <w:p>
                  <w:pPr>
                    <w:jc w:val="center"/>
                    <w:rPr>
                      <w:rFonts w:hint="default" w:eastAsia="宋体"/>
                      <w:color w:val="auto"/>
                      <w:sz w:val="18"/>
                      <w:szCs w:val="18"/>
                      <w:lang w:val="en-US" w:eastAsia="zh-CN"/>
                    </w:rPr>
                  </w:pPr>
                  <w:r>
                    <w:rPr>
                      <w:rFonts w:hint="eastAsia"/>
                      <w:color w:val="auto"/>
                      <w:sz w:val="18"/>
                      <w:szCs w:val="18"/>
                      <w:lang w:val="en-US" w:eastAsia="zh-CN"/>
                    </w:rPr>
                    <w:t>85</w:t>
                  </w:r>
                </w:p>
              </w:tc>
              <w:tc>
                <w:tcPr>
                  <w:tcW w:w="719" w:type="pct"/>
                  <w:vMerge w:val="continue"/>
                </w:tcPr>
                <w:p>
                  <w:pPr>
                    <w:rPr>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pct"/>
                  <w:shd w:val="clear" w:color="auto" w:fill="auto"/>
                  <w:vAlign w:val="center"/>
                </w:tcPr>
                <w:p>
                  <w:pPr>
                    <w:jc w:val="center"/>
                    <w:rPr>
                      <w:rFonts w:ascii="Times New Roman" w:hAnsi="Times New Roman" w:eastAsia="宋体" w:cs="Times New Roman"/>
                      <w:color w:val="auto"/>
                      <w:kern w:val="2"/>
                      <w:sz w:val="18"/>
                      <w:szCs w:val="18"/>
                      <w:lang w:val="en-US" w:eastAsia="zh-CN" w:bidi="ar-SA"/>
                    </w:rPr>
                  </w:pPr>
                  <w:r>
                    <w:rPr>
                      <w:rFonts w:hint="eastAsia"/>
                      <w:color w:val="auto"/>
                      <w:sz w:val="18"/>
                      <w:szCs w:val="18"/>
                    </w:rPr>
                    <w:t>5</w:t>
                  </w:r>
                </w:p>
              </w:tc>
              <w:tc>
                <w:tcPr>
                  <w:tcW w:w="697" w:type="pct"/>
                  <w:vMerge w:val="continue"/>
                </w:tcPr>
                <w:p>
                  <w:pPr>
                    <w:rPr>
                      <w:color w:val="auto"/>
                      <w:sz w:val="18"/>
                      <w:szCs w:val="18"/>
                    </w:rPr>
                  </w:pPr>
                </w:p>
              </w:tc>
              <w:tc>
                <w:tcPr>
                  <w:tcW w:w="787" w:type="pct"/>
                  <w:vAlign w:val="center"/>
                </w:tcPr>
                <w:p>
                  <w:pPr>
                    <w:pStyle w:val="38"/>
                    <w:rPr>
                      <w:rFonts w:hint="default"/>
                      <w:color w:val="auto"/>
                      <w:sz w:val="18"/>
                      <w:szCs w:val="18"/>
                      <w:lang w:val="en-US"/>
                    </w:rPr>
                  </w:pPr>
                  <w:r>
                    <w:rPr>
                      <w:rFonts w:hint="eastAsia"/>
                      <w:color w:val="auto"/>
                      <w:sz w:val="18"/>
                      <w:szCs w:val="18"/>
                      <w:lang w:val="en-US" w:eastAsia="zh-CN"/>
                    </w:rPr>
                    <w:t>设备5</w:t>
                  </w:r>
                </w:p>
              </w:tc>
              <w:tc>
                <w:tcPr>
                  <w:tcW w:w="848" w:type="pct"/>
                  <w:vAlign w:val="center"/>
                </w:tcPr>
                <w:p>
                  <w:pPr>
                    <w:pStyle w:val="38"/>
                    <w:rPr>
                      <w:color w:val="auto"/>
                      <w:sz w:val="18"/>
                      <w:szCs w:val="18"/>
                    </w:rPr>
                  </w:pPr>
                  <w:r>
                    <w:rPr>
                      <w:rFonts w:cs="Times New Roman"/>
                      <w:color w:val="auto"/>
                      <w:sz w:val="18"/>
                      <w:szCs w:val="18"/>
                    </w:rPr>
                    <w:t>极限压力10Pa,抽气速率：50L/S，功率：5.5KW</w:t>
                  </w:r>
                </w:p>
              </w:tc>
              <w:tc>
                <w:tcPr>
                  <w:tcW w:w="715" w:type="pct"/>
                  <w:vAlign w:val="center"/>
                </w:tcPr>
                <w:p>
                  <w:pPr>
                    <w:pStyle w:val="38"/>
                    <w:rPr>
                      <w:color w:val="auto"/>
                      <w:sz w:val="18"/>
                      <w:szCs w:val="18"/>
                    </w:rPr>
                  </w:pPr>
                  <w:r>
                    <w:rPr>
                      <w:rFonts w:cs="Times New Roman"/>
                      <w:color w:val="auto"/>
                      <w:sz w:val="18"/>
                      <w:szCs w:val="18"/>
                    </w:rPr>
                    <w:t>2</w:t>
                  </w:r>
                </w:p>
              </w:tc>
              <w:tc>
                <w:tcPr>
                  <w:tcW w:w="715" w:type="pct"/>
                  <w:vAlign w:val="center"/>
                </w:tcPr>
                <w:p>
                  <w:pPr>
                    <w:jc w:val="center"/>
                    <w:rPr>
                      <w:color w:val="auto"/>
                      <w:sz w:val="18"/>
                      <w:szCs w:val="18"/>
                    </w:rPr>
                  </w:pPr>
                  <w:r>
                    <w:rPr>
                      <w:rFonts w:hint="eastAsia"/>
                      <w:color w:val="auto"/>
                      <w:sz w:val="18"/>
                      <w:szCs w:val="18"/>
                    </w:rPr>
                    <w:t>85</w:t>
                  </w:r>
                </w:p>
              </w:tc>
              <w:tc>
                <w:tcPr>
                  <w:tcW w:w="719" w:type="pct"/>
                  <w:vMerge w:val="continue"/>
                </w:tcPr>
                <w:p>
                  <w:pPr>
                    <w:rPr>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pct"/>
                  <w:shd w:val="clear" w:color="auto" w:fill="auto"/>
                  <w:vAlign w:val="center"/>
                </w:tcPr>
                <w:p>
                  <w:pPr>
                    <w:jc w:val="center"/>
                    <w:rPr>
                      <w:rFonts w:ascii="Times New Roman" w:hAnsi="Times New Roman" w:eastAsia="宋体" w:cs="Times New Roman"/>
                      <w:color w:val="auto"/>
                      <w:kern w:val="2"/>
                      <w:sz w:val="18"/>
                      <w:szCs w:val="18"/>
                      <w:lang w:val="en-US" w:eastAsia="zh-CN" w:bidi="ar-SA"/>
                    </w:rPr>
                  </w:pPr>
                  <w:r>
                    <w:rPr>
                      <w:rFonts w:hint="eastAsia"/>
                      <w:color w:val="auto"/>
                      <w:sz w:val="18"/>
                      <w:szCs w:val="18"/>
                    </w:rPr>
                    <w:t>6</w:t>
                  </w:r>
                </w:p>
              </w:tc>
              <w:tc>
                <w:tcPr>
                  <w:tcW w:w="697" w:type="pct"/>
                  <w:vMerge w:val="continue"/>
                </w:tcPr>
                <w:p>
                  <w:pPr>
                    <w:rPr>
                      <w:color w:val="auto"/>
                      <w:sz w:val="18"/>
                      <w:szCs w:val="18"/>
                    </w:rPr>
                  </w:pPr>
                </w:p>
              </w:tc>
              <w:tc>
                <w:tcPr>
                  <w:tcW w:w="787" w:type="pct"/>
                  <w:vAlign w:val="center"/>
                </w:tcPr>
                <w:p>
                  <w:pPr>
                    <w:pStyle w:val="38"/>
                    <w:rPr>
                      <w:rFonts w:hint="default"/>
                      <w:color w:val="auto"/>
                      <w:sz w:val="18"/>
                      <w:szCs w:val="18"/>
                      <w:lang w:val="en-US"/>
                    </w:rPr>
                  </w:pPr>
                  <w:r>
                    <w:rPr>
                      <w:rFonts w:hint="eastAsia"/>
                      <w:color w:val="auto"/>
                      <w:sz w:val="18"/>
                      <w:szCs w:val="18"/>
                      <w:lang w:val="en-US" w:eastAsia="zh-CN"/>
                    </w:rPr>
                    <w:t>设备6</w:t>
                  </w:r>
                </w:p>
              </w:tc>
              <w:tc>
                <w:tcPr>
                  <w:tcW w:w="848" w:type="pct"/>
                  <w:vAlign w:val="center"/>
                </w:tcPr>
                <w:p>
                  <w:pPr>
                    <w:pStyle w:val="38"/>
                    <w:rPr>
                      <w:color w:val="auto"/>
                      <w:sz w:val="18"/>
                      <w:szCs w:val="18"/>
                    </w:rPr>
                  </w:pPr>
                  <w:r>
                    <w:rPr>
                      <w:rFonts w:cs="Times New Roman"/>
                      <w:color w:val="auto"/>
                      <w:sz w:val="18"/>
                      <w:szCs w:val="18"/>
                    </w:rPr>
                    <w:t>304不锈钢</w:t>
                  </w:r>
                </w:p>
              </w:tc>
              <w:tc>
                <w:tcPr>
                  <w:tcW w:w="715" w:type="pct"/>
                  <w:vAlign w:val="center"/>
                </w:tcPr>
                <w:p>
                  <w:pPr>
                    <w:pStyle w:val="38"/>
                    <w:rPr>
                      <w:color w:val="auto"/>
                      <w:sz w:val="18"/>
                      <w:szCs w:val="18"/>
                    </w:rPr>
                  </w:pPr>
                  <w:r>
                    <w:rPr>
                      <w:rFonts w:cs="Times New Roman"/>
                      <w:color w:val="auto"/>
                      <w:sz w:val="18"/>
                      <w:szCs w:val="18"/>
                    </w:rPr>
                    <w:t>1</w:t>
                  </w:r>
                </w:p>
              </w:tc>
              <w:tc>
                <w:tcPr>
                  <w:tcW w:w="715" w:type="pct"/>
                  <w:vAlign w:val="center"/>
                </w:tcPr>
                <w:p>
                  <w:pPr>
                    <w:jc w:val="center"/>
                    <w:rPr>
                      <w:color w:val="auto"/>
                      <w:sz w:val="18"/>
                      <w:szCs w:val="18"/>
                    </w:rPr>
                  </w:pPr>
                  <w:r>
                    <w:rPr>
                      <w:rFonts w:hint="eastAsia"/>
                      <w:color w:val="auto"/>
                      <w:sz w:val="18"/>
                      <w:szCs w:val="18"/>
                    </w:rPr>
                    <w:t>75</w:t>
                  </w:r>
                </w:p>
              </w:tc>
              <w:tc>
                <w:tcPr>
                  <w:tcW w:w="719" w:type="pct"/>
                  <w:vMerge w:val="continue"/>
                </w:tcPr>
                <w:p>
                  <w:pPr>
                    <w:rPr>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pct"/>
                  <w:shd w:val="clear" w:color="auto" w:fill="auto"/>
                  <w:vAlign w:val="center"/>
                </w:tcPr>
                <w:p>
                  <w:pPr>
                    <w:jc w:val="center"/>
                    <w:rPr>
                      <w:rFonts w:ascii="Times New Roman" w:hAnsi="Times New Roman" w:eastAsia="宋体" w:cs="Times New Roman"/>
                      <w:color w:val="auto"/>
                      <w:kern w:val="2"/>
                      <w:sz w:val="18"/>
                      <w:szCs w:val="18"/>
                      <w:lang w:val="en-US" w:eastAsia="zh-CN" w:bidi="ar-SA"/>
                    </w:rPr>
                  </w:pPr>
                  <w:r>
                    <w:rPr>
                      <w:rFonts w:hint="eastAsia"/>
                      <w:color w:val="auto"/>
                      <w:sz w:val="18"/>
                      <w:szCs w:val="18"/>
                    </w:rPr>
                    <w:t>7</w:t>
                  </w:r>
                </w:p>
              </w:tc>
              <w:tc>
                <w:tcPr>
                  <w:tcW w:w="697" w:type="pct"/>
                  <w:vMerge w:val="continue"/>
                </w:tcPr>
                <w:p>
                  <w:pPr>
                    <w:rPr>
                      <w:color w:val="auto"/>
                      <w:sz w:val="18"/>
                      <w:szCs w:val="18"/>
                    </w:rPr>
                  </w:pPr>
                </w:p>
              </w:tc>
              <w:tc>
                <w:tcPr>
                  <w:tcW w:w="787" w:type="pct"/>
                  <w:vAlign w:val="center"/>
                </w:tcPr>
                <w:p>
                  <w:pPr>
                    <w:pStyle w:val="38"/>
                    <w:rPr>
                      <w:rFonts w:hint="default"/>
                      <w:color w:val="auto"/>
                      <w:sz w:val="18"/>
                      <w:szCs w:val="18"/>
                      <w:lang w:val="en-US"/>
                    </w:rPr>
                  </w:pPr>
                  <w:r>
                    <w:rPr>
                      <w:rFonts w:hint="eastAsia"/>
                      <w:color w:val="auto"/>
                      <w:sz w:val="18"/>
                      <w:szCs w:val="18"/>
                      <w:lang w:val="en-US" w:eastAsia="zh-CN"/>
                    </w:rPr>
                    <w:t>设备7</w:t>
                  </w:r>
                </w:p>
              </w:tc>
              <w:tc>
                <w:tcPr>
                  <w:tcW w:w="848" w:type="pct"/>
                  <w:vAlign w:val="center"/>
                </w:tcPr>
                <w:p>
                  <w:pPr>
                    <w:pStyle w:val="38"/>
                    <w:rPr>
                      <w:color w:val="auto"/>
                      <w:sz w:val="18"/>
                      <w:szCs w:val="18"/>
                    </w:rPr>
                  </w:pPr>
                  <w:r>
                    <w:rPr>
                      <w:rFonts w:cs="Times New Roman"/>
                      <w:color w:val="auto"/>
                      <w:sz w:val="18"/>
                      <w:szCs w:val="18"/>
                    </w:rPr>
                    <w:t>304不锈钢</w:t>
                  </w:r>
                </w:p>
              </w:tc>
              <w:tc>
                <w:tcPr>
                  <w:tcW w:w="715" w:type="pct"/>
                  <w:vAlign w:val="center"/>
                </w:tcPr>
                <w:p>
                  <w:pPr>
                    <w:pStyle w:val="38"/>
                    <w:rPr>
                      <w:color w:val="auto"/>
                      <w:sz w:val="18"/>
                      <w:szCs w:val="18"/>
                    </w:rPr>
                  </w:pPr>
                  <w:r>
                    <w:rPr>
                      <w:rFonts w:cs="Times New Roman"/>
                      <w:color w:val="auto"/>
                      <w:sz w:val="18"/>
                      <w:szCs w:val="18"/>
                    </w:rPr>
                    <w:t>1</w:t>
                  </w:r>
                </w:p>
              </w:tc>
              <w:tc>
                <w:tcPr>
                  <w:tcW w:w="715" w:type="pct"/>
                  <w:vAlign w:val="center"/>
                </w:tcPr>
                <w:p>
                  <w:pPr>
                    <w:jc w:val="center"/>
                    <w:rPr>
                      <w:color w:val="auto"/>
                      <w:sz w:val="18"/>
                      <w:szCs w:val="18"/>
                    </w:rPr>
                  </w:pPr>
                  <w:r>
                    <w:rPr>
                      <w:rFonts w:hint="eastAsia"/>
                      <w:color w:val="auto"/>
                      <w:sz w:val="18"/>
                      <w:szCs w:val="18"/>
                    </w:rPr>
                    <w:t>75</w:t>
                  </w:r>
                </w:p>
              </w:tc>
              <w:tc>
                <w:tcPr>
                  <w:tcW w:w="719" w:type="pct"/>
                  <w:vMerge w:val="continue"/>
                </w:tcPr>
                <w:p>
                  <w:pPr>
                    <w:rPr>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pct"/>
                  <w:shd w:val="clear" w:color="auto" w:fill="auto"/>
                  <w:vAlign w:val="center"/>
                </w:tcPr>
                <w:p>
                  <w:pPr>
                    <w:jc w:val="center"/>
                    <w:rPr>
                      <w:rFonts w:ascii="Times New Roman" w:hAnsi="Times New Roman" w:eastAsia="宋体" w:cs="Times New Roman"/>
                      <w:color w:val="auto"/>
                      <w:kern w:val="2"/>
                      <w:sz w:val="18"/>
                      <w:szCs w:val="18"/>
                      <w:lang w:val="en-US" w:eastAsia="zh-CN" w:bidi="ar-SA"/>
                    </w:rPr>
                  </w:pPr>
                  <w:r>
                    <w:rPr>
                      <w:rFonts w:hint="eastAsia"/>
                      <w:color w:val="auto"/>
                      <w:sz w:val="18"/>
                      <w:szCs w:val="18"/>
                    </w:rPr>
                    <w:t>8</w:t>
                  </w:r>
                </w:p>
              </w:tc>
              <w:tc>
                <w:tcPr>
                  <w:tcW w:w="697" w:type="pct"/>
                  <w:vMerge w:val="continue"/>
                </w:tcPr>
                <w:p>
                  <w:pPr>
                    <w:rPr>
                      <w:color w:val="auto"/>
                      <w:sz w:val="18"/>
                      <w:szCs w:val="18"/>
                    </w:rPr>
                  </w:pPr>
                </w:p>
              </w:tc>
              <w:tc>
                <w:tcPr>
                  <w:tcW w:w="787" w:type="pct"/>
                  <w:vAlign w:val="center"/>
                </w:tcPr>
                <w:p>
                  <w:pPr>
                    <w:pStyle w:val="38"/>
                    <w:rPr>
                      <w:rFonts w:hint="default"/>
                      <w:color w:val="auto"/>
                      <w:sz w:val="18"/>
                      <w:szCs w:val="18"/>
                      <w:lang w:val="en-US"/>
                    </w:rPr>
                  </w:pPr>
                  <w:r>
                    <w:rPr>
                      <w:rFonts w:hint="eastAsia"/>
                      <w:color w:val="auto"/>
                      <w:sz w:val="18"/>
                      <w:szCs w:val="18"/>
                      <w:lang w:val="en-US" w:eastAsia="zh-CN"/>
                    </w:rPr>
                    <w:t>设备8</w:t>
                  </w:r>
                </w:p>
              </w:tc>
              <w:tc>
                <w:tcPr>
                  <w:tcW w:w="848" w:type="pct"/>
                  <w:vAlign w:val="center"/>
                </w:tcPr>
                <w:p>
                  <w:pPr>
                    <w:pStyle w:val="38"/>
                    <w:rPr>
                      <w:color w:val="auto"/>
                      <w:sz w:val="18"/>
                      <w:szCs w:val="18"/>
                    </w:rPr>
                  </w:pPr>
                  <w:r>
                    <w:rPr>
                      <w:rFonts w:cs="Times New Roman"/>
                      <w:color w:val="auto"/>
                      <w:sz w:val="18"/>
                      <w:szCs w:val="18"/>
                    </w:rPr>
                    <w:t>304不锈钢</w:t>
                  </w:r>
                </w:p>
              </w:tc>
              <w:tc>
                <w:tcPr>
                  <w:tcW w:w="715" w:type="pct"/>
                  <w:vAlign w:val="center"/>
                </w:tcPr>
                <w:p>
                  <w:pPr>
                    <w:pStyle w:val="38"/>
                    <w:rPr>
                      <w:color w:val="auto"/>
                      <w:sz w:val="18"/>
                      <w:szCs w:val="18"/>
                    </w:rPr>
                  </w:pPr>
                  <w:r>
                    <w:rPr>
                      <w:rFonts w:cs="Times New Roman"/>
                      <w:color w:val="auto"/>
                      <w:sz w:val="18"/>
                      <w:szCs w:val="18"/>
                    </w:rPr>
                    <w:t>1</w:t>
                  </w:r>
                </w:p>
              </w:tc>
              <w:tc>
                <w:tcPr>
                  <w:tcW w:w="715" w:type="pct"/>
                  <w:vAlign w:val="center"/>
                </w:tcPr>
                <w:p>
                  <w:pPr>
                    <w:jc w:val="center"/>
                    <w:rPr>
                      <w:color w:val="auto"/>
                      <w:sz w:val="18"/>
                      <w:szCs w:val="18"/>
                    </w:rPr>
                  </w:pPr>
                  <w:r>
                    <w:rPr>
                      <w:rFonts w:hint="eastAsia"/>
                      <w:color w:val="auto"/>
                      <w:sz w:val="18"/>
                      <w:szCs w:val="18"/>
                    </w:rPr>
                    <w:t>75</w:t>
                  </w:r>
                </w:p>
              </w:tc>
              <w:tc>
                <w:tcPr>
                  <w:tcW w:w="719" w:type="pct"/>
                  <w:vMerge w:val="continue"/>
                </w:tcPr>
                <w:p>
                  <w:pPr>
                    <w:rPr>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pct"/>
                  <w:shd w:val="clear" w:color="auto" w:fill="auto"/>
                  <w:vAlign w:val="center"/>
                </w:tcPr>
                <w:p>
                  <w:pPr>
                    <w:jc w:val="center"/>
                    <w:rPr>
                      <w:rFonts w:ascii="Times New Roman" w:hAnsi="Times New Roman" w:eastAsia="宋体" w:cs="Times New Roman"/>
                      <w:color w:val="auto"/>
                      <w:kern w:val="2"/>
                      <w:sz w:val="18"/>
                      <w:szCs w:val="18"/>
                      <w:lang w:val="en-US" w:eastAsia="zh-CN" w:bidi="ar-SA"/>
                    </w:rPr>
                  </w:pPr>
                  <w:r>
                    <w:rPr>
                      <w:rFonts w:hint="eastAsia"/>
                      <w:color w:val="auto"/>
                      <w:sz w:val="18"/>
                      <w:szCs w:val="18"/>
                    </w:rPr>
                    <w:t>9</w:t>
                  </w:r>
                </w:p>
              </w:tc>
              <w:tc>
                <w:tcPr>
                  <w:tcW w:w="697" w:type="pct"/>
                  <w:vMerge w:val="continue"/>
                </w:tcPr>
                <w:p>
                  <w:pPr>
                    <w:rPr>
                      <w:color w:val="auto"/>
                      <w:sz w:val="18"/>
                      <w:szCs w:val="18"/>
                    </w:rPr>
                  </w:pPr>
                </w:p>
              </w:tc>
              <w:tc>
                <w:tcPr>
                  <w:tcW w:w="787" w:type="pct"/>
                  <w:vAlign w:val="center"/>
                </w:tcPr>
                <w:p>
                  <w:pPr>
                    <w:pStyle w:val="38"/>
                    <w:rPr>
                      <w:rFonts w:hint="default"/>
                      <w:color w:val="auto"/>
                      <w:sz w:val="18"/>
                      <w:szCs w:val="18"/>
                      <w:lang w:val="en-US"/>
                    </w:rPr>
                  </w:pPr>
                  <w:r>
                    <w:rPr>
                      <w:rFonts w:hint="eastAsia"/>
                      <w:color w:val="auto"/>
                      <w:sz w:val="18"/>
                      <w:szCs w:val="18"/>
                      <w:lang w:val="en-US" w:eastAsia="zh-CN"/>
                    </w:rPr>
                    <w:t>设备9</w:t>
                  </w:r>
                </w:p>
              </w:tc>
              <w:tc>
                <w:tcPr>
                  <w:tcW w:w="848" w:type="pct"/>
                  <w:vAlign w:val="center"/>
                </w:tcPr>
                <w:p>
                  <w:pPr>
                    <w:pStyle w:val="38"/>
                    <w:rPr>
                      <w:color w:val="auto"/>
                      <w:sz w:val="18"/>
                      <w:szCs w:val="18"/>
                    </w:rPr>
                  </w:pPr>
                  <w:r>
                    <w:rPr>
                      <w:rFonts w:cs="Times New Roman"/>
                      <w:color w:val="auto"/>
                      <w:sz w:val="18"/>
                      <w:szCs w:val="18"/>
                    </w:rPr>
                    <w:t>304不锈钢</w:t>
                  </w:r>
                </w:p>
              </w:tc>
              <w:tc>
                <w:tcPr>
                  <w:tcW w:w="715" w:type="pct"/>
                  <w:vAlign w:val="center"/>
                </w:tcPr>
                <w:p>
                  <w:pPr>
                    <w:pStyle w:val="38"/>
                    <w:rPr>
                      <w:color w:val="auto"/>
                      <w:sz w:val="18"/>
                      <w:szCs w:val="18"/>
                    </w:rPr>
                  </w:pPr>
                  <w:r>
                    <w:rPr>
                      <w:rFonts w:cs="Times New Roman"/>
                      <w:color w:val="auto"/>
                      <w:sz w:val="18"/>
                      <w:szCs w:val="18"/>
                    </w:rPr>
                    <w:t>1</w:t>
                  </w:r>
                </w:p>
              </w:tc>
              <w:tc>
                <w:tcPr>
                  <w:tcW w:w="715" w:type="pct"/>
                  <w:vAlign w:val="center"/>
                </w:tcPr>
                <w:p>
                  <w:pPr>
                    <w:jc w:val="center"/>
                    <w:rPr>
                      <w:color w:val="auto"/>
                      <w:sz w:val="18"/>
                      <w:szCs w:val="18"/>
                    </w:rPr>
                  </w:pPr>
                  <w:r>
                    <w:rPr>
                      <w:rFonts w:hint="eastAsia"/>
                      <w:color w:val="auto"/>
                      <w:sz w:val="18"/>
                      <w:szCs w:val="18"/>
                    </w:rPr>
                    <w:t>70</w:t>
                  </w:r>
                </w:p>
              </w:tc>
              <w:tc>
                <w:tcPr>
                  <w:tcW w:w="719" w:type="pct"/>
                  <w:vMerge w:val="continue"/>
                </w:tcPr>
                <w:p>
                  <w:pPr>
                    <w:rPr>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pct"/>
                  <w:shd w:val="clear" w:color="auto" w:fill="auto"/>
                  <w:vAlign w:val="center"/>
                </w:tcPr>
                <w:p>
                  <w:pPr>
                    <w:jc w:val="center"/>
                    <w:rPr>
                      <w:rFonts w:ascii="Times New Roman" w:hAnsi="Times New Roman" w:eastAsia="宋体" w:cs="Times New Roman"/>
                      <w:color w:val="auto"/>
                      <w:kern w:val="2"/>
                      <w:sz w:val="18"/>
                      <w:szCs w:val="18"/>
                      <w:lang w:val="en-US" w:eastAsia="zh-CN" w:bidi="ar-SA"/>
                    </w:rPr>
                  </w:pPr>
                  <w:r>
                    <w:rPr>
                      <w:rFonts w:hint="eastAsia"/>
                      <w:color w:val="auto"/>
                      <w:sz w:val="18"/>
                      <w:szCs w:val="18"/>
                    </w:rPr>
                    <w:t>10</w:t>
                  </w:r>
                </w:p>
              </w:tc>
              <w:tc>
                <w:tcPr>
                  <w:tcW w:w="697" w:type="pct"/>
                  <w:vMerge w:val="continue"/>
                </w:tcPr>
                <w:p>
                  <w:pPr>
                    <w:rPr>
                      <w:color w:val="auto"/>
                      <w:sz w:val="18"/>
                      <w:szCs w:val="18"/>
                    </w:rPr>
                  </w:pPr>
                </w:p>
              </w:tc>
              <w:tc>
                <w:tcPr>
                  <w:tcW w:w="787" w:type="pct"/>
                  <w:vAlign w:val="center"/>
                </w:tcPr>
                <w:p>
                  <w:pPr>
                    <w:pStyle w:val="38"/>
                    <w:rPr>
                      <w:rFonts w:hint="default"/>
                      <w:color w:val="auto"/>
                      <w:sz w:val="18"/>
                      <w:szCs w:val="18"/>
                      <w:lang w:val="en-US"/>
                    </w:rPr>
                  </w:pPr>
                  <w:r>
                    <w:rPr>
                      <w:rFonts w:hint="eastAsia"/>
                      <w:color w:val="auto"/>
                      <w:sz w:val="18"/>
                      <w:szCs w:val="18"/>
                      <w:lang w:val="en-US" w:eastAsia="zh-CN"/>
                    </w:rPr>
                    <w:t>设备10</w:t>
                  </w:r>
                </w:p>
              </w:tc>
              <w:tc>
                <w:tcPr>
                  <w:tcW w:w="848" w:type="pct"/>
                  <w:vAlign w:val="center"/>
                </w:tcPr>
                <w:p>
                  <w:pPr>
                    <w:jc w:val="center"/>
                    <w:rPr>
                      <w:color w:val="auto"/>
                      <w:sz w:val="18"/>
                      <w:szCs w:val="18"/>
                    </w:rPr>
                  </w:pPr>
                  <w:r>
                    <w:rPr>
                      <w:color w:val="auto"/>
                      <w:sz w:val="18"/>
                      <w:szCs w:val="18"/>
                    </w:rPr>
                    <w:t>304不锈钢</w:t>
                  </w:r>
                </w:p>
              </w:tc>
              <w:tc>
                <w:tcPr>
                  <w:tcW w:w="715" w:type="pct"/>
                  <w:vAlign w:val="center"/>
                </w:tcPr>
                <w:p>
                  <w:pPr>
                    <w:pStyle w:val="38"/>
                    <w:rPr>
                      <w:color w:val="auto"/>
                      <w:sz w:val="18"/>
                      <w:szCs w:val="18"/>
                    </w:rPr>
                  </w:pPr>
                  <w:r>
                    <w:rPr>
                      <w:rFonts w:cs="Times New Roman"/>
                      <w:color w:val="auto"/>
                      <w:sz w:val="18"/>
                      <w:szCs w:val="18"/>
                    </w:rPr>
                    <w:t>1</w:t>
                  </w:r>
                </w:p>
              </w:tc>
              <w:tc>
                <w:tcPr>
                  <w:tcW w:w="715" w:type="pct"/>
                  <w:vAlign w:val="center"/>
                </w:tcPr>
                <w:p>
                  <w:pPr>
                    <w:jc w:val="center"/>
                    <w:rPr>
                      <w:color w:val="auto"/>
                      <w:sz w:val="18"/>
                      <w:szCs w:val="18"/>
                    </w:rPr>
                  </w:pPr>
                  <w:r>
                    <w:rPr>
                      <w:rFonts w:hint="eastAsia"/>
                      <w:color w:val="auto"/>
                      <w:sz w:val="18"/>
                      <w:szCs w:val="18"/>
                    </w:rPr>
                    <w:t>75</w:t>
                  </w:r>
                </w:p>
              </w:tc>
              <w:tc>
                <w:tcPr>
                  <w:tcW w:w="719" w:type="pct"/>
                  <w:vMerge w:val="continue"/>
                </w:tcPr>
                <w:p>
                  <w:pPr>
                    <w:rPr>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pct"/>
                  <w:shd w:val="clear" w:color="auto" w:fill="auto"/>
                  <w:vAlign w:val="center"/>
                </w:tcPr>
                <w:p>
                  <w:pPr>
                    <w:jc w:val="center"/>
                    <w:rPr>
                      <w:rFonts w:ascii="Times New Roman" w:hAnsi="Times New Roman" w:eastAsia="宋体" w:cs="Times New Roman"/>
                      <w:color w:val="auto"/>
                      <w:kern w:val="2"/>
                      <w:sz w:val="18"/>
                      <w:szCs w:val="18"/>
                      <w:lang w:val="en-US" w:eastAsia="zh-CN" w:bidi="ar-SA"/>
                    </w:rPr>
                  </w:pPr>
                  <w:r>
                    <w:rPr>
                      <w:rFonts w:hint="eastAsia"/>
                      <w:color w:val="auto"/>
                      <w:sz w:val="18"/>
                      <w:szCs w:val="18"/>
                    </w:rPr>
                    <w:t>11</w:t>
                  </w:r>
                </w:p>
              </w:tc>
              <w:tc>
                <w:tcPr>
                  <w:tcW w:w="697" w:type="pct"/>
                  <w:vMerge w:val="continue"/>
                </w:tcPr>
                <w:p>
                  <w:pPr>
                    <w:rPr>
                      <w:color w:val="auto"/>
                      <w:sz w:val="18"/>
                      <w:szCs w:val="18"/>
                    </w:rPr>
                  </w:pPr>
                </w:p>
              </w:tc>
              <w:tc>
                <w:tcPr>
                  <w:tcW w:w="787" w:type="pct"/>
                  <w:vAlign w:val="center"/>
                </w:tcPr>
                <w:p>
                  <w:pPr>
                    <w:pStyle w:val="38"/>
                    <w:rPr>
                      <w:rFonts w:hint="default"/>
                      <w:color w:val="auto"/>
                      <w:sz w:val="18"/>
                      <w:szCs w:val="18"/>
                      <w:lang w:val="en-US"/>
                    </w:rPr>
                  </w:pPr>
                  <w:r>
                    <w:rPr>
                      <w:rFonts w:hint="eastAsia"/>
                      <w:color w:val="auto"/>
                      <w:sz w:val="18"/>
                      <w:szCs w:val="18"/>
                      <w:lang w:val="en-US" w:eastAsia="zh-CN"/>
                    </w:rPr>
                    <w:t>设备11</w:t>
                  </w:r>
                </w:p>
              </w:tc>
              <w:tc>
                <w:tcPr>
                  <w:tcW w:w="848" w:type="pct"/>
                  <w:vAlign w:val="center"/>
                </w:tcPr>
                <w:p>
                  <w:pPr>
                    <w:jc w:val="center"/>
                    <w:rPr>
                      <w:color w:val="auto"/>
                      <w:sz w:val="18"/>
                      <w:szCs w:val="18"/>
                    </w:rPr>
                  </w:pPr>
                  <w:r>
                    <w:rPr>
                      <w:color w:val="auto"/>
                      <w:sz w:val="18"/>
                      <w:szCs w:val="18"/>
                    </w:rPr>
                    <w:t>304不锈钢</w:t>
                  </w:r>
                </w:p>
              </w:tc>
              <w:tc>
                <w:tcPr>
                  <w:tcW w:w="715" w:type="pct"/>
                  <w:vAlign w:val="center"/>
                </w:tcPr>
                <w:p>
                  <w:pPr>
                    <w:jc w:val="center"/>
                    <w:rPr>
                      <w:color w:val="auto"/>
                      <w:sz w:val="18"/>
                      <w:szCs w:val="18"/>
                    </w:rPr>
                  </w:pPr>
                  <w:r>
                    <w:rPr>
                      <w:color w:val="auto"/>
                      <w:sz w:val="18"/>
                      <w:szCs w:val="18"/>
                    </w:rPr>
                    <w:t>1</w:t>
                  </w:r>
                </w:p>
              </w:tc>
              <w:tc>
                <w:tcPr>
                  <w:tcW w:w="715" w:type="pct"/>
                  <w:vAlign w:val="center"/>
                </w:tcPr>
                <w:p>
                  <w:pPr>
                    <w:jc w:val="center"/>
                    <w:rPr>
                      <w:color w:val="auto"/>
                      <w:sz w:val="18"/>
                      <w:szCs w:val="18"/>
                    </w:rPr>
                  </w:pPr>
                  <w:r>
                    <w:rPr>
                      <w:rFonts w:hint="eastAsia"/>
                      <w:color w:val="auto"/>
                      <w:sz w:val="18"/>
                      <w:szCs w:val="18"/>
                    </w:rPr>
                    <w:t>75</w:t>
                  </w:r>
                </w:p>
              </w:tc>
              <w:tc>
                <w:tcPr>
                  <w:tcW w:w="719" w:type="pct"/>
                  <w:vMerge w:val="continue"/>
                </w:tcPr>
                <w:p>
                  <w:pPr>
                    <w:rPr>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pct"/>
                  <w:shd w:val="clear" w:color="auto" w:fill="auto"/>
                  <w:vAlign w:val="center"/>
                </w:tcPr>
                <w:p>
                  <w:pPr>
                    <w:jc w:val="center"/>
                    <w:rPr>
                      <w:rFonts w:ascii="Times New Roman" w:hAnsi="Times New Roman" w:eastAsia="宋体" w:cs="Times New Roman"/>
                      <w:color w:val="auto"/>
                      <w:kern w:val="2"/>
                      <w:sz w:val="18"/>
                      <w:szCs w:val="18"/>
                      <w:lang w:val="en-US" w:eastAsia="zh-CN" w:bidi="ar-SA"/>
                    </w:rPr>
                  </w:pPr>
                  <w:r>
                    <w:rPr>
                      <w:rFonts w:hint="eastAsia"/>
                      <w:color w:val="auto"/>
                      <w:sz w:val="18"/>
                      <w:szCs w:val="18"/>
                    </w:rPr>
                    <w:t>12</w:t>
                  </w:r>
                </w:p>
              </w:tc>
              <w:tc>
                <w:tcPr>
                  <w:tcW w:w="697" w:type="pct"/>
                  <w:vMerge w:val="continue"/>
                </w:tcPr>
                <w:p>
                  <w:pPr>
                    <w:rPr>
                      <w:color w:val="auto"/>
                      <w:sz w:val="18"/>
                      <w:szCs w:val="18"/>
                    </w:rPr>
                  </w:pPr>
                </w:p>
              </w:tc>
              <w:tc>
                <w:tcPr>
                  <w:tcW w:w="787" w:type="pct"/>
                  <w:vAlign w:val="center"/>
                </w:tcPr>
                <w:p>
                  <w:pPr>
                    <w:pStyle w:val="38"/>
                    <w:rPr>
                      <w:rFonts w:hint="default"/>
                      <w:color w:val="auto"/>
                      <w:sz w:val="18"/>
                      <w:szCs w:val="18"/>
                      <w:lang w:val="en-US"/>
                    </w:rPr>
                  </w:pPr>
                  <w:r>
                    <w:rPr>
                      <w:rFonts w:hint="eastAsia"/>
                      <w:color w:val="auto"/>
                      <w:sz w:val="18"/>
                      <w:szCs w:val="18"/>
                      <w:lang w:val="en-US" w:eastAsia="zh-CN"/>
                    </w:rPr>
                    <w:t>设备12</w:t>
                  </w:r>
                </w:p>
              </w:tc>
              <w:tc>
                <w:tcPr>
                  <w:tcW w:w="848" w:type="pct"/>
                  <w:vAlign w:val="center"/>
                </w:tcPr>
                <w:p>
                  <w:pPr>
                    <w:jc w:val="center"/>
                    <w:rPr>
                      <w:color w:val="auto"/>
                      <w:sz w:val="18"/>
                      <w:szCs w:val="18"/>
                    </w:rPr>
                  </w:pPr>
                  <w:r>
                    <w:rPr>
                      <w:color w:val="auto"/>
                      <w:sz w:val="18"/>
                      <w:szCs w:val="18"/>
                    </w:rPr>
                    <w:t>304不锈钢</w:t>
                  </w:r>
                </w:p>
              </w:tc>
              <w:tc>
                <w:tcPr>
                  <w:tcW w:w="715" w:type="pct"/>
                  <w:vAlign w:val="center"/>
                </w:tcPr>
                <w:p>
                  <w:pPr>
                    <w:jc w:val="center"/>
                    <w:rPr>
                      <w:color w:val="auto"/>
                      <w:sz w:val="18"/>
                      <w:szCs w:val="18"/>
                    </w:rPr>
                  </w:pPr>
                  <w:r>
                    <w:rPr>
                      <w:color w:val="auto"/>
                      <w:sz w:val="18"/>
                      <w:szCs w:val="18"/>
                    </w:rPr>
                    <w:t>1</w:t>
                  </w:r>
                </w:p>
              </w:tc>
              <w:tc>
                <w:tcPr>
                  <w:tcW w:w="715" w:type="pct"/>
                  <w:vAlign w:val="center"/>
                </w:tcPr>
                <w:p>
                  <w:pPr>
                    <w:jc w:val="center"/>
                    <w:rPr>
                      <w:color w:val="auto"/>
                      <w:sz w:val="18"/>
                      <w:szCs w:val="18"/>
                    </w:rPr>
                  </w:pPr>
                  <w:r>
                    <w:rPr>
                      <w:rFonts w:hint="eastAsia"/>
                      <w:color w:val="auto"/>
                      <w:sz w:val="18"/>
                      <w:szCs w:val="18"/>
                    </w:rPr>
                    <w:t>80</w:t>
                  </w:r>
                </w:p>
              </w:tc>
              <w:tc>
                <w:tcPr>
                  <w:tcW w:w="719" w:type="pct"/>
                  <w:vMerge w:val="continue"/>
                </w:tcPr>
                <w:p>
                  <w:pPr>
                    <w:rPr>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pct"/>
                  <w:vAlign w:val="center"/>
                </w:tcPr>
                <w:p>
                  <w:pPr>
                    <w:jc w:val="center"/>
                    <w:rPr>
                      <w:rFonts w:hint="default" w:eastAsia="宋体"/>
                      <w:color w:val="auto"/>
                      <w:sz w:val="18"/>
                      <w:szCs w:val="18"/>
                      <w:lang w:val="en-US" w:eastAsia="zh-CN"/>
                    </w:rPr>
                  </w:pPr>
                  <w:r>
                    <w:rPr>
                      <w:rFonts w:hint="eastAsia"/>
                      <w:color w:val="auto"/>
                      <w:sz w:val="18"/>
                      <w:szCs w:val="18"/>
                      <w:lang w:val="en-US" w:eastAsia="zh-CN"/>
                    </w:rPr>
                    <w:t>13</w:t>
                  </w:r>
                </w:p>
              </w:tc>
              <w:tc>
                <w:tcPr>
                  <w:tcW w:w="697" w:type="pct"/>
                  <w:vMerge w:val="continue"/>
                </w:tcPr>
                <w:p>
                  <w:pPr>
                    <w:rPr>
                      <w:color w:val="auto"/>
                      <w:sz w:val="18"/>
                      <w:szCs w:val="18"/>
                    </w:rPr>
                  </w:pPr>
                </w:p>
              </w:tc>
              <w:tc>
                <w:tcPr>
                  <w:tcW w:w="787" w:type="pct"/>
                  <w:vAlign w:val="center"/>
                </w:tcPr>
                <w:p>
                  <w:pPr>
                    <w:pStyle w:val="38"/>
                    <w:rPr>
                      <w:rFonts w:hint="default" w:cs="Times New Roman"/>
                      <w:color w:val="auto"/>
                      <w:sz w:val="18"/>
                      <w:szCs w:val="18"/>
                      <w:lang w:val="en-US"/>
                    </w:rPr>
                  </w:pPr>
                  <w:r>
                    <w:rPr>
                      <w:rFonts w:hint="eastAsia"/>
                      <w:color w:val="auto"/>
                      <w:sz w:val="18"/>
                      <w:szCs w:val="18"/>
                      <w:lang w:val="en-US" w:eastAsia="zh-CN"/>
                    </w:rPr>
                    <w:t>设备13</w:t>
                  </w:r>
                </w:p>
              </w:tc>
              <w:tc>
                <w:tcPr>
                  <w:tcW w:w="848" w:type="pct"/>
                  <w:vAlign w:val="center"/>
                </w:tcPr>
                <w:p>
                  <w:pPr>
                    <w:pStyle w:val="38"/>
                    <w:rPr>
                      <w:color w:val="auto"/>
                      <w:sz w:val="18"/>
                      <w:szCs w:val="18"/>
                    </w:rPr>
                  </w:pPr>
                  <w:r>
                    <w:rPr>
                      <w:rFonts w:cs="Times New Roman"/>
                      <w:color w:val="auto"/>
                      <w:sz w:val="18"/>
                      <w:szCs w:val="18"/>
                    </w:rPr>
                    <w:t>制冷温度：5℃，功率：40KW</w:t>
                  </w:r>
                </w:p>
              </w:tc>
              <w:tc>
                <w:tcPr>
                  <w:tcW w:w="715" w:type="pct"/>
                  <w:vAlign w:val="center"/>
                </w:tcPr>
                <w:p>
                  <w:pPr>
                    <w:pStyle w:val="38"/>
                    <w:rPr>
                      <w:color w:val="auto"/>
                      <w:sz w:val="18"/>
                      <w:szCs w:val="18"/>
                    </w:rPr>
                  </w:pPr>
                  <w:r>
                    <w:rPr>
                      <w:rFonts w:cs="Times New Roman"/>
                      <w:color w:val="auto"/>
                      <w:sz w:val="18"/>
                      <w:szCs w:val="18"/>
                    </w:rPr>
                    <w:t>1</w:t>
                  </w:r>
                </w:p>
              </w:tc>
              <w:tc>
                <w:tcPr>
                  <w:tcW w:w="715" w:type="pct"/>
                  <w:vAlign w:val="center"/>
                </w:tcPr>
                <w:p>
                  <w:pPr>
                    <w:jc w:val="center"/>
                    <w:rPr>
                      <w:color w:val="auto"/>
                      <w:sz w:val="18"/>
                      <w:szCs w:val="18"/>
                    </w:rPr>
                  </w:pPr>
                  <w:r>
                    <w:rPr>
                      <w:rFonts w:hint="eastAsia"/>
                      <w:color w:val="auto"/>
                      <w:sz w:val="18"/>
                      <w:szCs w:val="18"/>
                    </w:rPr>
                    <w:t>90</w:t>
                  </w:r>
                </w:p>
              </w:tc>
              <w:tc>
                <w:tcPr>
                  <w:tcW w:w="719" w:type="pct"/>
                  <w:vMerge w:val="continue"/>
                </w:tcPr>
                <w:p>
                  <w:pPr>
                    <w:rPr>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pct"/>
                  <w:vAlign w:val="center"/>
                </w:tcPr>
                <w:p>
                  <w:pPr>
                    <w:jc w:val="center"/>
                    <w:rPr>
                      <w:rFonts w:hint="default" w:eastAsia="宋体"/>
                      <w:color w:val="auto"/>
                      <w:sz w:val="18"/>
                      <w:szCs w:val="18"/>
                      <w:lang w:val="en-US" w:eastAsia="zh-CN"/>
                    </w:rPr>
                  </w:pPr>
                  <w:r>
                    <w:rPr>
                      <w:rFonts w:hint="eastAsia"/>
                      <w:color w:val="auto"/>
                      <w:sz w:val="18"/>
                      <w:szCs w:val="18"/>
                      <w:lang w:val="en-US" w:eastAsia="zh-CN"/>
                    </w:rPr>
                    <w:t>14</w:t>
                  </w:r>
                </w:p>
              </w:tc>
              <w:tc>
                <w:tcPr>
                  <w:tcW w:w="697" w:type="pct"/>
                  <w:vMerge w:val="continue"/>
                </w:tcPr>
                <w:p>
                  <w:pPr>
                    <w:rPr>
                      <w:color w:val="auto"/>
                      <w:sz w:val="18"/>
                      <w:szCs w:val="18"/>
                    </w:rPr>
                  </w:pPr>
                </w:p>
              </w:tc>
              <w:tc>
                <w:tcPr>
                  <w:tcW w:w="787" w:type="pct"/>
                  <w:vAlign w:val="center"/>
                </w:tcPr>
                <w:p>
                  <w:pPr>
                    <w:pStyle w:val="38"/>
                    <w:rPr>
                      <w:rFonts w:hint="default" w:cs="Times New Roman"/>
                      <w:color w:val="auto"/>
                      <w:sz w:val="18"/>
                      <w:szCs w:val="18"/>
                      <w:lang w:val="en-US"/>
                    </w:rPr>
                  </w:pPr>
                  <w:r>
                    <w:rPr>
                      <w:rFonts w:hint="eastAsia"/>
                      <w:color w:val="auto"/>
                      <w:sz w:val="18"/>
                      <w:szCs w:val="18"/>
                      <w:lang w:val="en-US" w:eastAsia="zh-CN"/>
                    </w:rPr>
                    <w:t>设备14</w:t>
                  </w:r>
                </w:p>
              </w:tc>
              <w:tc>
                <w:tcPr>
                  <w:tcW w:w="848" w:type="pct"/>
                  <w:vAlign w:val="center"/>
                </w:tcPr>
                <w:p>
                  <w:pPr>
                    <w:pStyle w:val="38"/>
                    <w:rPr>
                      <w:color w:val="auto"/>
                      <w:sz w:val="18"/>
                      <w:szCs w:val="18"/>
                    </w:rPr>
                  </w:pPr>
                  <w:r>
                    <w:rPr>
                      <w:rFonts w:cs="Times New Roman"/>
                      <w:color w:val="auto"/>
                      <w:sz w:val="18"/>
                      <w:szCs w:val="18"/>
                    </w:rPr>
                    <w:t>功率：20KW</w:t>
                  </w:r>
                </w:p>
              </w:tc>
              <w:tc>
                <w:tcPr>
                  <w:tcW w:w="715" w:type="pct"/>
                  <w:vAlign w:val="center"/>
                </w:tcPr>
                <w:p>
                  <w:pPr>
                    <w:pStyle w:val="38"/>
                    <w:rPr>
                      <w:color w:val="auto"/>
                      <w:sz w:val="18"/>
                      <w:szCs w:val="18"/>
                    </w:rPr>
                  </w:pPr>
                  <w:r>
                    <w:rPr>
                      <w:rFonts w:cs="Times New Roman"/>
                      <w:color w:val="auto"/>
                      <w:sz w:val="18"/>
                      <w:szCs w:val="18"/>
                    </w:rPr>
                    <w:t>1</w:t>
                  </w:r>
                </w:p>
              </w:tc>
              <w:tc>
                <w:tcPr>
                  <w:tcW w:w="715" w:type="pct"/>
                  <w:vAlign w:val="center"/>
                </w:tcPr>
                <w:p>
                  <w:pPr>
                    <w:jc w:val="center"/>
                    <w:rPr>
                      <w:color w:val="auto"/>
                      <w:sz w:val="18"/>
                      <w:szCs w:val="18"/>
                    </w:rPr>
                  </w:pPr>
                  <w:r>
                    <w:rPr>
                      <w:rFonts w:hint="eastAsia"/>
                      <w:color w:val="auto"/>
                      <w:sz w:val="18"/>
                      <w:szCs w:val="18"/>
                    </w:rPr>
                    <w:t>90</w:t>
                  </w:r>
                </w:p>
              </w:tc>
              <w:tc>
                <w:tcPr>
                  <w:tcW w:w="719" w:type="pct"/>
                  <w:vMerge w:val="continue"/>
                </w:tcPr>
                <w:p>
                  <w:pPr>
                    <w:rPr>
                      <w:color w:val="auto"/>
                      <w:sz w:val="18"/>
                      <w:szCs w:val="18"/>
                    </w:rPr>
                  </w:pPr>
                </w:p>
              </w:tc>
            </w:tr>
          </w:tbl>
          <w:p>
            <w:pPr>
              <w:spacing w:before="194" w:beforeLines="50"/>
              <w:jc w:val="center"/>
              <w:outlineLvl w:val="5"/>
              <w:rPr>
                <w:rFonts w:hint="eastAsia"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表4-26室外声源</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
              <w:gridCol w:w="1554"/>
              <w:gridCol w:w="1217"/>
              <w:gridCol w:w="1217"/>
              <w:gridCol w:w="1218"/>
              <w:gridCol w:w="1218"/>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vAlign w:val="center"/>
                </w:tcPr>
                <w:p>
                  <w:pPr>
                    <w:widowControl/>
                    <w:snapToGrid w:val="0"/>
                    <w:jc w:val="center"/>
                    <w:textAlignment w:val="center"/>
                    <w:rPr>
                      <w:color w:val="auto"/>
                    </w:rPr>
                  </w:pPr>
                  <w:r>
                    <w:rPr>
                      <w:rStyle w:val="54"/>
                      <w:rFonts w:hint="default"/>
                      <w:color w:val="auto"/>
                      <w:sz w:val="18"/>
                      <w:szCs w:val="18"/>
                      <w:lang w:bidi="ar"/>
                    </w:rPr>
                    <w:t>序号</w:t>
                  </w:r>
                </w:p>
              </w:tc>
              <w:tc>
                <w:tcPr>
                  <w:tcW w:w="1554" w:type="dxa"/>
                  <w:vAlign w:val="center"/>
                </w:tcPr>
                <w:p>
                  <w:pPr>
                    <w:widowControl/>
                    <w:snapToGrid w:val="0"/>
                    <w:jc w:val="center"/>
                    <w:textAlignment w:val="center"/>
                    <w:rPr>
                      <w:color w:val="auto"/>
                    </w:rPr>
                  </w:pPr>
                  <w:r>
                    <w:rPr>
                      <w:rStyle w:val="55"/>
                      <w:rFonts w:hint="default"/>
                      <w:color w:val="auto"/>
                      <w:sz w:val="18"/>
                      <w:szCs w:val="18"/>
                      <w:lang w:bidi="ar"/>
                    </w:rPr>
                    <w:t>厂房名称</w:t>
                  </w:r>
                </w:p>
              </w:tc>
              <w:tc>
                <w:tcPr>
                  <w:tcW w:w="1217" w:type="dxa"/>
                  <w:vAlign w:val="center"/>
                </w:tcPr>
                <w:p>
                  <w:pPr>
                    <w:widowControl/>
                    <w:snapToGrid w:val="0"/>
                    <w:jc w:val="center"/>
                    <w:textAlignment w:val="center"/>
                    <w:rPr>
                      <w:color w:val="auto"/>
                    </w:rPr>
                  </w:pPr>
                  <w:r>
                    <w:rPr>
                      <w:rStyle w:val="55"/>
                      <w:rFonts w:hint="default"/>
                      <w:color w:val="auto"/>
                      <w:sz w:val="18"/>
                      <w:szCs w:val="18"/>
                      <w:lang w:bidi="ar"/>
                    </w:rPr>
                    <w:t>设备名称</w:t>
                  </w:r>
                </w:p>
              </w:tc>
              <w:tc>
                <w:tcPr>
                  <w:tcW w:w="1217" w:type="dxa"/>
                  <w:vAlign w:val="center"/>
                </w:tcPr>
                <w:p>
                  <w:pPr>
                    <w:widowControl/>
                    <w:snapToGrid w:val="0"/>
                    <w:jc w:val="center"/>
                    <w:textAlignment w:val="center"/>
                    <w:rPr>
                      <w:color w:val="auto"/>
                    </w:rPr>
                  </w:pPr>
                  <w:r>
                    <w:rPr>
                      <w:rStyle w:val="55"/>
                      <w:rFonts w:hint="default"/>
                      <w:color w:val="auto"/>
                      <w:sz w:val="18"/>
                      <w:szCs w:val="18"/>
                      <w:lang w:bidi="ar"/>
                    </w:rPr>
                    <w:t>规格材质</w:t>
                  </w:r>
                </w:p>
              </w:tc>
              <w:tc>
                <w:tcPr>
                  <w:tcW w:w="1218" w:type="dxa"/>
                  <w:vAlign w:val="center"/>
                </w:tcPr>
                <w:p>
                  <w:pPr>
                    <w:widowControl/>
                    <w:snapToGrid w:val="0"/>
                    <w:jc w:val="center"/>
                    <w:textAlignment w:val="center"/>
                    <w:rPr>
                      <w:rStyle w:val="55"/>
                      <w:rFonts w:hint="default"/>
                      <w:color w:val="auto"/>
                      <w:sz w:val="18"/>
                      <w:szCs w:val="18"/>
                      <w:lang w:bidi="ar"/>
                    </w:rPr>
                  </w:pPr>
                  <w:r>
                    <w:rPr>
                      <w:rStyle w:val="55"/>
                      <w:rFonts w:hint="default"/>
                      <w:color w:val="auto"/>
                      <w:sz w:val="18"/>
                      <w:szCs w:val="18"/>
                      <w:lang w:bidi="ar"/>
                    </w:rPr>
                    <w:t>设备数量</w:t>
                  </w:r>
                </w:p>
                <w:p>
                  <w:pPr>
                    <w:widowControl/>
                    <w:snapToGrid w:val="0"/>
                    <w:jc w:val="center"/>
                    <w:textAlignment w:val="center"/>
                    <w:rPr>
                      <w:color w:val="auto"/>
                    </w:rPr>
                  </w:pPr>
                  <w:r>
                    <w:rPr>
                      <w:rStyle w:val="55"/>
                      <w:rFonts w:hint="default"/>
                      <w:color w:val="auto"/>
                      <w:sz w:val="18"/>
                      <w:szCs w:val="18"/>
                      <w:lang w:bidi="ar"/>
                    </w:rPr>
                    <w:t>（台）</w:t>
                  </w:r>
                </w:p>
              </w:tc>
              <w:tc>
                <w:tcPr>
                  <w:tcW w:w="1218" w:type="dxa"/>
                  <w:vAlign w:val="center"/>
                </w:tcPr>
                <w:p>
                  <w:pPr>
                    <w:widowControl/>
                    <w:snapToGrid w:val="0"/>
                    <w:jc w:val="center"/>
                    <w:textAlignment w:val="center"/>
                    <w:rPr>
                      <w:color w:val="auto"/>
                    </w:rPr>
                  </w:pPr>
                  <w:r>
                    <w:rPr>
                      <w:rStyle w:val="55"/>
                      <w:rFonts w:hint="default"/>
                      <w:color w:val="auto"/>
                      <w:sz w:val="18"/>
                      <w:szCs w:val="18"/>
                      <w:lang w:bidi="ar"/>
                    </w:rPr>
                    <w:t>声功率级（dB）</w:t>
                  </w:r>
                </w:p>
              </w:tc>
              <w:tc>
                <w:tcPr>
                  <w:tcW w:w="1218" w:type="dxa"/>
                  <w:vAlign w:val="center"/>
                </w:tcPr>
                <w:p>
                  <w:pPr>
                    <w:widowControl/>
                    <w:snapToGrid w:val="0"/>
                    <w:jc w:val="center"/>
                    <w:textAlignment w:val="center"/>
                    <w:rPr>
                      <w:color w:val="auto"/>
                    </w:rPr>
                  </w:pPr>
                  <w:r>
                    <w:rPr>
                      <w:rStyle w:val="56"/>
                      <w:rFonts w:hint="default"/>
                      <w:color w:val="auto"/>
                      <w:sz w:val="18"/>
                      <w:szCs w:val="18"/>
                      <w:lang w:bidi="ar"/>
                    </w:rPr>
                    <w:t>降噪措施（</w:t>
                  </w:r>
                  <w:r>
                    <w:rPr>
                      <w:rStyle w:val="55"/>
                      <w:rFonts w:hint="default"/>
                      <w:color w:val="auto"/>
                      <w:sz w:val="18"/>
                      <w:szCs w:val="18"/>
                      <w:lang w:bidi="ar"/>
                    </w:rPr>
                    <w:t>dB</w:t>
                  </w:r>
                  <w:r>
                    <w:rPr>
                      <w:rStyle w:val="56"/>
                      <w:rFonts w:hint="default"/>
                      <w:color w:val="auto"/>
                      <w:sz w:val="18"/>
                      <w:szCs w:val="18"/>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vAlign w:val="center"/>
                </w:tcPr>
                <w:p>
                  <w:pPr>
                    <w:jc w:val="center"/>
                    <w:rPr>
                      <w:color w:val="auto"/>
                      <w:sz w:val="18"/>
                      <w:szCs w:val="18"/>
                    </w:rPr>
                  </w:pPr>
                  <w:r>
                    <w:rPr>
                      <w:rFonts w:hint="eastAsia"/>
                      <w:color w:val="auto"/>
                      <w:sz w:val="18"/>
                      <w:szCs w:val="18"/>
                    </w:rPr>
                    <w:t>1</w:t>
                  </w:r>
                </w:p>
              </w:tc>
              <w:tc>
                <w:tcPr>
                  <w:tcW w:w="1554" w:type="dxa"/>
                  <w:vAlign w:val="center"/>
                </w:tcPr>
                <w:p>
                  <w:pPr>
                    <w:jc w:val="center"/>
                    <w:rPr>
                      <w:color w:val="auto"/>
                      <w:sz w:val="18"/>
                      <w:szCs w:val="18"/>
                    </w:rPr>
                  </w:pPr>
                  <w:r>
                    <w:rPr>
                      <w:rFonts w:hint="eastAsia"/>
                      <w:color w:val="auto"/>
                      <w:sz w:val="18"/>
                      <w:szCs w:val="18"/>
                    </w:rPr>
                    <w:t>生产车间二外</w:t>
                  </w:r>
                </w:p>
              </w:tc>
              <w:tc>
                <w:tcPr>
                  <w:tcW w:w="1217" w:type="dxa"/>
                  <w:shd w:val="clear" w:color="auto" w:fill="auto"/>
                  <w:vAlign w:val="center"/>
                </w:tcPr>
                <w:p>
                  <w:pPr>
                    <w:pStyle w:val="38"/>
                    <w:rPr>
                      <w:color w:val="auto"/>
                      <w:sz w:val="18"/>
                      <w:szCs w:val="18"/>
                    </w:rPr>
                  </w:pPr>
                  <w:r>
                    <w:rPr>
                      <w:rFonts w:cs="Times New Roman"/>
                      <w:color w:val="auto"/>
                      <w:sz w:val="18"/>
                      <w:szCs w:val="18"/>
                    </w:rPr>
                    <w:t>精馏塔</w:t>
                  </w:r>
                </w:p>
              </w:tc>
              <w:tc>
                <w:tcPr>
                  <w:tcW w:w="1217" w:type="dxa"/>
                  <w:vAlign w:val="center"/>
                </w:tcPr>
                <w:p>
                  <w:pPr>
                    <w:jc w:val="center"/>
                    <w:rPr>
                      <w:color w:val="auto"/>
                      <w:sz w:val="18"/>
                      <w:szCs w:val="18"/>
                    </w:rPr>
                  </w:pPr>
                  <w:r>
                    <w:rPr>
                      <w:color w:val="auto"/>
                      <w:sz w:val="18"/>
                      <w:szCs w:val="18"/>
                    </w:rPr>
                    <w:t>304不锈钢</w:t>
                  </w:r>
                </w:p>
              </w:tc>
              <w:tc>
                <w:tcPr>
                  <w:tcW w:w="1218" w:type="dxa"/>
                  <w:vAlign w:val="center"/>
                </w:tcPr>
                <w:p>
                  <w:pPr>
                    <w:jc w:val="center"/>
                    <w:rPr>
                      <w:color w:val="auto"/>
                      <w:sz w:val="18"/>
                      <w:szCs w:val="18"/>
                    </w:rPr>
                  </w:pPr>
                  <w:r>
                    <w:rPr>
                      <w:rFonts w:hint="eastAsia"/>
                      <w:color w:val="auto"/>
                      <w:sz w:val="18"/>
                      <w:szCs w:val="18"/>
                    </w:rPr>
                    <w:t>1</w:t>
                  </w:r>
                </w:p>
              </w:tc>
              <w:tc>
                <w:tcPr>
                  <w:tcW w:w="1218" w:type="dxa"/>
                  <w:vAlign w:val="center"/>
                </w:tcPr>
                <w:p>
                  <w:pPr>
                    <w:jc w:val="center"/>
                    <w:rPr>
                      <w:color w:val="auto"/>
                      <w:sz w:val="18"/>
                      <w:szCs w:val="18"/>
                    </w:rPr>
                  </w:pPr>
                  <w:r>
                    <w:rPr>
                      <w:rFonts w:hint="eastAsia"/>
                      <w:color w:val="auto"/>
                      <w:sz w:val="18"/>
                      <w:szCs w:val="18"/>
                    </w:rPr>
                    <w:t>80</w:t>
                  </w:r>
                </w:p>
              </w:tc>
              <w:tc>
                <w:tcPr>
                  <w:tcW w:w="1218" w:type="dxa"/>
                  <w:vMerge w:val="restart"/>
                  <w:vAlign w:val="center"/>
                </w:tcPr>
                <w:p>
                  <w:pPr>
                    <w:jc w:val="center"/>
                    <w:rPr>
                      <w:color w:val="auto"/>
                      <w:sz w:val="18"/>
                      <w:szCs w:val="18"/>
                    </w:rPr>
                  </w:pPr>
                  <w:r>
                    <w:rPr>
                      <w:rFonts w:hint="eastAsia"/>
                      <w:color w:val="auto"/>
                      <w:sz w:val="18"/>
                      <w:szCs w:val="18"/>
                    </w:rPr>
                    <w:t>选用低噪声设备，设备基础安装减震器，加盖隔声罩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vAlign w:val="center"/>
                </w:tcPr>
                <w:p>
                  <w:pPr>
                    <w:jc w:val="center"/>
                    <w:rPr>
                      <w:color w:val="auto"/>
                      <w:sz w:val="18"/>
                      <w:szCs w:val="18"/>
                    </w:rPr>
                  </w:pPr>
                  <w:r>
                    <w:rPr>
                      <w:rFonts w:hint="eastAsia"/>
                      <w:color w:val="auto"/>
                      <w:sz w:val="18"/>
                      <w:szCs w:val="18"/>
                    </w:rPr>
                    <w:t>2</w:t>
                  </w:r>
                </w:p>
              </w:tc>
              <w:tc>
                <w:tcPr>
                  <w:tcW w:w="1554" w:type="dxa"/>
                  <w:vMerge w:val="restart"/>
                  <w:vAlign w:val="center"/>
                </w:tcPr>
                <w:p>
                  <w:pPr>
                    <w:jc w:val="center"/>
                    <w:rPr>
                      <w:color w:val="auto"/>
                      <w:sz w:val="18"/>
                      <w:szCs w:val="18"/>
                    </w:rPr>
                  </w:pPr>
                  <w:r>
                    <w:rPr>
                      <w:rFonts w:hint="eastAsia"/>
                      <w:color w:val="auto"/>
                      <w:sz w:val="18"/>
                      <w:szCs w:val="18"/>
                      <w:lang w:eastAsia="zh-CN"/>
                    </w:rPr>
                    <w:t>车间X1</w:t>
                  </w:r>
                  <w:r>
                    <w:rPr>
                      <w:rFonts w:hint="eastAsia"/>
                      <w:color w:val="auto"/>
                      <w:sz w:val="18"/>
                      <w:szCs w:val="18"/>
                    </w:rPr>
                    <w:t>外</w:t>
                  </w:r>
                </w:p>
              </w:tc>
              <w:tc>
                <w:tcPr>
                  <w:tcW w:w="1217" w:type="dxa"/>
                  <w:shd w:val="clear" w:color="auto" w:fill="auto"/>
                  <w:vAlign w:val="center"/>
                </w:tcPr>
                <w:p>
                  <w:pPr>
                    <w:pStyle w:val="38"/>
                    <w:rPr>
                      <w:color w:val="auto"/>
                      <w:sz w:val="18"/>
                      <w:szCs w:val="18"/>
                    </w:rPr>
                  </w:pPr>
                  <w:r>
                    <w:rPr>
                      <w:rFonts w:cs="Times New Roman"/>
                      <w:color w:val="auto"/>
                      <w:sz w:val="18"/>
                      <w:szCs w:val="18"/>
                    </w:rPr>
                    <w:t>冷凝器</w:t>
                  </w:r>
                </w:p>
              </w:tc>
              <w:tc>
                <w:tcPr>
                  <w:tcW w:w="1217" w:type="dxa"/>
                  <w:vAlign w:val="center"/>
                </w:tcPr>
                <w:p>
                  <w:pPr>
                    <w:jc w:val="center"/>
                    <w:rPr>
                      <w:color w:val="auto"/>
                      <w:sz w:val="18"/>
                      <w:szCs w:val="18"/>
                    </w:rPr>
                  </w:pPr>
                  <w:r>
                    <w:rPr>
                      <w:color w:val="auto"/>
                      <w:sz w:val="18"/>
                      <w:szCs w:val="18"/>
                    </w:rPr>
                    <w:t>304不锈钢</w:t>
                  </w:r>
                </w:p>
              </w:tc>
              <w:tc>
                <w:tcPr>
                  <w:tcW w:w="1218" w:type="dxa"/>
                  <w:vAlign w:val="center"/>
                </w:tcPr>
                <w:p>
                  <w:pPr>
                    <w:jc w:val="center"/>
                    <w:rPr>
                      <w:color w:val="auto"/>
                      <w:sz w:val="18"/>
                      <w:szCs w:val="18"/>
                    </w:rPr>
                  </w:pPr>
                  <w:r>
                    <w:rPr>
                      <w:rFonts w:hint="eastAsia"/>
                      <w:color w:val="auto"/>
                      <w:sz w:val="18"/>
                      <w:szCs w:val="18"/>
                    </w:rPr>
                    <w:t>1</w:t>
                  </w:r>
                </w:p>
              </w:tc>
              <w:tc>
                <w:tcPr>
                  <w:tcW w:w="1218" w:type="dxa"/>
                  <w:vAlign w:val="center"/>
                </w:tcPr>
                <w:p>
                  <w:pPr>
                    <w:jc w:val="center"/>
                    <w:rPr>
                      <w:color w:val="auto"/>
                      <w:sz w:val="18"/>
                      <w:szCs w:val="18"/>
                    </w:rPr>
                  </w:pPr>
                  <w:r>
                    <w:rPr>
                      <w:rFonts w:hint="eastAsia"/>
                      <w:color w:val="auto"/>
                      <w:sz w:val="18"/>
                      <w:szCs w:val="18"/>
                    </w:rPr>
                    <w:t>80</w:t>
                  </w:r>
                </w:p>
              </w:tc>
              <w:tc>
                <w:tcPr>
                  <w:tcW w:w="1218" w:type="dxa"/>
                  <w:vMerge w:val="continue"/>
                  <w:vAlign w:val="center"/>
                </w:tcPr>
                <w:p>
                  <w:pPr>
                    <w:jc w:val="center"/>
                    <w:rPr>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vAlign w:val="center"/>
                </w:tcPr>
                <w:p>
                  <w:pPr>
                    <w:jc w:val="center"/>
                    <w:rPr>
                      <w:color w:val="auto"/>
                      <w:sz w:val="18"/>
                      <w:szCs w:val="18"/>
                    </w:rPr>
                  </w:pPr>
                  <w:r>
                    <w:rPr>
                      <w:rFonts w:hint="eastAsia"/>
                      <w:color w:val="auto"/>
                      <w:sz w:val="18"/>
                      <w:szCs w:val="18"/>
                    </w:rPr>
                    <w:t>3</w:t>
                  </w:r>
                </w:p>
              </w:tc>
              <w:tc>
                <w:tcPr>
                  <w:tcW w:w="1554" w:type="dxa"/>
                  <w:vMerge w:val="continue"/>
                  <w:vAlign w:val="center"/>
                </w:tcPr>
                <w:p>
                  <w:pPr>
                    <w:jc w:val="center"/>
                    <w:rPr>
                      <w:color w:val="auto"/>
                      <w:sz w:val="18"/>
                      <w:szCs w:val="18"/>
                    </w:rPr>
                  </w:pPr>
                </w:p>
              </w:tc>
              <w:tc>
                <w:tcPr>
                  <w:tcW w:w="1217" w:type="dxa"/>
                  <w:shd w:val="clear" w:color="auto" w:fill="auto"/>
                  <w:vAlign w:val="center"/>
                </w:tcPr>
                <w:p>
                  <w:pPr>
                    <w:jc w:val="center"/>
                    <w:rPr>
                      <w:color w:val="auto"/>
                      <w:sz w:val="18"/>
                      <w:szCs w:val="18"/>
                    </w:rPr>
                  </w:pPr>
                  <w:r>
                    <w:rPr>
                      <w:color w:val="auto"/>
                      <w:sz w:val="18"/>
                      <w:szCs w:val="18"/>
                    </w:rPr>
                    <w:t>冷却塔</w:t>
                  </w:r>
                </w:p>
              </w:tc>
              <w:tc>
                <w:tcPr>
                  <w:tcW w:w="1217" w:type="dxa"/>
                  <w:vAlign w:val="center"/>
                </w:tcPr>
                <w:p>
                  <w:pPr>
                    <w:jc w:val="center"/>
                    <w:rPr>
                      <w:color w:val="auto"/>
                      <w:sz w:val="18"/>
                      <w:szCs w:val="18"/>
                    </w:rPr>
                  </w:pPr>
                  <w:r>
                    <w:rPr>
                      <w:color w:val="auto"/>
                      <w:sz w:val="18"/>
                      <w:szCs w:val="18"/>
                    </w:rPr>
                    <w:t>200吨/小时，功率：45KW</w:t>
                  </w:r>
                </w:p>
              </w:tc>
              <w:tc>
                <w:tcPr>
                  <w:tcW w:w="1218" w:type="dxa"/>
                  <w:vAlign w:val="center"/>
                </w:tcPr>
                <w:p>
                  <w:pPr>
                    <w:jc w:val="center"/>
                    <w:rPr>
                      <w:color w:val="auto"/>
                      <w:sz w:val="18"/>
                      <w:szCs w:val="18"/>
                    </w:rPr>
                  </w:pPr>
                  <w:r>
                    <w:rPr>
                      <w:rFonts w:hint="eastAsia"/>
                      <w:color w:val="auto"/>
                      <w:sz w:val="18"/>
                      <w:szCs w:val="18"/>
                    </w:rPr>
                    <w:t>1</w:t>
                  </w:r>
                </w:p>
              </w:tc>
              <w:tc>
                <w:tcPr>
                  <w:tcW w:w="1218" w:type="dxa"/>
                  <w:vAlign w:val="center"/>
                </w:tcPr>
                <w:p>
                  <w:pPr>
                    <w:jc w:val="center"/>
                    <w:rPr>
                      <w:color w:val="auto"/>
                      <w:sz w:val="18"/>
                      <w:szCs w:val="18"/>
                    </w:rPr>
                  </w:pPr>
                  <w:r>
                    <w:rPr>
                      <w:rFonts w:hint="eastAsia"/>
                      <w:color w:val="auto"/>
                      <w:sz w:val="18"/>
                      <w:szCs w:val="18"/>
                    </w:rPr>
                    <w:t>80</w:t>
                  </w:r>
                </w:p>
              </w:tc>
              <w:tc>
                <w:tcPr>
                  <w:tcW w:w="1218" w:type="dxa"/>
                  <w:vMerge w:val="continue"/>
                  <w:vAlign w:val="center"/>
                </w:tcPr>
                <w:p>
                  <w:pPr>
                    <w:jc w:val="center"/>
                    <w:rPr>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0" w:type="dxa"/>
                  <w:vAlign w:val="center"/>
                </w:tcPr>
                <w:p>
                  <w:pPr>
                    <w:jc w:val="center"/>
                    <w:rPr>
                      <w:color w:val="auto"/>
                      <w:sz w:val="18"/>
                      <w:szCs w:val="18"/>
                    </w:rPr>
                  </w:pPr>
                  <w:r>
                    <w:rPr>
                      <w:rFonts w:hint="eastAsia"/>
                      <w:color w:val="auto"/>
                      <w:sz w:val="18"/>
                      <w:szCs w:val="18"/>
                    </w:rPr>
                    <w:t>4</w:t>
                  </w:r>
                </w:p>
              </w:tc>
              <w:tc>
                <w:tcPr>
                  <w:tcW w:w="1554" w:type="dxa"/>
                  <w:vMerge w:val="continue"/>
                  <w:vAlign w:val="center"/>
                </w:tcPr>
                <w:p>
                  <w:pPr>
                    <w:jc w:val="center"/>
                    <w:rPr>
                      <w:color w:val="auto"/>
                      <w:sz w:val="18"/>
                      <w:szCs w:val="18"/>
                    </w:rPr>
                  </w:pPr>
                </w:p>
              </w:tc>
              <w:tc>
                <w:tcPr>
                  <w:tcW w:w="1217" w:type="dxa"/>
                  <w:vAlign w:val="center"/>
                </w:tcPr>
                <w:p>
                  <w:pPr>
                    <w:jc w:val="center"/>
                    <w:rPr>
                      <w:color w:val="auto"/>
                      <w:sz w:val="18"/>
                      <w:szCs w:val="18"/>
                    </w:rPr>
                  </w:pPr>
                  <w:r>
                    <w:rPr>
                      <w:color w:val="auto"/>
                      <w:sz w:val="18"/>
                      <w:szCs w:val="18"/>
                    </w:rPr>
                    <w:t>喷淋塔</w:t>
                  </w:r>
                </w:p>
              </w:tc>
              <w:tc>
                <w:tcPr>
                  <w:tcW w:w="1217" w:type="dxa"/>
                  <w:vAlign w:val="center"/>
                </w:tcPr>
                <w:p>
                  <w:pPr>
                    <w:jc w:val="center"/>
                    <w:rPr>
                      <w:color w:val="auto"/>
                      <w:sz w:val="18"/>
                      <w:szCs w:val="18"/>
                    </w:rPr>
                  </w:pPr>
                  <w:r>
                    <w:rPr>
                      <w:color w:val="auto"/>
                      <w:sz w:val="18"/>
                      <w:szCs w:val="18"/>
                    </w:rPr>
                    <w:t>304不锈钢</w:t>
                  </w:r>
                </w:p>
              </w:tc>
              <w:tc>
                <w:tcPr>
                  <w:tcW w:w="1218" w:type="dxa"/>
                  <w:vAlign w:val="center"/>
                </w:tcPr>
                <w:p>
                  <w:pPr>
                    <w:jc w:val="center"/>
                    <w:rPr>
                      <w:color w:val="auto"/>
                      <w:sz w:val="18"/>
                      <w:szCs w:val="18"/>
                    </w:rPr>
                  </w:pPr>
                  <w:r>
                    <w:rPr>
                      <w:rFonts w:hint="eastAsia"/>
                      <w:color w:val="auto"/>
                      <w:sz w:val="18"/>
                      <w:szCs w:val="18"/>
                    </w:rPr>
                    <w:t>1</w:t>
                  </w:r>
                </w:p>
              </w:tc>
              <w:tc>
                <w:tcPr>
                  <w:tcW w:w="1218" w:type="dxa"/>
                  <w:vAlign w:val="center"/>
                </w:tcPr>
                <w:p>
                  <w:pPr>
                    <w:jc w:val="center"/>
                    <w:rPr>
                      <w:color w:val="auto"/>
                      <w:sz w:val="18"/>
                      <w:szCs w:val="18"/>
                    </w:rPr>
                  </w:pPr>
                  <w:r>
                    <w:rPr>
                      <w:rFonts w:hint="eastAsia"/>
                      <w:color w:val="auto"/>
                      <w:sz w:val="18"/>
                      <w:szCs w:val="18"/>
                    </w:rPr>
                    <w:t>80</w:t>
                  </w:r>
                </w:p>
              </w:tc>
              <w:tc>
                <w:tcPr>
                  <w:tcW w:w="1218" w:type="dxa"/>
                  <w:vMerge w:val="continue"/>
                  <w:vAlign w:val="center"/>
                </w:tcPr>
                <w:p>
                  <w:pPr>
                    <w:jc w:val="center"/>
                    <w:rPr>
                      <w:color w:val="auto"/>
                      <w:sz w:val="18"/>
                      <w:szCs w:val="18"/>
                    </w:rPr>
                  </w:pPr>
                </w:p>
              </w:tc>
            </w:tr>
          </w:tbl>
          <w:p>
            <w:pPr>
              <w:spacing w:line="360" w:lineRule="auto"/>
              <w:ind w:firstLine="422" w:firstLineChars="200"/>
              <w:jc w:val="left"/>
              <w:rPr>
                <w:b/>
                <w:bCs/>
                <w:color w:val="auto"/>
                <w:szCs w:val="21"/>
              </w:rPr>
            </w:pPr>
            <w:r>
              <w:rPr>
                <w:rFonts w:hint="eastAsia"/>
                <w:b/>
                <w:bCs/>
                <w:color w:val="auto"/>
                <w:szCs w:val="21"/>
              </w:rPr>
              <w:t>（2）声环境影响分析</w:t>
            </w:r>
          </w:p>
          <w:p>
            <w:pPr>
              <w:widowControl/>
              <w:spacing w:line="360" w:lineRule="auto"/>
              <w:ind w:firstLine="420" w:firstLineChars="200"/>
              <w:rPr>
                <w:color w:val="auto"/>
                <w:szCs w:val="20"/>
              </w:rPr>
            </w:pPr>
            <w:r>
              <w:rPr>
                <w:rFonts w:hint="eastAsia"/>
                <w:color w:val="auto"/>
                <w:szCs w:val="20"/>
              </w:rPr>
              <w:t>主要产噪设备位于</w:t>
            </w:r>
            <w:r>
              <w:rPr>
                <w:rFonts w:hint="eastAsia"/>
                <w:color w:val="auto"/>
                <w:szCs w:val="21"/>
              </w:rPr>
              <w:t>砖混结构</w:t>
            </w:r>
            <w:r>
              <w:rPr>
                <w:rFonts w:hint="eastAsia"/>
                <w:color w:val="auto"/>
                <w:szCs w:val="20"/>
              </w:rPr>
              <w:t>厂房内，根据《环境影响评价技术导则-声环境》（HJ2.4-2021），室内声源在室内边界产生的声压级可按照处于自由声场的点声源的几何发散衰减公式进行计算，如下：</w:t>
            </w:r>
          </w:p>
          <w:p>
            <w:pPr>
              <w:widowControl/>
              <w:spacing w:line="360" w:lineRule="auto"/>
              <w:ind w:firstLine="420" w:firstLineChars="200"/>
              <w:jc w:val="center"/>
              <w:rPr>
                <w:color w:val="auto"/>
                <w:szCs w:val="20"/>
              </w:rPr>
            </w:pPr>
            <w:r>
              <w:rPr>
                <w:rFonts w:hint="eastAsia"/>
                <w:color w:val="auto"/>
                <w:szCs w:val="20"/>
              </w:rPr>
              <w:t>L</w:t>
            </w:r>
            <w:r>
              <w:rPr>
                <w:rFonts w:hint="eastAsia"/>
                <w:color w:val="auto"/>
                <w:szCs w:val="20"/>
                <w:vertAlign w:val="subscript"/>
              </w:rPr>
              <w:t>p</w:t>
            </w:r>
            <w:r>
              <w:rPr>
                <w:rFonts w:hint="eastAsia"/>
                <w:color w:val="auto"/>
                <w:szCs w:val="20"/>
              </w:rPr>
              <w:t>(r)=L</w:t>
            </w:r>
            <w:r>
              <w:rPr>
                <w:rFonts w:hint="eastAsia"/>
                <w:color w:val="auto"/>
                <w:szCs w:val="20"/>
                <w:vertAlign w:val="subscript"/>
              </w:rPr>
              <w:t>W</w:t>
            </w:r>
            <w:r>
              <w:rPr>
                <w:rFonts w:hint="eastAsia"/>
                <w:color w:val="auto"/>
                <w:szCs w:val="20"/>
              </w:rPr>
              <w:t>-20lgr-11</w:t>
            </w:r>
          </w:p>
          <w:p>
            <w:pPr>
              <w:widowControl/>
              <w:spacing w:line="360" w:lineRule="auto"/>
              <w:rPr>
                <w:color w:val="auto"/>
                <w:szCs w:val="21"/>
              </w:rPr>
            </w:pPr>
            <w:r>
              <w:rPr>
                <w:color w:val="auto"/>
                <w:szCs w:val="21"/>
              </w:rPr>
              <w:t>式中：L</w:t>
            </w:r>
            <w:r>
              <w:rPr>
                <w:color w:val="auto"/>
                <w:szCs w:val="21"/>
                <w:vertAlign w:val="subscript"/>
              </w:rPr>
              <w:t>p</w:t>
            </w:r>
            <w:r>
              <w:rPr>
                <w:color w:val="auto"/>
                <w:szCs w:val="21"/>
              </w:rPr>
              <w:t>(r)</w:t>
            </w:r>
            <w:r>
              <w:rPr>
                <w:rFonts w:hint="eastAsia"/>
                <w:color w:val="auto"/>
                <w:szCs w:val="21"/>
              </w:rPr>
              <w:t xml:space="preserve"> ——</w:t>
            </w:r>
            <w:r>
              <w:rPr>
                <w:color w:val="auto"/>
                <w:szCs w:val="21"/>
              </w:rPr>
              <w:t>预测点处声压级，dB；</w:t>
            </w:r>
          </w:p>
          <w:p>
            <w:pPr>
              <w:widowControl/>
              <w:spacing w:line="360" w:lineRule="auto"/>
              <w:ind w:firstLine="630" w:firstLineChars="300"/>
              <w:rPr>
                <w:color w:val="auto"/>
                <w:szCs w:val="21"/>
              </w:rPr>
            </w:pPr>
            <w:r>
              <w:rPr>
                <w:color w:val="auto"/>
                <w:szCs w:val="21"/>
              </w:rPr>
              <w:t>L</w:t>
            </w:r>
            <w:r>
              <w:rPr>
                <w:color w:val="auto"/>
                <w:szCs w:val="21"/>
                <w:vertAlign w:val="subscript"/>
              </w:rPr>
              <w:t>W</w:t>
            </w:r>
            <w:r>
              <w:rPr>
                <w:rFonts w:hint="eastAsia"/>
                <w:color w:val="auto"/>
                <w:szCs w:val="21"/>
                <w:vertAlign w:val="subscript"/>
              </w:rPr>
              <w:t xml:space="preserve"> </w:t>
            </w:r>
            <w:r>
              <w:rPr>
                <w:rFonts w:hint="eastAsia"/>
                <w:color w:val="auto"/>
                <w:szCs w:val="21"/>
              </w:rPr>
              <w:t>——</w:t>
            </w:r>
            <w:r>
              <w:rPr>
                <w:color w:val="auto"/>
                <w:szCs w:val="21"/>
              </w:rPr>
              <w:t>由点声源产生的倍频带声功率级，dB；</w:t>
            </w:r>
          </w:p>
          <w:p>
            <w:pPr>
              <w:widowControl/>
              <w:spacing w:line="360" w:lineRule="auto"/>
              <w:ind w:firstLine="630" w:firstLineChars="300"/>
              <w:rPr>
                <w:color w:val="auto"/>
                <w:szCs w:val="20"/>
              </w:rPr>
            </w:pPr>
            <w:r>
              <w:rPr>
                <w:color w:val="auto"/>
                <w:szCs w:val="21"/>
              </w:rPr>
              <w:t xml:space="preserve">r </w:t>
            </w:r>
            <w:r>
              <w:rPr>
                <w:rFonts w:hint="eastAsia"/>
                <w:color w:val="auto"/>
                <w:szCs w:val="21"/>
              </w:rPr>
              <w:t>——</w:t>
            </w:r>
            <w:r>
              <w:rPr>
                <w:color w:val="auto"/>
                <w:szCs w:val="21"/>
              </w:rPr>
              <w:t>预测点距声源的距离。</w:t>
            </w:r>
          </w:p>
          <w:p>
            <w:pPr>
              <w:widowControl/>
              <w:spacing w:line="360" w:lineRule="auto"/>
              <w:ind w:firstLine="420" w:firstLineChars="200"/>
              <w:rPr>
                <w:color w:val="auto"/>
              </w:rPr>
            </w:pPr>
            <w:r>
              <w:rPr>
                <w:color w:val="auto"/>
              </w:rPr>
              <w:t>计算出所有相同设备在室内边界的i倍频带叠加声压级，如下：</w:t>
            </w:r>
          </w:p>
          <w:p>
            <w:pPr>
              <w:widowControl/>
              <w:spacing w:line="360" w:lineRule="auto"/>
              <w:ind w:firstLine="420" w:firstLineChars="200"/>
              <w:rPr>
                <w:color w:val="auto"/>
                <w:szCs w:val="20"/>
              </w:rPr>
            </w:pPr>
            <m:oMathPara>
              <m:oMath>
                <m:sSub>
                  <m:sSubPr>
                    <m:ctrlPr>
                      <w:rPr>
                        <w:rFonts w:ascii="Cambria Math" w:hAnsi="Cambria Math"/>
                        <w:i/>
                        <w:color w:val="auto"/>
                        <w:szCs w:val="20"/>
                      </w:rPr>
                    </m:ctrlPr>
                  </m:sSubPr>
                  <m:e>
                    <m:r>
                      <m:rPr>
                        <m:nor/>
                      </m:rPr>
                      <w:rPr>
                        <w:i/>
                        <w:color w:val="auto"/>
                        <w:szCs w:val="20"/>
                      </w:rPr>
                      <m:t>L</m:t>
                    </m:r>
                    <m:ctrlPr>
                      <w:rPr>
                        <w:rFonts w:ascii="Cambria Math" w:hAnsi="Cambria Math"/>
                        <w:i/>
                        <w:color w:val="auto"/>
                        <w:szCs w:val="20"/>
                      </w:rPr>
                    </m:ctrlPr>
                  </m:e>
                  <m:sub>
                    <m:r>
                      <m:rPr>
                        <m:nor/>
                      </m:rPr>
                      <w:rPr>
                        <w:i/>
                        <w:color w:val="auto"/>
                        <w:szCs w:val="20"/>
                      </w:rPr>
                      <m:t>p</m:t>
                    </m:r>
                    <m:ctrlPr>
                      <w:rPr>
                        <w:rFonts w:ascii="Cambria Math" w:hAnsi="Cambria Math"/>
                        <w:i/>
                        <w:color w:val="auto"/>
                        <w:szCs w:val="20"/>
                      </w:rPr>
                    </m:ctrlPr>
                  </m:sub>
                </m:sSub>
                <m:r>
                  <m:rPr>
                    <m:nor/>
                    <m:sty m:val="p"/>
                  </m:rPr>
                  <w:rPr>
                    <w:b w:val="0"/>
                    <w:i w:val="0"/>
                    <w:color w:val="auto"/>
                    <w:szCs w:val="20"/>
                  </w:rPr>
                  <m:t>(</m:t>
                </m:r>
                <m:r>
                  <m:rPr>
                    <m:nor/>
                  </m:rPr>
                  <w:rPr>
                    <w:i/>
                    <w:color w:val="auto"/>
                    <w:szCs w:val="20"/>
                  </w:rPr>
                  <m:t>T</m:t>
                </m:r>
                <m:r>
                  <m:rPr>
                    <m:nor/>
                    <m:sty m:val="p"/>
                  </m:rPr>
                  <w:rPr>
                    <w:b w:val="0"/>
                    <w:i w:val="0"/>
                    <w:color w:val="auto"/>
                    <w:szCs w:val="20"/>
                  </w:rPr>
                  <m:t>)=10lg</m:t>
                </m:r>
                <m:d>
                  <m:dPr>
                    <m:begChr m:val="["/>
                    <m:endChr m:val="]"/>
                    <m:ctrlPr>
                      <w:rPr>
                        <w:rFonts w:ascii="Cambria Math" w:hAnsi="Cambria Math"/>
                        <w:color w:val="auto"/>
                        <w:szCs w:val="20"/>
                      </w:rPr>
                    </m:ctrlPr>
                  </m:dPr>
                  <m:e>
                    <m:nary>
                      <m:naryPr>
                        <m:chr m:val="∑"/>
                        <m:limLoc m:val="undOvr"/>
                        <m:ctrlPr>
                          <w:rPr>
                            <w:rFonts w:ascii="Cambria Math" w:hAnsi="Cambria Math"/>
                            <w:color w:val="auto"/>
                            <w:szCs w:val="20"/>
                          </w:rPr>
                        </m:ctrlPr>
                      </m:naryPr>
                      <m:sub>
                        <m:r>
                          <m:rPr>
                            <m:nor/>
                            <m:sty m:val="p"/>
                          </m:rPr>
                          <w:rPr>
                            <w:b w:val="0"/>
                            <w:i w:val="0"/>
                            <w:color w:val="auto"/>
                            <w:szCs w:val="20"/>
                          </w:rPr>
                          <m:t>j=1</m:t>
                        </m:r>
                        <m:ctrlPr>
                          <w:rPr>
                            <w:rFonts w:ascii="Cambria Math" w:hAnsi="Cambria Math"/>
                            <w:color w:val="auto"/>
                            <w:szCs w:val="20"/>
                          </w:rPr>
                        </m:ctrlPr>
                      </m:sub>
                      <m:sup>
                        <m:r>
                          <m:rPr>
                            <m:nor/>
                            <m:sty m:val="p"/>
                          </m:rPr>
                          <w:rPr>
                            <w:b w:val="0"/>
                            <w:i w:val="0"/>
                            <w:color w:val="auto"/>
                            <w:szCs w:val="20"/>
                          </w:rPr>
                          <m:t>N</m:t>
                        </m:r>
                        <m:ctrlPr>
                          <w:rPr>
                            <w:rFonts w:ascii="Cambria Math" w:hAnsi="Cambria Math"/>
                            <w:color w:val="auto"/>
                            <w:szCs w:val="20"/>
                          </w:rPr>
                        </m:ctrlPr>
                      </m:sup>
                      <m:e>
                        <m:sSup>
                          <m:sSupPr>
                            <m:ctrlPr>
                              <w:rPr>
                                <w:rFonts w:ascii="Cambria Math" w:hAnsi="Cambria Math"/>
                                <w:color w:val="auto"/>
                                <w:szCs w:val="20"/>
                              </w:rPr>
                            </m:ctrlPr>
                          </m:sSupPr>
                          <m:e>
                            <m:r>
                              <m:rPr>
                                <m:nor/>
                                <m:sty m:val="p"/>
                              </m:rPr>
                              <w:rPr>
                                <w:b w:val="0"/>
                                <w:i w:val="0"/>
                                <w:color w:val="auto"/>
                                <w:szCs w:val="20"/>
                              </w:rPr>
                              <m:t>10</m:t>
                            </m:r>
                            <m:ctrlPr>
                              <w:rPr>
                                <w:rFonts w:ascii="Cambria Math" w:hAnsi="Cambria Math"/>
                                <w:color w:val="auto"/>
                                <w:szCs w:val="20"/>
                              </w:rPr>
                            </m:ctrlPr>
                          </m:e>
                          <m:sup>
                            <m:r>
                              <m:rPr>
                                <m:nor/>
                                <m:sty m:val="p"/>
                              </m:rPr>
                              <w:rPr>
                                <w:b w:val="0"/>
                                <w:i w:val="0"/>
                                <w:color w:val="auto"/>
                                <w:szCs w:val="20"/>
                              </w:rPr>
                              <m:t>0.1</m:t>
                            </m:r>
                            <m:sSub>
                              <m:sSubPr>
                                <m:ctrlPr>
                                  <w:rPr>
                                    <w:rFonts w:ascii="Cambria Math" w:hAnsi="Cambria Math"/>
                                    <w:color w:val="auto"/>
                                    <w:szCs w:val="20"/>
                                  </w:rPr>
                                </m:ctrlPr>
                              </m:sSubPr>
                              <m:e>
                                <m:r>
                                  <m:rPr>
                                    <m:nor/>
                                    <m:sty m:val="p"/>
                                  </m:rPr>
                                  <w:rPr>
                                    <w:b w:val="0"/>
                                    <w:i w:val="0"/>
                                    <w:color w:val="auto"/>
                                    <w:szCs w:val="20"/>
                                  </w:rPr>
                                  <m:t>L</m:t>
                                </m:r>
                                <m:ctrlPr>
                                  <w:rPr>
                                    <w:rFonts w:ascii="Cambria Math" w:hAnsi="Cambria Math"/>
                                    <w:color w:val="auto"/>
                                    <w:szCs w:val="20"/>
                                  </w:rPr>
                                </m:ctrlPr>
                              </m:e>
                              <m:sub>
                                <m:r>
                                  <m:rPr>
                                    <m:nor/>
                                    <m:sty m:val="p"/>
                                  </m:rPr>
                                  <w:rPr>
                                    <w:b w:val="0"/>
                                    <w:i w:val="0"/>
                                    <w:color w:val="auto"/>
                                    <w:szCs w:val="20"/>
                                  </w:rPr>
                                  <m:t>P</m:t>
                                </m:r>
                                <m:ctrlPr>
                                  <w:rPr>
                                    <w:rFonts w:ascii="Cambria Math" w:hAnsi="Cambria Math"/>
                                    <w:color w:val="auto"/>
                                    <w:szCs w:val="20"/>
                                  </w:rPr>
                                </m:ctrlPr>
                              </m:sub>
                            </m:sSub>
                            <m:ctrlPr>
                              <w:rPr>
                                <w:rFonts w:ascii="Cambria Math" w:hAnsi="Cambria Math"/>
                                <w:color w:val="auto"/>
                                <w:szCs w:val="20"/>
                              </w:rPr>
                            </m:ctrlPr>
                          </m:sup>
                        </m:sSup>
                        <m:ctrlPr>
                          <w:rPr>
                            <w:rFonts w:ascii="Cambria Math" w:hAnsi="Cambria Math"/>
                            <w:color w:val="auto"/>
                            <w:szCs w:val="20"/>
                          </w:rPr>
                        </m:ctrlPr>
                      </m:e>
                    </m:nary>
                    <m:ctrlPr>
                      <w:rPr>
                        <w:rFonts w:ascii="Cambria Math" w:hAnsi="Cambria Math"/>
                        <w:color w:val="auto"/>
                        <w:szCs w:val="20"/>
                      </w:rPr>
                    </m:ctrlPr>
                  </m:e>
                </m:d>
              </m:oMath>
            </m:oMathPara>
          </w:p>
          <w:p>
            <w:pPr>
              <w:keepNext w:val="0"/>
              <w:keepLines w:val="0"/>
              <w:pageBreakBefore w:val="0"/>
              <w:widowControl/>
              <w:kinsoku/>
              <w:wordWrap/>
              <w:overflowPunct/>
              <w:topLinePunct w:val="0"/>
              <w:autoSpaceDE/>
              <w:autoSpaceDN/>
              <w:bidi w:val="0"/>
              <w:adjustRightInd/>
              <w:snapToGrid/>
              <w:spacing w:line="336" w:lineRule="auto"/>
              <w:textAlignment w:val="auto"/>
              <w:rPr>
                <w:color w:val="auto"/>
                <w:szCs w:val="21"/>
              </w:rPr>
            </w:pPr>
            <w:r>
              <w:rPr>
                <w:color w:val="auto"/>
                <w:szCs w:val="21"/>
              </w:rPr>
              <w:t>式中：L</w:t>
            </w:r>
            <w:r>
              <w:rPr>
                <w:color w:val="auto"/>
                <w:szCs w:val="21"/>
                <w:vertAlign w:val="subscript"/>
              </w:rPr>
              <w:t>p</w:t>
            </w:r>
            <w:r>
              <w:rPr>
                <w:color w:val="auto"/>
                <w:szCs w:val="21"/>
              </w:rPr>
              <w:t>(</w:t>
            </w:r>
            <w:r>
              <w:rPr>
                <w:rFonts w:hint="eastAsia"/>
                <w:color w:val="auto"/>
                <w:szCs w:val="21"/>
              </w:rPr>
              <w:t>T</w:t>
            </w:r>
            <w:r>
              <w:rPr>
                <w:color w:val="auto"/>
                <w:szCs w:val="21"/>
              </w:rPr>
              <w:t>)</w:t>
            </w:r>
            <w:r>
              <w:rPr>
                <w:rFonts w:hint="eastAsia"/>
                <w:color w:val="auto"/>
                <w:szCs w:val="21"/>
              </w:rPr>
              <w:t xml:space="preserve"> ——</w:t>
            </w:r>
            <w:r>
              <w:rPr>
                <w:color w:val="auto"/>
                <w:szCs w:val="21"/>
              </w:rPr>
              <w:t>靠近围护结构处室内N个声源i倍频带的叠加声压级，dB；</w:t>
            </w:r>
          </w:p>
          <w:p>
            <w:pPr>
              <w:keepNext w:val="0"/>
              <w:keepLines w:val="0"/>
              <w:pageBreakBefore w:val="0"/>
              <w:widowControl/>
              <w:kinsoku/>
              <w:wordWrap/>
              <w:overflowPunct/>
              <w:topLinePunct w:val="0"/>
              <w:autoSpaceDE/>
              <w:autoSpaceDN/>
              <w:bidi w:val="0"/>
              <w:adjustRightInd/>
              <w:snapToGrid/>
              <w:spacing w:line="336" w:lineRule="auto"/>
              <w:ind w:firstLine="630" w:firstLineChars="300"/>
              <w:textAlignment w:val="auto"/>
              <w:rPr>
                <w:color w:val="auto"/>
                <w:szCs w:val="21"/>
              </w:rPr>
            </w:pPr>
            <w:r>
              <w:rPr>
                <w:color w:val="auto"/>
                <w:szCs w:val="21"/>
              </w:rPr>
              <w:t>L</w:t>
            </w:r>
            <w:r>
              <w:rPr>
                <w:rFonts w:hint="eastAsia"/>
                <w:color w:val="auto"/>
                <w:szCs w:val="21"/>
                <w:vertAlign w:val="subscript"/>
              </w:rPr>
              <w:t xml:space="preserve">p </w:t>
            </w:r>
            <w:r>
              <w:rPr>
                <w:rFonts w:hint="eastAsia"/>
                <w:color w:val="auto"/>
                <w:szCs w:val="21"/>
              </w:rPr>
              <w:t>——</w:t>
            </w:r>
            <w:r>
              <w:rPr>
                <w:color w:val="auto"/>
                <w:szCs w:val="21"/>
              </w:rPr>
              <w:t>室内j声源i倍频带的声压级，dB；</w:t>
            </w:r>
          </w:p>
          <w:p>
            <w:pPr>
              <w:keepNext w:val="0"/>
              <w:keepLines w:val="0"/>
              <w:pageBreakBefore w:val="0"/>
              <w:widowControl/>
              <w:kinsoku/>
              <w:wordWrap/>
              <w:overflowPunct/>
              <w:topLinePunct w:val="0"/>
              <w:autoSpaceDE/>
              <w:autoSpaceDN/>
              <w:bidi w:val="0"/>
              <w:adjustRightInd/>
              <w:snapToGrid/>
              <w:spacing w:line="336" w:lineRule="auto"/>
              <w:ind w:firstLine="630" w:firstLineChars="300"/>
              <w:textAlignment w:val="auto"/>
              <w:rPr>
                <w:color w:val="auto"/>
                <w:szCs w:val="20"/>
              </w:rPr>
            </w:pPr>
            <w:r>
              <w:rPr>
                <w:rFonts w:hint="eastAsia"/>
                <w:color w:val="auto"/>
                <w:szCs w:val="21"/>
              </w:rPr>
              <w:t>N</w:t>
            </w:r>
            <w:r>
              <w:rPr>
                <w:color w:val="auto"/>
                <w:szCs w:val="21"/>
              </w:rPr>
              <w:t xml:space="preserve"> </w:t>
            </w:r>
            <w:r>
              <w:rPr>
                <w:rFonts w:hint="eastAsia"/>
                <w:color w:val="auto"/>
                <w:szCs w:val="21"/>
              </w:rPr>
              <w:t>——室内声源总数</w:t>
            </w:r>
            <w:r>
              <w:rPr>
                <w:color w:val="auto"/>
                <w:szCs w:val="21"/>
              </w:rPr>
              <w:t>。</w:t>
            </w:r>
          </w:p>
          <w:p>
            <w:pPr>
              <w:keepNext w:val="0"/>
              <w:keepLines w:val="0"/>
              <w:pageBreakBefore w:val="0"/>
              <w:widowControl/>
              <w:kinsoku/>
              <w:wordWrap/>
              <w:overflowPunct/>
              <w:topLinePunct w:val="0"/>
              <w:autoSpaceDE/>
              <w:autoSpaceDN/>
              <w:bidi w:val="0"/>
              <w:adjustRightInd/>
              <w:snapToGrid/>
              <w:spacing w:line="336" w:lineRule="auto"/>
              <w:ind w:firstLine="420" w:firstLineChars="200"/>
              <w:textAlignment w:val="auto"/>
              <w:rPr>
                <w:color w:val="auto"/>
              </w:rPr>
            </w:pPr>
            <w:r>
              <w:rPr>
                <w:rFonts w:hint="eastAsia"/>
                <w:color w:val="auto"/>
              </w:rPr>
              <w:t>室内声源可采用室内声源等效室外声源声功率级计算方法进行折算，其中隔墙参考《机械工业环境保护设计规范》（GB 50894—2013），砖混结构等重型隔声间的隔声量一般为40~50dB(A)，本次评价取40dB(A)：</w:t>
            </w:r>
          </w:p>
          <w:p>
            <w:pPr>
              <w:spacing w:line="360" w:lineRule="auto"/>
              <w:jc w:val="center"/>
              <w:rPr>
                <w:color w:val="auto"/>
              </w:rPr>
            </w:pPr>
            <w:r>
              <w:rPr>
                <w:color w:val="auto"/>
              </w:rPr>
              <w:drawing>
                <wp:inline distT="0" distB="0" distL="114300" distR="114300">
                  <wp:extent cx="3105150" cy="150495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8"/>
                          <a:stretch>
                            <a:fillRect/>
                          </a:stretch>
                        </pic:blipFill>
                        <pic:spPr>
                          <a:xfrm>
                            <a:off x="0" y="0"/>
                            <a:ext cx="3105150" cy="1504950"/>
                          </a:xfrm>
                          <a:prstGeom prst="rect">
                            <a:avLst/>
                          </a:prstGeom>
                          <a:noFill/>
                          <a:ln>
                            <a:noFill/>
                          </a:ln>
                        </pic:spPr>
                      </pic:pic>
                    </a:graphicData>
                  </a:graphic>
                </wp:inline>
              </w:drawing>
            </w:r>
          </w:p>
          <w:p>
            <w:pPr>
              <w:keepNext w:val="0"/>
              <w:keepLines w:val="0"/>
              <w:pageBreakBefore w:val="0"/>
              <w:widowControl/>
              <w:kinsoku/>
              <w:wordWrap/>
              <w:overflowPunct/>
              <w:topLinePunct w:val="0"/>
              <w:autoSpaceDE/>
              <w:autoSpaceDN/>
              <w:bidi w:val="0"/>
              <w:adjustRightInd/>
              <w:snapToGrid/>
              <w:spacing w:line="336" w:lineRule="auto"/>
              <w:ind w:firstLine="420" w:firstLineChars="200"/>
              <w:jc w:val="center"/>
              <w:textAlignment w:val="auto"/>
              <w:rPr>
                <w:color w:val="auto"/>
                <w:szCs w:val="20"/>
              </w:rPr>
            </w:pPr>
            <w:r>
              <w:rPr>
                <w:rFonts w:hint="eastAsia"/>
                <w:color w:val="auto"/>
                <w:szCs w:val="20"/>
              </w:rPr>
              <w:t>L</w:t>
            </w:r>
            <w:r>
              <w:rPr>
                <w:rFonts w:hint="eastAsia"/>
                <w:color w:val="auto"/>
                <w:szCs w:val="20"/>
                <w:vertAlign w:val="subscript"/>
              </w:rPr>
              <w:t>p2</w:t>
            </w:r>
            <w:r>
              <w:rPr>
                <w:rFonts w:hint="eastAsia"/>
                <w:color w:val="auto"/>
                <w:szCs w:val="20"/>
              </w:rPr>
              <w:t>=L</w:t>
            </w:r>
            <w:r>
              <w:rPr>
                <w:rFonts w:hint="eastAsia"/>
                <w:color w:val="auto"/>
                <w:szCs w:val="20"/>
                <w:vertAlign w:val="subscript"/>
              </w:rPr>
              <w:t>p1</w:t>
            </w:r>
            <w:r>
              <w:rPr>
                <w:rFonts w:hint="eastAsia"/>
                <w:color w:val="auto"/>
                <w:szCs w:val="20"/>
              </w:rPr>
              <w:t>-(TL+6)</w:t>
            </w:r>
          </w:p>
          <w:p>
            <w:pPr>
              <w:keepNext w:val="0"/>
              <w:keepLines w:val="0"/>
              <w:pageBreakBefore w:val="0"/>
              <w:widowControl/>
              <w:kinsoku/>
              <w:wordWrap/>
              <w:overflowPunct/>
              <w:topLinePunct w:val="0"/>
              <w:autoSpaceDE/>
              <w:autoSpaceDN/>
              <w:bidi w:val="0"/>
              <w:adjustRightInd/>
              <w:snapToGrid/>
              <w:spacing w:line="336" w:lineRule="auto"/>
              <w:ind w:firstLine="420" w:firstLineChars="200"/>
              <w:textAlignment w:val="auto"/>
              <w:rPr>
                <w:color w:val="auto"/>
              </w:rPr>
            </w:pPr>
            <w:r>
              <w:rPr>
                <w:color w:val="auto"/>
              </w:rPr>
              <w:t>式中：L</w:t>
            </w:r>
            <w:r>
              <w:rPr>
                <w:color w:val="auto"/>
                <w:vertAlign w:val="subscript"/>
              </w:rPr>
              <w:t>p1</w:t>
            </w:r>
            <w:r>
              <w:rPr>
                <w:color w:val="auto"/>
              </w:rPr>
              <w:t xml:space="preserve"> ——室内声压级，dB；</w:t>
            </w:r>
          </w:p>
          <w:p>
            <w:pPr>
              <w:keepNext w:val="0"/>
              <w:keepLines w:val="0"/>
              <w:pageBreakBefore w:val="0"/>
              <w:widowControl/>
              <w:kinsoku/>
              <w:wordWrap/>
              <w:overflowPunct/>
              <w:topLinePunct w:val="0"/>
              <w:autoSpaceDE/>
              <w:autoSpaceDN/>
              <w:bidi w:val="0"/>
              <w:adjustRightInd/>
              <w:snapToGrid/>
              <w:spacing w:line="336" w:lineRule="auto"/>
              <w:ind w:firstLine="1050" w:firstLineChars="500"/>
              <w:textAlignment w:val="auto"/>
              <w:rPr>
                <w:color w:val="auto"/>
              </w:rPr>
            </w:pPr>
            <w:r>
              <w:rPr>
                <w:color w:val="auto"/>
              </w:rPr>
              <w:t>TL ——隔墙（或窗户）的传输损失，dB；</w:t>
            </w:r>
          </w:p>
          <w:p>
            <w:pPr>
              <w:keepNext w:val="0"/>
              <w:keepLines w:val="0"/>
              <w:pageBreakBefore w:val="0"/>
              <w:widowControl/>
              <w:kinsoku/>
              <w:wordWrap/>
              <w:overflowPunct/>
              <w:topLinePunct w:val="0"/>
              <w:autoSpaceDE/>
              <w:autoSpaceDN/>
              <w:bidi w:val="0"/>
              <w:adjustRightInd/>
              <w:snapToGrid/>
              <w:spacing w:line="336" w:lineRule="auto"/>
              <w:ind w:firstLine="1050" w:firstLineChars="500"/>
              <w:textAlignment w:val="auto"/>
              <w:rPr>
                <w:color w:val="auto"/>
              </w:rPr>
            </w:pPr>
            <w:r>
              <w:rPr>
                <w:color w:val="auto"/>
              </w:rPr>
              <w:t>L</w:t>
            </w:r>
            <w:r>
              <w:rPr>
                <w:color w:val="auto"/>
                <w:vertAlign w:val="subscript"/>
              </w:rPr>
              <w:t>p2</w:t>
            </w:r>
            <w:r>
              <w:rPr>
                <w:color w:val="auto"/>
              </w:rPr>
              <w:t xml:space="preserve"> ——室外声压级，dB。</w:t>
            </w:r>
          </w:p>
          <w:p>
            <w:pPr>
              <w:keepNext w:val="0"/>
              <w:keepLines w:val="0"/>
              <w:pageBreakBefore w:val="0"/>
              <w:widowControl/>
              <w:kinsoku/>
              <w:wordWrap/>
              <w:overflowPunct/>
              <w:topLinePunct w:val="0"/>
              <w:autoSpaceDE/>
              <w:autoSpaceDN/>
              <w:bidi w:val="0"/>
              <w:adjustRightInd/>
              <w:snapToGrid/>
              <w:spacing w:line="336" w:lineRule="auto"/>
              <w:ind w:firstLine="420" w:firstLineChars="200"/>
              <w:textAlignment w:val="auto"/>
              <w:rPr>
                <w:color w:val="auto"/>
              </w:rPr>
            </w:pPr>
            <w:r>
              <w:rPr>
                <w:color w:val="auto"/>
              </w:rPr>
              <w:t>基于上述预测模式，对</w:t>
            </w:r>
            <w:r>
              <w:rPr>
                <w:rFonts w:hint="eastAsia"/>
                <w:color w:val="auto"/>
              </w:rPr>
              <w:t>本次扩建</w:t>
            </w:r>
            <w:r>
              <w:rPr>
                <w:color w:val="auto"/>
              </w:rPr>
              <w:t>项目</w:t>
            </w:r>
            <w:r>
              <w:rPr>
                <w:rFonts w:hint="eastAsia"/>
                <w:color w:val="auto"/>
              </w:rPr>
              <w:t>新增</w:t>
            </w:r>
            <w:r>
              <w:rPr>
                <w:color w:val="auto"/>
              </w:rPr>
              <w:t>噪声源进行了预测点噪声贡献值的计算，如下</w:t>
            </w:r>
            <w:r>
              <w:rPr>
                <w:rFonts w:hint="eastAsia"/>
                <w:color w:val="auto"/>
              </w:rPr>
              <w:t>：</w:t>
            </w:r>
          </w:p>
          <w:p>
            <w:pPr>
              <w:widowControl/>
              <w:spacing w:line="360" w:lineRule="auto"/>
              <w:rPr>
                <w:color w:val="auto"/>
              </w:rPr>
            </w:pPr>
          </w:p>
        </w:tc>
      </w:tr>
    </w:tbl>
    <w:p>
      <w:pPr>
        <w:pStyle w:val="15"/>
        <w:adjustRightInd w:val="0"/>
        <w:snapToGrid w:val="0"/>
        <w:jc w:val="center"/>
        <w:outlineLvl w:val="0"/>
        <w:rPr>
          <w:rFonts w:ascii="Times New Roman" w:hAnsi="Times New Roman" w:eastAsia="黑体"/>
          <w:snapToGrid w:val="0"/>
          <w:sz w:val="30"/>
          <w:szCs w:val="30"/>
        </w:rPr>
        <w:sectPr>
          <w:pgSz w:w="11906" w:h="16838"/>
          <w:pgMar w:top="1247" w:right="1531" w:bottom="1247" w:left="1531"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62" w:name="_Toc178015659"/>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2"/>
        <w:gridCol w:w="137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pPr>
              <w:adjustRightInd w:val="0"/>
              <w:snapToGrid w:val="0"/>
              <w:jc w:val="center"/>
              <w:rPr>
                <w:bCs/>
                <w:szCs w:val="21"/>
              </w:rPr>
            </w:pPr>
            <w:r>
              <w:rPr>
                <w:bCs/>
                <w:szCs w:val="21"/>
              </w:rPr>
              <w:t>运营</w:t>
            </w:r>
          </w:p>
          <w:p>
            <w:pPr>
              <w:adjustRightInd w:val="0"/>
              <w:snapToGrid w:val="0"/>
              <w:jc w:val="center"/>
              <w:rPr>
                <w:bCs/>
                <w:szCs w:val="21"/>
              </w:rPr>
            </w:pPr>
            <w:r>
              <w:rPr>
                <w:bCs/>
                <w:szCs w:val="21"/>
              </w:rPr>
              <w:t>期环</w:t>
            </w:r>
          </w:p>
          <w:p>
            <w:pPr>
              <w:adjustRightInd w:val="0"/>
              <w:snapToGrid w:val="0"/>
              <w:jc w:val="center"/>
              <w:rPr>
                <w:bCs/>
                <w:szCs w:val="21"/>
              </w:rPr>
            </w:pPr>
            <w:r>
              <w:rPr>
                <w:bCs/>
                <w:szCs w:val="21"/>
              </w:rPr>
              <w:t>境影</w:t>
            </w:r>
          </w:p>
          <w:p>
            <w:pPr>
              <w:adjustRightInd w:val="0"/>
              <w:snapToGrid w:val="0"/>
              <w:jc w:val="center"/>
              <w:rPr>
                <w:bCs/>
                <w:szCs w:val="21"/>
              </w:rPr>
            </w:pPr>
            <w:r>
              <w:rPr>
                <w:bCs/>
                <w:szCs w:val="21"/>
              </w:rPr>
              <w:t>响和</w:t>
            </w:r>
          </w:p>
          <w:p>
            <w:pPr>
              <w:adjustRightInd w:val="0"/>
              <w:snapToGrid w:val="0"/>
              <w:jc w:val="center"/>
              <w:rPr>
                <w:bCs/>
                <w:szCs w:val="21"/>
              </w:rPr>
            </w:pPr>
            <w:r>
              <w:rPr>
                <w:bCs/>
                <w:szCs w:val="21"/>
              </w:rPr>
              <w:t>保护</w:t>
            </w:r>
          </w:p>
          <w:p>
            <w:pPr>
              <w:adjustRightInd w:val="0"/>
              <w:snapToGrid w:val="0"/>
              <w:jc w:val="center"/>
              <w:rPr>
                <w:rFonts w:ascii="Times New Roman" w:hAnsi="Times New Roman" w:eastAsia="黑体"/>
                <w:snapToGrid w:val="0"/>
                <w:sz w:val="30"/>
                <w:szCs w:val="30"/>
                <w:vertAlign w:val="baseline"/>
              </w:rPr>
            </w:pPr>
            <w:r>
              <w:rPr>
                <w:bCs/>
                <w:szCs w:val="21"/>
              </w:rPr>
              <w:t>措施</w:t>
            </w:r>
          </w:p>
        </w:tc>
        <w:tc>
          <w:tcPr>
            <w:tcW w:w="13710" w:type="dxa"/>
          </w:tcPr>
          <w:p>
            <w:pPr>
              <w:spacing w:before="194" w:beforeLines="50"/>
              <w:jc w:val="center"/>
              <w:outlineLvl w:val="5"/>
              <w:rPr>
                <w:rFonts w:hint="eastAsia"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表4-27  室内声源折算室外声源</w:t>
            </w:r>
          </w:p>
          <w:tbl>
            <w:tblPr>
              <w:tblStyle w:val="20"/>
              <w:tblW w:w="475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7"/>
              <w:gridCol w:w="637"/>
              <w:gridCol w:w="1220"/>
              <w:gridCol w:w="979"/>
              <w:gridCol w:w="1233"/>
              <w:gridCol w:w="635"/>
              <w:gridCol w:w="856"/>
              <w:gridCol w:w="714"/>
              <w:gridCol w:w="938"/>
              <w:gridCol w:w="1028"/>
              <w:gridCol w:w="933"/>
              <w:gridCol w:w="971"/>
              <w:gridCol w:w="1143"/>
              <w:gridCol w:w="9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248" w:type="pct"/>
                  <w:vMerge w:val="restart"/>
                  <w:vAlign w:val="center"/>
                </w:tcPr>
                <w:p>
                  <w:pPr>
                    <w:widowControl/>
                    <w:snapToGrid w:val="0"/>
                    <w:spacing w:line="216" w:lineRule="auto"/>
                    <w:jc w:val="center"/>
                    <w:textAlignment w:val="center"/>
                    <w:rPr>
                      <w:sz w:val="18"/>
                      <w:szCs w:val="18"/>
                    </w:rPr>
                  </w:pPr>
                  <w:r>
                    <w:rPr>
                      <w:rStyle w:val="54"/>
                      <w:rFonts w:hint="default" w:ascii="Times New Roman" w:hAnsi="Times New Roman" w:cs="Times New Roman"/>
                      <w:sz w:val="18"/>
                      <w:szCs w:val="18"/>
                      <w:lang w:bidi="ar"/>
                    </w:rPr>
                    <w:t>序号</w:t>
                  </w:r>
                </w:p>
              </w:tc>
              <w:tc>
                <w:tcPr>
                  <w:tcW w:w="248" w:type="pct"/>
                  <w:vMerge w:val="restart"/>
                  <w:vAlign w:val="center"/>
                </w:tcPr>
                <w:p>
                  <w:pPr>
                    <w:widowControl/>
                    <w:snapToGrid w:val="0"/>
                    <w:spacing w:line="216" w:lineRule="auto"/>
                    <w:jc w:val="center"/>
                    <w:textAlignment w:val="center"/>
                    <w:rPr>
                      <w:sz w:val="18"/>
                      <w:szCs w:val="18"/>
                    </w:rPr>
                  </w:pPr>
                  <w:r>
                    <w:rPr>
                      <w:rStyle w:val="55"/>
                      <w:rFonts w:hint="default" w:ascii="Times New Roman" w:hAnsi="Times New Roman" w:cs="Times New Roman"/>
                      <w:sz w:val="18"/>
                      <w:szCs w:val="18"/>
                      <w:lang w:bidi="ar"/>
                    </w:rPr>
                    <w:t>位置</w:t>
                  </w:r>
                </w:p>
              </w:tc>
              <w:tc>
                <w:tcPr>
                  <w:tcW w:w="475" w:type="pct"/>
                  <w:vMerge w:val="restart"/>
                  <w:vAlign w:val="center"/>
                </w:tcPr>
                <w:p>
                  <w:pPr>
                    <w:widowControl/>
                    <w:snapToGrid w:val="0"/>
                    <w:spacing w:line="216" w:lineRule="auto"/>
                    <w:jc w:val="center"/>
                    <w:textAlignment w:val="center"/>
                    <w:rPr>
                      <w:rStyle w:val="55"/>
                      <w:rFonts w:hint="default" w:ascii="Times New Roman" w:hAnsi="Times New Roman" w:cs="Times New Roman"/>
                      <w:sz w:val="18"/>
                      <w:szCs w:val="18"/>
                      <w:lang w:bidi="ar"/>
                    </w:rPr>
                  </w:pPr>
                  <w:r>
                    <w:rPr>
                      <w:rStyle w:val="55"/>
                      <w:rFonts w:hint="default" w:ascii="Times New Roman" w:hAnsi="Times New Roman" w:cs="Times New Roman"/>
                      <w:sz w:val="18"/>
                      <w:szCs w:val="18"/>
                      <w:lang w:bidi="ar"/>
                    </w:rPr>
                    <w:t>设备数量</w:t>
                  </w:r>
                </w:p>
                <w:p>
                  <w:pPr>
                    <w:widowControl/>
                    <w:snapToGrid w:val="0"/>
                    <w:spacing w:line="216" w:lineRule="auto"/>
                    <w:jc w:val="center"/>
                    <w:textAlignment w:val="center"/>
                    <w:rPr>
                      <w:sz w:val="18"/>
                      <w:szCs w:val="18"/>
                    </w:rPr>
                  </w:pPr>
                  <w:r>
                    <w:rPr>
                      <w:rStyle w:val="55"/>
                      <w:rFonts w:hint="default" w:ascii="Times New Roman" w:hAnsi="Times New Roman" w:cs="Times New Roman"/>
                      <w:sz w:val="18"/>
                      <w:szCs w:val="18"/>
                      <w:lang w:bidi="ar"/>
                    </w:rPr>
                    <w:t>（台）</w:t>
                  </w:r>
                </w:p>
              </w:tc>
              <w:tc>
                <w:tcPr>
                  <w:tcW w:w="381" w:type="pct"/>
                  <w:vMerge w:val="restart"/>
                  <w:vAlign w:val="center"/>
                </w:tcPr>
                <w:p>
                  <w:pPr>
                    <w:widowControl/>
                    <w:snapToGrid w:val="0"/>
                    <w:spacing w:line="216" w:lineRule="auto"/>
                    <w:jc w:val="center"/>
                    <w:textAlignment w:val="center"/>
                    <w:rPr>
                      <w:sz w:val="18"/>
                      <w:szCs w:val="18"/>
                    </w:rPr>
                  </w:pPr>
                  <w:r>
                    <w:rPr>
                      <w:rStyle w:val="55"/>
                      <w:rFonts w:hint="default" w:ascii="Times New Roman" w:hAnsi="Times New Roman" w:cs="Times New Roman"/>
                      <w:sz w:val="18"/>
                      <w:szCs w:val="18"/>
                      <w:lang w:bidi="ar"/>
                    </w:rPr>
                    <w:t>声功率级（dB）</w:t>
                  </w:r>
                </w:p>
              </w:tc>
              <w:tc>
                <w:tcPr>
                  <w:tcW w:w="480" w:type="pct"/>
                  <w:vMerge w:val="restart"/>
                  <w:vAlign w:val="center"/>
                </w:tcPr>
                <w:p>
                  <w:pPr>
                    <w:widowControl/>
                    <w:snapToGrid w:val="0"/>
                    <w:spacing w:line="216" w:lineRule="auto"/>
                    <w:jc w:val="center"/>
                    <w:textAlignment w:val="center"/>
                    <w:rPr>
                      <w:sz w:val="18"/>
                      <w:szCs w:val="18"/>
                    </w:rPr>
                  </w:pPr>
                  <w:r>
                    <w:rPr>
                      <w:rStyle w:val="56"/>
                      <w:rFonts w:hint="default" w:ascii="Times New Roman" w:hAnsi="Times New Roman" w:cs="Times New Roman"/>
                      <w:sz w:val="18"/>
                      <w:szCs w:val="18"/>
                      <w:lang w:bidi="ar"/>
                    </w:rPr>
                    <w:t>降噪措施</w:t>
                  </w:r>
                </w:p>
              </w:tc>
              <w:tc>
                <w:tcPr>
                  <w:tcW w:w="858" w:type="pct"/>
                  <w:gridSpan w:val="3"/>
                  <w:vAlign w:val="center"/>
                </w:tcPr>
                <w:p>
                  <w:pPr>
                    <w:widowControl/>
                    <w:snapToGrid w:val="0"/>
                    <w:spacing w:line="216" w:lineRule="auto"/>
                    <w:jc w:val="center"/>
                    <w:textAlignment w:val="center"/>
                    <w:rPr>
                      <w:rStyle w:val="56"/>
                      <w:rFonts w:hint="default" w:ascii="Times New Roman" w:hAnsi="Times New Roman" w:cs="Times New Roman"/>
                      <w:sz w:val="18"/>
                      <w:szCs w:val="18"/>
                      <w:lang w:bidi="ar"/>
                    </w:rPr>
                  </w:pPr>
                  <w:r>
                    <w:rPr>
                      <w:b/>
                      <w:color w:val="000000"/>
                      <w:kern w:val="0"/>
                      <w:sz w:val="18"/>
                      <w:szCs w:val="18"/>
                      <w:lang w:bidi="ar"/>
                    </w:rPr>
                    <w:t>空间相对位置/m</w:t>
                  </w:r>
                </w:p>
              </w:tc>
              <w:tc>
                <w:tcPr>
                  <w:tcW w:w="365" w:type="pct"/>
                  <w:vMerge w:val="restart"/>
                  <w:vAlign w:val="center"/>
                </w:tcPr>
                <w:p>
                  <w:pPr>
                    <w:widowControl/>
                    <w:snapToGrid w:val="0"/>
                    <w:spacing w:line="216" w:lineRule="auto"/>
                    <w:jc w:val="center"/>
                    <w:textAlignment w:val="center"/>
                    <w:rPr>
                      <w:b/>
                      <w:color w:val="000000"/>
                      <w:kern w:val="0"/>
                      <w:sz w:val="18"/>
                      <w:szCs w:val="18"/>
                      <w:lang w:bidi="ar"/>
                    </w:rPr>
                  </w:pPr>
                  <w:r>
                    <w:rPr>
                      <w:b/>
                      <w:color w:val="000000"/>
                      <w:kern w:val="0"/>
                      <w:sz w:val="18"/>
                      <w:szCs w:val="18"/>
                      <w:lang w:bidi="ar"/>
                    </w:rPr>
                    <w:t>距室内边界距离/m</w:t>
                  </w:r>
                </w:p>
              </w:tc>
              <w:tc>
                <w:tcPr>
                  <w:tcW w:w="400" w:type="pct"/>
                  <w:vMerge w:val="restart"/>
                  <w:vAlign w:val="center"/>
                </w:tcPr>
                <w:p>
                  <w:pPr>
                    <w:widowControl/>
                    <w:snapToGrid w:val="0"/>
                    <w:spacing w:line="216" w:lineRule="auto"/>
                    <w:jc w:val="center"/>
                    <w:textAlignment w:val="center"/>
                    <w:rPr>
                      <w:b/>
                      <w:color w:val="000000"/>
                      <w:kern w:val="0"/>
                      <w:sz w:val="18"/>
                      <w:szCs w:val="18"/>
                      <w:lang w:bidi="ar"/>
                    </w:rPr>
                  </w:pPr>
                  <w:r>
                    <w:rPr>
                      <w:b/>
                      <w:color w:val="000000"/>
                      <w:kern w:val="0"/>
                      <w:sz w:val="18"/>
                      <w:szCs w:val="18"/>
                      <w:lang w:bidi="ar"/>
                    </w:rPr>
                    <w:t>室内边界声级/dB</w:t>
                  </w:r>
                </w:p>
              </w:tc>
              <w:tc>
                <w:tcPr>
                  <w:tcW w:w="363" w:type="pct"/>
                  <w:vMerge w:val="restart"/>
                  <w:vAlign w:val="center"/>
                </w:tcPr>
                <w:p>
                  <w:pPr>
                    <w:widowControl/>
                    <w:snapToGrid w:val="0"/>
                    <w:spacing w:line="216" w:lineRule="auto"/>
                    <w:jc w:val="center"/>
                    <w:textAlignment w:val="center"/>
                    <w:rPr>
                      <w:b/>
                      <w:color w:val="000000"/>
                      <w:kern w:val="0"/>
                      <w:sz w:val="18"/>
                      <w:szCs w:val="18"/>
                      <w:lang w:bidi="ar"/>
                    </w:rPr>
                  </w:pPr>
                  <w:r>
                    <w:rPr>
                      <w:b/>
                      <w:color w:val="000000"/>
                      <w:kern w:val="0"/>
                      <w:sz w:val="18"/>
                      <w:szCs w:val="18"/>
                      <w:lang w:bidi="ar"/>
                    </w:rPr>
                    <w:t>运行时段</w:t>
                  </w:r>
                </w:p>
              </w:tc>
              <w:tc>
                <w:tcPr>
                  <w:tcW w:w="378" w:type="pct"/>
                  <w:vMerge w:val="restart"/>
                  <w:vAlign w:val="center"/>
                </w:tcPr>
                <w:p>
                  <w:pPr>
                    <w:widowControl/>
                    <w:snapToGrid w:val="0"/>
                    <w:spacing w:line="216" w:lineRule="auto"/>
                    <w:jc w:val="center"/>
                    <w:textAlignment w:val="center"/>
                    <w:rPr>
                      <w:b/>
                      <w:color w:val="000000"/>
                      <w:kern w:val="0"/>
                      <w:sz w:val="18"/>
                      <w:szCs w:val="18"/>
                      <w:lang w:bidi="ar"/>
                    </w:rPr>
                  </w:pPr>
                  <w:r>
                    <w:rPr>
                      <w:b/>
                      <w:color w:val="000000"/>
                      <w:kern w:val="0"/>
                      <w:sz w:val="18"/>
                      <w:szCs w:val="18"/>
                      <w:lang w:bidi="ar"/>
                    </w:rPr>
                    <w:t>建筑物插入损失/dB</w:t>
                  </w:r>
                </w:p>
              </w:tc>
              <w:tc>
                <w:tcPr>
                  <w:tcW w:w="798" w:type="pct"/>
                  <w:gridSpan w:val="2"/>
                  <w:vAlign w:val="center"/>
                </w:tcPr>
                <w:p>
                  <w:pPr>
                    <w:widowControl/>
                    <w:snapToGrid w:val="0"/>
                    <w:spacing w:line="216" w:lineRule="auto"/>
                    <w:jc w:val="center"/>
                    <w:textAlignment w:val="center"/>
                    <w:rPr>
                      <w:b/>
                      <w:color w:val="000000"/>
                      <w:kern w:val="0"/>
                      <w:sz w:val="18"/>
                      <w:szCs w:val="18"/>
                      <w:lang w:bidi="ar"/>
                    </w:rPr>
                  </w:pPr>
                  <w:r>
                    <w:rPr>
                      <w:b/>
                      <w:color w:val="000000"/>
                      <w:kern w:val="0"/>
                      <w:sz w:val="18"/>
                      <w:szCs w:val="18"/>
                      <w:lang w:bidi="ar"/>
                    </w:rPr>
                    <w:t>建筑物外噪声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248" w:type="pct"/>
                  <w:vMerge w:val="continue"/>
                  <w:vAlign w:val="center"/>
                </w:tcPr>
                <w:p>
                  <w:pPr>
                    <w:widowControl/>
                    <w:snapToGrid w:val="0"/>
                    <w:spacing w:line="216" w:lineRule="auto"/>
                    <w:jc w:val="center"/>
                    <w:textAlignment w:val="center"/>
                    <w:rPr>
                      <w:sz w:val="18"/>
                      <w:szCs w:val="18"/>
                    </w:rPr>
                  </w:pPr>
                </w:p>
              </w:tc>
              <w:tc>
                <w:tcPr>
                  <w:tcW w:w="248" w:type="pct"/>
                  <w:vMerge w:val="continue"/>
                  <w:vAlign w:val="center"/>
                </w:tcPr>
                <w:p>
                  <w:pPr>
                    <w:widowControl/>
                    <w:snapToGrid w:val="0"/>
                    <w:spacing w:line="216" w:lineRule="auto"/>
                    <w:jc w:val="center"/>
                    <w:textAlignment w:val="center"/>
                    <w:rPr>
                      <w:sz w:val="18"/>
                      <w:szCs w:val="18"/>
                    </w:rPr>
                  </w:pPr>
                </w:p>
              </w:tc>
              <w:tc>
                <w:tcPr>
                  <w:tcW w:w="475" w:type="pct"/>
                  <w:vMerge w:val="continue"/>
                  <w:vAlign w:val="center"/>
                </w:tcPr>
                <w:p>
                  <w:pPr>
                    <w:widowControl/>
                    <w:snapToGrid w:val="0"/>
                    <w:spacing w:line="216" w:lineRule="auto"/>
                    <w:jc w:val="center"/>
                    <w:textAlignment w:val="center"/>
                    <w:rPr>
                      <w:sz w:val="18"/>
                      <w:szCs w:val="18"/>
                    </w:rPr>
                  </w:pPr>
                </w:p>
              </w:tc>
              <w:tc>
                <w:tcPr>
                  <w:tcW w:w="381" w:type="pct"/>
                  <w:vMerge w:val="continue"/>
                  <w:vAlign w:val="center"/>
                </w:tcPr>
                <w:p>
                  <w:pPr>
                    <w:widowControl/>
                    <w:snapToGrid w:val="0"/>
                    <w:spacing w:line="216" w:lineRule="auto"/>
                    <w:jc w:val="center"/>
                    <w:textAlignment w:val="center"/>
                    <w:rPr>
                      <w:sz w:val="18"/>
                      <w:szCs w:val="18"/>
                    </w:rPr>
                  </w:pPr>
                </w:p>
              </w:tc>
              <w:tc>
                <w:tcPr>
                  <w:tcW w:w="480" w:type="pct"/>
                  <w:vMerge w:val="continue"/>
                  <w:vAlign w:val="center"/>
                </w:tcPr>
                <w:p>
                  <w:pPr>
                    <w:widowControl/>
                    <w:snapToGrid w:val="0"/>
                    <w:spacing w:line="216" w:lineRule="auto"/>
                    <w:jc w:val="center"/>
                    <w:textAlignment w:val="center"/>
                    <w:rPr>
                      <w:sz w:val="18"/>
                      <w:szCs w:val="18"/>
                    </w:rPr>
                  </w:pPr>
                </w:p>
              </w:tc>
              <w:tc>
                <w:tcPr>
                  <w:tcW w:w="247" w:type="pct"/>
                  <w:vAlign w:val="center"/>
                </w:tcPr>
                <w:p>
                  <w:pPr>
                    <w:widowControl/>
                    <w:snapToGrid w:val="0"/>
                    <w:spacing w:line="216" w:lineRule="auto"/>
                    <w:jc w:val="center"/>
                    <w:textAlignment w:val="center"/>
                    <w:rPr>
                      <w:rStyle w:val="56"/>
                      <w:rFonts w:hint="default" w:ascii="Times New Roman" w:hAnsi="Times New Roman" w:cs="Times New Roman"/>
                      <w:sz w:val="18"/>
                      <w:szCs w:val="18"/>
                      <w:lang w:bidi="ar"/>
                    </w:rPr>
                  </w:pPr>
                  <w:r>
                    <w:rPr>
                      <w:b/>
                      <w:color w:val="000000"/>
                      <w:kern w:val="0"/>
                      <w:sz w:val="18"/>
                      <w:szCs w:val="18"/>
                      <w:lang w:bidi="ar"/>
                    </w:rPr>
                    <w:t>X</w:t>
                  </w:r>
                </w:p>
              </w:tc>
              <w:tc>
                <w:tcPr>
                  <w:tcW w:w="333" w:type="pct"/>
                  <w:vAlign w:val="center"/>
                </w:tcPr>
                <w:p>
                  <w:pPr>
                    <w:widowControl/>
                    <w:snapToGrid w:val="0"/>
                    <w:spacing w:line="216" w:lineRule="auto"/>
                    <w:jc w:val="center"/>
                    <w:textAlignment w:val="center"/>
                    <w:rPr>
                      <w:rStyle w:val="56"/>
                      <w:rFonts w:hint="default" w:ascii="Times New Roman" w:hAnsi="Times New Roman" w:cs="Times New Roman"/>
                      <w:sz w:val="18"/>
                      <w:szCs w:val="18"/>
                      <w:lang w:bidi="ar"/>
                    </w:rPr>
                  </w:pPr>
                  <w:r>
                    <w:rPr>
                      <w:b/>
                      <w:color w:val="000000"/>
                      <w:kern w:val="0"/>
                      <w:sz w:val="18"/>
                      <w:szCs w:val="18"/>
                      <w:lang w:bidi="ar"/>
                    </w:rPr>
                    <w:t>Y</w:t>
                  </w:r>
                </w:p>
              </w:tc>
              <w:tc>
                <w:tcPr>
                  <w:tcW w:w="277" w:type="pct"/>
                  <w:vAlign w:val="center"/>
                </w:tcPr>
                <w:p>
                  <w:pPr>
                    <w:widowControl/>
                    <w:snapToGrid w:val="0"/>
                    <w:spacing w:line="216" w:lineRule="auto"/>
                    <w:jc w:val="center"/>
                    <w:textAlignment w:val="center"/>
                    <w:rPr>
                      <w:rStyle w:val="56"/>
                      <w:rFonts w:hint="default" w:ascii="Times New Roman" w:hAnsi="Times New Roman" w:cs="Times New Roman"/>
                      <w:sz w:val="18"/>
                      <w:szCs w:val="18"/>
                      <w:lang w:bidi="ar"/>
                    </w:rPr>
                  </w:pPr>
                  <w:r>
                    <w:rPr>
                      <w:b/>
                      <w:color w:val="000000"/>
                      <w:kern w:val="0"/>
                      <w:sz w:val="18"/>
                      <w:szCs w:val="18"/>
                      <w:lang w:bidi="ar"/>
                    </w:rPr>
                    <w:t>Z</w:t>
                  </w:r>
                </w:p>
              </w:tc>
              <w:tc>
                <w:tcPr>
                  <w:tcW w:w="365" w:type="pct"/>
                  <w:vMerge w:val="continue"/>
                  <w:vAlign w:val="center"/>
                </w:tcPr>
                <w:p>
                  <w:pPr>
                    <w:widowControl/>
                    <w:snapToGrid w:val="0"/>
                    <w:spacing w:line="216" w:lineRule="auto"/>
                    <w:jc w:val="center"/>
                    <w:textAlignment w:val="center"/>
                    <w:rPr>
                      <w:b/>
                      <w:color w:val="000000"/>
                      <w:kern w:val="0"/>
                      <w:sz w:val="18"/>
                      <w:szCs w:val="18"/>
                      <w:lang w:bidi="ar"/>
                    </w:rPr>
                  </w:pPr>
                </w:p>
              </w:tc>
              <w:tc>
                <w:tcPr>
                  <w:tcW w:w="400" w:type="pct"/>
                  <w:vMerge w:val="continue"/>
                  <w:vAlign w:val="center"/>
                </w:tcPr>
                <w:p>
                  <w:pPr>
                    <w:widowControl/>
                    <w:snapToGrid w:val="0"/>
                    <w:spacing w:line="216" w:lineRule="auto"/>
                    <w:jc w:val="center"/>
                    <w:textAlignment w:val="center"/>
                    <w:rPr>
                      <w:b/>
                      <w:color w:val="000000"/>
                      <w:kern w:val="0"/>
                      <w:sz w:val="18"/>
                      <w:szCs w:val="18"/>
                      <w:lang w:bidi="ar"/>
                    </w:rPr>
                  </w:pPr>
                </w:p>
              </w:tc>
              <w:tc>
                <w:tcPr>
                  <w:tcW w:w="363" w:type="pct"/>
                  <w:vMerge w:val="continue"/>
                  <w:vAlign w:val="center"/>
                </w:tcPr>
                <w:p>
                  <w:pPr>
                    <w:widowControl/>
                    <w:snapToGrid w:val="0"/>
                    <w:spacing w:line="216" w:lineRule="auto"/>
                    <w:jc w:val="center"/>
                    <w:textAlignment w:val="center"/>
                    <w:rPr>
                      <w:b/>
                      <w:color w:val="000000"/>
                      <w:kern w:val="0"/>
                      <w:sz w:val="18"/>
                      <w:szCs w:val="18"/>
                      <w:lang w:bidi="ar"/>
                    </w:rPr>
                  </w:pPr>
                </w:p>
              </w:tc>
              <w:tc>
                <w:tcPr>
                  <w:tcW w:w="378" w:type="pct"/>
                  <w:vMerge w:val="continue"/>
                  <w:vAlign w:val="center"/>
                </w:tcPr>
                <w:p>
                  <w:pPr>
                    <w:widowControl/>
                    <w:snapToGrid w:val="0"/>
                    <w:spacing w:line="216" w:lineRule="auto"/>
                    <w:jc w:val="center"/>
                    <w:textAlignment w:val="center"/>
                    <w:rPr>
                      <w:b/>
                      <w:color w:val="000000"/>
                      <w:kern w:val="0"/>
                      <w:sz w:val="18"/>
                      <w:szCs w:val="18"/>
                      <w:lang w:bidi="ar"/>
                    </w:rPr>
                  </w:pPr>
                </w:p>
              </w:tc>
              <w:tc>
                <w:tcPr>
                  <w:tcW w:w="445" w:type="pct"/>
                  <w:vAlign w:val="center"/>
                </w:tcPr>
                <w:p>
                  <w:pPr>
                    <w:widowControl/>
                    <w:snapToGrid w:val="0"/>
                    <w:spacing w:line="216" w:lineRule="auto"/>
                    <w:jc w:val="center"/>
                    <w:textAlignment w:val="center"/>
                    <w:rPr>
                      <w:b/>
                      <w:color w:val="000000"/>
                      <w:kern w:val="0"/>
                      <w:sz w:val="18"/>
                      <w:szCs w:val="18"/>
                      <w:lang w:bidi="ar"/>
                    </w:rPr>
                  </w:pPr>
                  <w:r>
                    <w:rPr>
                      <w:b/>
                      <w:color w:val="000000"/>
                      <w:kern w:val="0"/>
                      <w:sz w:val="18"/>
                      <w:szCs w:val="18"/>
                      <w:lang w:bidi="ar"/>
                    </w:rPr>
                    <w:t>声压级/dB</w:t>
                  </w:r>
                </w:p>
                <w:p>
                  <w:pPr>
                    <w:widowControl/>
                    <w:snapToGrid w:val="0"/>
                    <w:spacing w:line="216" w:lineRule="auto"/>
                    <w:jc w:val="center"/>
                    <w:textAlignment w:val="center"/>
                    <w:rPr>
                      <w:b/>
                      <w:color w:val="000000"/>
                      <w:kern w:val="0"/>
                      <w:sz w:val="18"/>
                      <w:szCs w:val="18"/>
                      <w:lang w:bidi="ar"/>
                    </w:rPr>
                  </w:pPr>
                  <w:r>
                    <w:rPr>
                      <w:b/>
                      <w:color w:val="000000"/>
                      <w:kern w:val="0"/>
                      <w:sz w:val="18"/>
                      <w:szCs w:val="18"/>
                      <w:lang w:bidi="ar"/>
                    </w:rPr>
                    <w:t>（A）</w:t>
                  </w:r>
                </w:p>
              </w:tc>
              <w:tc>
                <w:tcPr>
                  <w:tcW w:w="353" w:type="pct"/>
                  <w:vAlign w:val="center"/>
                </w:tcPr>
                <w:p>
                  <w:pPr>
                    <w:widowControl/>
                    <w:snapToGrid w:val="0"/>
                    <w:spacing w:line="216" w:lineRule="auto"/>
                    <w:jc w:val="center"/>
                    <w:textAlignment w:val="center"/>
                    <w:rPr>
                      <w:b/>
                      <w:color w:val="000000"/>
                      <w:kern w:val="0"/>
                      <w:sz w:val="18"/>
                      <w:szCs w:val="18"/>
                      <w:lang w:bidi="ar"/>
                    </w:rPr>
                  </w:pPr>
                  <w:r>
                    <w:rPr>
                      <w:b/>
                      <w:color w:val="000000"/>
                      <w:kern w:val="0"/>
                      <w:sz w:val="18"/>
                      <w:szCs w:val="18"/>
                      <w:lang w:bidi="ar"/>
                    </w:rPr>
                    <w:t>建筑物外距离m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Align w:val="center"/>
                </w:tcPr>
                <w:p>
                  <w:pPr>
                    <w:spacing w:line="216" w:lineRule="auto"/>
                    <w:jc w:val="center"/>
                    <w:rPr>
                      <w:sz w:val="18"/>
                      <w:szCs w:val="18"/>
                    </w:rPr>
                  </w:pPr>
                  <w:r>
                    <w:rPr>
                      <w:sz w:val="18"/>
                      <w:szCs w:val="18"/>
                    </w:rPr>
                    <w:t>1</w:t>
                  </w:r>
                </w:p>
              </w:tc>
              <w:tc>
                <w:tcPr>
                  <w:tcW w:w="248" w:type="pct"/>
                  <w:vMerge w:val="restart"/>
                  <w:vAlign w:val="center"/>
                </w:tcPr>
                <w:p>
                  <w:pPr>
                    <w:spacing w:line="216" w:lineRule="auto"/>
                    <w:jc w:val="center"/>
                    <w:rPr>
                      <w:sz w:val="18"/>
                      <w:szCs w:val="18"/>
                    </w:rPr>
                  </w:pPr>
                  <w:r>
                    <w:rPr>
                      <w:rFonts w:hint="eastAsia"/>
                      <w:sz w:val="18"/>
                      <w:szCs w:val="18"/>
                      <w:lang w:eastAsia="zh-CN"/>
                    </w:rPr>
                    <w:t>车间X1</w:t>
                  </w:r>
                </w:p>
              </w:tc>
              <w:tc>
                <w:tcPr>
                  <w:tcW w:w="475" w:type="pct"/>
                  <w:vAlign w:val="center"/>
                </w:tcPr>
                <w:p>
                  <w:pPr>
                    <w:pStyle w:val="38"/>
                    <w:spacing w:line="216" w:lineRule="auto"/>
                    <w:rPr>
                      <w:rFonts w:cs="Times New Roman"/>
                      <w:sz w:val="18"/>
                      <w:szCs w:val="18"/>
                    </w:rPr>
                  </w:pPr>
                  <w:r>
                    <w:rPr>
                      <w:rFonts w:cs="Times New Roman"/>
                      <w:sz w:val="18"/>
                      <w:szCs w:val="18"/>
                    </w:rPr>
                    <w:t>4</w:t>
                  </w:r>
                </w:p>
              </w:tc>
              <w:tc>
                <w:tcPr>
                  <w:tcW w:w="381" w:type="pct"/>
                  <w:vAlign w:val="center"/>
                </w:tcPr>
                <w:p>
                  <w:pPr>
                    <w:spacing w:line="216" w:lineRule="auto"/>
                    <w:jc w:val="center"/>
                    <w:rPr>
                      <w:sz w:val="18"/>
                      <w:szCs w:val="18"/>
                    </w:rPr>
                  </w:pPr>
                  <w:r>
                    <w:rPr>
                      <w:sz w:val="18"/>
                      <w:szCs w:val="18"/>
                    </w:rPr>
                    <w:t>75</w:t>
                  </w:r>
                </w:p>
              </w:tc>
              <w:tc>
                <w:tcPr>
                  <w:tcW w:w="480" w:type="pct"/>
                  <w:vMerge w:val="restart"/>
                  <w:vAlign w:val="center"/>
                </w:tcPr>
                <w:p>
                  <w:pPr>
                    <w:spacing w:line="216" w:lineRule="auto"/>
                    <w:jc w:val="both"/>
                    <w:rPr>
                      <w:sz w:val="18"/>
                      <w:szCs w:val="18"/>
                    </w:rPr>
                  </w:pPr>
                  <w:r>
                    <w:rPr>
                      <w:sz w:val="18"/>
                      <w:szCs w:val="18"/>
                    </w:rPr>
                    <w:t>选用低噪声设备，设备基础安装减震器，加盖隔声罩，建筑隔声</w:t>
                  </w:r>
                </w:p>
              </w:tc>
              <w:tc>
                <w:tcPr>
                  <w:tcW w:w="247" w:type="pct"/>
                  <w:vAlign w:val="center"/>
                </w:tcPr>
                <w:p>
                  <w:pPr>
                    <w:widowControl/>
                    <w:spacing w:line="216" w:lineRule="auto"/>
                    <w:jc w:val="center"/>
                    <w:textAlignment w:val="center"/>
                    <w:rPr>
                      <w:sz w:val="18"/>
                      <w:szCs w:val="18"/>
                    </w:rPr>
                  </w:pPr>
                  <w:r>
                    <w:rPr>
                      <w:color w:val="000000"/>
                      <w:kern w:val="0"/>
                      <w:sz w:val="18"/>
                      <w:szCs w:val="18"/>
                      <w:lang w:bidi="ar"/>
                    </w:rPr>
                    <w:t>10</w:t>
                  </w:r>
                </w:p>
              </w:tc>
              <w:tc>
                <w:tcPr>
                  <w:tcW w:w="333" w:type="pct"/>
                  <w:vAlign w:val="center"/>
                </w:tcPr>
                <w:p>
                  <w:pPr>
                    <w:widowControl/>
                    <w:spacing w:line="216" w:lineRule="auto"/>
                    <w:jc w:val="center"/>
                    <w:textAlignment w:val="center"/>
                    <w:rPr>
                      <w:sz w:val="18"/>
                      <w:szCs w:val="18"/>
                    </w:rPr>
                  </w:pPr>
                  <w:r>
                    <w:rPr>
                      <w:color w:val="000000"/>
                      <w:kern w:val="0"/>
                      <w:sz w:val="18"/>
                      <w:szCs w:val="18"/>
                      <w:lang w:bidi="ar"/>
                    </w:rPr>
                    <w:t>30</w:t>
                  </w:r>
                </w:p>
              </w:tc>
              <w:tc>
                <w:tcPr>
                  <w:tcW w:w="277" w:type="pct"/>
                  <w:vAlign w:val="center"/>
                </w:tcPr>
                <w:p>
                  <w:pPr>
                    <w:widowControl/>
                    <w:spacing w:line="216" w:lineRule="auto"/>
                    <w:jc w:val="center"/>
                    <w:textAlignment w:val="center"/>
                    <w:rPr>
                      <w:sz w:val="18"/>
                      <w:szCs w:val="18"/>
                    </w:rPr>
                  </w:pPr>
                  <w:r>
                    <w:rPr>
                      <w:color w:val="000000"/>
                      <w:kern w:val="0"/>
                      <w:sz w:val="18"/>
                      <w:szCs w:val="18"/>
                      <w:lang w:bidi="ar"/>
                    </w:rPr>
                    <w:t>1</w:t>
                  </w:r>
                </w:p>
              </w:tc>
              <w:tc>
                <w:tcPr>
                  <w:tcW w:w="365" w:type="pct"/>
                  <w:vAlign w:val="center"/>
                </w:tcPr>
                <w:p>
                  <w:pPr>
                    <w:widowControl/>
                    <w:spacing w:line="216" w:lineRule="auto"/>
                    <w:jc w:val="center"/>
                    <w:textAlignment w:val="center"/>
                    <w:rPr>
                      <w:sz w:val="18"/>
                      <w:szCs w:val="18"/>
                    </w:rPr>
                  </w:pPr>
                  <w:r>
                    <w:rPr>
                      <w:color w:val="000000"/>
                      <w:kern w:val="0"/>
                      <w:sz w:val="18"/>
                      <w:szCs w:val="18"/>
                      <w:lang w:bidi="ar"/>
                    </w:rPr>
                    <w:t>5</w:t>
                  </w:r>
                </w:p>
              </w:tc>
              <w:tc>
                <w:tcPr>
                  <w:tcW w:w="400" w:type="pct"/>
                  <w:vAlign w:val="center"/>
                </w:tcPr>
                <w:p>
                  <w:pPr>
                    <w:widowControl/>
                    <w:spacing w:line="216" w:lineRule="auto"/>
                    <w:jc w:val="center"/>
                    <w:textAlignment w:val="center"/>
                    <w:rPr>
                      <w:sz w:val="18"/>
                      <w:szCs w:val="18"/>
                    </w:rPr>
                  </w:pPr>
                  <w:r>
                    <w:rPr>
                      <w:color w:val="000000"/>
                      <w:kern w:val="0"/>
                      <w:sz w:val="18"/>
                      <w:szCs w:val="18"/>
                      <w:lang w:bidi="ar"/>
                    </w:rPr>
                    <w:t>50.02</w:t>
                  </w:r>
                </w:p>
              </w:tc>
              <w:tc>
                <w:tcPr>
                  <w:tcW w:w="363" w:type="pct"/>
                  <w:vAlign w:val="center"/>
                </w:tcPr>
                <w:p>
                  <w:pPr>
                    <w:widowControl/>
                    <w:spacing w:line="216" w:lineRule="auto"/>
                    <w:jc w:val="center"/>
                    <w:textAlignment w:val="center"/>
                    <w:rPr>
                      <w:sz w:val="18"/>
                      <w:szCs w:val="18"/>
                    </w:rPr>
                  </w:pPr>
                  <w:r>
                    <w:rPr>
                      <w:color w:val="000000"/>
                      <w:kern w:val="0"/>
                      <w:sz w:val="18"/>
                      <w:szCs w:val="18"/>
                      <w:lang w:bidi="ar"/>
                    </w:rPr>
                    <w:t>连续</w:t>
                  </w:r>
                </w:p>
              </w:tc>
              <w:tc>
                <w:tcPr>
                  <w:tcW w:w="378" w:type="pct"/>
                  <w:vAlign w:val="center"/>
                </w:tcPr>
                <w:p>
                  <w:pPr>
                    <w:widowControl/>
                    <w:spacing w:line="216" w:lineRule="auto"/>
                    <w:jc w:val="center"/>
                    <w:textAlignment w:val="center"/>
                    <w:rPr>
                      <w:sz w:val="18"/>
                      <w:szCs w:val="18"/>
                    </w:rPr>
                  </w:pPr>
                  <w:r>
                    <w:rPr>
                      <w:color w:val="000000"/>
                      <w:kern w:val="0"/>
                      <w:sz w:val="18"/>
                      <w:szCs w:val="18"/>
                      <w:lang w:bidi="ar"/>
                    </w:rPr>
                    <w:t>40</w:t>
                  </w:r>
                </w:p>
              </w:tc>
              <w:tc>
                <w:tcPr>
                  <w:tcW w:w="445" w:type="pct"/>
                  <w:vAlign w:val="center"/>
                </w:tcPr>
                <w:p>
                  <w:pPr>
                    <w:widowControl/>
                    <w:spacing w:line="216" w:lineRule="auto"/>
                    <w:jc w:val="center"/>
                    <w:textAlignment w:val="center"/>
                    <w:rPr>
                      <w:sz w:val="18"/>
                      <w:szCs w:val="18"/>
                    </w:rPr>
                  </w:pPr>
                  <w:r>
                    <w:rPr>
                      <w:color w:val="000000"/>
                      <w:kern w:val="0"/>
                      <w:sz w:val="18"/>
                      <w:szCs w:val="18"/>
                      <w:lang w:bidi="ar"/>
                    </w:rPr>
                    <w:t>10.04</w:t>
                  </w:r>
                </w:p>
              </w:tc>
              <w:tc>
                <w:tcPr>
                  <w:tcW w:w="353" w:type="pct"/>
                  <w:vAlign w:val="center"/>
                </w:tcPr>
                <w:p>
                  <w:pPr>
                    <w:spacing w:line="216" w:lineRule="auto"/>
                    <w:jc w:val="center"/>
                    <w:rPr>
                      <w:sz w:val="18"/>
                      <w:szCs w:val="18"/>
                    </w:rPr>
                  </w:pPr>
                  <w:r>
                    <w:rPr>
                      <w:rFonts w:hint="eastAsia"/>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Align w:val="center"/>
                </w:tcPr>
                <w:p>
                  <w:pPr>
                    <w:spacing w:line="216" w:lineRule="auto"/>
                    <w:jc w:val="center"/>
                    <w:rPr>
                      <w:sz w:val="18"/>
                      <w:szCs w:val="18"/>
                    </w:rPr>
                  </w:pPr>
                  <w:r>
                    <w:rPr>
                      <w:sz w:val="18"/>
                      <w:szCs w:val="18"/>
                    </w:rPr>
                    <w:t>2</w:t>
                  </w:r>
                </w:p>
              </w:tc>
              <w:tc>
                <w:tcPr>
                  <w:tcW w:w="248" w:type="pct"/>
                  <w:vMerge w:val="continue"/>
                  <w:vAlign w:val="center"/>
                </w:tcPr>
                <w:p>
                  <w:pPr>
                    <w:spacing w:line="216" w:lineRule="auto"/>
                    <w:jc w:val="center"/>
                    <w:rPr>
                      <w:sz w:val="18"/>
                      <w:szCs w:val="18"/>
                    </w:rPr>
                  </w:pPr>
                </w:p>
              </w:tc>
              <w:tc>
                <w:tcPr>
                  <w:tcW w:w="475" w:type="pct"/>
                  <w:vAlign w:val="center"/>
                </w:tcPr>
                <w:p>
                  <w:pPr>
                    <w:pStyle w:val="38"/>
                    <w:spacing w:line="216" w:lineRule="auto"/>
                    <w:rPr>
                      <w:rFonts w:cs="Times New Roman"/>
                      <w:sz w:val="18"/>
                      <w:szCs w:val="18"/>
                    </w:rPr>
                  </w:pPr>
                  <w:r>
                    <w:rPr>
                      <w:rFonts w:cs="Times New Roman"/>
                      <w:sz w:val="18"/>
                      <w:szCs w:val="18"/>
                    </w:rPr>
                    <w:t>2</w:t>
                  </w:r>
                </w:p>
              </w:tc>
              <w:tc>
                <w:tcPr>
                  <w:tcW w:w="381" w:type="pct"/>
                  <w:vAlign w:val="center"/>
                </w:tcPr>
                <w:p>
                  <w:pPr>
                    <w:spacing w:line="216" w:lineRule="auto"/>
                    <w:jc w:val="center"/>
                    <w:rPr>
                      <w:sz w:val="18"/>
                      <w:szCs w:val="18"/>
                    </w:rPr>
                  </w:pPr>
                  <w:r>
                    <w:rPr>
                      <w:sz w:val="18"/>
                      <w:szCs w:val="18"/>
                    </w:rPr>
                    <w:t>85</w:t>
                  </w:r>
                </w:p>
              </w:tc>
              <w:tc>
                <w:tcPr>
                  <w:tcW w:w="480" w:type="pct"/>
                  <w:vMerge w:val="continue"/>
                  <w:vAlign w:val="center"/>
                </w:tcPr>
                <w:p>
                  <w:pPr>
                    <w:spacing w:line="216" w:lineRule="auto"/>
                    <w:jc w:val="center"/>
                    <w:rPr>
                      <w:sz w:val="18"/>
                      <w:szCs w:val="18"/>
                    </w:rPr>
                  </w:pPr>
                </w:p>
              </w:tc>
              <w:tc>
                <w:tcPr>
                  <w:tcW w:w="247" w:type="pct"/>
                  <w:vAlign w:val="center"/>
                </w:tcPr>
                <w:p>
                  <w:pPr>
                    <w:widowControl/>
                    <w:spacing w:line="216" w:lineRule="auto"/>
                    <w:jc w:val="center"/>
                    <w:textAlignment w:val="center"/>
                    <w:rPr>
                      <w:sz w:val="18"/>
                      <w:szCs w:val="18"/>
                    </w:rPr>
                  </w:pPr>
                  <w:r>
                    <w:rPr>
                      <w:color w:val="000000"/>
                      <w:kern w:val="0"/>
                      <w:sz w:val="18"/>
                      <w:szCs w:val="18"/>
                      <w:lang w:bidi="ar"/>
                    </w:rPr>
                    <w:t>10</w:t>
                  </w:r>
                </w:p>
              </w:tc>
              <w:tc>
                <w:tcPr>
                  <w:tcW w:w="333" w:type="pct"/>
                  <w:vAlign w:val="center"/>
                </w:tcPr>
                <w:p>
                  <w:pPr>
                    <w:widowControl/>
                    <w:spacing w:line="216" w:lineRule="auto"/>
                    <w:jc w:val="center"/>
                    <w:textAlignment w:val="center"/>
                    <w:rPr>
                      <w:sz w:val="18"/>
                      <w:szCs w:val="18"/>
                    </w:rPr>
                  </w:pPr>
                  <w:r>
                    <w:rPr>
                      <w:color w:val="000000"/>
                      <w:kern w:val="0"/>
                      <w:sz w:val="18"/>
                      <w:szCs w:val="18"/>
                      <w:lang w:bidi="ar"/>
                    </w:rPr>
                    <w:t>29.5</w:t>
                  </w:r>
                </w:p>
              </w:tc>
              <w:tc>
                <w:tcPr>
                  <w:tcW w:w="277" w:type="pct"/>
                  <w:vAlign w:val="center"/>
                </w:tcPr>
                <w:p>
                  <w:pPr>
                    <w:widowControl/>
                    <w:spacing w:line="216" w:lineRule="auto"/>
                    <w:jc w:val="center"/>
                    <w:textAlignment w:val="center"/>
                    <w:rPr>
                      <w:sz w:val="18"/>
                      <w:szCs w:val="18"/>
                    </w:rPr>
                  </w:pPr>
                  <w:r>
                    <w:rPr>
                      <w:color w:val="000000"/>
                      <w:kern w:val="0"/>
                      <w:sz w:val="18"/>
                      <w:szCs w:val="18"/>
                      <w:lang w:bidi="ar"/>
                    </w:rPr>
                    <w:t>0</w:t>
                  </w:r>
                </w:p>
              </w:tc>
              <w:tc>
                <w:tcPr>
                  <w:tcW w:w="365" w:type="pct"/>
                  <w:vAlign w:val="center"/>
                </w:tcPr>
                <w:p>
                  <w:pPr>
                    <w:widowControl/>
                    <w:spacing w:line="216" w:lineRule="auto"/>
                    <w:jc w:val="center"/>
                    <w:textAlignment w:val="center"/>
                    <w:rPr>
                      <w:sz w:val="18"/>
                      <w:szCs w:val="18"/>
                    </w:rPr>
                  </w:pPr>
                  <w:r>
                    <w:rPr>
                      <w:color w:val="000000"/>
                      <w:kern w:val="0"/>
                      <w:sz w:val="18"/>
                      <w:szCs w:val="18"/>
                      <w:lang w:bidi="ar"/>
                    </w:rPr>
                    <w:t>7</w:t>
                  </w:r>
                </w:p>
              </w:tc>
              <w:tc>
                <w:tcPr>
                  <w:tcW w:w="400" w:type="pct"/>
                  <w:vAlign w:val="center"/>
                </w:tcPr>
                <w:p>
                  <w:pPr>
                    <w:widowControl/>
                    <w:spacing w:line="216" w:lineRule="auto"/>
                    <w:jc w:val="center"/>
                    <w:textAlignment w:val="center"/>
                    <w:rPr>
                      <w:sz w:val="18"/>
                      <w:szCs w:val="18"/>
                    </w:rPr>
                  </w:pPr>
                  <w:r>
                    <w:rPr>
                      <w:color w:val="000000"/>
                      <w:kern w:val="0"/>
                      <w:sz w:val="18"/>
                      <w:szCs w:val="18"/>
                      <w:lang w:bidi="ar"/>
                    </w:rPr>
                    <w:t>57.10</w:t>
                  </w:r>
                </w:p>
              </w:tc>
              <w:tc>
                <w:tcPr>
                  <w:tcW w:w="363" w:type="pct"/>
                  <w:vAlign w:val="center"/>
                </w:tcPr>
                <w:p>
                  <w:pPr>
                    <w:widowControl/>
                    <w:spacing w:line="216" w:lineRule="auto"/>
                    <w:jc w:val="center"/>
                    <w:textAlignment w:val="center"/>
                    <w:rPr>
                      <w:sz w:val="18"/>
                      <w:szCs w:val="18"/>
                    </w:rPr>
                  </w:pPr>
                  <w:r>
                    <w:rPr>
                      <w:color w:val="000000"/>
                      <w:kern w:val="0"/>
                      <w:sz w:val="18"/>
                      <w:szCs w:val="18"/>
                      <w:lang w:bidi="ar"/>
                    </w:rPr>
                    <w:t>连续</w:t>
                  </w:r>
                </w:p>
              </w:tc>
              <w:tc>
                <w:tcPr>
                  <w:tcW w:w="378" w:type="pct"/>
                  <w:vAlign w:val="center"/>
                </w:tcPr>
                <w:p>
                  <w:pPr>
                    <w:widowControl/>
                    <w:spacing w:line="216" w:lineRule="auto"/>
                    <w:jc w:val="center"/>
                    <w:textAlignment w:val="center"/>
                    <w:rPr>
                      <w:sz w:val="18"/>
                      <w:szCs w:val="18"/>
                    </w:rPr>
                  </w:pPr>
                  <w:r>
                    <w:rPr>
                      <w:color w:val="000000"/>
                      <w:kern w:val="0"/>
                      <w:sz w:val="18"/>
                      <w:szCs w:val="18"/>
                      <w:lang w:bidi="ar"/>
                    </w:rPr>
                    <w:t>40</w:t>
                  </w:r>
                </w:p>
              </w:tc>
              <w:tc>
                <w:tcPr>
                  <w:tcW w:w="445" w:type="pct"/>
                  <w:vAlign w:val="center"/>
                </w:tcPr>
                <w:p>
                  <w:pPr>
                    <w:widowControl/>
                    <w:spacing w:line="216" w:lineRule="auto"/>
                    <w:jc w:val="center"/>
                    <w:textAlignment w:val="center"/>
                    <w:rPr>
                      <w:sz w:val="18"/>
                      <w:szCs w:val="18"/>
                    </w:rPr>
                  </w:pPr>
                  <w:r>
                    <w:rPr>
                      <w:color w:val="000000"/>
                      <w:kern w:val="0"/>
                      <w:sz w:val="18"/>
                      <w:szCs w:val="18"/>
                      <w:lang w:bidi="ar"/>
                    </w:rPr>
                    <w:t>14.11</w:t>
                  </w:r>
                </w:p>
              </w:tc>
              <w:tc>
                <w:tcPr>
                  <w:tcW w:w="353" w:type="pct"/>
                  <w:vAlign w:val="center"/>
                </w:tcPr>
                <w:p>
                  <w:pPr>
                    <w:spacing w:line="216" w:lineRule="auto"/>
                    <w:jc w:val="center"/>
                    <w:rPr>
                      <w:sz w:val="18"/>
                      <w:szCs w:val="18"/>
                    </w:rPr>
                  </w:pPr>
                  <w:r>
                    <w:rPr>
                      <w:rFonts w:hint="eastAsia"/>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Align w:val="center"/>
                </w:tcPr>
                <w:p>
                  <w:pPr>
                    <w:keepNext w:val="0"/>
                    <w:keepLines w:val="0"/>
                    <w:widowControl/>
                    <w:suppressLineNumbers w:val="0"/>
                    <w:spacing w:line="216" w:lineRule="auto"/>
                    <w:jc w:val="center"/>
                    <w:textAlignment w:val="center"/>
                    <w:rPr>
                      <w:sz w:val="18"/>
                      <w:szCs w:val="18"/>
                    </w:rPr>
                  </w:pPr>
                  <w:r>
                    <w:rPr>
                      <w:rFonts w:hint="default" w:ascii="Times New Roman" w:hAnsi="Times New Roman" w:eastAsia="宋体" w:cs="Times New Roman"/>
                      <w:i w:val="0"/>
                      <w:iCs w:val="0"/>
                      <w:color w:val="000000"/>
                      <w:kern w:val="0"/>
                      <w:sz w:val="18"/>
                      <w:szCs w:val="18"/>
                      <w:u w:val="none"/>
                      <w:lang w:val="en-US" w:eastAsia="zh-CN" w:bidi="ar"/>
                    </w:rPr>
                    <w:t>3</w:t>
                  </w:r>
                </w:p>
              </w:tc>
              <w:tc>
                <w:tcPr>
                  <w:tcW w:w="248" w:type="pct"/>
                  <w:vMerge w:val="continue"/>
                  <w:vAlign w:val="center"/>
                </w:tcPr>
                <w:p>
                  <w:pPr>
                    <w:spacing w:line="216" w:lineRule="auto"/>
                    <w:jc w:val="center"/>
                    <w:rPr>
                      <w:sz w:val="18"/>
                      <w:szCs w:val="18"/>
                    </w:rPr>
                  </w:pPr>
                </w:p>
              </w:tc>
              <w:tc>
                <w:tcPr>
                  <w:tcW w:w="475" w:type="pct"/>
                  <w:vAlign w:val="center"/>
                </w:tcPr>
                <w:p>
                  <w:pPr>
                    <w:pStyle w:val="38"/>
                    <w:spacing w:line="216" w:lineRule="auto"/>
                    <w:jc w:val="center"/>
                    <w:rPr>
                      <w:rFonts w:cs="Times New Roman"/>
                      <w:sz w:val="18"/>
                      <w:szCs w:val="18"/>
                    </w:rPr>
                  </w:pPr>
                  <w:r>
                    <w:rPr>
                      <w:rFonts w:hint="default" w:cs="Times New Roman"/>
                      <w:sz w:val="18"/>
                      <w:szCs w:val="18"/>
                      <w:lang w:val="en-US" w:eastAsia="zh-CN"/>
                    </w:rPr>
                    <w:t>1</w:t>
                  </w:r>
                </w:p>
              </w:tc>
              <w:tc>
                <w:tcPr>
                  <w:tcW w:w="381" w:type="pct"/>
                  <w:vAlign w:val="center"/>
                </w:tcPr>
                <w:p>
                  <w:pPr>
                    <w:pStyle w:val="38"/>
                    <w:spacing w:line="216" w:lineRule="auto"/>
                    <w:jc w:val="center"/>
                    <w:rPr>
                      <w:rFonts w:cs="Times New Roman"/>
                      <w:sz w:val="18"/>
                      <w:szCs w:val="18"/>
                    </w:rPr>
                  </w:pPr>
                  <w:r>
                    <w:rPr>
                      <w:rFonts w:hint="default" w:cs="Times New Roman"/>
                      <w:sz w:val="18"/>
                      <w:szCs w:val="18"/>
                      <w:lang w:val="en-US" w:eastAsia="zh-CN"/>
                    </w:rPr>
                    <w:t>85</w:t>
                  </w:r>
                </w:p>
              </w:tc>
              <w:tc>
                <w:tcPr>
                  <w:tcW w:w="480" w:type="pct"/>
                  <w:vMerge w:val="continue"/>
                  <w:vAlign w:val="center"/>
                </w:tcPr>
                <w:p>
                  <w:pPr>
                    <w:pStyle w:val="38"/>
                    <w:spacing w:line="216" w:lineRule="auto"/>
                    <w:jc w:val="center"/>
                    <w:rPr>
                      <w:rFonts w:cs="Times New Roman"/>
                      <w:sz w:val="18"/>
                      <w:szCs w:val="18"/>
                    </w:rPr>
                  </w:pPr>
                </w:p>
              </w:tc>
              <w:tc>
                <w:tcPr>
                  <w:tcW w:w="247" w:type="pct"/>
                  <w:vAlign w:val="center"/>
                </w:tcPr>
                <w:p>
                  <w:pPr>
                    <w:pStyle w:val="38"/>
                    <w:spacing w:line="216" w:lineRule="auto"/>
                    <w:jc w:val="center"/>
                    <w:rPr>
                      <w:rFonts w:cs="Times New Roman"/>
                      <w:sz w:val="18"/>
                      <w:szCs w:val="18"/>
                    </w:rPr>
                  </w:pPr>
                  <w:r>
                    <w:rPr>
                      <w:rFonts w:hint="eastAsia" w:cs="Times New Roman"/>
                      <w:sz w:val="18"/>
                      <w:szCs w:val="18"/>
                      <w:lang w:val="en-US" w:eastAsia="zh-CN"/>
                    </w:rPr>
                    <w:t>10</w:t>
                  </w:r>
                </w:p>
              </w:tc>
              <w:tc>
                <w:tcPr>
                  <w:tcW w:w="333" w:type="pct"/>
                  <w:vAlign w:val="center"/>
                </w:tcPr>
                <w:p>
                  <w:pPr>
                    <w:pStyle w:val="38"/>
                    <w:spacing w:line="216" w:lineRule="auto"/>
                    <w:jc w:val="center"/>
                    <w:rPr>
                      <w:rFonts w:cs="Times New Roman"/>
                      <w:sz w:val="18"/>
                      <w:szCs w:val="18"/>
                    </w:rPr>
                  </w:pPr>
                  <w:r>
                    <w:rPr>
                      <w:rFonts w:hint="eastAsia" w:cs="Times New Roman"/>
                      <w:sz w:val="18"/>
                      <w:szCs w:val="18"/>
                      <w:lang w:val="en-US" w:eastAsia="zh-CN"/>
                    </w:rPr>
                    <w:t>29</w:t>
                  </w:r>
                </w:p>
              </w:tc>
              <w:tc>
                <w:tcPr>
                  <w:tcW w:w="277" w:type="pct"/>
                  <w:vAlign w:val="center"/>
                </w:tcPr>
                <w:p>
                  <w:pPr>
                    <w:pStyle w:val="38"/>
                    <w:spacing w:line="216" w:lineRule="auto"/>
                    <w:jc w:val="center"/>
                    <w:rPr>
                      <w:rFonts w:cs="Times New Roman"/>
                      <w:sz w:val="18"/>
                      <w:szCs w:val="18"/>
                    </w:rPr>
                  </w:pPr>
                  <w:r>
                    <w:rPr>
                      <w:rFonts w:hint="eastAsia" w:cs="Times New Roman"/>
                      <w:sz w:val="18"/>
                      <w:szCs w:val="18"/>
                      <w:lang w:val="en-US" w:eastAsia="zh-CN"/>
                    </w:rPr>
                    <w:t>0</w:t>
                  </w:r>
                </w:p>
              </w:tc>
              <w:tc>
                <w:tcPr>
                  <w:tcW w:w="365" w:type="pct"/>
                  <w:vAlign w:val="center"/>
                </w:tcPr>
                <w:p>
                  <w:pPr>
                    <w:pStyle w:val="38"/>
                    <w:spacing w:line="216" w:lineRule="auto"/>
                    <w:jc w:val="center"/>
                    <w:rPr>
                      <w:rFonts w:cs="Times New Roman"/>
                      <w:sz w:val="18"/>
                      <w:szCs w:val="18"/>
                    </w:rPr>
                  </w:pPr>
                  <w:r>
                    <w:rPr>
                      <w:rFonts w:hint="eastAsia" w:cs="Times New Roman"/>
                      <w:sz w:val="18"/>
                      <w:szCs w:val="18"/>
                      <w:lang w:val="en-US" w:eastAsia="zh-CN"/>
                    </w:rPr>
                    <w:t>7</w:t>
                  </w:r>
                </w:p>
              </w:tc>
              <w:tc>
                <w:tcPr>
                  <w:tcW w:w="400" w:type="pct"/>
                  <w:vAlign w:val="center"/>
                </w:tcPr>
                <w:p>
                  <w:pPr>
                    <w:pStyle w:val="38"/>
                    <w:spacing w:line="216" w:lineRule="auto"/>
                    <w:jc w:val="center"/>
                    <w:rPr>
                      <w:rFonts w:cs="Times New Roman"/>
                      <w:sz w:val="18"/>
                      <w:szCs w:val="18"/>
                    </w:rPr>
                  </w:pPr>
                  <w:r>
                    <w:rPr>
                      <w:rFonts w:hint="default" w:cs="Times New Roman"/>
                      <w:sz w:val="18"/>
                      <w:szCs w:val="18"/>
                      <w:lang w:val="en-US" w:eastAsia="zh-CN"/>
                    </w:rPr>
                    <w:t>57.10</w:t>
                  </w:r>
                </w:p>
              </w:tc>
              <w:tc>
                <w:tcPr>
                  <w:tcW w:w="363" w:type="pct"/>
                  <w:vAlign w:val="center"/>
                </w:tcPr>
                <w:p>
                  <w:pPr>
                    <w:pStyle w:val="38"/>
                    <w:spacing w:line="216" w:lineRule="auto"/>
                    <w:jc w:val="center"/>
                    <w:rPr>
                      <w:rFonts w:cs="Times New Roman"/>
                      <w:sz w:val="18"/>
                      <w:szCs w:val="18"/>
                    </w:rPr>
                  </w:pPr>
                  <w:r>
                    <w:rPr>
                      <w:rFonts w:cs="Times New Roman"/>
                      <w:sz w:val="18"/>
                      <w:szCs w:val="18"/>
                    </w:rPr>
                    <w:t>连续</w:t>
                  </w:r>
                </w:p>
              </w:tc>
              <w:tc>
                <w:tcPr>
                  <w:tcW w:w="378" w:type="pct"/>
                  <w:vAlign w:val="center"/>
                </w:tcPr>
                <w:p>
                  <w:pPr>
                    <w:pStyle w:val="38"/>
                    <w:spacing w:line="216" w:lineRule="auto"/>
                    <w:jc w:val="center"/>
                    <w:rPr>
                      <w:rFonts w:hint="default" w:cs="Times New Roman"/>
                      <w:sz w:val="18"/>
                      <w:szCs w:val="18"/>
                      <w:lang w:val="en-US" w:eastAsia="zh-CN"/>
                    </w:rPr>
                  </w:pPr>
                  <w:r>
                    <w:rPr>
                      <w:rFonts w:hint="eastAsia" w:cs="Times New Roman"/>
                      <w:sz w:val="18"/>
                      <w:szCs w:val="18"/>
                      <w:lang w:val="en-US" w:eastAsia="zh-CN"/>
                    </w:rPr>
                    <w:t>40</w:t>
                  </w:r>
                </w:p>
              </w:tc>
              <w:tc>
                <w:tcPr>
                  <w:tcW w:w="445" w:type="pct"/>
                  <w:vAlign w:val="center"/>
                </w:tcPr>
                <w:p>
                  <w:pPr>
                    <w:pStyle w:val="38"/>
                    <w:spacing w:line="216" w:lineRule="auto"/>
                    <w:jc w:val="center"/>
                    <w:rPr>
                      <w:rFonts w:cs="Times New Roman"/>
                      <w:sz w:val="18"/>
                      <w:szCs w:val="18"/>
                    </w:rPr>
                  </w:pPr>
                  <w:r>
                    <w:rPr>
                      <w:rFonts w:hint="default" w:cs="Times New Roman"/>
                      <w:sz w:val="18"/>
                      <w:szCs w:val="18"/>
                      <w:lang w:val="en-US" w:eastAsia="zh-CN"/>
                    </w:rPr>
                    <w:t>11.10</w:t>
                  </w:r>
                </w:p>
              </w:tc>
              <w:tc>
                <w:tcPr>
                  <w:tcW w:w="353" w:type="pct"/>
                  <w:vAlign w:val="center"/>
                </w:tcPr>
                <w:p>
                  <w:pPr>
                    <w:pStyle w:val="38"/>
                    <w:spacing w:line="216" w:lineRule="auto"/>
                    <w:jc w:val="center"/>
                    <w:rPr>
                      <w:rFonts w:hint="eastAsia" w:cs="Times New Roman"/>
                      <w:sz w:val="18"/>
                      <w:szCs w:val="18"/>
                      <w:lang w:val="en-US" w:eastAsia="zh-CN"/>
                    </w:rPr>
                  </w:pPr>
                  <w:r>
                    <w:rPr>
                      <w:rFonts w:hint="eastAsia" w:cs="Times New Roman"/>
                      <w:sz w:val="18"/>
                      <w:szCs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Align w:val="center"/>
                </w:tcPr>
                <w:p>
                  <w:pPr>
                    <w:keepNext w:val="0"/>
                    <w:keepLines w:val="0"/>
                    <w:widowControl/>
                    <w:suppressLineNumbers w:val="0"/>
                    <w:spacing w:line="216" w:lineRule="auto"/>
                    <w:jc w:val="center"/>
                    <w:textAlignment w:val="center"/>
                    <w:rPr>
                      <w:sz w:val="18"/>
                      <w:szCs w:val="18"/>
                    </w:rPr>
                  </w:pPr>
                  <w:r>
                    <w:rPr>
                      <w:rFonts w:hint="default" w:ascii="Times New Roman" w:hAnsi="Times New Roman" w:eastAsia="宋体" w:cs="Times New Roman"/>
                      <w:i w:val="0"/>
                      <w:iCs w:val="0"/>
                      <w:color w:val="000000"/>
                      <w:kern w:val="0"/>
                      <w:sz w:val="18"/>
                      <w:szCs w:val="18"/>
                      <w:u w:val="none"/>
                      <w:lang w:val="en-US" w:eastAsia="zh-CN" w:bidi="ar"/>
                    </w:rPr>
                    <w:t>4</w:t>
                  </w:r>
                </w:p>
              </w:tc>
              <w:tc>
                <w:tcPr>
                  <w:tcW w:w="248" w:type="pct"/>
                  <w:vMerge w:val="continue"/>
                  <w:vAlign w:val="center"/>
                </w:tcPr>
                <w:p>
                  <w:pPr>
                    <w:spacing w:line="216" w:lineRule="auto"/>
                    <w:jc w:val="center"/>
                    <w:rPr>
                      <w:sz w:val="18"/>
                      <w:szCs w:val="18"/>
                    </w:rPr>
                  </w:pPr>
                </w:p>
              </w:tc>
              <w:tc>
                <w:tcPr>
                  <w:tcW w:w="475" w:type="pct"/>
                  <w:vAlign w:val="center"/>
                </w:tcPr>
                <w:p>
                  <w:pPr>
                    <w:pStyle w:val="38"/>
                    <w:spacing w:line="216" w:lineRule="auto"/>
                    <w:jc w:val="center"/>
                    <w:rPr>
                      <w:rFonts w:cs="Times New Roman"/>
                      <w:sz w:val="18"/>
                      <w:szCs w:val="18"/>
                    </w:rPr>
                  </w:pPr>
                  <w:r>
                    <w:rPr>
                      <w:rFonts w:hint="default" w:cs="Times New Roman"/>
                      <w:sz w:val="18"/>
                      <w:szCs w:val="18"/>
                      <w:lang w:val="en-US" w:eastAsia="zh-CN"/>
                    </w:rPr>
                    <w:t>1</w:t>
                  </w:r>
                </w:p>
              </w:tc>
              <w:tc>
                <w:tcPr>
                  <w:tcW w:w="381" w:type="pct"/>
                  <w:vAlign w:val="center"/>
                </w:tcPr>
                <w:p>
                  <w:pPr>
                    <w:pStyle w:val="38"/>
                    <w:spacing w:line="216" w:lineRule="auto"/>
                    <w:jc w:val="center"/>
                    <w:rPr>
                      <w:rFonts w:cs="Times New Roman"/>
                      <w:sz w:val="18"/>
                      <w:szCs w:val="18"/>
                    </w:rPr>
                  </w:pPr>
                  <w:r>
                    <w:rPr>
                      <w:rFonts w:hint="default" w:cs="Times New Roman"/>
                      <w:sz w:val="18"/>
                      <w:szCs w:val="18"/>
                      <w:lang w:val="en-US" w:eastAsia="zh-CN"/>
                    </w:rPr>
                    <w:t>85</w:t>
                  </w:r>
                </w:p>
              </w:tc>
              <w:tc>
                <w:tcPr>
                  <w:tcW w:w="480" w:type="pct"/>
                  <w:vMerge w:val="continue"/>
                  <w:vAlign w:val="center"/>
                </w:tcPr>
                <w:p>
                  <w:pPr>
                    <w:pStyle w:val="38"/>
                    <w:spacing w:line="216" w:lineRule="auto"/>
                    <w:jc w:val="center"/>
                    <w:rPr>
                      <w:rFonts w:cs="Times New Roman"/>
                      <w:sz w:val="18"/>
                      <w:szCs w:val="18"/>
                    </w:rPr>
                  </w:pPr>
                </w:p>
              </w:tc>
              <w:tc>
                <w:tcPr>
                  <w:tcW w:w="247" w:type="pct"/>
                  <w:vAlign w:val="center"/>
                </w:tcPr>
                <w:p>
                  <w:pPr>
                    <w:pStyle w:val="38"/>
                    <w:spacing w:line="216" w:lineRule="auto"/>
                    <w:jc w:val="center"/>
                    <w:rPr>
                      <w:rFonts w:cs="Times New Roman"/>
                      <w:sz w:val="18"/>
                      <w:szCs w:val="18"/>
                    </w:rPr>
                  </w:pPr>
                  <w:r>
                    <w:rPr>
                      <w:rFonts w:hint="eastAsia" w:cs="Times New Roman"/>
                      <w:sz w:val="18"/>
                      <w:szCs w:val="18"/>
                      <w:lang w:val="en-US" w:eastAsia="zh-CN"/>
                    </w:rPr>
                    <w:t>10</w:t>
                  </w:r>
                </w:p>
              </w:tc>
              <w:tc>
                <w:tcPr>
                  <w:tcW w:w="333" w:type="pct"/>
                  <w:vAlign w:val="center"/>
                </w:tcPr>
                <w:p>
                  <w:pPr>
                    <w:pStyle w:val="38"/>
                    <w:spacing w:line="216" w:lineRule="auto"/>
                    <w:jc w:val="center"/>
                    <w:rPr>
                      <w:rFonts w:cs="Times New Roman"/>
                      <w:sz w:val="18"/>
                      <w:szCs w:val="18"/>
                    </w:rPr>
                  </w:pPr>
                  <w:r>
                    <w:rPr>
                      <w:rFonts w:hint="eastAsia" w:cs="Times New Roman"/>
                      <w:sz w:val="18"/>
                      <w:szCs w:val="18"/>
                      <w:lang w:val="en-US" w:eastAsia="zh-CN"/>
                    </w:rPr>
                    <w:t>29</w:t>
                  </w:r>
                </w:p>
              </w:tc>
              <w:tc>
                <w:tcPr>
                  <w:tcW w:w="277" w:type="pct"/>
                  <w:vAlign w:val="center"/>
                </w:tcPr>
                <w:p>
                  <w:pPr>
                    <w:pStyle w:val="38"/>
                    <w:spacing w:line="216" w:lineRule="auto"/>
                    <w:jc w:val="center"/>
                    <w:rPr>
                      <w:rFonts w:cs="Times New Roman"/>
                      <w:sz w:val="18"/>
                      <w:szCs w:val="18"/>
                    </w:rPr>
                  </w:pPr>
                  <w:r>
                    <w:rPr>
                      <w:rFonts w:hint="eastAsia" w:cs="Times New Roman"/>
                      <w:sz w:val="18"/>
                      <w:szCs w:val="18"/>
                      <w:lang w:val="en-US" w:eastAsia="zh-CN"/>
                    </w:rPr>
                    <w:t>0</w:t>
                  </w:r>
                </w:p>
              </w:tc>
              <w:tc>
                <w:tcPr>
                  <w:tcW w:w="365" w:type="pct"/>
                  <w:vAlign w:val="center"/>
                </w:tcPr>
                <w:p>
                  <w:pPr>
                    <w:pStyle w:val="38"/>
                    <w:spacing w:line="216" w:lineRule="auto"/>
                    <w:jc w:val="center"/>
                    <w:rPr>
                      <w:rFonts w:cs="Times New Roman"/>
                      <w:sz w:val="18"/>
                      <w:szCs w:val="18"/>
                    </w:rPr>
                  </w:pPr>
                  <w:r>
                    <w:rPr>
                      <w:rFonts w:hint="eastAsia" w:cs="Times New Roman"/>
                      <w:sz w:val="18"/>
                      <w:szCs w:val="18"/>
                      <w:lang w:val="en-US" w:eastAsia="zh-CN"/>
                    </w:rPr>
                    <w:t>7</w:t>
                  </w:r>
                </w:p>
              </w:tc>
              <w:tc>
                <w:tcPr>
                  <w:tcW w:w="400" w:type="pct"/>
                  <w:vAlign w:val="center"/>
                </w:tcPr>
                <w:p>
                  <w:pPr>
                    <w:pStyle w:val="38"/>
                    <w:spacing w:line="216" w:lineRule="auto"/>
                    <w:jc w:val="center"/>
                    <w:rPr>
                      <w:rFonts w:cs="Times New Roman"/>
                      <w:sz w:val="18"/>
                      <w:szCs w:val="18"/>
                    </w:rPr>
                  </w:pPr>
                  <w:r>
                    <w:rPr>
                      <w:rFonts w:hint="default" w:cs="Times New Roman"/>
                      <w:sz w:val="18"/>
                      <w:szCs w:val="18"/>
                      <w:lang w:val="en-US" w:eastAsia="zh-CN"/>
                    </w:rPr>
                    <w:t>57.10</w:t>
                  </w:r>
                </w:p>
              </w:tc>
              <w:tc>
                <w:tcPr>
                  <w:tcW w:w="363" w:type="pct"/>
                  <w:vAlign w:val="center"/>
                </w:tcPr>
                <w:p>
                  <w:pPr>
                    <w:pStyle w:val="38"/>
                    <w:spacing w:line="216" w:lineRule="auto"/>
                    <w:jc w:val="center"/>
                    <w:rPr>
                      <w:rFonts w:cs="Times New Roman"/>
                      <w:sz w:val="18"/>
                      <w:szCs w:val="18"/>
                    </w:rPr>
                  </w:pPr>
                  <w:r>
                    <w:rPr>
                      <w:rFonts w:cs="Times New Roman"/>
                      <w:sz w:val="18"/>
                      <w:szCs w:val="18"/>
                    </w:rPr>
                    <w:t>连续</w:t>
                  </w:r>
                </w:p>
              </w:tc>
              <w:tc>
                <w:tcPr>
                  <w:tcW w:w="378" w:type="pct"/>
                  <w:vAlign w:val="center"/>
                </w:tcPr>
                <w:p>
                  <w:pPr>
                    <w:pStyle w:val="38"/>
                    <w:spacing w:line="216" w:lineRule="auto"/>
                    <w:jc w:val="center"/>
                    <w:rPr>
                      <w:rFonts w:hint="default" w:cs="Times New Roman"/>
                      <w:sz w:val="18"/>
                      <w:szCs w:val="18"/>
                      <w:lang w:val="en-US" w:eastAsia="zh-CN"/>
                    </w:rPr>
                  </w:pPr>
                  <w:r>
                    <w:rPr>
                      <w:rFonts w:hint="eastAsia" w:cs="Times New Roman"/>
                      <w:sz w:val="18"/>
                      <w:szCs w:val="18"/>
                      <w:lang w:val="en-US" w:eastAsia="zh-CN"/>
                    </w:rPr>
                    <w:t>40</w:t>
                  </w:r>
                </w:p>
              </w:tc>
              <w:tc>
                <w:tcPr>
                  <w:tcW w:w="445" w:type="pct"/>
                  <w:vAlign w:val="center"/>
                </w:tcPr>
                <w:p>
                  <w:pPr>
                    <w:pStyle w:val="38"/>
                    <w:spacing w:line="216" w:lineRule="auto"/>
                    <w:jc w:val="center"/>
                    <w:rPr>
                      <w:rFonts w:cs="Times New Roman"/>
                      <w:sz w:val="18"/>
                      <w:szCs w:val="18"/>
                    </w:rPr>
                  </w:pPr>
                  <w:r>
                    <w:rPr>
                      <w:rFonts w:hint="default" w:cs="Times New Roman"/>
                      <w:sz w:val="18"/>
                      <w:szCs w:val="18"/>
                      <w:lang w:val="en-US" w:eastAsia="zh-CN"/>
                    </w:rPr>
                    <w:t>11.10</w:t>
                  </w:r>
                </w:p>
              </w:tc>
              <w:tc>
                <w:tcPr>
                  <w:tcW w:w="353" w:type="pct"/>
                  <w:vAlign w:val="center"/>
                </w:tcPr>
                <w:p>
                  <w:pPr>
                    <w:pStyle w:val="38"/>
                    <w:spacing w:line="216" w:lineRule="auto"/>
                    <w:jc w:val="center"/>
                    <w:rPr>
                      <w:rFonts w:hint="eastAsia" w:cs="Times New Roman"/>
                      <w:sz w:val="18"/>
                      <w:szCs w:val="18"/>
                      <w:lang w:val="en-US" w:eastAsia="zh-CN"/>
                    </w:rPr>
                  </w:pPr>
                  <w:r>
                    <w:rPr>
                      <w:rFonts w:hint="eastAsia" w:cs="Times New Roman"/>
                      <w:sz w:val="18"/>
                      <w:szCs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Align w:val="center"/>
                </w:tcPr>
                <w:p>
                  <w:pPr>
                    <w:keepNext w:val="0"/>
                    <w:keepLines w:val="0"/>
                    <w:widowControl/>
                    <w:suppressLineNumbers w:val="0"/>
                    <w:spacing w:line="216" w:lineRule="auto"/>
                    <w:jc w:val="center"/>
                    <w:textAlignment w:val="center"/>
                    <w:rPr>
                      <w:sz w:val="18"/>
                      <w:szCs w:val="18"/>
                    </w:rPr>
                  </w:pPr>
                  <w:r>
                    <w:rPr>
                      <w:rFonts w:hint="default" w:ascii="Times New Roman" w:hAnsi="Times New Roman" w:eastAsia="宋体" w:cs="Times New Roman"/>
                      <w:i w:val="0"/>
                      <w:iCs w:val="0"/>
                      <w:color w:val="000000"/>
                      <w:kern w:val="0"/>
                      <w:sz w:val="18"/>
                      <w:szCs w:val="18"/>
                      <w:u w:val="none"/>
                      <w:lang w:val="en-US" w:eastAsia="zh-CN" w:bidi="ar"/>
                    </w:rPr>
                    <w:t>5</w:t>
                  </w:r>
                </w:p>
              </w:tc>
              <w:tc>
                <w:tcPr>
                  <w:tcW w:w="248" w:type="pct"/>
                  <w:vMerge w:val="continue"/>
                  <w:vAlign w:val="center"/>
                </w:tcPr>
                <w:p>
                  <w:pPr>
                    <w:spacing w:line="216" w:lineRule="auto"/>
                    <w:jc w:val="center"/>
                    <w:rPr>
                      <w:sz w:val="18"/>
                      <w:szCs w:val="18"/>
                    </w:rPr>
                  </w:pPr>
                </w:p>
              </w:tc>
              <w:tc>
                <w:tcPr>
                  <w:tcW w:w="475" w:type="pct"/>
                  <w:shd w:val="clear" w:color="auto" w:fill="auto"/>
                  <w:vAlign w:val="center"/>
                </w:tcPr>
                <w:p>
                  <w:pPr>
                    <w:pStyle w:val="38"/>
                    <w:spacing w:line="216" w:lineRule="auto"/>
                    <w:rPr>
                      <w:rFonts w:ascii="Times New Roman" w:hAnsi="Times New Roman" w:eastAsia="宋体" w:cs="Times New Roman"/>
                      <w:kern w:val="2"/>
                      <w:sz w:val="18"/>
                      <w:szCs w:val="18"/>
                      <w:lang w:val="en-US" w:eastAsia="zh-CN" w:bidi="ar-SA"/>
                    </w:rPr>
                  </w:pPr>
                  <w:r>
                    <w:rPr>
                      <w:rFonts w:cs="Times New Roman"/>
                      <w:sz w:val="18"/>
                      <w:szCs w:val="18"/>
                    </w:rPr>
                    <w:t>2</w:t>
                  </w:r>
                </w:p>
              </w:tc>
              <w:tc>
                <w:tcPr>
                  <w:tcW w:w="381" w:type="pct"/>
                  <w:shd w:val="clear" w:color="auto" w:fill="auto"/>
                  <w:vAlign w:val="center"/>
                </w:tcPr>
                <w:p>
                  <w:pPr>
                    <w:spacing w:line="216" w:lineRule="auto"/>
                    <w:jc w:val="center"/>
                    <w:rPr>
                      <w:rFonts w:ascii="Times New Roman" w:hAnsi="Times New Roman" w:eastAsia="宋体" w:cs="Times New Roman"/>
                      <w:kern w:val="2"/>
                      <w:sz w:val="18"/>
                      <w:szCs w:val="18"/>
                      <w:lang w:val="en-US" w:eastAsia="zh-CN" w:bidi="ar-SA"/>
                    </w:rPr>
                  </w:pPr>
                  <w:r>
                    <w:rPr>
                      <w:sz w:val="18"/>
                      <w:szCs w:val="18"/>
                    </w:rPr>
                    <w:t>85</w:t>
                  </w:r>
                </w:p>
              </w:tc>
              <w:tc>
                <w:tcPr>
                  <w:tcW w:w="480" w:type="pct"/>
                  <w:vMerge w:val="continue"/>
                  <w:vAlign w:val="center"/>
                </w:tcPr>
                <w:p>
                  <w:pPr>
                    <w:spacing w:line="216" w:lineRule="auto"/>
                    <w:jc w:val="center"/>
                    <w:rPr>
                      <w:sz w:val="18"/>
                      <w:szCs w:val="18"/>
                    </w:rPr>
                  </w:pPr>
                </w:p>
              </w:tc>
              <w:tc>
                <w:tcPr>
                  <w:tcW w:w="247" w:type="pct"/>
                  <w:shd w:val="clear" w:color="auto" w:fill="auto"/>
                  <w:vAlign w:val="center"/>
                </w:tcPr>
                <w:p>
                  <w:pPr>
                    <w:widowControl/>
                    <w:spacing w:line="216" w:lineRule="auto"/>
                    <w:jc w:val="center"/>
                    <w:textAlignment w:val="center"/>
                    <w:rPr>
                      <w:rFonts w:ascii="Times New Roman" w:hAnsi="Times New Roman" w:eastAsia="宋体" w:cs="Times New Roman"/>
                      <w:kern w:val="2"/>
                      <w:sz w:val="18"/>
                      <w:szCs w:val="18"/>
                      <w:lang w:val="en-US" w:eastAsia="zh-CN" w:bidi="ar-SA"/>
                    </w:rPr>
                  </w:pPr>
                  <w:r>
                    <w:rPr>
                      <w:color w:val="000000"/>
                      <w:kern w:val="0"/>
                      <w:sz w:val="18"/>
                      <w:szCs w:val="18"/>
                      <w:lang w:bidi="ar"/>
                    </w:rPr>
                    <w:t>20</w:t>
                  </w:r>
                </w:p>
              </w:tc>
              <w:tc>
                <w:tcPr>
                  <w:tcW w:w="333" w:type="pct"/>
                  <w:shd w:val="clear" w:color="auto" w:fill="auto"/>
                  <w:vAlign w:val="center"/>
                </w:tcPr>
                <w:p>
                  <w:pPr>
                    <w:widowControl/>
                    <w:spacing w:line="216" w:lineRule="auto"/>
                    <w:jc w:val="center"/>
                    <w:textAlignment w:val="center"/>
                    <w:rPr>
                      <w:rFonts w:ascii="Times New Roman" w:hAnsi="Times New Roman" w:eastAsia="宋体" w:cs="Times New Roman"/>
                      <w:kern w:val="2"/>
                      <w:sz w:val="18"/>
                      <w:szCs w:val="18"/>
                      <w:lang w:val="en-US" w:eastAsia="zh-CN" w:bidi="ar-SA"/>
                    </w:rPr>
                  </w:pPr>
                  <w:r>
                    <w:rPr>
                      <w:color w:val="000000"/>
                      <w:kern w:val="0"/>
                      <w:sz w:val="18"/>
                      <w:szCs w:val="18"/>
                      <w:lang w:bidi="ar"/>
                    </w:rPr>
                    <w:t>29.5</w:t>
                  </w:r>
                </w:p>
              </w:tc>
              <w:tc>
                <w:tcPr>
                  <w:tcW w:w="277" w:type="pct"/>
                  <w:shd w:val="clear" w:color="auto" w:fill="auto"/>
                  <w:vAlign w:val="center"/>
                </w:tcPr>
                <w:p>
                  <w:pPr>
                    <w:widowControl/>
                    <w:spacing w:line="216" w:lineRule="auto"/>
                    <w:jc w:val="center"/>
                    <w:textAlignment w:val="center"/>
                    <w:rPr>
                      <w:rFonts w:ascii="Times New Roman" w:hAnsi="Times New Roman" w:eastAsia="宋体" w:cs="Times New Roman"/>
                      <w:kern w:val="2"/>
                      <w:sz w:val="18"/>
                      <w:szCs w:val="18"/>
                      <w:lang w:val="en-US" w:eastAsia="zh-CN" w:bidi="ar-SA"/>
                    </w:rPr>
                  </w:pPr>
                  <w:r>
                    <w:rPr>
                      <w:color w:val="000000"/>
                      <w:kern w:val="0"/>
                      <w:sz w:val="18"/>
                      <w:szCs w:val="18"/>
                      <w:lang w:bidi="ar"/>
                    </w:rPr>
                    <w:t>0</w:t>
                  </w:r>
                </w:p>
              </w:tc>
              <w:tc>
                <w:tcPr>
                  <w:tcW w:w="365" w:type="pct"/>
                  <w:shd w:val="clear" w:color="auto" w:fill="auto"/>
                  <w:vAlign w:val="center"/>
                </w:tcPr>
                <w:p>
                  <w:pPr>
                    <w:widowControl/>
                    <w:spacing w:line="216" w:lineRule="auto"/>
                    <w:jc w:val="center"/>
                    <w:textAlignment w:val="center"/>
                    <w:rPr>
                      <w:rFonts w:ascii="Times New Roman" w:hAnsi="Times New Roman" w:eastAsia="宋体" w:cs="Times New Roman"/>
                      <w:kern w:val="2"/>
                      <w:sz w:val="18"/>
                      <w:szCs w:val="18"/>
                      <w:lang w:val="en-US" w:eastAsia="zh-CN" w:bidi="ar-SA"/>
                    </w:rPr>
                  </w:pPr>
                  <w:r>
                    <w:rPr>
                      <w:color w:val="000000"/>
                      <w:kern w:val="0"/>
                      <w:sz w:val="18"/>
                      <w:szCs w:val="18"/>
                      <w:lang w:bidi="ar"/>
                    </w:rPr>
                    <w:t>8</w:t>
                  </w:r>
                </w:p>
              </w:tc>
              <w:tc>
                <w:tcPr>
                  <w:tcW w:w="400" w:type="pct"/>
                  <w:shd w:val="clear" w:color="auto" w:fill="auto"/>
                  <w:vAlign w:val="center"/>
                </w:tcPr>
                <w:p>
                  <w:pPr>
                    <w:widowControl/>
                    <w:spacing w:line="216" w:lineRule="auto"/>
                    <w:jc w:val="center"/>
                    <w:textAlignment w:val="center"/>
                    <w:rPr>
                      <w:rFonts w:ascii="Times New Roman" w:hAnsi="Times New Roman" w:eastAsia="宋体" w:cs="Times New Roman"/>
                      <w:kern w:val="2"/>
                      <w:sz w:val="18"/>
                      <w:szCs w:val="18"/>
                      <w:lang w:val="en-US" w:eastAsia="zh-CN" w:bidi="ar-SA"/>
                    </w:rPr>
                  </w:pPr>
                  <w:r>
                    <w:rPr>
                      <w:color w:val="000000"/>
                      <w:kern w:val="0"/>
                      <w:sz w:val="18"/>
                      <w:szCs w:val="18"/>
                      <w:lang w:bidi="ar"/>
                    </w:rPr>
                    <w:t>55.94</w:t>
                  </w:r>
                </w:p>
              </w:tc>
              <w:tc>
                <w:tcPr>
                  <w:tcW w:w="363" w:type="pct"/>
                  <w:shd w:val="clear" w:color="auto" w:fill="auto"/>
                  <w:vAlign w:val="center"/>
                </w:tcPr>
                <w:p>
                  <w:pPr>
                    <w:widowControl/>
                    <w:spacing w:line="216" w:lineRule="auto"/>
                    <w:jc w:val="center"/>
                    <w:textAlignment w:val="center"/>
                    <w:rPr>
                      <w:rFonts w:ascii="Times New Roman" w:hAnsi="Times New Roman" w:eastAsia="宋体" w:cs="Times New Roman"/>
                      <w:kern w:val="2"/>
                      <w:sz w:val="18"/>
                      <w:szCs w:val="18"/>
                      <w:lang w:val="en-US" w:eastAsia="zh-CN" w:bidi="ar-SA"/>
                    </w:rPr>
                  </w:pPr>
                  <w:r>
                    <w:rPr>
                      <w:color w:val="000000"/>
                      <w:kern w:val="0"/>
                      <w:sz w:val="18"/>
                      <w:szCs w:val="18"/>
                      <w:lang w:bidi="ar"/>
                    </w:rPr>
                    <w:t>连续</w:t>
                  </w:r>
                </w:p>
              </w:tc>
              <w:tc>
                <w:tcPr>
                  <w:tcW w:w="378" w:type="pct"/>
                  <w:shd w:val="clear" w:color="auto" w:fill="auto"/>
                  <w:vAlign w:val="center"/>
                </w:tcPr>
                <w:p>
                  <w:pPr>
                    <w:widowControl/>
                    <w:spacing w:line="216" w:lineRule="auto"/>
                    <w:jc w:val="center"/>
                    <w:textAlignment w:val="center"/>
                    <w:rPr>
                      <w:rFonts w:ascii="Times New Roman" w:hAnsi="Times New Roman" w:eastAsia="宋体" w:cs="Times New Roman"/>
                      <w:kern w:val="2"/>
                      <w:sz w:val="18"/>
                      <w:szCs w:val="18"/>
                      <w:lang w:val="en-US" w:eastAsia="zh-CN" w:bidi="ar-SA"/>
                    </w:rPr>
                  </w:pPr>
                  <w:r>
                    <w:rPr>
                      <w:color w:val="000000"/>
                      <w:kern w:val="0"/>
                      <w:sz w:val="18"/>
                      <w:szCs w:val="18"/>
                      <w:lang w:bidi="ar"/>
                    </w:rPr>
                    <w:t>40</w:t>
                  </w:r>
                </w:p>
              </w:tc>
              <w:tc>
                <w:tcPr>
                  <w:tcW w:w="445" w:type="pct"/>
                  <w:shd w:val="clear" w:color="auto" w:fill="auto"/>
                  <w:vAlign w:val="center"/>
                </w:tcPr>
                <w:p>
                  <w:pPr>
                    <w:widowControl/>
                    <w:spacing w:line="216" w:lineRule="auto"/>
                    <w:jc w:val="center"/>
                    <w:textAlignment w:val="center"/>
                    <w:rPr>
                      <w:rFonts w:ascii="Times New Roman" w:hAnsi="Times New Roman" w:eastAsia="宋体" w:cs="Times New Roman"/>
                      <w:kern w:val="2"/>
                      <w:sz w:val="18"/>
                      <w:szCs w:val="18"/>
                      <w:lang w:val="en-US" w:eastAsia="zh-CN" w:bidi="ar-SA"/>
                    </w:rPr>
                  </w:pPr>
                  <w:r>
                    <w:rPr>
                      <w:color w:val="000000"/>
                      <w:kern w:val="0"/>
                      <w:sz w:val="18"/>
                      <w:szCs w:val="18"/>
                      <w:lang w:bidi="ar"/>
                    </w:rPr>
                    <w:t>12.95</w:t>
                  </w:r>
                </w:p>
              </w:tc>
              <w:tc>
                <w:tcPr>
                  <w:tcW w:w="353" w:type="pct"/>
                  <w:shd w:val="clear" w:color="auto" w:fill="auto"/>
                  <w:vAlign w:val="center"/>
                </w:tcPr>
                <w:p>
                  <w:pPr>
                    <w:spacing w:line="216" w:lineRule="auto"/>
                    <w:jc w:val="center"/>
                    <w:rPr>
                      <w:rFonts w:hint="eastAsia" w:ascii="Times New Roman" w:hAnsi="Times New Roman" w:eastAsia="宋体" w:cs="Times New Roman"/>
                      <w:kern w:val="2"/>
                      <w:sz w:val="18"/>
                      <w:szCs w:val="18"/>
                      <w:lang w:val="en-US" w:eastAsia="zh-CN" w:bidi="ar-SA"/>
                    </w:rPr>
                  </w:pPr>
                  <w:r>
                    <w:rPr>
                      <w:rFonts w:hint="eastAsia"/>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Align w:val="center"/>
                </w:tcPr>
                <w:p>
                  <w:pPr>
                    <w:keepNext w:val="0"/>
                    <w:keepLines w:val="0"/>
                    <w:widowControl/>
                    <w:suppressLineNumbers w:val="0"/>
                    <w:spacing w:line="216" w:lineRule="auto"/>
                    <w:jc w:val="center"/>
                    <w:textAlignment w:val="center"/>
                    <w:rPr>
                      <w:sz w:val="18"/>
                      <w:szCs w:val="18"/>
                    </w:rPr>
                  </w:pPr>
                  <w:r>
                    <w:rPr>
                      <w:rFonts w:hint="default" w:ascii="Times New Roman" w:hAnsi="Times New Roman" w:eastAsia="宋体" w:cs="Times New Roman"/>
                      <w:i w:val="0"/>
                      <w:iCs w:val="0"/>
                      <w:color w:val="000000"/>
                      <w:kern w:val="0"/>
                      <w:sz w:val="18"/>
                      <w:szCs w:val="18"/>
                      <w:u w:val="none"/>
                      <w:lang w:val="en-US" w:eastAsia="zh-CN" w:bidi="ar"/>
                    </w:rPr>
                    <w:t>6</w:t>
                  </w:r>
                </w:p>
              </w:tc>
              <w:tc>
                <w:tcPr>
                  <w:tcW w:w="248" w:type="pct"/>
                  <w:vMerge w:val="continue"/>
                  <w:vAlign w:val="center"/>
                </w:tcPr>
                <w:p>
                  <w:pPr>
                    <w:spacing w:line="216" w:lineRule="auto"/>
                    <w:jc w:val="center"/>
                    <w:rPr>
                      <w:sz w:val="18"/>
                      <w:szCs w:val="18"/>
                    </w:rPr>
                  </w:pPr>
                </w:p>
              </w:tc>
              <w:tc>
                <w:tcPr>
                  <w:tcW w:w="475" w:type="pct"/>
                  <w:vAlign w:val="center"/>
                </w:tcPr>
                <w:p>
                  <w:pPr>
                    <w:pStyle w:val="38"/>
                    <w:spacing w:line="216" w:lineRule="auto"/>
                    <w:rPr>
                      <w:rFonts w:cs="Times New Roman"/>
                      <w:sz w:val="18"/>
                      <w:szCs w:val="18"/>
                    </w:rPr>
                  </w:pPr>
                  <w:r>
                    <w:rPr>
                      <w:rFonts w:cs="Times New Roman"/>
                      <w:sz w:val="18"/>
                      <w:szCs w:val="18"/>
                    </w:rPr>
                    <w:t>1</w:t>
                  </w:r>
                </w:p>
              </w:tc>
              <w:tc>
                <w:tcPr>
                  <w:tcW w:w="381" w:type="pct"/>
                  <w:vAlign w:val="center"/>
                </w:tcPr>
                <w:p>
                  <w:pPr>
                    <w:spacing w:line="216" w:lineRule="auto"/>
                    <w:jc w:val="center"/>
                    <w:rPr>
                      <w:sz w:val="18"/>
                      <w:szCs w:val="18"/>
                    </w:rPr>
                  </w:pPr>
                  <w:r>
                    <w:rPr>
                      <w:sz w:val="18"/>
                      <w:szCs w:val="18"/>
                    </w:rPr>
                    <w:t>75</w:t>
                  </w:r>
                </w:p>
              </w:tc>
              <w:tc>
                <w:tcPr>
                  <w:tcW w:w="480" w:type="pct"/>
                  <w:vMerge w:val="continue"/>
                  <w:vAlign w:val="center"/>
                </w:tcPr>
                <w:p>
                  <w:pPr>
                    <w:spacing w:line="216" w:lineRule="auto"/>
                    <w:jc w:val="center"/>
                    <w:rPr>
                      <w:sz w:val="18"/>
                      <w:szCs w:val="18"/>
                    </w:rPr>
                  </w:pPr>
                </w:p>
              </w:tc>
              <w:tc>
                <w:tcPr>
                  <w:tcW w:w="247" w:type="pct"/>
                  <w:vAlign w:val="center"/>
                </w:tcPr>
                <w:p>
                  <w:pPr>
                    <w:widowControl/>
                    <w:spacing w:line="216" w:lineRule="auto"/>
                    <w:jc w:val="center"/>
                    <w:textAlignment w:val="center"/>
                    <w:rPr>
                      <w:sz w:val="18"/>
                      <w:szCs w:val="18"/>
                    </w:rPr>
                  </w:pPr>
                  <w:r>
                    <w:rPr>
                      <w:color w:val="000000"/>
                      <w:kern w:val="0"/>
                      <w:sz w:val="18"/>
                      <w:szCs w:val="18"/>
                      <w:lang w:bidi="ar"/>
                    </w:rPr>
                    <w:t>25</w:t>
                  </w:r>
                </w:p>
              </w:tc>
              <w:tc>
                <w:tcPr>
                  <w:tcW w:w="333" w:type="pct"/>
                  <w:vAlign w:val="center"/>
                </w:tcPr>
                <w:p>
                  <w:pPr>
                    <w:widowControl/>
                    <w:spacing w:line="216" w:lineRule="auto"/>
                    <w:jc w:val="center"/>
                    <w:textAlignment w:val="center"/>
                    <w:rPr>
                      <w:sz w:val="18"/>
                      <w:szCs w:val="18"/>
                    </w:rPr>
                  </w:pPr>
                  <w:r>
                    <w:rPr>
                      <w:color w:val="000000"/>
                      <w:kern w:val="0"/>
                      <w:sz w:val="18"/>
                      <w:szCs w:val="18"/>
                      <w:lang w:bidi="ar"/>
                    </w:rPr>
                    <w:t>19</w:t>
                  </w:r>
                </w:p>
              </w:tc>
              <w:tc>
                <w:tcPr>
                  <w:tcW w:w="277" w:type="pct"/>
                  <w:vAlign w:val="center"/>
                </w:tcPr>
                <w:p>
                  <w:pPr>
                    <w:widowControl/>
                    <w:spacing w:line="216" w:lineRule="auto"/>
                    <w:jc w:val="center"/>
                    <w:textAlignment w:val="center"/>
                    <w:rPr>
                      <w:sz w:val="18"/>
                      <w:szCs w:val="18"/>
                    </w:rPr>
                  </w:pPr>
                  <w:r>
                    <w:rPr>
                      <w:color w:val="000000"/>
                      <w:kern w:val="0"/>
                      <w:sz w:val="18"/>
                      <w:szCs w:val="18"/>
                      <w:lang w:bidi="ar"/>
                    </w:rPr>
                    <w:t>1.5</w:t>
                  </w:r>
                </w:p>
              </w:tc>
              <w:tc>
                <w:tcPr>
                  <w:tcW w:w="365" w:type="pct"/>
                  <w:vAlign w:val="center"/>
                </w:tcPr>
                <w:p>
                  <w:pPr>
                    <w:widowControl/>
                    <w:spacing w:line="216" w:lineRule="auto"/>
                    <w:jc w:val="center"/>
                    <w:textAlignment w:val="center"/>
                    <w:rPr>
                      <w:sz w:val="18"/>
                      <w:szCs w:val="18"/>
                    </w:rPr>
                  </w:pPr>
                  <w:r>
                    <w:rPr>
                      <w:color w:val="000000"/>
                      <w:kern w:val="0"/>
                      <w:sz w:val="18"/>
                      <w:szCs w:val="18"/>
                      <w:lang w:bidi="ar"/>
                    </w:rPr>
                    <w:t>7</w:t>
                  </w:r>
                </w:p>
              </w:tc>
              <w:tc>
                <w:tcPr>
                  <w:tcW w:w="400" w:type="pct"/>
                  <w:vAlign w:val="center"/>
                </w:tcPr>
                <w:p>
                  <w:pPr>
                    <w:widowControl/>
                    <w:spacing w:line="216" w:lineRule="auto"/>
                    <w:jc w:val="center"/>
                    <w:textAlignment w:val="center"/>
                    <w:rPr>
                      <w:sz w:val="18"/>
                      <w:szCs w:val="18"/>
                    </w:rPr>
                  </w:pPr>
                  <w:r>
                    <w:rPr>
                      <w:color w:val="000000"/>
                      <w:kern w:val="0"/>
                      <w:sz w:val="18"/>
                      <w:szCs w:val="18"/>
                      <w:lang w:bidi="ar"/>
                    </w:rPr>
                    <w:t>47.10</w:t>
                  </w:r>
                </w:p>
              </w:tc>
              <w:tc>
                <w:tcPr>
                  <w:tcW w:w="363" w:type="pct"/>
                  <w:vAlign w:val="center"/>
                </w:tcPr>
                <w:p>
                  <w:pPr>
                    <w:widowControl/>
                    <w:spacing w:line="216" w:lineRule="auto"/>
                    <w:jc w:val="center"/>
                    <w:textAlignment w:val="center"/>
                    <w:rPr>
                      <w:sz w:val="18"/>
                      <w:szCs w:val="18"/>
                    </w:rPr>
                  </w:pPr>
                  <w:r>
                    <w:rPr>
                      <w:color w:val="000000"/>
                      <w:kern w:val="0"/>
                      <w:sz w:val="18"/>
                      <w:szCs w:val="18"/>
                      <w:lang w:bidi="ar"/>
                    </w:rPr>
                    <w:t>连续</w:t>
                  </w:r>
                </w:p>
              </w:tc>
              <w:tc>
                <w:tcPr>
                  <w:tcW w:w="378" w:type="pct"/>
                  <w:vAlign w:val="center"/>
                </w:tcPr>
                <w:p>
                  <w:pPr>
                    <w:widowControl/>
                    <w:spacing w:line="216" w:lineRule="auto"/>
                    <w:jc w:val="center"/>
                    <w:textAlignment w:val="center"/>
                    <w:rPr>
                      <w:sz w:val="18"/>
                      <w:szCs w:val="18"/>
                    </w:rPr>
                  </w:pPr>
                  <w:r>
                    <w:rPr>
                      <w:color w:val="000000"/>
                      <w:kern w:val="0"/>
                      <w:sz w:val="18"/>
                      <w:szCs w:val="18"/>
                      <w:lang w:bidi="ar"/>
                    </w:rPr>
                    <w:t>40</w:t>
                  </w:r>
                </w:p>
              </w:tc>
              <w:tc>
                <w:tcPr>
                  <w:tcW w:w="445" w:type="pct"/>
                  <w:vAlign w:val="center"/>
                </w:tcPr>
                <w:p>
                  <w:pPr>
                    <w:widowControl/>
                    <w:spacing w:line="216" w:lineRule="auto"/>
                    <w:jc w:val="center"/>
                    <w:textAlignment w:val="center"/>
                    <w:rPr>
                      <w:sz w:val="18"/>
                      <w:szCs w:val="18"/>
                    </w:rPr>
                  </w:pPr>
                  <w:r>
                    <w:rPr>
                      <w:color w:val="000000"/>
                      <w:kern w:val="0"/>
                      <w:sz w:val="18"/>
                      <w:szCs w:val="18"/>
                      <w:lang w:bidi="ar"/>
                    </w:rPr>
                    <w:t>1.10</w:t>
                  </w:r>
                </w:p>
              </w:tc>
              <w:tc>
                <w:tcPr>
                  <w:tcW w:w="353" w:type="pct"/>
                  <w:vAlign w:val="center"/>
                </w:tcPr>
                <w:p>
                  <w:pPr>
                    <w:spacing w:line="216" w:lineRule="auto"/>
                    <w:jc w:val="center"/>
                    <w:rPr>
                      <w:sz w:val="18"/>
                      <w:szCs w:val="18"/>
                    </w:rPr>
                  </w:pPr>
                  <w:r>
                    <w:rPr>
                      <w:rFonts w:hint="eastAsia"/>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Align w:val="center"/>
                </w:tcPr>
                <w:p>
                  <w:pPr>
                    <w:keepNext w:val="0"/>
                    <w:keepLines w:val="0"/>
                    <w:widowControl/>
                    <w:suppressLineNumbers w:val="0"/>
                    <w:spacing w:line="216" w:lineRule="auto"/>
                    <w:jc w:val="center"/>
                    <w:textAlignment w:val="center"/>
                    <w:rPr>
                      <w:sz w:val="18"/>
                      <w:szCs w:val="18"/>
                    </w:rPr>
                  </w:pPr>
                  <w:r>
                    <w:rPr>
                      <w:rFonts w:hint="default" w:ascii="Times New Roman" w:hAnsi="Times New Roman" w:eastAsia="宋体" w:cs="Times New Roman"/>
                      <w:i w:val="0"/>
                      <w:iCs w:val="0"/>
                      <w:color w:val="000000"/>
                      <w:kern w:val="0"/>
                      <w:sz w:val="18"/>
                      <w:szCs w:val="18"/>
                      <w:u w:val="none"/>
                      <w:lang w:val="en-US" w:eastAsia="zh-CN" w:bidi="ar"/>
                    </w:rPr>
                    <w:t>7</w:t>
                  </w:r>
                </w:p>
              </w:tc>
              <w:tc>
                <w:tcPr>
                  <w:tcW w:w="248" w:type="pct"/>
                  <w:vMerge w:val="continue"/>
                  <w:vAlign w:val="center"/>
                </w:tcPr>
                <w:p>
                  <w:pPr>
                    <w:spacing w:line="216" w:lineRule="auto"/>
                    <w:jc w:val="center"/>
                    <w:rPr>
                      <w:sz w:val="18"/>
                      <w:szCs w:val="18"/>
                    </w:rPr>
                  </w:pPr>
                </w:p>
              </w:tc>
              <w:tc>
                <w:tcPr>
                  <w:tcW w:w="475" w:type="pct"/>
                  <w:vAlign w:val="center"/>
                </w:tcPr>
                <w:p>
                  <w:pPr>
                    <w:pStyle w:val="38"/>
                    <w:spacing w:line="216" w:lineRule="auto"/>
                    <w:rPr>
                      <w:rFonts w:cs="Times New Roman"/>
                      <w:sz w:val="18"/>
                      <w:szCs w:val="18"/>
                    </w:rPr>
                  </w:pPr>
                  <w:r>
                    <w:rPr>
                      <w:rFonts w:cs="Times New Roman"/>
                      <w:sz w:val="18"/>
                      <w:szCs w:val="18"/>
                    </w:rPr>
                    <w:t>1</w:t>
                  </w:r>
                </w:p>
              </w:tc>
              <w:tc>
                <w:tcPr>
                  <w:tcW w:w="381" w:type="pct"/>
                  <w:vAlign w:val="center"/>
                </w:tcPr>
                <w:p>
                  <w:pPr>
                    <w:spacing w:line="216" w:lineRule="auto"/>
                    <w:jc w:val="center"/>
                    <w:rPr>
                      <w:sz w:val="18"/>
                      <w:szCs w:val="18"/>
                    </w:rPr>
                  </w:pPr>
                  <w:r>
                    <w:rPr>
                      <w:sz w:val="18"/>
                      <w:szCs w:val="18"/>
                    </w:rPr>
                    <w:t>75</w:t>
                  </w:r>
                </w:p>
              </w:tc>
              <w:tc>
                <w:tcPr>
                  <w:tcW w:w="480" w:type="pct"/>
                  <w:vMerge w:val="continue"/>
                  <w:vAlign w:val="center"/>
                </w:tcPr>
                <w:p>
                  <w:pPr>
                    <w:spacing w:line="216" w:lineRule="auto"/>
                    <w:jc w:val="center"/>
                    <w:rPr>
                      <w:sz w:val="18"/>
                      <w:szCs w:val="18"/>
                    </w:rPr>
                  </w:pPr>
                </w:p>
              </w:tc>
              <w:tc>
                <w:tcPr>
                  <w:tcW w:w="247" w:type="pct"/>
                  <w:vAlign w:val="center"/>
                </w:tcPr>
                <w:p>
                  <w:pPr>
                    <w:widowControl/>
                    <w:spacing w:line="216" w:lineRule="auto"/>
                    <w:jc w:val="center"/>
                    <w:textAlignment w:val="center"/>
                    <w:rPr>
                      <w:sz w:val="18"/>
                      <w:szCs w:val="18"/>
                    </w:rPr>
                  </w:pPr>
                  <w:r>
                    <w:rPr>
                      <w:color w:val="000000"/>
                      <w:kern w:val="0"/>
                      <w:sz w:val="18"/>
                      <w:szCs w:val="18"/>
                      <w:lang w:bidi="ar"/>
                    </w:rPr>
                    <w:t>30</w:t>
                  </w:r>
                </w:p>
              </w:tc>
              <w:tc>
                <w:tcPr>
                  <w:tcW w:w="333" w:type="pct"/>
                  <w:vAlign w:val="center"/>
                </w:tcPr>
                <w:p>
                  <w:pPr>
                    <w:widowControl/>
                    <w:spacing w:line="216" w:lineRule="auto"/>
                    <w:jc w:val="center"/>
                    <w:textAlignment w:val="center"/>
                    <w:rPr>
                      <w:sz w:val="18"/>
                      <w:szCs w:val="18"/>
                    </w:rPr>
                  </w:pPr>
                  <w:r>
                    <w:rPr>
                      <w:color w:val="000000"/>
                      <w:kern w:val="0"/>
                      <w:sz w:val="18"/>
                      <w:szCs w:val="18"/>
                      <w:lang w:bidi="ar"/>
                    </w:rPr>
                    <w:t>25</w:t>
                  </w:r>
                </w:p>
              </w:tc>
              <w:tc>
                <w:tcPr>
                  <w:tcW w:w="277" w:type="pct"/>
                  <w:vAlign w:val="center"/>
                </w:tcPr>
                <w:p>
                  <w:pPr>
                    <w:widowControl/>
                    <w:spacing w:line="216" w:lineRule="auto"/>
                    <w:jc w:val="center"/>
                    <w:textAlignment w:val="center"/>
                    <w:rPr>
                      <w:sz w:val="18"/>
                      <w:szCs w:val="18"/>
                    </w:rPr>
                  </w:pPr>
                  <w:r>
                    <w:rPr>
                      <w:color w:val="000000"/>
                      <w:kern w:val="0"/>
                      <w:sz w:val="18"/>
                      <w:szCs w:val="18"/>
                      <w:lang w:bidi="ar"/>
                    </w:rPr>
                    <w:t>1.5</w:t>
                  </w:r>
                </w:p>
              </w:tc>
              <w:tc>
                <w:tcPr>
                  <w:tcW w:w="365" w:type="pct"/>
                  <w:vAlign w:val="center"/>
                </w:tcPr>
                <w:p>
                  <w:pPr>
                    <w:widowControl/>
                    <w:spacing w:line="216" w:lineRule="auto"/>
                    <w:jc w:val="center"/>
                    <w:textAlignment w:val="center"/>
                    <w:rPr>
                      <w:sz w:val="18"/>
                      <w:szCs w:val="18"/>
                    </w:rPr>
                  </w:pPr>
                  <w:r>
                    <w:rPr>
                      <w:color w:val="000000"/>
                      <w:kern w:val="0"/>
                      <w:sz w:val="18"/>
                      <w:szCs w:val="18"/>
                      <w:lang w:bidi="ar"/>
                    </w:rPr>
                    <w:t>5</w:t>
                  </w:r>
                </w:p>
              </w:tc>
              <w:tc>
                <w:tcPr>
                  <w:tcW w:w="400" w:type="pct"/>
                  <w:vAlign w:val="center"/>
                </w:tcPr>
                <w:p>
                  <w:pPr>
                    <w:widowControl/>
                    <w:spacing w:line="216" w:lineRule="auto"/>
                    <w:jc w:val="center"/>
                    <w:textAlignment w:val="center"/>
                    <w:rPr>
                      <w:sz w:val="18"/>
                      <w:szCs w:val="18"/>
                    </w:rPr>
                  </w:pPr>
                  <w:r>
                    <w:rPr>
                      <w:color w:val="000000"/>
                      <w:kern w:val="0"/>
                      <w:sz w:val="18"/>
                      <w:szCs w:val="18"/>
                      <w:lang w:bidi="ar"/>
                    </w:rPr>
                    <w:t>50.02</w:t>
                  </w:r>
                </w:p>
              </w:tc>
              <w:tc>
                <w:tcPr>
                  <w:tcW w:w="363" w:type="pct"/>
                  <w:vAlign w:val="center"/>
                </w:tcPr>
                <w:p>
                  <w:pPr>
                    <w:widowControl/>
                    <w:spacing w:line="216" w:lineRule="auto"/>
                    <w:jc w:val="center"/>
                    <w:textAlignment w:val="center"/>
                    <w:rPr>
                      <w:sz w:val="18"/>
                      <w:szCs w:val="18"/>
                    </w:rPr>
                  </w:pPr>
                  <w:r>
                    <w:rPr>
                      <w:color w:val="000000"/>
                      <w:kern w:val="0"/>
                      <w:sz w:val="18"/>
                      <w:szCs w:val="18"/>
                      <w:lang w:bidi="ar"/>
                    </w:rPr>
                    <w:t>连续</w:t>
                  </w:r>
                </w:p>
              </w:tc>
              <w:tc>
                <w:tcPr>
                  <w:tcW w:w="378" w:type="pct"/>
                  <w:vAlign w:val="center"/>
                </w:tcPr>
                <w:p>
                  <w:pPr>
                    <w:widowControl/>
                    <w:spacing w:line="216" w:lineRule="auto"/>
                    <w:jc w:val="center"/>
                    <w:textAlignment w:val="center"/>
                    <w:rPr>
                      <w:sz w:val="18"/>
                      <w:szCs w:val="18"/>
                    </w:rPr>
                  </w:pPr>
                  <w:r>
                    <w:rPr>
                      <w:color w:val="000000"/>
                      <w:kern w:val="0"/>
                      <w:sz w:val="18"/>
                      <w:szCs w:val="18"/>
                      <w:lang w:bidi="ar"/>
                    </w:rPr>
                    <w:t>40</w:t>
                  </w:r>
                </w:p>
              </w:tc>
              <w:tc>
                <w:tcPr>
                  <w:tcW w:w="445" w:type="pct"/>
                  <w:vAlign w:val="center"/>
                </w:tcPr>
                <w:p>
                  <w:pPr>
                    <w:widowControl/>
                    <w:spacing w:line="216" w:lineRule="auto"/>
                    <w:jc w:val="center"/>
                    <w:textAlignment w:val="center"/>
                    <w:rPr>
                      <w:sz w:val="18"/>
                      <w:szCs w:val="18"/>
                    </w:rPr>
                  </w:pPr>
                  <w:r>
                    <w:rPr>
                      <w:color w:val="000000"/>
                      <w:kern w:val="0"/>
                      <w:sz w:val="18"/>
                      <w:szCs w:val="18"/>
                      <w:lang w:bidi="ar"/>
                    </w:rPr>
                    <w:t>4.02</w:t>
                  </w:r>
                </w:p>
              </w:tc>
              <w:tc>
                <w:tcPr>
                  <w:tcW w:w="353" w:type="pct"/>
                  <w:vAlign w:val="center"/>
                </w:tcPr>
                <w:p>
                  <w:pPr>
                    <w:spacing w:line="216" w:lineRule="auto"/>
                    <w:jc w:val="center"/>
                    <w:rPr>
                      <w:sz w:val="18"/>
                      <w:szCs w:val="18"/>
                    </w:rPr>
                  </w:pPr>
                  <w:r>
                    <w:rPr>
                      <w:rFonts w:hint="eastAsia"/>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Align w:val="center"/>
                </w:tcPr>
                <w:p>
                  <w:pPr>
                    <w:keepNext w:val="0"/>
                    <w:keepLines w:val="0"/>
                    <w:widowControl/>
                    <w:suppressLineNumbers w:val="0"/>
                    <w:spacing w:line="216" w:lineRule="auto"/>
                    <w:jc w:val="center"/>
                    <w:textAlignment w:val="center"/>
                    <w:rPr>
                      <w:sz w:val="18"/>
                      <w:szCs w:val="18"/>
                    </w:rPr>
                  </w:pPr>
                  <w:r>
                    <w:rPr>
                      <w:rFonts w:hint="default" w:ascii="Times New Roman" w:hAnsi="Times New Roman" w:eastAsia="宋体" w:cs="Times New Roman"/>
                      <w:i w:val="0"/>
                      <w:iCs w:val="0"/>
                      <w:color w:val="000000"/>
                      <w:kern w:val="0"/>
                      <w:sz w:val="18"/>
                      <w:szCs w:val="18"/>
                      <w:u w:val="none"/>
                      <w:lang w:val="en-US" w:eastAsia="zh-CN" w:bidi="ar"/>
                    </w:rPr>
                    <w:t>8</w:t>
                  </w:r>
                </w:p>
              </w:tc>
              <w:tc>
                <w:tcPr>
                  <w:tcW w:w="248" w:type="pct"/>
                  <w:vMerge w:val="continue"/>
                  <w:vAlign w:val="center"/>
                </w:tcPr>
                <w:p>
                  <w:pPr>
                    <w:spacing w:line="216" w:lineRule="auto"/>
                    <w:jc w:val="center"/>
                    <w:rPr>
                      <w:sz w:val="18"/>
                      <w:szCs w:val="18"/>
                    </w:rPr>
                  </w:pPr>
                </w:p>
              </w:tc>
              <w:tc>
                <w:tcPr>
                  <w:tcW w:w="475" w:type="pct"/>
                  <w:vAlign w:val="center"/>
                </w:tcPr>
                <w:p>
                  <w:pPr>
                    <w:pStyle w:val="38"/>
                    <w:spacing w:line="216" w:lineRule="auto"/>
                    <w:rPr>
                      <w:rFonts w:cs="Times New Roman"/>
                      <w:sz w:val="18"/>
                      <w:szCs w:val="18"/>
                    </w:rPr>
                  </w:pPr>
                  <w:r>
                    <w:rPr>
                      <w:rFonts w:cs="Times New Roman"/>
                      <w:sz w:val="18"/>
                      <w:szCs w:val="18"/>
                    </w:rPr>
                    <w:t>1</w:t>
                  </w:r>
                </w:p>
              </w:tc>
              <w:tc>
                <w:tcPr>
                  <w:tcW w:w="381" w:type="pct"/>
                  <w:vAlign w:val="center"/>
                </w:tcPr>
                <w:p>
                  <w:pPr>
                    <w:spacing w:line="216" w:lineRule="auto"/>
                    <w:jc w:val="center"/>
                    <w:rPr>
                      <w:sz w:val="18"/>
                      <w:szCs w:val="18"/>
                    </w:rPr>
                  </w:pPr>
                  <w:r>
                    <w:rPr>
                      <w:sz w:val="18"/>
                      <w:szCs w:val="18"/>
                    </w:rPr>
                    <w:t>75</w:t>
                  </w:r>
                </w:p>
              </w:tc>
              <w:tc>
                <w:tcPr>
                  <w:tcW w:w="480" w:type="pct"/>
                  <w:vMerge w:val="continue"/>
                  <w:vAlign w:val="center"/>
                </w:tcPr>
                <w:p>
                  <w:pPr>
                    <w:spacing w:line="216" w:lineRule="auto"/>
                    <w:jc w:val="center"/>
                    <w:rPr>
                      <w:sz w:val="18"/>
                      <w:szCs w:val="18"/>
                    </w:rPr>
                  </w:pPr>
                </w:p>
              </w:tc>
              <w:tc>
                <w:tcPr>
                  <w:tcW w:w="247" w:type="pct"/>
                  <w:vAlign w:val="center"/>
                </w:tcPr>
                <w:p>
                  <w:pPr>
                    <w:widowControl/>
                    <w:spacing w:line="216" w:lineRule="auto"/>
                    <w:jc w:val="center"/>
                    <w:textAlignment w:val="center"/>
                    <w:rPr>
                      <w:sz w:val="18"/>
                      <w:szCs w:val="18"/>
                    </w:rPr>
                  </w:pPr>
                  <w:r>
                    <w:rPr>
                      <w:color w:val="000000"/>
                      <w:kern w:val="0"/>
                      <w:sz w:val="18"/>
                      <w:szCs w:val="18"/>
                      <w:lang w:bidi="ar"/>
                    </w:rPr>
                    <w:t>28</w:t>
                  </w:r>
                </w:p>
              </w:tc>
              <w:tc>
                <w:tcPr>
                  <w:tcW w:w="333" w:type="pct"/>
                  <w:vAlign w:val="center"/>
                </w:tcPr>
                <w:p>
                  <w:pPr>
                    <w:widowControl/>
                    <w:spacing w:line="216" w:lineRule="auto"/>
                    <w:jc w:val="center"/>
                    <w:textAlignment w:val="center"/>
                    <w:rPr>
                      <w:sz w:val="18"/>
                      <w:szCs w:val="18"/>
                    </w:rPr>
                  </w:pPr>
                  <w:r>
                    <w:rPr>
                      <w:color w:val="000000"/>
                      <w:kern w:val="0"/>
                      <w:sz w:val="18"/>
                      <w:szCs w:val="18"/>
                      <w:lang w:bidi="ar"/>
                    </w:rPr>
                    <w:t>29</w:t>
                  </w:r>
                </w:p>
              </w:tc>
              <w:tc>
                <w:tcPr>
                  <w:tcW w:w="277" w:type="pct"/>
                  <w:vAlign w:val="center"/>
                </w:tcPr>
                <w:p>
                  <w:pPr>
                    <w:widowControl/>
                    <w:spacing w:line="216" w:lineRule="auto"/>
                    <w:jc w:val="center"/>
                    <w:textAlignment w:val="center"/>
                    <w:rPr>
                      <w:sz w:val="18"/>
                      <w:szCs w:val="18"/>
                    </w:rPr>
                  </w:pPr>
                  <w:r>
                    <w:rPr>
                      <w:color w:val="000000"/>
                      <w:kern w:val="0"/>
                      <w:sz w:val="18"/>
                      <w:szCs w:val="18"/>
                      <w:lang w:bidi="ar"/>
                    </w:rPr>
                    <w:t>1.5</w:t>
                  </w:r>
                </w:p>
              </w:tc>
              <w:tc>
                <w:tcPr>
                  <w:tcW w:w="365" w:type="pct"/>
                  <w:vAlign w:val="center"/>
                </w:tcPr>
                <w:p>
                  <w:pPr>
                    <w:widowControl/>
                    <w:spacing w:line="216" w:lineRule="auto"/>
                    <w:jc w:val="center"/>
                    <w:textAlignment w:val="center"/>
                    <w:rPr>
                      <w:sz w:val="18"/>
                      <w:szCs w:val="18"/>
                    </w:rPr>
                  </w:pPr>
                  <w:r>
                    <w:rPr>
                      <w:color w:val="000000"/>
                      <w:kern w:val="0"/>
                      <w:sz w:val="18"/>
                      <w:szCs w:val="18"/>
                      <w:lang w:bidi="ar"/>
                    </w:rPr>
                    <w:t>5</w:t>
                  </w:r>
                </w:p>
              </w:tc>
              <w:tc>
                <w:tcPr>
                  <w:tcW w:w="400" w:type="pct"/>
                  <w:vAlign w:val="center"/>
                </w:tcPr>
                <w:p>
                  <w:pPr>
                    <w:widowControl/>
                    <w:spacing w:line="216" w:lineRule="auto"/>
                    <w:jc w:val="center"/>
                    <w:textAlignment w:val="center"/>
                    <w:rPr>
                      <w:sz w:val="18"/>
                      <w:szCs w:val="18"/>
                    </w:rPr>
                  </w:pPr>
                  <w:r>
                    <w:rPr>
                      <w:color w:val="000000"/>
                      <w:kern w:val="0"/>
                      <w:sz w:val="18"/>
                      <w:szCs w:val="18"/>
                      <w:lang w:bidi="ar"/>
                    </w:rPr>
                    <w:t>50.02</w:t>
                  </w:r>
                </w:p>
              </w:tc>
              <w:tc>
                <w:tcPr>
                  <w:tcW w:w="363" w:type="pct"/>
                  <w:vAlign w:val="center"/>
                </w:tcPr>
                <w:p>
                  <w:pPr>
                    <w:widowControl/>
                    <w:spacing w:line="216" w:lineRule="auto"/>
                    <w:jc w:val="center"/>
                    <w:textAlignment w:val="center"/>
                    <w:rPr>
                      <w:sz w:val="18"/>
                      <w:szCs w:val="18"/>
                    </w:rPr>
                  </w:pPr>
                  <w:r>
                    <w:rPr>
                      <w:color w:val="000000"/>
                      <w:kern w:val="0"/>
                      <w:sz w:val="18"/>
                      <w:szCs w:val="18"/>
                      <w:lang w:bidi="ar"/>
                    </w:rPr>
                    <w:t>连续</w:t>
                  </w:r>
                </w:p>
              </w:tc>
              <w:tc>
                <w:tcPr>
                  <w:tcW w:w="378" w:type="pct"/>
                  <w:vAlign w:val="center"/>
                </w:tcPr>
                <w:p>
                  <w:pPr>
                    <w:widowControl/>
                    <w:spacing w:line="216" w:lineRule="auto"/>
                    <w:jc w:val="center"/>
                    <w:textAlignment w:val="center"/>
                    <w:rPr>
                      <w:sz w:val="18"/>
                      <w:szCs w:val="18"/>
                    </w:rPr>
                  </w:pPr>
                  <w:r>
                    <w:rPr>
                      <w:color w:val="000000"/>
                      <w:kern w:val="0"/>
                      <w:sz w:val="18"/>
                      <w:szCs w:val="18"/>
                      <w:lang w:bidi="ar"/>
                    </w:rPr>
                    <w:t>40</w:t>
                  </w:r>
                </w:p>
              </w:tc>
              <w:tc>
                <w:tcPr>
                  <w:tcW w:w="445" w:type="pct"/>
                  <w:vAlign w:val="center"/>
                </w:tcPr>
                <w:p>
                  <w:pPr>
                    <w:widowControl/>
                    <w:spacing w:line="216" w:lineRule="auto"/>
                    <w:jc w:val="center"/>
                    <w:textAlignment w:val="center"/>
                    <w:rPr>
                      <w:sz w:val="18"/>
                      <w:szCs w:val="18"/>
                    </w:rPr>
                  </w:pPr>
                  <w:r>
                    <w:rPr>
                      <w:color w:val="000000"/>
                      <w:kern w:val="0"/>
                      <w:sz w:val="18"/>
                      <w:szCs w:val="18"/>
                      <w:lang w:bidi="ar"/>
                    </w:rPr>
                    <w:t>4.02</w:t>
                  </w:r>
                </w:p>
              </w:tc>
              <w:tc>
                <w:tcPr>
                  <w:tcW w:w="353" w:type="pct"/>
                  <w:vAlign w:val="center"/>
                </w:tcPr>
                <w:p>
                  <w:pPr>
                    <w:spacing w:line="216" w:lineRule="auto"/>
                    <w:jc w:val="center"/>
                    <w:rPr>
                      <w:sz w:val="18"/>
                      <w:szCs w:val="18"/>
                    </w:rPr>
                  </w:pPr>
                  <w:r>
                    <w:rPr>
                      <w:rFonts w:hint="eastAsia"/>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Align w:val="center"/>
                </w:tcPr>
                <w:p>
                  <w:pPr>
                    <w:keepNext w:val="0"/>
                    <w:keepLines w:val="0"/>
                    <w:widowControl/>
                    <w:suppressLineNumbers w:val="0"/>
                    <w:spacing w:line="216" w:lineRule="auto"/>
                    <w:jc w:val="center"/>
                    <w:textAlignment w:val="center"/>
                    <w:rPr>
                      <w:sz w:val="18"/>
                      <w:szCs w:val="18"/>
                    </w:rPr>
                  </w:pPr>
                  <w:r>
                    <w:rPr>
                      <w:rFonts w:hint="default" w:ascii="Times New Roman" w:hAnsi="Times New Roman" w:eastAsia="宋体" w:cs="Times New Roman"/>
                      <w:i w:val="0"/>
                      <w:iCs w:val="0"/>
                      <w:color w:val="000000"/>
                      <w:kern w:val="0"/>
                      <w:sz w:val="18"/>
                      <w:szCs w:val="18"/>
                      <w:u w:val="none"/>
                      <w:lang w:val="en-US" w:eastAsia="zh-CN" w:bidi="ar"/>
                    </w:rPr>
                    <w:t>9</w:t>
                  </w:r>
                </w:p>
              </w:tc>
              <w:tc>
                <w:tcPr>
                  <w:tcW w:w="248" w:type="pct"/>
                  <w:vMerge w:val="continue"/>
                  <w:vAlign w:val="center"/>
                </w:tcPr>
                <w:p>
                  <w:pPr>
                    <w:spacing w:line="216" w:lineRule="auto"/>
                    <w:jc w:val="center"/>
                    <w:rPr>
                      <w:sz w:val="18"/>
                      <w:szCs w:val="18"/>
                    </w:rPr>
                  </w:pPr>
                </w:p>
              </w:tc>
              <w:tc>
                <w:tcPr>
                  <w:tcW w:w="475" w:type="pct"/>
                  <w:vAlign w:val="center"/>
                </w:tcPr>
                <w:p>
                  <w:pPr>
                    <w:pStyle w:val="38"/>
                    <w:spacing w:line="216" w:lineRule="auto"/>
                    <w:rPr>
                      <w:rFonts w:cs="Times New Roman"/>
                      <w:sz w:val="18"/>
                      <w:szCs w:val="18"/>
                    </w:rPr>
                  </w:pPr>
                  <w:r>
                    <w:rPr>
                      <w:rFonts w:cs="Times New Roman"/>
                      <w:sz w:val="18"/>
                      <w:szCs w:val="18"/>
                    </w:rPr>
                    <w:t>1</w:t>
                  </w:r>
                </w:p>
              </w:tc>
              <w:tc>
                <w:tcPr>
                  <w:tcW w:w="381" w:type="pct"/>
                  <w:vAlign w:val="center"/>
                </w:tcPr>
                <w:p>
                  <w:pPr>
                    <w:spacing w:line="216" w:lineRule="auto"/>
                    <w:jc w:val="center"/>
                    <w:rPr>
                      <w:sz w:val="18"/>
                      <w:szCs w:val="18"/>
                    </w:rPr>
                  </w:pPr>
                  <w:r>
                    <w:rPr>
                      <w:sz w:val="18"/>
                      <w:szCs w:val="18"/>
                    </w:rPr>
                    <w:t>70</w:t>
                  </w:r>
                </w:p>
              </w:tc>
              <w:tc>
                <w:tcPr>
                  <w:tcW w:w="480" w:type="pct"/>
                  <w:vMerge w:val="continue"/>
                  <w:vAlign w:val="center"/>
                </w:tcPr>
                <w:p>
                  <w:pPr>
                    <w:spacing w:line="216" w:lineRule="auto"/>
                    <w:jc w:val="center"/>
                    <w:rPr>
                      <w:sz w:val="18"/>
                      <w:szCs w:val="18"/>
                    </w:rPr>
                  </w:pPr>
                </w:p>
              </w:tc>
              <w:tc>
                <w:tcPr>
                  <w:tcW w:w="247" w:type="pct"/>
                  <w:vAlign w:val="center"/>
                </w:tcPr>
                <w:p>
                  <w:pPr>
                    <w:widowControl/>
                    <w:spacing w:line="216" w:lineRule="auto"/>
                    <w:jc w:val="center"/>
                    <w:textAlignment w:val="center"/>
                    <w:rPr>
                      <w:sz w:val="18"/>
                      <w:szCs w:val="18"/>
                    </w:rPr>
                  </w:pPr>
                  <w:r>
                    <w:rPr>
                      <w:color w:val="000000"/>
                      <w:kern w:val="0"/>
                      <w:sz w:val="18"/>
                      <w:szCs w:val="18"/>
                      <w:lang w:bidi="ar"/>
                    </w:rPr>
                    <w:t>33</w:t>
                  </w:r>
                </w:p>
              </w:tc>
              <w:tc>
                <w:tcPr>
                  <w:tcW w:w="333" w:type="pct"/>
                  <w:vAlign w:val="center"/>
                </w:tcPr>
                <w:p>
                  <w:pPr>
                    <w:widowControl/>
                    <w:spacing w:line="216" w:lineRule="auto"/>
                    <w:jc w:val="center"/>
                    <w:textAlignment w:val="center"/>
                    <w:rPr>
                      <w:sz w:val="18"/>
                      <w:szCs w:val="18"/>
                    </w:rPr>
                  </w:pPr>
                  <w:r>
                    <w:rPr>
                      <w:color w:val="000000"/>
                      <w:kern w:val="0"/>
                      <w:sz w:val="18"/>
                      <w:szCs w:val="18"/>
                      <w:lang w:bidi="ar"/>
                    </w:rPr>
                    <w:t>15</w:t>
                  </w:r>
                </w:p>
              </w:tc>
              <w:tc>
                <w:tcPr>
                  <w:tcW w:w="277" w:type="pct"/>
                  <w:vAlign w:val="center"/>
                </w:tcPr>
                <w:p>
                  <w:pPr>
                    <w:widowControl/>
                    <w:spacing w:line="216" w:lineRule="auto"/>
                    <w:jc w:val="center"/>
                    <w:textAlignment w:val="center"/>
                    <w:rPr>
                      <w:sz w:val="18"/>
                      <w:szCs w:val="18"/>
                    </w:rPr>
                  </w:pPr>
                  <w:r>
                    <w:rPr>
                      <w:color w:val="000000"/>
                      <w:kern w:val="0"/>
                      <w:sz w:val="18"/>
                      <w:szCs w:val="18"/>
                      <w:lang w:bidi="ar"/>
                    </w:rPr>
                    <w:t>1.5</w:t>
                  </w:r>
                </w:p>
              </w:tc>
              <w:tc>
                <w:tcPr>
                  <w:tcW w:w="365" w:type="pct"/>
                  <w:vAlign w:val="center"/>
                </w:tcPr>
                <w:p>
                  <w:pPr>
                    <w:widowControl/>
                    <w:spacing w:line="216" w:lineRule="auto"/>
                    <w:jc w:val="center"/>
                    <w:textAlignment w:val="center"/>
                    <w:rPr>
                      <w:sz w:val="18"/>
                      <w:szCs w:val="18"/>
                    </w:rPr>
                  </w:pPr>
                  <w:r>
                    <w:rPr>
                      <w:color w:val="000000"/>
                      <w:kern w:val="0"/>
                      <w:sz w:val="18"/>
                      <w:szCs w:val="18"/>
                      <w:lang w:bidi="ar"/>
                    </w:rPr>
                    <w:t>3</w:t>
                  </w:r>
                </w:p>
              </w:tc>
              <w:tc>
                <w:tcPr>
                  <w:tcW w:w="400" w:type="pct"/>
                  <w:vAlign w:val="center"/>
                </w:tcPr>
                <w:p>
                  <w:pPr>
                    <w:widowControl/>
                    <w:spacing w:line="216" w:lineRule="auto"/>
                    <w:jc w:val="center"/>
                    <w:textAlignment w:val="center"/>
                    <w:rPr>
                      <w:sz w:val="18"/>
                      <w:szCs w:val="18"/>
                    </w:rPr>
                  </w:pPr>
                  <w:r>
                    <w:rPr>
                      <w:color w:val="000000"/>
                      <w:kern w:val="0"/>
                      <w:sz w:val="18"/>
                      <w:szCs w:val="18"/>
                      <w:lang w:bidi="ar"/>
                    </w:rPr>
                    <w:t>49.46</w:t>
                  </w:r>
                </w:p>
              </w:tc>
              <w:tc>
                <w:tcPr>
                  <w:tcW w:w="363" w:type="pct"/>
                  <w:vAlign w:val="center"/>
                </w:tcPr>
                <w:p>
                  <w:pPr>
                    <w:widowControl/>
                    <w:spacing w:line="216" w:lineRule="auto"/>
                    <w:jc w:val="center"/>
                    <w:textAlignment w:val="center"/>
                    <w:rPr>
                      <w:sz w:val="18"/>
                      <w:szCs w:val="18"/>
                    </w:rPr>
                  </w:pPr>
                  <w:r>
                    <w:rPr>
                      <w:color w:val="000000"/>
                      <w:kern w:val="0"/>
                      <w:sz w:val="18"/>
                      <w:szCs w:val="18"/>
                      <w:lang w:bidi="ar"/>
                    </w:rPr>
                    <w:t>连续</w:t>
                  </w:r>
                </w:p>
              </w:tc>
              <w:tc>
                <w:tcPr>
                  <w:tcW w:w="378" w:type="pct"/>
                  <w:vAlign w:val="center"/>
                </w:tcPr>
                <w:p>
                  <w:pPr>
                    <w:widowControl/>
                    <w:spacing w:line="216" w:lineRule="auto"/>
                    <w:jc w:val="center"/>
                    <w:textAlignment w:val="center"/>
                    <w:rPr>
                      <w:sz w:val="18"/>
                      <w:szCs w:val="18"/>
                    </w:rPr>
                  </w:pPr>
                  <w:r>
                    <w:rPr>
                      <w:color w:val="000000"/>
                      <w:kern w:val="0"/>
                      <w:sz w:val="18"/>
                      <w:szCs w:val="18"/>
                      <w:lang w:bidi="ar"/>
                    </w:rPr>
                    <w:t>40</w:t>
                  </w:r>
                </w:p>
              </w:tc>
              <w:tc>
                <w:tcPr>
                  <w:tcW w:w="445" w:type="pct"/>
                  <w:vAlign w:val="center"/>
                </w:tcPr>
                <w:p>
                  <w:pPr>
                    <w:widowControl/>
                    <w:spacing w:line="216" w:lineRule="auto"/>
                    <w:jc w:val="center"/>
                    <w:textAlignment w:val="center"/>
                    <w:rPr>
                      <w:sz w:val="18"/>
                      <w:szCs w:val="18"/>
                    </w:rPr>
                  </w:pPr>
                  <w:r>
                    <w:rPr>
                      <w:color w:val="000000"/>
                      <w:kern w:val="0"/>
                      <w:sz w:val="18"/>
                      <w:szCs w:val="18"/>
                      <w:lang w:bidi="ar"/>
                    </w:rPr>
                    <w:t>3.46</w:t>
                  </w:r>
                </w:p>
              </w:tc>
              <w:tc>
                <w:tcPr>
                  <w:tcW w:w="353" w:type="pct"/>
                  <w:vAlign w:val="center"/>
                </w:tcPr>
                <w:p>
                  <w:pPr>
                    <w:spacing w:line="216" w:lineRule="auto"/>
                    <w:jc w:val="center"/>
                    <w:rPr>
                      <w:sz w:val="18"/>
                      <w:szCs w:val="18"/>
                    </w:rPr>
                  </w:pPr>
                  <w:r>
                    <w:rPr>
                      <w:rFonts w:hint="eastAsia"/>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Align w:val="center"/>
                </w:tcPr>
                <w:p>
                  <w:pPr>
                    <w:keepNext w:val="0"/>
                    <w:keepLines w:val="0"/>
                    <w:widowControl/>
                    <w:suppressLineNumbers w:val="0"/>
                    <w:spacing w:line="216" w:lineRule="auto"/>
                    <w:jc w:val="center"/>
                    <w:textAlignment w:val="center"/>
                    <w:rPr>
                      <w:sz w:val="18"/>
                      <w:szCs w:val="18"/>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248" w:type="pct"/>
                  <w:vMerge w:val="continue"/>
                  <w:vAlign w:val="center"/>
                </w:tcPr>
                <w:p>
                  <w:pPr>
                    <w:spacing w:line="216" w:lineRule="auto"/>
                    <w:jc w:val="center"/>
                    <w:rPr>
                      <w:sz w:val="18"/>
                      <w:szCs w:val="18"/>
                    </w:rPr>
                  </w:pPr>
                </w:p>
              </w:tc>
              <w:tc>
                <w:tcPr>
                  <w:tcW w:w="475" w:type="pct"/>
                  <w:vAlign w:val="center"/>
                </w:tcPr>
                <w:p>
                  <w:pPr>
                    <w:pStyle w:val="38"/>
                    <w:spacing w:line="216" w:lineRule="auto"/>
                    <w:rPr>
                      <w:rFonts w:cs="Times New Roman"/>
                      <w:sz w:val="18"/>
                      <w:szCs w:val="18"/>
                    </w:rPr>
                  </w:pPr>
                  <w:r>
                    <w:rPr>
                      <w:rFonts w:cs="Times New Roman"/>
                      <w:sz w:val="18"/>
                      <w:szCs w:val="18"/>
                    </w:rPr>
                    <w:t>1</w:t>
                  </w:r>
                </w:p>
              </w:tc>
              <w:tc>
                <w:tcPr>
                  <w:tcW w:w="381" w:type="pct"/>
                  <w:vAlign w:val="center"/>
                </w:tcPr>
                <w:p>
                  <w:pPr>
                    <w:spacing w:line="216" w:lineRule="auto"/>
                    <w:jc w:val="center"/>
                    <w:rPr>
                      <w:sz w:val="18"/>
                      <w:szCs w:val="18"/>
                    </w:rPr>
                  </w:pPr>
                  <w:r>
                    <w:rPr>
                      <w:sz w:val="18"/>
                      <w:szCs w:val="18"/>
                    </w:rPr>
                    <w:t>75</w:t>
                  </w:r>
                </w:p>
              </w:tc>
              <w:tc>
                <w:tcPr>
                  <w:tcW w:w="480" w:type="pct"/>
                  <w:vMerge w:val="continue"/>
                  <w:vAlign w:val="center"/>
                </w:tcPr>
                <w:p>
                  <w:pPr>
                    <w:spacing w:line="216" w:lineRule="auto"/>
                    <w:jc w:val="center"/>
                    <w:rPr>
                      <w:sz w:val="18"/>
                      <w:szCs w:val="18"/>
                    </w:rPr>
                  </w:pPr>
                </w:p>
              </w:tc>
              <w:tc>
                <w:tcPr>
                  <w:tcW w:w="247" w:type="pct"/>
                  <w:vAlign w:val="center"/>
                </w:tcPr>
                <w:p>
                  <w:pPr>
                    <w:widowControl/>
                    <w:spacing w:line="216" w:lineRule="auto"/>
                    <w:jc w:val="center"/>
                    <w:textAlignment w:val="center"/>
                    <w:rPr>
                      <w:sz w:val="18"/>
                      <w:szCs w:val="18"/>
                    </w:rPr>
                  </w:pPr>
                  <w:r>
                    <w:rPr>
                      <w:color w:val="000000"/>
                      <w:kern w:val="0"/>
                      <w:sz w:val="18"/>
                      <w:szCs w:val="18"/>
                      <w:lang w:bidi="ar"/>
                    </w:rPr>
                    <w:t>40</w:t>
                  </w:r>
                </w:p>
              </w:tc>
              <w:tc>
                <w:tcPr>
                  <w:tcW w:w="333" w:type="pct"/>
                  <w:vAlign w:val="center"/>
                </w:tcPr>
                <w:p>
                  <w:pPr>
                    <w:widowControl/>
                    <w:spacing w:line="216" w:lineRule="auto"/>
                    <w:jc w:val="center"/>
                    <w:textAlignment w:val="center"/>
                    <w:rPr>
                      <w:sz w:val="18"/>
                      <w:szCs w:val="18"/>
                    </w:rPr>
                  </w:pPr>
                  <w:r>
                    <w:rPr>
                      <w:color w:val="000000"/>
                      <w:kern w:val="0"/>
                      <w:sz w:val="18"/>
                      <w:szCs w:val="18"/>
                      <w:lang w:bidi="ar"/>
                    </w:rPr>
                    <w:t>20</w:t>
                  </w:r>
                </w:p>
              </w:tc>
              <w:tc>
                <w:tcPr>
                  <w:tcW w:w="277" w:type="pct"/>
                  <w:vAlign w:val="center"/>
                </w:tcPr>
                <w:p>
                  <w:pPr>
                    <w:widowControl/>
                    <w:spacing w:line="216" w:lineRule="auto"/>
                    <w:jc w:val="center"/>
                    <w:textAlignment w:val="center"/>
                    <w:rPr>
                      <w:sz w:val="18"/>
                      <w:szCs w:val="18"/>
                    </w:rPr>
                  </w:pPr>
                  <w:r>
                    <w:rPr>
                      <w:color w:val="000000"/>
                      <w:kern w:val="0"/>
                      <w:sz w:val="18"/>
                      <w:szCs w:val="18"/>
                      <w:lang w:bidi="ar"/>
                    </w:rPr>
                    <w:t>1</w:t>
                  </w:r>
                </w:p>
              </w:tc>
              <w:tc>
                <w:tcPr>
                  <w:tcW w:w="365" w:type="pct"/>
                  <w:vAlign w:val="center"/>
                </w:tcPr>
                <w:p>
                  <w:pPr>
                    <w:widowControl/>
                    <w:spacing w:line="216" w:lineRule="auto"/>
                    <w:jc w:val="center"/>
                    <w:textAlignment w:val="center"/>
                    <w:rPr>
                      <w:sz w:val="18"/>
                      <w:szCs w:val="18"/>
                    </w:rPr>
                  </w:pPr>
                  <w:r>
                    <w:rPr>
                      <w:color w:val="000000"/>
                      <w:kern w:val="0"/>
                      <w:sz w:val="18"/>
                      <w:szCs w:val="18"/>
                      <w:lang w:bidi="ar"/>
                    </w:rPr>
                    <w:t>5</w:t>
                  </w:r>
                </w:p>
              </w:tc>
              <w:tc>
                <w:tcPr>
                  <w:tcW w:w="400" w:type="pct"/>
                  <w:vAlign w:val="center"/>
                </w:tcPr>
                <w:p>
                  <w:pPr>
                    <w:widowControl/>
                    <w:spacing w:line="216" w:lineRule="auto"/>
                    <w:jc w:val="center"/>
                    <w:textAlignment w:val="center"/>
                    <w:rPr>
                      <w:sz w:val="18"/>
                      <w:szCs w:val="18"/>
                    </w:rPr>
                  </w:pPr>
                  <w:r>
                    <w:rPr>
                      <w:color w:val="000000"/>
                      <w:kern w:val="0"/>
                      <w:sz w:val="18"/>
                      <w:szCs w:val="18"/>
                      <w:lang w:bidi="ar"/>
                    </w:rPr>
                    <w:t>50.02</w:t>
                  </w:r>
                </w:p>
              </w:tc>
              <w:tc>
                <w:tcPr>
                  <w:tcW w:w="363" w:type="pct"/>
                  <w:vAlign w:val="center"/>
                </w:tcPr>
                <w:p>
                  <w:pPr>
                    <w:widowControl/>
                    <w:spacing w:line="216" w:lineRule="auto"/>
                    <w:jc w:val="center"/>
                    <w:textAlignment w:val="center"/>
                    <w:rPr>
                      <w:sz w:val="18"/>
                      <w:szCs w:val="18"/>
                    </w:rPr>
                  </w:pPr>
                  <w:r>
                    <w:rPr>
                      <w:color w:val="000000"/>
                      <w:kern w:val="0"/>
                      <w:sz w:val="18"/>
                      <w:szCs w:val="18"/>
                      <w:lang w:bidi="ar"/>
                    </w:rPr>
                    <w:t>连续</w:t>
                  </w:r>
                </w:p>
              </w:tc>
              <w:tc>
                <w:tcPr>
                  <w:tcW w:w="378" w:type="pct"/>
                  <w:vAlign w:val="center"/>
                </w:tcPr>
                <w:p>
                  <w:pPr>
                    <w:widowControl/>
                    <w:spacing w:line="216" w:lineRule="auto"/>
                    <w:jc w:val="center"/>
                    <w:textAlignment w:val="center"/>
                    <w:rPr>
                      <w:sz w:val="18"/>
                      <w:szCs w:val="18"/>
                    </w:rPr>
                  </w:pPr>
                  <w:r>
                    <w:rPr>
                      <w:color w:val="000000"/>
                      <w:kern w:val="0"/>
                      <w:sz w:val="18"/>
                      <w:szCs w:val="18"/>
                      <w:lang w:bidi="ar"/>
                    </w:rPr>
                    <w:t>40</w:t>
                  </w:r>
                </w:p>
              </w:tc>
              <w:tc>
                <w:tcPr>
                  <w:tcW w:w="445" w:type="pct"/>
                  <w:vAlign w:val="center"/>
                </w:tcPr>
                <w:p>
                  <w:pPr>
                    <w:widowControl/>
                    <w:spacing w:line="216" w:lineRule="auto"/>
                    <w:jc w:val="center"/>
                    <w:textAlignment w:val="center"/>
                    <w:rPr>
                      <w:sz w:val="18"/>
                      <w:szCs w:val="18"/>
                    </w:rPr>
                  </w:pPr>
                  <w:r>
                    <w:rPr>
                      <w:color w:val="000000"/>
                      <w:kern w:val="0"/>
                      <w:sz w:val="18"/>
                      <w:szCs w:val="18"/>
                      <w:lang w:bidi="ar"/>
                    </w:rPr>
                    <w:t>4.02</w:t>
                  </w:r>
                </w:p>
              </w:tc>
              <w:tc>
                <w:tcPr>
                  <w:tcW w:w="353" w:type="pct"/>
                  <w:vAlign w:val="center"/>
                </w:tcPr>
                <w:p>
                  <w:pPr>
                    <w:spacing w:line="216" w:lineRule="auto"/>
                    <w:jc w:val="center"/>
                    <w:rPr>
                      <w:sz w:val="18"/>
                      <w:szCs w:val="18"/>
                    </w:rPr>
                  </w:pPr>
                  <w:r>
                    <w:rPr>
                      <w:rFonts w:hint="eastAsia"/>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Align w:val="center"/>
                </w:tcPr>
                <w:p>
                  <w:pPr>
                    <w:keepNext w:val="0"/>
                    <w:keepLines w:val="0"/>
                    <w:widowControl/>
                    <w:suppressLineNumbers w:val="0"/>
                    <w:spacing w:line="216" w:lineRule="auto"/>
                    <w:jc w:val="center"/>
                    <w:textAlignment w:val="center"/>
                    <w:rPr>
                      <w:sz w:val="18"/>
                      <w:szCs w:val="18"/>
                    </w:rPr>
                  </w:pPr>
                  <w:r>
                    <w:rPr>
                      <w:rFonts w:hint="default" w:ascii="Times New Roman" w:hAnsi="Times New Roman" w:eastAsia="宋体" w:cs="Times New Roman"/>
                      <w:i w:val="0"/>
                      <w:iCs w:val="0"/>
                      <w:color w:val="000000"/>
                      <w:kern w:val="0"/>
                      <w:sz w:val="18"/>
                      <w:szCs w:val="18"/>
                      <w:u w:val="none"/>
                      <w:lang w:val="en-US" w:eastAsia="zh-CN" w:bidi="ar"/>
                    </w:rPr>
                    <w:t>11</w:t>
                  </w:r>
                </w:p>
              </w:tc>
              <w:tc>
                <w:tcPr>
                  <w:tcW w:w="248" w:type="pct"/>
                  <w:vMerge w:val="continue"/>
                  <w:vAlign w:val="center"/>
                </w:tcPr>
                <w:p>
                  <w:pPr>
                    <w:spacing w:line="216" w:lineRule="auto"/>
                    <w:jc w:val="center"/>
                    <w:rPr>
                      <w:sz w:val="18"/>
                      <w:szCs w:val="18"/>
                    </w:rPr>
                  </w:pPr>
                </w:p>
              </w:tc>
              <w:tc>
                <w:tcPr>
                  <w:tcW w:w="475" w:type="pct"/>
                  <w:vAlign w:val="center"/>
                </w:tcPr>
                <w:p>
                  <w:pPr>
                    <w:spacing w:line="216" w:lineRule="auto"/>
                    <w:jc w:val="center"/>
                    <w:rPr>
                      <w:sz w:val="18"/>
                      <w:szCs w:val="18"/>
                    </w:rPr>
                  </w:pPr>
                  <w:r>
                    <w:rPr>
                      <w:sz w:val="18"/>
                      <w:szCs w:val="18"/>
                    </w:rPr>
                    <w:t>1</w:t>
                  </w:r>
                </w:p>
              </w:tc>
              <w:tc>
                <w:tcPr>
                  <w:tcW w:w="381" w:type="pct"/>
                  <w:vAlign w:val="center"/>
                </w:tcPr>
                <w:p>
                  <w:pPr>
                    <w:spacing w:line="216" w:lineRule="auto"/>
                    <w:jc w:val="center"/>
                    <w:rPr>
                      <w:sz w:val="18"/>
                      <w:szCs w:val="18"/>
                    </w:rPr>
                  </w:pPr>
                  <w:r>
                    <w:rPr>
                      <w:sz w:val="18"/>
                      <w:szCs w:val="18"/>
                    </w:rPr>
                    <w:t>75</w:t>
                  </w:r>
                </w:p>
              </w:tc>
              <w:tc>
                <w:tcPr>
                  <w:tcW w:w="480" w:type="pct"/>
                  <w:vMerge w:val="continue"/>
                  <w:vAlign w:val="center"/>
                </w:tcPr>
                <w:p>
                  <w:pPr>
                    <w:spacing w:line="216" w:lineRule="auto"/>
                    <w:jc w:val="center"/>
                    <w:rPr>
                      <w:sz w:val="18"/>
                      <w:szCs w:val="18"/>
                    </w:rPr>
                  </w:pPr>
                </w:p>
              </w:tc>
              <w:tc>
                <w:tcPr>
                  <w:tcW w:w="247" w:type="pct"/>
                  <w:vAlign w:val="center"/>
                </w:tcPr>
                <w:p>
                  <w:pPr>
                    <w:widowControl/>
                    <w:spacing w:line="216" w:lineRule="auto"/>
                    <w:jc w:val="center"/>
                    <w:textAlignment w:val="center"/>
                    <w:rPr>
                      <w:sz w:val="18"/>
                      <w:szCs w:val="18"/>
                    </w:rPr>
                  </w:pPr>
                  <w:r>
                    <w:rPr>
                      <w:color w:val="000000"/>
                      <w:kern w:val="0"/>
                      <w:sz w:val="18"/>
                      <w:szCs w:val="18"/>
                      <w:lang w:bidi="ar"/>
                    </w:rPr>
                    <w:t>35</w:t>
                  </w:r>
                </w:p>
              </w:tc>
              <w:tc>
                <w:tcPr>
                  <w:tcW w:w="333" w:type="pct"/>
                  <w:vAlign w:val="center"/>
                </w:tcPr>
                <w:p>
                  <w:pPr>
                    <w:widowControl/>
                    <w:spacing w:line="216" w:lineRule="auto"/>
                    <w:jc w:val="center"/>
                    <w:textAlignment w:val="center"/>
                    <w:rPr>
                      <w:sz w:val="18"/>
                      <w:szCs w:val="18"/>
                    </w:rPr>
                  </w:pPr>
                  <w:r>
                    <w:rPr>
                      <w:color w:val="000000"/>
                      <w:kern w:val="0"/>
                      <w:sz w:val="18"/>
                      <w:szCs w:val="18"/>
                      <w:lang w:bidi="ar"/>
                    </w:rPr>
                    <w:t>20</w:t>
                  </w:r>
                </w:p>
              </w:tc>
              <w:tc>
                <w:tcPr>
                  <w:tcW w:w="277" w:type="pct"/>
                  <w:vAlign w:val="center"/>
                </w:tcPr>
                <w:p>
                  <w:pPr>
                    <w:widowControl/>
                    <w:spacing w:line="216" w:lineRule="auto"/>
                    <w:jc w:val="center"/>
                    <w:textAlignment w:val="center"/>
                    <w:rPr>
                      <w:sz w:val="18"/>
                      <w:szCs w:val="18"/>
                    </w:rPr>
                  </w:pPr>
                  <w:r>
                    <w:rPr>
                      <w:color w:val="000000"/>
                      <w:kern w:val="0"/>
                      <w:sz w:val="18"/>
                      <w:szCs w:val="18"/>
                      <w:lang w:bidi="ar"/>
                    </w:rPr>
                    <w:t>1</w:t>
                  </w:r>
                </w:p>
              </w:tc>
              <w:tc>
                <w:tcPr>
                  <w:tcW w:w="365" w:type="pct"/>
                  <w:vAlign w:val="center"/>
                </w:tcPr>
                <w:p>
                  <w:pPr>
                    <w:widowControl/>
                    <w:spacing w:line="216" w:lineRule="auto"/>
                    <w:jc w:val="center"/>
                    <w:textAlignment w:val="center"/>
                    <w:rPr>
                      <w:sz w:val="18"/>
                      <w:szCs w:val="18"/>
                    </w:rPr>
                  </w:pPr>
                  <w:r>
                    <w:rPr>
                      <w:color w:val="000000"/>
                      <w:kern w:val="0"/>
                      <w:sz w:val="18"/>
                      <w:szCs w:val="18"/>
                      <w:lang w:bidi="ar"/>
                    </w:rPr>
                    <w:t>5</w:t>
                  </w:r>
                </w:p>
              </w:tc>
              <w:tc>
                <w:tcPr>
                  <w:tcW w:w="400" w:type="pct"/>
                  <w:vAlign w:val="center"/>
                </w:tcPr>
                <w:p>
                  <w:pPr>
                    <w:widowControl/>
                    <w:spacing w:line="216" w:lineRule="auto"/>
                    <w:jc w:val="center"/>
                    <w:textAlignment w:val="center"/>
                    <w:rPr>
                      <w:sz w:val="18"/>
                      <w:szCs w:val="18"/>
                    </w:rPr>
                  </w:pPr>
                  <w:r>
                    <w:rPr>
                      <w:color w:val="000000"/>
                      <w:kern w:val="0"/>
                      <w:sz w:val="18"/>
                      <w:szCs w:val="18"/>
                      <w:lang w:bidi="ar"/>
                    </w:rPr>
                    <w:t>50.02</w:t>
                  </w:r>
                </w:p>
              </w:tc>
              <w:tc>
                <w:tcPr>
                  <w:tcW w:w="363" w:type="pct"/>
                  <w:vAlign w:val="center"/>
                </w:tcPr>
                <w:p>
                  <w:pPr>
                    <w:widowControl/>
                    <w:spacing w:line="216" w:lineRule="auto"/>
                    <w:jc w:val="center"/>
                    <w:textAlignment w:val="center"/>
                    <w:rPr>
                      <w:sz w:val="18"/>
                      <w:szCs w:val="18"/>
                    </w:rPr>
                  </w:pPr>
                  <w:r>
                    <w:rPr>
                      <w:color w:val="000000"/>
                      <w:kern w:val="0"/>
                      <w:sz w:val="18"/>
                      <w:szCs w:val="18"/>
                      <w:lang w:bidi="ar"/>
                    </w:rPr>
                    <w:t>连续</w:t>
                  </w:r>
                </w:p>
              </w:tc>
              <w:tc>
                <w:tcPr>
                  <w:tcW w:w="378" w:type="pct"/>
                  <w:vAlign w:val="center"/>
                </w:tcPr>
                <w:p>
                  <w:pPr>
                    <w:widowControl/>
                    <w:spacing w:line="216" w:lineRule="auto"/>
                    <w:jc w:val="center"/>
                    <w:textAlignment w:val="center"/>
                    <w:rPr>
                      <w:sz w:val="18"/>
                      <w:szCs w:val="18"/>
                    </w:rPr>
                  </w:pPr>
                  <w:r>
                    <w:rPr>
                      <w:color w:val="000000"/>
                      <w:kern w:val="0"/>
                      <w:sz w:val="18"/>
                      <w:szCs w:val="18"/>
                      <w:lang w:bidi="ar"/>
                    </w:rPr>
                    <w:t>40</w:t>
                  </w:r>
                </w:p>
              </w:tc>
              <w:tc>
                <w:tcPr>
                  <w:tcW w:w="445" w:type="pct"/>
                  <w:vAlign w:val="center"/>
                </w:tcPr>
                <w:p>
                  <w:pPr>
                    <w:widowControl/>
                    <w:spacing w:line="216" w:lineRule="auto"/>
                    <w:jc w:val="center"/>
                    <w:textAlignment w:val="center"/>
                    <w:rPr>
                      <w:sz w:val="18"/>
                      <w:szCs w:val="18"/>
                    </w:rPr>
                  </w:pPr>
                  <w:r>
                    <w:rPr>
                      <w:color w:val="000000"/>
                      <w:kern w:val="0"/>
                      <w:sz w:val="18"/>
                      <w:szCs w:val="18"/>
                      <w:lang w:bidi="ar"/>
                    </w:rPr>
                    <w:t>4.02</w:t>
                  </w:r>
                </w:p>
              </w:tc>
              <w:tc>
                <w:tcPr>
                  <w:tcW w:w="353" w:type="pct"/>
                  <w:vAlign w:val="center"/>
                </w:tcPr>
                <w:p>
                  <w:pPr>
                    <w:spacing w:line="216" w:lineRule="auto"/>
                    <w:jc w:val="center"/>
                    <w:rPr>
                      <w:sz w:val="18"/>
                      <w:szCs w:val="18"/>
                    </w:rPr>
                  </w:pPr>
                  <w:r>
                    <w:rPr>
                      <w:rFonts w:hint="eastAsia"/>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Align w:val="center"/>
                </w:tcPr>
                <w:p>
                  <w:pPr>
                    <w:keepNext w:val="0"/>
                    <w:keepLines w:val="0"/>
                    <w:widowControl/>
                    <w:suppressLineNumbers w:val="0"/>
                    <w:spacing w:line="216" w:lineRule="auto"/>
                    <w:jc w:val="center"/>
                    <w:textAlignment w:val="center"/>
                    <w:rPr>
                      <w:sz w:val="18"/>
                      <w:szCs w:val="18"/>
                    </w:rPr>
                  </w:pPr>
                  <w:r>
                    <w:rPr>
                      <w:rFonts w:hint="default" w:ascii="Times New Roman" w:hAnsi="Times New Roman" w:eastAsia="宋体" w:cs="Times New Roman"/>
                      <w:i w:val="0"/>
                      <w:iCs w:val="0"/>
                      <w:color w:val="000000"/>
                      <w:kern w:val="0"/>
                      <w:sz w:val="18"/>
                      <w:szCs w:val="18"/>
                      <w:u w:val="none"/>
                      <w:lang w:val="en-US" w:eastAsia="zh-CN" w:bidi="ar"/>
                    </w:rPr>
                    <w:t>12</w:t>
                  </w:r>
                </w:p>
              </w:tc>
              <w:tc>
                <w:tcPr>
                  <w:tcW w:w="248" w:type="pct"/>
                  <w:vMerge w:val="continue"/>
                  <w:vAlign w:val="center"/>
                </w:tcPr>
                <w:p>
                  <w:pPr>
                    <w:spacing w:line="216" w:lineRule="auto"/>
                    <w:jc w:val="center"/>
                    <w:rPr>
                      <w:sz w:val="18"/>
                      <w:szCs w:val="18"/>
                    </w:rPr>
                  </w:pPr>
                </w:p>
              </w:tc>
              <w:tc>
                <w:tcPr>
                  <w:tcW w:w="475" w:type="pct"/>
                  <w:vAlign w:val="center"/>
                </w:tcPr>
                <w:p>
                  <w:pPr>
                    <w:spacing w:line="216" w:lineRule="auto"/>
                    <w:jc w:val="center"/>
                    <w:rPr>
                      <w:sz w:val="18"/>
                      <w:szCs w:val="18"/>
                    </w:rPr>
                  </w:pPr>
                  <w:r>
                    <w:rPr>
                      <w:sz w:val="18"/>
                      <w:szCs w:val="18"/>
                    </w:rPr>
                    <w:t>1</w:t>
                  </w:r>
                </w:p>
              </w:tc>
              <w:tc>
                <w:tcPr>
                  <w:tcW w:w="381" w:type="pct"/>
                  <w:vAlign w:val="center"/>
                </w:tcPr>
                <w:p>
                  <w:pPr>
                    <w:spacing w:line="216" w:lineRule="auto"/>
                    <w:jc w:val="center"/>
                    <w:rPr>
                      <w:sz w:val="18"/>
                      <w:szCs w:val="18"/>
                    </w:rPr>
                  </w:pPr>
                  <w:r>
                    <w:rPr>
                      <w:sz w:val="18"/>
                      <w:szCs w:val="18"/>
                    </w:rPr>
                    <w:t>80</w:t>
                  </w:r>
                </w:p>
              </w:tc>
              <w:tc>
                <w:tcPr>
                  <w:tcW w:w="480" w:type="pct"/>
                  <w:vMerge w:val="continue"/>
                  <w:vAlign w:val="center"/>
                </w:tcPr>
                <w:p>
                  <w:pPr>
                    <w:spacing w:line="216" w:lineRule="auto"/>
                    <w:jc w:val="center"/>
                    <w:rPr>
                      <w:sz w:val="18"/>
                      <w:szCs w:val="18"/>
                    </w:rPr>
                  </w:pPr>
                </w:p>
              </w:tc>
              <w:tc>
                <w:tcPr>
                  <w:tcW w:w="247" w:type="pct"/>
                  <w:vAlign w:val="center"/>
                </w:tcPr>
                <w:p>
                  <w:pPr>
                    <w:widowControl/>
                    <w:spacing w:line="216" w:lineRule="auto"/>
                    <w:jc w:val="center"/>
                    <w:textAlignment w:val="center"/>
                    <w:rPr>
                      <w:sz w:val="18"/>
                      <w:szCs w:val="18"/>
                    </w:rPr>
                  </w:pPr>
                  <w:r>
                    <w:rPr>
                      <w:color w:val="000000"/>
                      <w:kern w:val="0"/>
                      <w:sz w:val="18"/>
                      <w:szCs w:val="18"/>
                      <w:lang w:bidi="ar"/>
                    </w:rPr>
                    <w:t>30</w:t>
                  </w:r>
                </w:p>
              </w:tc>
              <w:tc>
                <w:tcPr>
                  <w:tcW w:w="333" w:type="pct"/>
                  <w:vAlign w:val="center"/>
                </w:tcPr>
                <w:p>
                  <w:pPr>
                    <w:widowControl/>
                    <w:spacing w:line="216" w:lineRule="auto"/>
                    <w:jc w:val="center"/>
                    <w:textAlignment w:val="center"/>
                    <w:rPr>
                      <w:sz w:val="18"/>
                      <w:szCs w:val="18"/>
                    </w:rPr>
                  </w:pPr>
                  <w:r>
                    <w:rPr>
                      <w:color w:val="000000"/>
                      <w:kern w:val="0"/>
                      <w:sz w:val="18"/>
                      <w:szCs w:val="18"/>
                      <w:lang w:bidi="ar"/>
                    </w:rPr>
                    <w:t>10</w:t>
                  </w:r>
                </w:p>
              </w:tc>
              <w:tc>
                <w:tcPr>
                  <w:tcW w:w="277" w:type="pct"/>
                  <w:vAlign w:val="center"/>
                </w:tcPr>
                <w:p>
                  <w:pPr>
                    <w:widowControl/>
                    <w:spacing w:line="216" w:lineRule="auto"/>
                    <w:jc w:val="center"/>
                    <w:textAlignment w:val="center"/>
                    <w:rPr>
                      <w:sz w:val="18"/>
                      <w:szCs w:val="18"/>
                    </w:rPr>
                  </w:pPr>
                  <w:r>
                    <w:rPr>
                      <w:color w:val="000000"/>
                      <w:kern w:val="0"/>
                      <w:sz w:val="18"/>
                      <w:szCs w:val="18"/>
                      <w:lang w:bidi="ar"/>
                    </w:rPr>
                    <w:t>1</w:t>
                  </w:r>
                </w:p>
              </w:tc>
              <w:tc>
                <w:tcPr>
                  <w:tcW w:w="365" w:type="pct"/>
                  <w:vAlign w:val="center"/>
                </w:tcPr>
                <w:p>
                  <w:pPr>
                    <w:widowControl/>
                    <w:spacing w:line="216" w:lineRule="auto"/>
                    <w:jc w:val="center"/>
                    <w:textAlignment w:val="center"/>
                    <w:rPr>
                      <w:sz w:val="18"/>
                      <w:szCs w:val="18"/>
                    </w:rPr>
                  </w:pPr>
                  <w:r>
                    <w:rPr>
                      <w:color w:val="000000"/>
                      <w:kern w:val="0"/>
                      <w:sz w:val="18"/>
                      <w:szCs w:val="18"/>
                      <w:lang w:bidi="ar"/>
                    </w:rPr>
                    <w:t>3</w:t>
                  </w:r>
                </w:p>
              </w:tc>
              <w:tc>
                <w:tcPr>
                  <w:tcW w:w="400" w:type="pct"/>
                  <w:vAlign w:val="center"/>
                </w:tcPr>
                <w:p>
                  <w:pPr>
                    <w:widowControl/>
                    <w:spacing w:line="216" w:lineRule="auto"/>
                    <w:jc w:val="center"/>
                    <w:textAlignment w:val="center"/>
                    <w:rPr>
                      <w:sz w:val="18"/>
                      <w:szCs w:val="18"/>
                    </w:rPr>
                  </w:pPr>
                  <w:r>
                    <w:rPr>
                      <w:color w:val="000000"/>
                      <w:kern w:val="0"/>
                      <w:sz w:val="18"/>
                      <w:szCs w:val="18"/>
                      <w:lang w:bidi="ar"/>
                    </w:rPr>
                    <w:t>59.46</w:t>
                  </w:r>
                </w:p>
              </w:tc>
              <w:tc>
                <w:tcPr>
                  <w:tcW w:w="363" w:type="pct"/>
                  <w:vAlign w:val="center"/>
                </w:tcPr>
                <w:p>
                  <w:pPr>
                    <w:widowControl/>
                    <w:spacing w:line="216" w:lineRule="auto"/>
                    <w:jc w:val="center"/>
                    <w:textAlignment w:val="center"/>
                    <w:rPr>
                      <w:sz w:val="18"/>
                      <w:szCs w:val="18"/>
                    </w:rPr>
                  </w:pPr>
                  <w:r>
                    <w:rPr>
                      <w:color w:val="000000"/>
                      <w:kern w:val="0"/>
                      <w:sz w:val="18"/>
                      <w:szCs w:val="18"/>
                      <w:lang w:bidi="ar"/>
                    </w:rPr>
                    <w:t>连续</w:t>
                  </w:r>
                </w:p>
              </w:tc>
              <w:tc>
                <w:tcPr>
                  <w:tcW w:w="378" w:type="pct"/>
                  <w:vAlign w:val="center"/>
                </w:tcPr>
                <w:p>
                  <w:pPr>
                    <w:widowControl/>
                    <w:spacing w:line="216" w:lineRule="auto"/>
                    <w:jc w:val="center"/>
                    <w:textAlignment w:val="center"/>
                    <w:rPr>
                      <w:sz w:val="18"/>
                      <w:szCs w:val="18"/>
                    </w:rPr>
                  </w:pPr>
                  <w:r>
                    <w:rPr>
                      <w:color w:val="000000"/>
                      <w:kern w:val="0"/>
                      <w:sz w:val="18"/>
                      <w:szCs w:val="18"/>
                      <w:lang w:bidi="ar"/>
                    </w:rPr>
                    <w:t>40</w:t>
                  </w:r>
                </w:p>
              </w:tc>
              <w:tc>
                <w:tcPr>
                  <w:tcW w:w="445" w:type="pct"/>
                  <w:vAlign w:val="center"/>
                </w:tcPr>
                <w:p>
                  <w:pPr>
                    <w:widowControl/>
                    <w:spacing w:line="216" w:lineRule="auto"/>
                    <w:jc w:val="center"/>
                    <w:textAlignment w:val="center"/>
                    <w:rPr>
                      <w:sz w:val="18"/>
                      <w:szCs w:val="18"/>
                    </w:rPr>
                  </w:pPr>
                  <w:r>
                    <w:rPr>
                      <w:color w:val="000000"/>
                      <w:kern w:val="0"/>
                      <w:sz w:val="18"/>
                      <w:szCs w:val="18"/>
                      <w:lang w:bidi="ar"/>
                    </w:rPr>
                    <w:t>13.46</w:t>
                  </w:r>
                </w:p>
              </w:tc>
              <w:tc>
                <w:tcPr>
                  <w:tcW w:w="353" w:type="pct"/>
                  <w:vAlign w:val="center"/>
                </w:tcPr>
                <w:p>
                  <w:pPr>
                    <w:spacing w:line="216" w:lineRule="auto"/>
                    <w:jc w:val="center"/>
                    <w:rPr>
                      <w:sz w:val="18"/>
                      <w:szCs w:val="18"/>
                    </w:rPr>
                  </w:pPr>
                  <w:r>
                    <w:rPr>
                      <w:rFonts w:hint="eastAsia"/>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Align w:val="center"/>
                </w:tcPr>
                <w:p>
                  <w:pPr>
                    <w:keepNext w:val="0"/>
                    <w:keepLines w:val="0"/>
                    <w:widowControl/>
                    <w:suppressLineNumbers w:val="0"/>
                    <w:spacing w:line="216" w:lineRule="auto"/>
                    <w:jc w:val="center"/>
                    <w:textAlignment w:val="center"/>
                    <w:rPr>
                      <w:sz w:val="18"/>
                      <w:szCs w:val="18"/>
                    </w:rPr>
                  </w:pPr>
                  <w:r>
                    <w:rPr>
                      <w:rFonts w:hint="default" w:ascii="Times New Roman" w:hAnsi="Times New Roman" w:eastAsia="宋体" w:cs="Times New Roman"/>
                      <w:i w:val="0"/>
                      <w:iCs w:val="0"/>
                      <w:color w:val="000000"/>
                      <w:kern w:val="0"/>
                      <w:sz w:val="18"/>
                      <w:szCs w:val="18"/>
                      <w:u w:val="none"/>
                      <w:lang w:val="en-US" w:eastAsia="zh-CN" w:bidi="ar"/>
                    </w:rPr>
                    <w:t>13</w:t>
                  </w:r>
                </w:p>
              </w:tc>
              <w:tc>
                <w:tcPr>
                  <w:tcW w:w="248" w:type="pct"/>
                  <w:vMerge w:val="continue"/>
                  <w:vAlign w:val="center"/>
                </w:tcPr>
                <w:p>
                  <w:pPr>
                    <w:spacing w:line="216" w:lineRule="auto"/>
                    <w:jc w:val="center"/>
                    <w:rPr>
                      <w:sz w:val="18"/>
                      <w:szCs w:val="18"/>
                    </w:rPr>
                  </w:pPr>
                </w:p>
              </w:tc>
              <w:tc>
                <w:tcPr>
                  <w:tcW w:w="475" w:type="pct"/>
                  <w:vAlign w:val="center"/>
                </w:tcPr>
                <w:p>
                  <w:pPr>
                    <w:pStyle w:val="38"/>
                    <w:spacing w:line="216" w:lineRule="auto"/>
                    <w:rPr>
                      <w:rFonts w:cs="Times New Roman"/>
                      <w:sz w:val="18"/>
                      <w:szCs w:val="18"/>
                    </w:rPr>
                  </w:pPr>
                  <w:r>
                    <w:rPr>
                      <w:rFonts w:cs="Times New Roman"/>
                      <w:sz w:val="18"/>
                      <w:szCs w:val="18"/>
                    </w:rPr>
                    <w:t>1</w:t>
                  </w:r>
                </w:p>
              </w:tc>
              <w:tc>
                <w:tcPr>
                  <w:tcW w:w="381" w:type="pct"/>
                  <w:vAlign w:val="center"/>
                </w:tcPr>
                <w:p>
                  <w:pPr>
                    <w:spacing w:line="216" w:lineRule="auto"/>
                    <w:jc w:val="center"/>
                    <w:rPr>
                      <w:sz w:val="18"/>
                      <w:szCs w:val="18"/>
                    </w:rPr>
                  </w:pPr>
                  <w:r>
                    <w:rPr>
                      <w:sz w:val="18"/>
                      <w:szCs w:val="18"/>
                    </w:rPr>
                    <w:t>90</w:t>
                  </w:r>
                </w:p>
              </w:tc>
              <w:tc>
                <w:tcPr>
                  <w:tcW w:w="480" w:type="pct"/>
                  <w:vMerge w:val="continue"/>
                  <w:vAlign w:val="center"/>
                </w:tcPr>
                <w:p>
                  <w:pPr>
                    <w:spacing w:line="216" w:lineRule="auto"/>
                    <w:jc w:val="center"/>
                    <w:rPr>
                      <w:sz w:val="18"/>
                      <w:szCs w:val="18"/>
                    </w:rPr>
                  </w:pPr>
                </w:p>
              </w:tc>
              <w:tc>
                <w:tcPr>
                  <w:tcW w:w="247" w:type="pct"/>
                  <w:vAlign w:val="center"/>
                </w:tcPr>
                <w:p>
                  <w:pPr>
                    <w:widowControl/>
                    <w:spacing w:line="216" w:lineRule="auto"/>
                    <w:jc w:val="center"/>
                    <w:textAlignment w:val="center"/>
                    <w:rPr>
                      <w:sz w:val="18"/>
                      <w:szCs w:val="18"/>
                    </w:rPr>
                  </w:pPr>
                  <w:r>
                    <w:rPr>
                      <w:color w:val="000000"/>
                      <w:kern w:val="0"/>
                      <w:sz w:val="18"/>
                      <w:szCs w:val="18"/>
                      <w:lang w:bidi="ar"/>
                    </w:rPr>
                    <w:t>10</w:t>
                  </w:r>
                </w:p>
              </w:tc>
              <w:tc>
                <w:tcPr>
                  <w:tcW w:w="333" w:type="pct"/>
                  <w:vAlign w:val="center"/>
                </w:tcPr>
                <w:p>
                  <w:pPr>
                    <w:widowControl/>
                    <w:spacing w:line="216" w:lineRule="auto"/>
                    <w:jc w:val="center"/>
                    <w:textAlignment w:val="center"/>
                    <w:rPr>
                      <w:sz w:val="18"/>
                      <w:szCs w:val="18"/>
                    </w:rPr>
                  </w:pPr>
                  <w:r>
                    <w:rPr>
                      <w:color w:val="000000"/>
                      <w:kern w:val="0"/>
                      <w:sz w:val="18"/>
                      <w:szCs w:val="18"/>
                      <w:lang w:bidi="ar"/>
                    </w:rPr>
                    <w:t>20</w:t>
                  </w:r>
                </w:p>
              </w:tc>
              <w:tc>
                <w:tcPr>
                  <w:tcW w:w="277" w:type="pct"/>
                  <w:vAlign w:val="center"/>
                </w:tcPr>
                <w:p>
                  <w:pPr>
                    <w:widowControl/>
                    <w:spacing w:line="216" w:lineRule="auto"/>
                    <w:jc w:val="center"/>
                    <w:textAlignment w:val="center"/>
                    <w:rPr>
                      <w:sz w:val="18"/>
                      <w:szCs w:val="18"/>
                    </w:rPr>
                  </w:pPr>
                  <w:r>
                    <w:rPr>
                      <w:color w:val="000000"/>
                      <w:kern w:val="0"/>
                      <w:sz w:val="18"/>
                      <w:szCs w:val="18"/>
                      <w:lang w:bidi="ar"/>
                    </w:rPr>
                    <w:t>1</w:t>
                  </w:r>
                </w:p>
              </w:tc>
              <w:tc>
                <w:tcPr>
                  <w:tcW w:w="365" w:type="pct"/>
                  <w:vAlign w:val="center"/>
                </w:tcPr>
                <w:p>
                  <w:pPr>
                    <w:widowControl/>
                    <w:spacing w:line="216" w:lineRule="auto"/>
                    <w:jc w:val="center"/>
                    <w:textAlignment w:val="center"/>
                    <w:rPr>
                      <w:sz w:val="18"/>
                      <w:szCs w:val="18"/>
                    </w:rPr>
                  </w:pPr>
                  <w:r>
                    <w:rPr>
                      <w:color w:val="000000"/>
                      <w:kern w:val="0"/>
                      <w:sz w:val="18"/>
                      <w:szCs w:val="18"/>
                      <w:lang w:bidi="ar"/>
                    </w:rPr>
                    <w:t>6</w:t>
                  </w:r>
                </w:p>
              </w:tc>
              <w:tc>
                <w:tcPr>
                  <w:tcW w:w="400" w:type="pct"/>
                  <w:vAlign w:val="center"/>
                </w:tcPr>
                <w:p>
                  <w:pPr>
                    <w:widowControl/>
                    <w:spacing w:line="216" w:lineRule="auto"/>
                    <w:jc w:val="center"/>
                    <w:textAlignment w:val="center"/>
                    <w:rPr>
                      <w:sz w:val="18"/>
                      <w:szCs w:val="18"/>
                    </w:rPr>
                  </w:pPr>
                  <w:r>
                    <w:rPr>
                      <w:color w:val="000000"/>
                      <w:kern w:val="0"/>
                      <w:sz w:val="18"/>
                      <w:szCs w:val="18"/>
                      <w:lang w:bidi="ar"/>
                    </w:rPr>
                    <w:t>63.44</w:t>
                  </w:r>
                </w:p>
              </w:tc>
              <w:tc>
                <w:tcPr>
                  <w:tcW w:w="363" w:type="pct"/>
                  <w:vAlign w:val="center"/>
                </w:tcPr>
                <w:p>
                  <w:pPr>
                    <w:widowControl/>
                    <w:spacing w:line="216" w:lineRule="auto"/>
                    <w:jc w:val="center"/>
                    <w:textAlignment w:val="center"/>
                    <w:rPr>
                      <w:sz w:val="18"/>
                      <w:szCs w:val="18"/>
                    </w:rPr>
                  </w:pPr>
                  <w:r>
                    <w:rPr>
                      <w:color w:val="000000"/>
                      <w:kern w:val="0"/>
                      <w:sz w:val="18"/>
                      <w:szCs w:val="18"/>
                      <w:lang w:bidi="ar"/>
                    </w:rPr>
                    <w:t>连续</w:t>
                  </w:r>
                </w:p>
              </w:tc>
              <w:tc>
                <w:tcPr>
                  <w:tcW w:w="378" w:type="pct"/>
                  <w:vAlign w:val="center"/>
                </w:tcPr>
                <w:p>
                  <w:pPr>
                    <w:widowControl/>
                    <w:spacing w:line="216" w:lineRule="auto"/>
                    <w:jc w:val="center"/>
                    <w:textAlignment w:val="center"/>
                    <w:rPr>
                      <w:sz w:val="18"/>
                      <w:szCs w:val="18"/>
                    </w:rPr>
                  </w:pPr>
                  <w:r>
                    <w:rPr>
                      <w:color w:val="000000"/>
                      <w:kern w:val="0"/>
                      <w:sz w:val="18"/>
                      <w:szCs w:val="18"/>
                      <w:lang w:bidi="ar"/>
                    </w:rPr>
                    <w:t>40</w:t>
                  </w:r>
                </w:p>
              </w:tc>
              <w:tc>
                <w:tcPr>
                  <w:tcW w:w="445" w:type="pct"/>
                  <w:vAlign w:val="center"/>
                </w:tcPr>
                <w:p>
                  <w:pPr>
                    <w:widowControl/>
                    <w:spacing w:line="216" w:lineRule="auto"/>
                    <w:jc w:val="center"/>
                    <w:textAlignment w:val="center"/>
                    <w:rPr>
                      <w:sz w:val="18"/>
                      <w:szCs w:val="18"/>
                    </w:rPr>
                  </w:pPr>
                  <w:r>
                    <w:rPr>
                      <w:color w:val="000000"/>
                      <w:kern w:val="0"/>
                      <w:sz w:val="18"/>
                      <w:szCs w:val="18"/>
                      <w:lang w:bidi="ar"/>
                    </w:rPr>
                    <w:t>17.44</w:t>
                  </w:r>
                </w:p>
              </w:tc>
              <w:tc>
                <w:tcPr>
                  <w:tcW w:w="353" w:type="pct"/>
                  <w:vAlign w:val="center"/>
                </w:tcPr>
                <w:p>
                  <w:pPr>
                    <w:spacing w:line="216" w:lineRule="auto"/>
                    <w:jc w:val="center"/>
                    <w:rPr>
                      <w:sz w:val="18"/>
                      <w:szCs w:val="18"/>
                    </w:rPr>
                  </w:pPr>
                  <w:r>
                    <w:rPr>
                      <w:rFonts w:hint="eastAsia"/>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248" w:type="pct"/>
                  <w:vAlign w:val="center"/>
                </w:tcPr>
                <w:p>
                  <w:pPr>
                    <w:keepNext w:val="0"/>
                    <w:keepLines w:val="0"/>
                    <w:widowControl/>
                    <w:suppressLineNumbers w:val="0"/>
                    <w:spacing w:line="216" w:lineRule="auto"/>
                    <w:jc w:val="center"/>
                    <w:textAlignment w:val="center"/>
                    <w:rPr>
                      <w:sz w:val="18"/>
                      <w:szCs w:val="18"/>
                    </w:rPr>
                  </w:pPr>
                  <w:r>
                    <w:rPr>
                      <w:rFonts w:hint="default" w:ascii="Times New Roman" w:hAnsi="Times New Roman" w:eastAsia="宋体" w:cs="Times New Roman"/>
                      <w:i w:val="0"/>
                      <w:iCs w:val="0"/>
                      <w:color w:val="000000"/>
                      <w:kern w:val="0"/>
                      <w:sz w:val="18"/>
                      <w:szCs w:val="18"/>
                      <w:u w:val="none"/>
                      <w:lang w:val="en-US" w:eastAsia="zh-CN" w:bidi="ar"/>
                    </w:rPr>
                    <w:t>14</w:t>
                  </w:r>
                </w:p>
              </w:tc>
              <w:tc>
                <w:tcPr>
                  <w:tcW w:w="248" w:type="pct"/>
                  <w:vMerge w:val="continue"/>
                  <w:vAlign w:val="center"/>
                </w:tcPr>
                <w:p>
                  <w:pPr>
                    <w:spacing w:line="216" w:lineRule="auto"/>
                    <w:jc w:val="center"/>
                    <w:rPr>
                      <w:sz w:val="18"/>
                      <w:szCs w:val="18"/>
                    </w:rPr>
                  </w:pPr>
                </w:p>
              </w:tc>
              <w:tc>
                <w:tcPr>
                  <w:tcW w:w="475" w:type="pct"/>
                  <w:vAlign w:val="center"/>
                </w:tcPr>
                <w:p>
                  <w:pPr>
                    <w:pStyle w:val="38"/>
                    <w:spacing w:line="216" w:lineRule="auto"/>
                    <w:rPr>
                      <w:rFonts w:cs="Times New Roman"/>
                      <w:sz w:val="18"/>
                      <w:szCs w:val="18"/>
                    </w:rPr>
                  </w:pPr>
                  <w:r>
                    <w:rPr>
                      <w:rFonts w:cs="Times New Roman"/>
                      <w:sz w:val="18"/>
                      <w:szCs w:val="18"/>
                    </w:rPr>
                    <w:t>1</w:t>
                  </w:r>
                </w:p>
              </w:tc>
              <w:tc>
                <w:tcPr>
                  <w:tcW w:w="381" w:type="pct"/>
                  <w:vAlign w:val="center"/>
                </w:tcPr>
                <w:p>
                  <w:pPr>
                    <w:spacing w:line="216" w:lineRule="auto"/>
                    <w:jc w:val="center"/>
                    <w:rPr>
                      <w:sz w:val="18"/>
                      <w:szCs w:val="18"/>
                    </w:rPr>
                  </w:pPr>
                  <w:r>
                    <w:rPr>
                      <w:sz w:val="18"/>
                      <w:szCs w:val="18"/>
                    </w:rPr>
                    <w:t>90</w:t>
                  </w:r>
                </w:p>
              </w:tc>
              <w:tc>
                <w:tcPr>
                  <w:tcW w:w="480" w:type="pct"/>
                  <w:vMerge w:val="continue"/>
                  <w:vAlign w:val="center"/>
                </w:tcPr>
                <w:p>
                  <w:pPr>
                    <w:spacing w:line="216" w:lineRule="auto"/>
                    <w:jc w:val="center"/>
                    <w:rPr>
                      <w:sz w:val="18"/>
                      <w:szCs w:val="18"/>
                    </w:rPr>
                  </w:pPr>
                </w:p>
              </w:tc>
              <w:tc>
                <w:tcPr>
                  <w:tcW w:w="247" w:type="pct"/>
                  <w:vAlign w:val="center"/>
                </w:tcPr>
                <w:p>
                  <w:pPr>
                    <w:widowControl/>
                    <w:spacing w:line="216" w:lineRule="auto"/>
                    <w:jc w:val="center"/>
                    <w:textAlignment w:val="center"/>
                    <w:rPr>
                      <w:sz w:val="18"/>
                      <w:szCs w:val="18"/>
                    </w:rPr>
                  </w:pPr>
                  <w:r>
                    <w:rPr>
                      <w:color w:val="000000"/>
                      <w:kern w:val="0"/>
                      <w:sz w:val="18"/>
                      <w:szCs w:val="18"/>
                      <w:lang w:bidi="ar"/>
                    </w:rPr>
                    <w:t>10</w:t>
                  </w:r>
                </w:p>
              </w:tc>
              <w:tc>
                <w:tcPr>
                  <w:tcW w:w="333" w:type="pct"/>
                  <w:vAlign w:val="center"/>
                </w:tcPr>
                <w:p>
                  <w:pPr>
                    <w:widowControl/>
                    <w:spacing w:line="216" w:lineRule="auto"/>
                    <w:jc w:val="center"/>
                    <w:textAlignment w:val="center"/>
                    <w:rPr>
                      <w:sz w:val="18"/>
                      <w:szCs w:val="18"/>
                    </w:rPr>
                  </w:pPr>
                  <w:r>
                    <w:rPr>
                      <w:color w:val="000000"/>
                      <w:kern w:val="0"/>
                      <w:sz w:val="18"/>
                      <w:szCs w:val="18"/>
                      <w:lang w:bidi="ar"/>
                    </w:rPr>
                    <w:t>19</w:t>
                  </w:r>
                </w:p>
              </w:tc>
              <w:tc>
                <w:tcPr>
                  <w:tcW w:w="277" w:type="pct"/>
                  <w:vAlign w:val="center"/>
                </w:tcPr>
                <w:p>
                  <w:pPr>
                    <w:widowControl/>
                    <w:spacing w:line="216" w:lineRule="auto"/>
                    <w:jc w:val="center"/>
                    <w:textAlignment w:val="center"/>
                    <w:rPr>
                      <w:sz w:val="18"/>
                      <w:szCs w:val="18"/>
                    </w:rPr>
                  </w:pPr>
                  <w:r>
                    <w:rPr>
                      <w:color w:val="000000"/>
                      <w:kern w:val="0"/>
                      <w:sz w:val="18"/>
                      <w:szCs w:val="18"/>
                      <w:lang w:bidi="ar"/>
                    </w:rPr>
                    <w:t>1</w:t>
                  </w:r>
                </w:p>
              </w:tc>
              <w:tc>
                <w:tcPr>
                  <w:tcW w:w="365" w:type="pct"/>
                  <w:vAlign w:val="center"/>
                </w:tcPr>
                <w:p>
                  <w:pPr>
                    <w:widowControl/>
                    <w:spacing w:line="216" w:lineRule="auto"/>
                    <w:jc w:val="center"/>
                    <w:textAlignment w:val="center"/>
                    <w:rPr>
                      <w:sz w:val="18"/>
                      <w:szCs w:val="18"/>
                    </w:rPr>
                  </w:pPr>
                  <w:r>
                    <w:rPr>
                      <w:color w:val="000000"/>
                      <w:kern w:val="0"/>
                      <w:sz w:val="18"/>
                      <w:szCs w:val="18"/>
                      <w:lang w:bidi="ar"/>
                    </w:rPr>
                    <w:t>6</w:t>
                  </w:r>
                </w:p>
              </w:tc>
              <w:tc>
                <w:tcPr>
                  <w:tcW w:w="400" w:type="pct"/>
                  <w:vAlign w:val="center"/>
                </w:tcPr>
                <w:p>
                  <w:pPr>
                    <w:widowControl/>
                    <w:spacing w:line="216" w:lineRule="auto"/>
                    <w:jc w:val="center"/>
                    <w:textAlignment w:val="center"/>
                    <w:rPr>
                      <w:sz w:val="18"/>
                      <w:szCs w:val="18"/>
                    </w:rPr>
                  </w:pPr>
                  <w:r>
                    <w:rPr>
                      <w:color w:val="000000"/>
                      <w:kern w:val="0"/>
                      <w:sz w:val="18"/>
                      <w:szCs w:val="18"/>
                      <w:lang w:bidi="ar"/>
                    </w:rPr>
                    <w:t>63.44</w:t>
                  </w:r>
                </w:p>
              </w:tc>
              <w:tc>
                <w:tcPr>
                  <w:tcW w:w="363" w:type="pct"/>
                  <w:vAlign w:val="center"/>
                </w:tcPr>
                <w:p>
                  <w:pPr>
                    <w:widowControl/>
                    <w:spacing w:line="216" w:lineRule="auto"/>
                    <w:jc w:val="center"/>
                    <w:textAlignment w:val="center"/>
                    <w:rPr>
                      <w:sz w:val="18"/>
                      <w:szCs w:val="18"/>
                    </w:rPr>
                  </w:pPr>
                  <w:r>
                    <w:rPr>
                      <w:color w:val="000000"/>
                      <w:kern w:val="0"/>
                      <w:sz w:val="18"/>
                      <w:szCs w:val="18"/>
                      <w:lang w:bidi="ar"/>
                    </w:rPr>
                    <w:t>连续</w:t>
                  </w:r>
                </w:p>
              </w:tc>
              <w:tc>
                <w:tcPr>
                  <w:tcW w:w="378" w:type="pct"/>
                  <w:vAlign w:val="center"/>
                </w:tcPr>
                <w:p>
                  <w:pPr>
                    <w:widowControl/>
                    <w:spacing w:line="216" w:lineRule="auto"/>
                    <w:jc w:val="center"/>
                    <w:textAlignment w:val="center"/>
                    <w:rPr>
                      <w:sz w:val="18"/>
                      <w:szCs w:val="18"/>
                    </w:rPr>
                  </w:pPr>
                  <w:r>
                    <w:rPr>
                      <w:color w:val="000000"/>
                      <w:kern w:val="0"/>
                      <w:sz w:val="18"/>
                      <w:szCs w:val="18"/>
                      <w:lang w:bidi="ar"/>
                    </w:rPr>
                    <w:t>40</w:t>
                  </w:r>
                </w:p>
              </w:tc>
              <w:tc>
                <w:tcPr>
                  <w:tcW w:w="445" w:type="pct"/>
                  <w:vAlign w:val="center"/>
                </w:tcPr>
                <w:p>
                  <w:pPr>
                    <w:widowControl/>
                    <w:spacing w:line="216" w:lineRule="auto"/>
                    <w:jc w:val="center"/>
                    <w:textAlignment w:val="center"/>
                    <w:rPr>
                      <w:sz w:val="18"/>
                      <w:szCs w:val="18"/>
                    </w:rPr>
                  </w:pPr>
                  <w:r>
                    <w:rPr>
                      <w:color w:val="000000"/>
                      <w:kern w:val="0"/>
                      <w:sz w:val="18"/>
                      <w:szCs w:val="18"/>
                      <w:lang w:bidi="ar"/>
                    </w:rPr>
                    <w:t>17.44</w:t>
                  </w:r>
                </w:p>
              </w:tc>
              <w:tc>
                <w:tcPr>
                  <w:tcW w:w="353" w:type="pct"/>
                  <w:vAlign w:val="center"/>
                </w:tcPr>
                <w:p>
                  <w:pPr>
                    <w:spacing w:line="216" w:lineRule="auto"/>
                    <w:jc w:val="center"/>
                    <w:rPr>
                      <w:sz w:val="18"/>
                      <w:szCs w:val="18"/>
                    </w:rPr>
                  </w:pPr>
                  <w:r>
                    <w:rPr>
                      <w:rFonts w:hint="eastAsia"/>
                      <w:sz w:val="18"/>
                      <w:szCs w:val="18"/>
                    </w:rPr>
                    <w:t>1</w:t>
                  </w:r>
                </w:p>
              </w:tc>
            </w:tr>
          </w:tbl>
          <w:p>
            <w:pPr>
              <w:pStyle w:val="15"/>
              <w:adjustRightInd w:val="0"/>
              <w:snapToGrid w:val="0"/>
              <w:jc w:val="center"/>
              <w:outlineLvl w:val="0"/>
              <w:rPr>
                <w:rFonts w:ascii="Times New Roman" w:hAnsi="Times New Roman" w:eastAsia="黑体"/>
                <w:snapToGrid w:val="0"/>
                <w:sz w:val="30"/>
                <w:szCs w:val="30"/>
                <w:vertAlign w:val="baseline"/>
              </w:rPr>
            </w:pPr>
          </w:p>
        </w:tc>
      </w:tr>
    </w:tbl>
    <w:p>
      <w:pPr>
        <w:pStyle w:val="15"/>
        <w:adjustRightInd w:val="0"/>
        <w:snapToGrid w:val="0"/>
        <w:jc w:val="center"/>
        <w:outlineLvl w:val="0"/>
        <w:rPr>
          <w:rFonts w:ascii="Times New Roman" w:hAnsi="Times New Roman" w:eastAsia="黑体"/>
          <w:snapToGrid w:val="0"/>
          <w:sz w:val="30"/>
          <w:szCs w:val="30"/>
        </w:rPr>
        <w:sectPr>
          <w:pgSz w:w="16838" w:h="11906" w:orient="landscape"/>
          <w:pgMar w:top="1531" w:right="1247" w:bottom="1531" w:left="1247"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8"/>
        <w:gridCol w:w="86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5" w:hRule="atLeast"/>
        </w:trPr>
        <w:tc>
          <w:tcPr>
            <w:tcW w:w="691" w:type="dxa"/>
            <w:vAlign w:val="center"/>
          </w:tcPr>
          <w:p>
            <w:pPr>
              <w:adjustRightInd w:val="0"/>
              <w:snapToGrid w:val="0"/>
              <w:jc w:val="center"/>
              <w:rPr>
                <w:rFonts w:ascii="Times New Roman" w:hAnsi="Times New Roman" w:eastAsia="黑体"/>
                <w:snapToGrid w:val="0"/>
                <w:color w:val="auto"/>
                <w:sz w:val="30"/>
                <w:szCs w:val="30"/>
                <w:vertAlign w:val="baseline"/>
              </w:rPr>
            </w:pPr>
            <w:r>
              <w:rPr>
                <w:bCs/>
                <w:color w:val="auto"/>
                <w:szCs w:val="21"/>
              </w:rPr>
              <w:t>运营期环境影响和保护措施</w:t>
            </w:r>
          </w:p>
        </w:tc>
        <w:tc>
          <w:tcPr>
            <w:tcW w:w="8369" w:type="dxa"/>
          </w:tcPr>
          <w:p>
            <w:pPr>
              <w:spacing w:before="194" w:beforeLines="50"/>
              <w:jc w:val="center"/>
              <w:outlineLvl w:val="5"/>
              <w:rPr>
                <w:rFonts w:hint="eastAsia"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表4-28室外声源</w:t>
            </w:r>
          </w:p>
          <w:tbl>
            <w:tblPr>
              <w:tblStyle w:val="20"/>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0"/>
              <w:gridCol w:w="659"/>
              <w:gridCol w:w="528"/>
              <w:gridCol w:w="787"/>
              <w:gridCol w:w="826"/>
              <w:gridCol w:w="826"/>
              <w:gridCol w:w="1368"/>
              <w:gridCol w:w="1265"/>
              <w:gridCol w:w="607"/>
              <w:gridCol w:w="641"/>
              <w:gridCol w:w="5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243" w:type="pct"/>
                  <w:vMerge w:val="restart"/>
                  <w:vAlign w:val="center"/>
                </w:tcPr>
                <w:p>
                  <w:pPr>
                    <w:widowControl/>
                    <w:snapToGrid w:val="0"/>
                    <w:jc w:val="center"/>
                    <w:textAlignment w:val="center"/>
                    <w:rPr>
                      <w:rFonts w:hint="default" w:ascii="Times New Roman" w:hAnsi="Times New Roman" w:cs="Times New Roman"/>
                      <w:color w:val="auto"/>
                      <w:sz w:val="18"/>
                      <w:szCs w:val="18"/>
                    </w:rPr>
                  </w:pPr>
                  <w:r>
                    <w:rPr>
                      <w:rStyle w:val="54"/>
                      <w:rFonts w:hint="default" w:ascii="Times New Roman" w:hAnsi="Times New Roman" w:cs="Times New Roman"/>
                      <w:color w:val="auto"/>
                      <w:sz w:val="18"/>
                      <w:szCs w:val="18"/>
                      <w:lang w:bidi="ar"/>
                    </w:rPr>
                    <w:t>序号</w:t>
                  </w:r>
                </w:p>
              </w:tc>
              <w:tc>
                <w:tcPr>
                  <w:tcW w:w="391" w:type="pct"/>
                  <w:vMerge w:val="restart"/>
                  <w:vAlign w:val="center"/>
                </w:tcPr>
                <w:p>
                  <w:pPr>
                    <w:widowControl/>
                    <w:snapToGrid w:val="0"/>
                    <w:jc w:val="center"/>
                    <w:textAlignment w:val="center"/>
                    <w:rPr>
                      <w:rFonts w:hint="default" w:ascii="Times New Roman" w:hAnsi="Times New Roman" w:cs="Times New Roman"/>
                      <w:color w:val="auto"/>
                      <w:sz w:val="18"/>
                      <w:szCs w:val="18"/>
                    </w:rPr>
                  </w:pPr>
                  <w:r>
                    <w:rPr>
                      <w:rStyle w:val="55"/>
                      <w:rFonts w:hint="default" w:ascii="Times New Roman" w:hAnsi="Times New Roman" w:cs="Times New Roman"/>
                      <w:color w:val="auto"/>
                      <w:sz w:val="18"/>
                      <w:szCs w:val="18"/>
                      <w:lang w:bidi="ar"/>
                    </w:rPr>
                    <w:t>位置</w:t>
                  </w:r>
                </w:p>
              </w:tc>
              <w:tc>
                <w:tcPr>
                  <w:tcW w:w="313" w:type="pct"/>
                  <w:vMerge w:val="restart"/>
                  <w:vAlign w:val="center"/>
                </w:tcPr>
                <w:p>
                  <w:pPr>
                    <w:widowControl/>
                    <w:snapToGrid w:val="0"/>
                    <w:jc w:val="center"/>
                    <w:textAlignment w:val="center"/>
                    <w:rPr>
                      <w:rFonts w:hint="default" w:ascii="Times New Roman" w:hAnsi="Times New Roman" w:cs="Times New Roman"/>
                      <w:color w:val="auto"/>
                      <w:sz w:val="18"/>
                      <w:szCs w:val="18"/>
                    </w:rPr>
                  </w:pPr>
                  <w:r>
                    <w:rPr>
                      <w:rStyle w:val="55"/>
                      <w:rFonts w:hint="default" w:ascii="Times New Roman" w:hAnsi="Times New Roman" w:cs="Times New Roman"/>
                      <w:color w:val="auto"/>
                      <w:sz w:val="18"/>
                      <w:szCs w:val="18"/>
                      <w:lang w:bidi="ar"/>
                    </w:rPr>
                    <w:t>设备名称</w:t>
                  </w:r>
                </w:p>
              </w:tc>
              <w:tc>
                <w:tcPr>
                  <w:tcW w:w="467" w:type="pct"/>
                  <w:vMerge w:val="restart"/>
                  <w:vAlign w:val="center"/>
                </w:tcPr>
                <w:p>
                  <w:pPr>
                    <w:widowControl/>
                    <w:snapToGrid w:val="0"/>
                    <w:jc w:val="center"/>
                    <w:textAlignment w:val="center"/>
                    <w:rPr>
                      <w:rStyle w:val="55"/>
                      <w:rFonts w:hint="default" w:ascii="Times New Roman" w:hAnsi="Times New Roman" w:cs="Times New Roman"/>
                      <w:color w:val="auto"/>
                      <w:sz w:val="18"/>
                      <w:szCs w:val="18"/>
                      <w:lang w:bidi="ar"/>
                    </w:rPr>
                  </w:pPr>
                  <w:r>
                    <w:rPr>
                      <w:rStyle w:val="55"/>
                      <w:rFonts w:hint="default" w:ascii="Times New Roman" w:hAnsi="Times New Roman" w:cs="Times New Roman"/>
                      <w:color w:val="auto"/>
                      <w:sz w:val="18"/>
                      <w:szCs w:val="18"/>
                      <w:lang w:bidi="ar"/>
                    </w:rPr>
                    <w:t>设备数量</w:t>
                  </w:r>
                </w:p>
                <w:p>
                  <w:pPr>
                    <w:widowControl/>
                    <w:snapToGrid w:val="0"/>
                    <w:jc w:val="center"/>
                    <w:textAlignment w:val="center"/>
                    <w:rPr>
                      <w:rFonts w:hint="default" w:ascii="Times New Roman" w:hAnsi="Times New Roman" w:cs="Times New Roman"/>
                      <w:color w:val="auto"/>
                      <w:sz w:val="18"/>
                      <w:szCs w:val="18"/>
                    </w:rPr>
                  </w:pPr>
                  <w:r>
                    <w:rPr>
                      <w:rStyle w:val="55"/>
                      <w:rFonts w:hint="default" w:ascii="Times New Roman" w:hAnsi="Times New Roman" w:cs="Times New Roman"/>
                      <w:color w:val="auto"/>
                      <w:sz w:val="18"/>
                      <w:szCs w:val="18"/>
                      <w:lang w:bidi="ar"/>
                    </w:rPr>
                    <w:t>（台）</w:t>
                  </w:r>
                </w:p>
              </w:tc>
              <w:tc>
                <w:tcPr>
                  <w:tcW w:w="490" w:type="pct"/>
                  <w:vMerge w:val="restart"/>
                  <w:vAlign w:val="center"/>
                </w:tcPr>
                <w:p>
                  <w:pPr>
                    <w:widowControl/>
                    <w:snapToGrid w:val="0"/>
                    <w:jc w:val="center"/>
                    <w:textAlignment w:val="center"/>
                    <w:rPr>
                      <w:rFonts w:hint="default" w:ascii="Times New Roman" w:hAnsi="Times New Roman" w:cs="Times New Roman"/>
                      <w:color w:val="auto"/>
                      <w:sz w:val="18"/>
                      <w:szCs w:val="18"/>
                    </w:rPr>
                  </w:pPr>
                  <w:r>
                    <w:rPr>
                      <w:rStyle w:val="55"/>
                      <w:rFonts w:hint="default" w:ascii="Times New Roman" w:hAnsi="Times New Roman" w:cs="Times New Roman"/>
                      <w:color w:val="auto"/>
                      <w:sz w:val="18"/>
                      <w:szCs w:val="18"/>
                      <w:lang w:bidi="ar"/>
                    </w:rPr>
                    <w:t>声功率级（dB）</w:t>
                  </w:r>
                </w:p>
              </w:tc>
              <w:tc>
                <w:tcPr>
                  <w:tcW w:w="490" w:type="pct"/>
                  <w:vMerge w:val="restart"/>
                  <w:vAlign w:val="center"/>
                </w:tcPr>
                <w:p>
                  <w:pPr>
                    <w:widowControl/>
                    <w:snapToGrid w:val="0"/>
                    <w:jc w:val="center"/>
                    <w:textAlignment w:val="center"/>
                    <w:rPr>
                      <w:rFonts w:hint="default" w:ascii="Times New Roman" w:hAnsi="Times New Roman" w:cs="Times New Roman"/>
                      <w:color w:val="auto"/>
                      <w:sz w:val="18"/>
                      <w:szCs w:val="18"/>
                    </w:rPr>
                  </w:pPr>
                  <w:r>
                    <w:rPr>
                      <w:rStyle w:val="56"/>
                      <w:rFonts w:hint="default" w:ascii="Times New Roman" w:hAnsi="Times New Roman" w:cs="Times New Roman"/>
                      <w:color w:val="auto"/>
                      <w:sz w:val="18"/>
                      <w:szCs w:val="18"/>
                      <w:lang w:bidi="ar"/>
                    </w:rPr>
                    <w:t>降噪措施（</w:t>
                  </w:r>
                  <w:r>
                    <w:rPr>
                      <w:rStyle w:val="51"/>
                      <w:rFonts w:hint="default" w:ascii="Times New Roman" w:hAnsi="Times New Roman" w:cs="Times New Roman"/>
                      <w:b/>
                      <w:color w:val="auto"/>
                      <w:sz w:val="18"/>
                      <w:szCs w:val="18"/>
                      <w:vertAlign w:val="baseline"/>
                      <w:lang w:bidi="ar"/>
                    </w:rPr>
                    <w:t>d</w:t>
                  </w:r>
                  <w:r>
                    <w:rPr>
                      <w:rStyle w:val="55"/>
                      <w:rFonts w:hint="default" w:ascii="Times New Roman" w:hAnsi="Times New Roman" w:cs="Times New Roman"/>
                      <w:color w:val="auto"/>
                      <w:sz w:val="18"/>
                      <w:szCs w:val="18"/>
                      <w:lang w:bidi="ar"/>
                    </w:rPr>
                    <w:t>B</w:t>
                  </w:r>
                  <w:r>
                    <w:rPr>
                      <w:rStyle w:val="56"/>
                      <w:rFonts w:hint="default" w:ascii="Times New Roman" w:hAnsi="Times New Roman" w:cs="Times New Roman"/>
                      <w:color w:val="auto"/>
                      <w:sz w:val="18"/>
                      <w:szCs w:val="18"/>
                      <w:lang w:bidi="ar"/>
                    </w:rPr>
                    <w:t>）</w:t>
                  </w:r>
                </w:p>
              </w:tc>
              <w:tc>
                <w:tcPr>
                  <w:tcW w:w="811" w:type="pct"/>
                  <w:vMerge w:val="restart"/>
                  <w:vAlign w:val="center"/>
                </w:tcPr>
                <w:p>
                  <w:pPr>
                    <w:widowControl/>
                    <w:snapToGrid w:val="0"/>
                    <w:jc w:val="center"/>
                    <w:textAlignment w:val="center"/>
                    <w:rPr>
                      <w:rStyle w:val="56"/>
                      <w:rFonts w:hint="default" w:ascii="Times New Roman" w:hAnsi="Times New Roman" w:cs="Times New Roman"/>
                      <w:color w:val="auto"/>
                      <w:sz w:val="18"/>
                      <w:szCs w:val="18"/>
                      <w:lang w:bidi="ar"/>
                    </w:rPr>
                  </w:pPr>
                  <w:r>
                    <w:rPr>
                      <w:rStyle w:val="56"/>
                      <w:rFonts w:hint="default" w:ascii="Times New Roman" w:hAnsi="Times New Roman" w:cs="Times New Roman"/>
                      <w:color w:val="auto"/>
                      <w:sz w:val="18"/>
                      <w:szCs w:val="18"/>
                      <w:lang w:bidi="ar"/>
                    </w:rPr>
                    <w:t>削减量（</w:t>
                  </w:r>
                  <w:r>
                    <w:rPr>
                      <w:rStyle w:val="51"/>
                      <w:rFonts w:hint="default" w:ascii="Times New Roman" w:hAnsi="Times New Roman" w:cs="Times New Roman"/>
                      <w:b/>
                      <w:color w:val="auto"/>
                      <w:sz w:val="18"/>
                      <w:szCs w:val="18"/>
                      <w:vertAlign w:val="baseline"/>
                      <w:lang w:bidi="ar"/>
                    </w:rPr>
                    <w:t>d</w:t>
                  </w:r>
                  <w:r>
                    <w:rPr>
                      <w:rStyle w:val="55"/>
                      <w:rFonts w:hint="default" w:ascii="Times New Roman" w:hAnsi="Times New Roman" w:cs="Times New Roman"/>
                      <w:color w:val="auto"/>
                      <w:sz w:val="18"/>
                      <w:szCs w:val="18"/>
                      <w:lang w:bidi="ar"/>
                    </w:rPr>
                    <w:t>B</w:t>
                  </w:r>
                  <w:r>
                    <w:rPr>
                      <w:rStyle w:val="56"/>
                      <w:rFonts w:hint="default" w:ascii="Times New Roman" w:hAnsi="Times New Roman" w:cs="Times New Roman"/>
                      <w:color w:val="auto"/>
                      <w:sz w:val="18"/>
                      <w:szCs w:val="18"/>
                      <w:lang w:bidi="ar"/>
                    </w:rPr>
                    <w:t>）</w:t>
                  </w:r>
                </w:p>
              </w:tc>
              <w:tc>
                <w:tcPr>
                  <w:tcW w:w="750" w:type="pct"/>
                  <w:vMerge w:val="restart"/>
                  <w:vAlign w:val="center"/>
                </w:tcPr>
                <w:p>
                  <w:pPr>
                    <w:widowControl/>
                    <w:snapToGrid w:val="0"/>
                    <w:jc w:val="center"/>
                    <w:textAlignment w:val="center"/>
                    <w:rPr>
                      <w:rStyle w:val="56"/>
                      <w:rFonts w:hint="default" w:ascii="Times New Roman" w:hAnsi="Times New Roman" w:cs="Times New Roman"/>
                      <w:color w:val="auto"/>
                      <w:sz w:val="18"/>
                      <w:szCs w:val="18"/>
                      <w:lang w:bidi="ar"/>
                    </w:rPr>
                  </w:pPr>
                  <w:r>
                    <w:rPr>
                      <w:rStyle w:val="56"/>
                      <w:rFonts w:hint="default" w:ascii="Times New Roman" w:hAnsi="Times New Roman" w:cs="Times New Roman"/>
                      <w:color w:val="auto"/>
                      <w:sz w:val="18"/>
                      <w:szCs w:val="18"/>
                      <w:lang w:bidi="ar"/>
                    </w:rPr>
                    <w:t>降噪后声压级（</w:t>
                  </w:r>
                  <w:r>
                    <w:rPr>
                      <w:rStyle w:val="51"/>
                      <w:rFonts w:hint="default" w:ascii="Times New Roman" w:hAnsi="Times New Roman" w:cs="Times New Roman"/>
                      <w:b/>
                      <w:color w:val="auto"/>
                      <w:sz w:val="18"/>
                      <w:szCs w:val="18"/>
                      <w:vertAlign w:val="baseline"/>
                      <w:lang w:bidi="ar"/>
                    </w:rPr>
                    <w:t>d</w:t>
                  </w:r>
                  <w:r>
                    <w:rPr>
                      <w:rStyle w:val="55"/>
                      <w:rFonts w:hint="default" w:ascii="Times New Roman" w:hAnsi="Times New Roman" w:cs="Times New Roman"/>
                      <w:color w:val="auto"/>
                      <w:sz w:val="18"/>
                      <w:szCs w:val="18"/>
                      <w:lang w:bidi="ar"/>
                    </w:rPr>
                    <w:t>B</w:t>
                  </w:r>
                  <w:r>
                    <w:rPr>
                      <w:rStyle w:val="56"/>
                      <w:rFonts w:hint="default" w:ascii="Times New Roman" w:hAnsi="Times New Roman" w:cs="Times New Roman"/>
                      <w:color w:val="auto"/>
                      <w:sz w:val="18"/>
                      <w:szCs w:val="18"/>
                      <w:lang w:bidi="ar"/>
                    </w:rPr>
                    <w:t>）</w:t>
                  </w:r>
                </w:p>
              </w:tc>
              <w:tc>
                <w:tcPr>
                  <w:tcW w:w="1038" w:type="pct"/>
                  <w:gridSpan w:val="3"/>
                  <w:vAlign w:val="center"/>
                </w:tcPr>
                <w:p>
                  <w:pPr>
                    <w:widowControl/>
                    <w:snapToGrid w:val="0"/>
                    <w:jc w:val="center"/>
                    <w:textAlignment w:val="center"/>
                    <w:rPr>
                      <w:rStyle w:val="56"/>
                      <w:rFonts w:hint="default" w:ascii="Times New Roman" w:hAnsi="Times New Roman" w:cs="Times New Roman"/>
                      <w:color w:val="auto"/>
                      <w:sz w:val="18"/>
                      <w:szCs w:val="18"/>
                      <w:lang w:bidi="ar"/>
                    </w:rPr>
                  </w:pPr>
                  <w:r>
                    <w:rPr>
                      <w:rFonts w:hint="default" w:ascii="Times New Roman" w:hAnsi="Times New Roman" w:cs="Times New Roman"/>
                      <w:b/>
                      <w:color w:val="auto"/>
                      <w:kern w:val="0"/>
                      <w:sz w:val="18"/>
                      <w:szCs w:val="18"/>
                      <w:lang w:bidi="ar"/>
                    </w:rPr>
                    <w:t>空间相对位置/m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243" w:type="pct"/>
                  <w:vMerge w:val="continue"/>
                  <w:vAlign w:val="center"/>
                </w:tcPr>
                <w:p>
                  <w:pPr>
                    <w:widowControl/>
                    <w:snapToGrid w:val="0"/>
                    <w:jc w:val="center"/>
                    <w:textAlignment w:val="center"/>
                    <w:rPr>
                      <w:rFonts w:hint="default" w:ascii="Times New Roman" w:hAnsi="Times New Roman" w:cs="Times New Roman"/>
                      <w:color w:val="auto"/>
                      <w:sz w:val="18"/>
                      <w:szCs w:val="18"/>
                    </w:rPr>
                  </w:pPr>
                </w:p>
              </w:tc>
              <w:tc>
                <w:tcPr>
                  <w:tcW w:w="391" w:type="pct"/>
                  <w:vMerge w:val="continue"/>
                  <w:vAlign w:val="center"/>
                </w:tcPr>
                <w:p>
                  <w:pPr>
                    <w:widowControl/>
                    <w:snapToGrid w:val="0"/>
                    <w:jc w:val="center"/>
                    <w:textAlignment w:val="center"/>
                    <w:rPr>
                      <w:rFonts w:hint="default" w:ascii="Times New Roman" w:hAnsi="Times New Roman" w:cs="Times New Roman"/>
                      <w:color w:val="auto"/>
                      <w:sz w:val="18"/>
                      <w:szCs w:val="18"/>
                    </w:rPr>
                  </w:pPr>
                </w:p>
              </w:tc>
              <w:tc>
                <w:tcPr>
                  <w:tcW w:w="313" w:type="pct"/>
                  <w:vMerge w:val="continue"/>
                  <w:vAlign w:val="center"/>
                </w:tcPr>
                <w:p>
                  <w:pPr>
                    <w:widowControl/>
                    <w:snapToGrid w:val="0"/>
                    <w:jc w:val="center"/>
                    <w:textAlignment w:val="center"/>
                    <w:rPr>
                      <w:rFonts w:hint="default" w:ascii="Times New Roman" w:hAnsi="Times New Roman" w:cs="Times New Roman"/>
                      <w:color w:val="auto"/>
                      <w:sz w:val="18"/>
                      <w:szCs w:val="18"/>
                    </w:rPr>
                  </w:pPr>
                </w:p>
              </w:tc>
              <w:tc>
                <w:tcPr>
                  <w:tcW w:w="467" w:type="pct"/>
                  <w:vMerge w:val="continue"/>
                  <w:vAlign w:val="center"/>
                </w:tcPr>
                <w:p>
                  <w:pPr>
                    <w:widowControl/>
                    <w:snapToGrid w:val="0"/>
                    <w:jc w:val="center"/>
                    <w:textAlignment w:val="center"/>
                    <w:rPr>
                      <w:rFonts w:hint="default" w:ascii="Times New Roman" w:hAnsi="Times New Roman" w:cs="Times New Roman"/>
                      <w:color w:val="auto"/>
                      <w:sz w:val="18"/>
                      <w:szCs w:val="18"/>
                    </w:rPr>
                  </w:pPr>
                </w:p>
              </w:tc>
              <w:tc>
                <w:tcPr>
                  <w:tcW w:w="490" w:type="pct"/>
                  <w:vMerge w:val="continue"/>
                  <w:vAlign w:val="center"/>
                </w:tcPr>
                <w:p>
                  <w:pPr>
                    <w:widowControl/>
                    <w:snapToGrid w:val="0"/>
                    <w:jc w:val="center"/>
                    <w:textAlignment w:val="center"/>
                    <w:rPr>
                      <w:rFonts w:hint="default" w:ascii="Times New Roman" w:hAnsi="Times New Roman" w:cs="Times New Roman"/>
                      <w:color w:val="auto"/>
                      <w:sz w:val="18"/>
                      <w:szCs w:val="18"/>
                    </w:rPr>
                  </w:pPr>
                </w:p>
              </w:tc>
              <w:tc>
                <w:tcPr>
                  <w:tcW w:w="490" w:type="pct"/>
                  <w:vMerge w:val="continue"/>
                  <w:vAlign w:val="center"/>
                </w:tcPr>
                <w:p>
                  <w:pPr>
                    <w:widowControl/>
                    <w:snapToGrid w:val="0"/>
                    <w:jc w:val="center"/>
                    <w:textAlignment w:val="center"/>
                    <w:rPr>
                      <w:rFonts w:hint="default" w:ascii="Times New Roman" w:hAnsi="Times New Roman" w:cs="Times New Roman"/>
                      <w:color w:val="auto"/>
                      <w:sz w:val="18"/>
                      <w:szCs w:val="18"/>
                    </w:rPr>
                  </w:pPr>
                </w:p>
              </w:tc>
              <w:tc>
                <w:tcPr>
                  <w:tcW w:w="811" w:type="pct"/>
                  <w:vMerge w:val="continue"/>
                  <w:vAlign w:val="center"/>
                </w:tcPr>
                <w:p>
                  <w:pPr>
                    <w:widowControl/>
                    <w:snapToGrid w:val="0"/>
                    <w:jc w:val="center"/>
                    <w:textAlignment w:val="center"/>
                    <w:rPr>
                      <w:rFonts w:hint="default" w:ascii="Times New Roman" w:hAnsi="Times New Roman" w:cs="Times New Roman"/>
                      <w:color w:val="auto"/>
                      <w:sz w:val="18"/>
                      <w:szCs w:val="18"/>
                    </w:rPr>
                  </w:pPr>
                </w:p>
              </w:tc>
              <w:tc>
                <w:tcPr>
                  <w:tcW w:w="750" w:type="pct"/>
                  <w:vMerge w:val="continue"/>
                  <w:vAlign w:val="center"/>
                </w:tcPr>
                <w:p>
                  <w:pPr>
                    <w:widowControl/>
                    <w:snapToGrid w:val="0"/>
                    <w:jc w:val="center"/>
                    <w:textAlignment w:val="center"/>
                    <w:rPr>
                      <w:rFonts w:hint="default" w:ascii="Times New Roman" w:hAnsi="Times New Roman" w:cs="Times New Roman"/>
                      <w:color w:val="auto"/>
                      <w:sz w:val="18"/>
                      <w:szCs w:val="18"/>
                    </w:rPr>
                  </w:pPr>
                </w:p>
              </w:tc>
              <w:tc>
                <w:tcPr>
                  <w:tcW w:w="360" w:type="pct"/>
                  <w:vAlign w:val="center"/>
                </w:tcPr>
                <w:p>
                  <w:pPr>
                    <w:widowControl/>
                    <w:snapToGrid w:val="0"/>
                    <w:jc w:val="center"/>
                    <w:textAlignment w:val="center"/>
                    <w:rPr>
                      <w:rStyle w:val="56"/>
                      <w:rFonts w:hint="default" w:ascii="Times New Roman" w:hAnsi="Times New Roman" w:cs="Times New Roman"/>
                      <w:color w:val="auto"/>
                      <w:sz w:val="18"/>
                      <w:szCs w:val="18"/>
                      <w:lang w:bidi="ar"/>
                    </w:rPr>
                  </w:pPr>
                  <w:r>
                    <w:rPr>
                      <w:rFonts w:hint="default" w:ascii="Times New Roman" w:hAnsi="Times New Roman" w:cs="Times New Roman"/>
                      <w:b/>
                      <w:color w:val="auto"/>
                      <w:kern w:val="0"/>
                      <w:sz w:val="18"/>
                      <w:szCs w:val="18"/>
                      <w:lang w:bidi="ar"/>
                    </w:rPr>
                    <w:t>X</w:t>
                  </w:r>
                </w:p>
              </w:tc>
              <w:tc>
                <w:tcPr>
                  <w:tcW w:w="380" w:type="pct"/>
                  <w:vAlign w:val="center"/>
                </w:tcPr>
                <w:p>
                  <w:pPr>
                    <w:widowControl/>
                    <w:snapToGrid w:val="0"/>
                    <w:jc w:val="center"/>
                    <w:textAlignment w:val="center"/>
                    <w:rPr>
                      <w:rStyle w:val="56"/>
                      <w:rFonts w:hint="default" w:ascii="Times New Roman" w:hAnsi="Times New Roman" w:cs="Times New Roman"/>
                      <w:color w:val="auto"/>
                      <w:sz w:val="18"/>
                      <w:szCs w:val="18"/>
                      <w:lang w:bidi="ar"/>
                    </w:rPr>
                  </w:pPr>
                  <w:r>
                    <w:rPr>
                      <w:rFonts w:hint="default" w:ascii="Times New Roman" w:hAnsi="Times New Roman" w:cs="Times New Roman"/>
                      <w:b/>
                      <w:color w:val="auto"/>
                      <w:kern w:val="0"/>
                      <w:sz w:val="18"/>
                      <w:szCs w:val="18"/>
                      <w:lang w:bidi="ar"/>
                    </w:rPr>
                    <w:t>Y</w:t>
                  </w:r>
                </w:p>
              </w:tc>
              <w:tc>
                <w:tcPr>
                  <w:tcW w:w="298" w:type="pct"/>
                  <w:vAlign w:val="center"/>
                </w:tcPr>
                <w:p>
                  <w:pPr>
                    <w:widowControl/>
                    <w:snapToGrid w:val="0"/>
                    <w:jc w:val="center"/>
                    <w:textAlignment w:val="center"/>
                    <w:rPr>
                      <w:rStyle w:val="56"/>
                      <w:rFonts w:hint="default" w:ascii="Times New Roman" w:hAnsi="Times New Roman" w:cs="Times New Roman"/>
                      <w:color w:val="auto"/>
                      <w:sz w:val="18"/>
                      <w:szCs w:val="18"/>
                      <w:lang w:bidi="ar"/>
                    </w:rPr>
                  </w:pPr>
                  <w:r>
                    <w:rPr>
                      <w:rFonts w:hint="default" w:ascii="Times New Roman" w:hAnsi="Times New Roman" w:cs="Times New Roman"/>
                      <w:b/>
                      <w:color w:val="auto"/>
                      <w:kern w:val="0"/>
                      <w:sz w:val="18"/>
                      <w:szCs w:val="18"/>
                      <w:lang w:bidi="ar"/>
                    </w:rPr>
                    <w:t>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 w:type="pct"/>
                  <w:vAlign w:val="center"/>
                </w:tcPr>
                <w:p>
                  <w:pPr>
                    <w:pStyle w:val="38"/>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tc>
              <w:tc>
                <w:tcPr>
                  <w:tcW w:w="391" w:type="pct"/>
                  <w:vAlign w:val="center"/>
                </w:tcPr>
                <w:p>
                  <w:pPr>
                    <w:pStyle w:val="38"/>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生产车间二外</w:t>
                  </w:r>
                </w:p>
              </w:tc>
              <w:tc>
                <w:tcPr>
                  <w:tcW w:w="313" w:type="pct"/>
                  <w:shd w:val="clear" w:color="auto" w:fill="auto"/>
                  <w:vAlign w:val="center"/>
                </w:tcPr>
                <w:p>
                  <w:pPr>
                    <w:pStyle w:val="38"/>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精馏塔</w:t>
                  </w:r>
                </w:p>
              </w:tc>
              <w:tc>
                <w:tcPr>
                  <w:tcW w:w="467" w:type="pct"/>
                  <w:vAlign w:val="center"/>
                </w:tcPr>
                <w:p>
                  <w:pPr>
                    <w:pStyle w:val="38"/>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tc>
              <w:tc>
                <w:tcPr>
                  <w:tcW w:w="490" w:type="pct"/>
                  <w:vAlign w:val="center"/>
                </w:tcPr>
                <w:p>
                  <w:pPr>
                    <w:pStyle w:val="38"/>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72</w:t>
                  </w:r>
                </w:p>
              </w:tc>
              <w:tc>
                <w:tcPr>
                  <w:tcW w:w="490" w:type="pct"/>
                  <w:vMerge w:val="restart"/>
                  <w:vAlign w:val="center"/>
                </w:tcPr>
                <w:p>
                  <w:pPr>
                    <w:pStyle w:val="38"/>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选用低噪声设备，设备基础安装减震器，加盖隔声罩</w:t>
                  </w:r>
                </w:p>
              </w:tc>
              <w:tc>
                <w:tcPr>
                  <w:tcW w:w="811" w:type="pct"/>
                  <w:vAlign w:val="center"/>
                </w:tcPr>
                <w:p>
                  <w:pPr>
                    <w:pStyle w:val="38"/>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750" w:type="pct"/>
                  <w:vAlign w:val="center"/>
                </w:tcPr>
                <w:p>
                  <w:pPr>
                    <w:pStyle w:val="38"/>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67</w:t>
                  </w:r>
                </w:p>
              </w:tc>
              <w:tc>
                <w:tcPr>
                  <w:tcW w:w="360" w:type="pct"/>
                  <w:vAlign w:val="center"/>
                </w:tcPr>
                <w:p>
                  <w:pPr>
                    <w:pStyle w:val="38"/>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-131</w:t>
                  </w:r>
                </w:p>
              </w:tc>
              <w:tc>
                <w:tcPr>
                  <w:tcW w:w="380" w:type="pct"/>
                  <w:vAlign w:val="center"/>
                </w:tcPr>
                <w:p>
                  <w:pPr>
                    <w:pStyle w:val="38"/>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17</w:t>
                  </w:r>
                </w:p>
              </w:tc>
              <w:tc>
                <w:tcPr>
                  <w:tcW w:w="298" w:type="pct"/>
                  <w:vAlign w:val="center"/>
                </w:tcPr>
                <w:p>
                  <w:pPr>
                    <w:pStyle w:val="38"/>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 w:type="pct"/>
                  <w:vAlign w:val="center"/>
                </w:tcPr>
                <w:p>
                  <w:pPr>
                    <w:pStyle w:val="38"/>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w:t>
                  </w:r>
                </w:p>
              </w:tc>
              <w:tc>
                <w:tcPr>
                  <w:tcW w:w="391" w:type="pct"/>
                  <w:vMerge w:val="restart"/>
                  <w:vAlign w:val="center"/>
                </w:tcPr>
                <w:p>
                  <w:pPr>
                    <w:pStyle w:val="38"/>
                    <w:rPr>
                      <w:rFonts w:hint="default" w:ascii="Times New Roman" w:hAnsi="Times New Roman" w:cs="Times New Roman"/>
                      <w:color w:val="auto"/>
                      <w:sz w:val="18"/>
                      <w:szCs w:val="18"/>
                    </w:rPr>
                  </w:pPr>
                  <w:r>
                    <w:rPr>
                      <w:rFonts w:hint="default" w:ascii="Times New Roman" w:hAnsi="Times New Roman" w:cs="Times New Roman"/>
                      <w:color w:val="auto"/>
                      <w:sz w:val="18"/>
                      <w:szCs w:val="18"/>
                      <w:lang w:eastAsia="zh-CN"/>
                    </w:rPr>
                    <w:t>车间X1</w:t>
                  </w:r>
                  <w:r>
                    <w:rPr>
                      <w:rFonts w:hint="default" w:ascii="Times New Roman" w:hAnsi="Times New Roman" w:cs="Times New Roman"/>
                      <w:color w:val="auto"/>
                      <w:sz w:val="18"/>
                      <w:szCs w:val="18"/>
                    </w:rPr>
                    <w:t>外</w:t>
                  </w:r>
                </w:p>
              </w:tc>
              <w:tc>
                <w:tcPr>
                  <w:tcW w:w="313" w:type="pct"/>
                  <w:shd w:val="clear" w:color="auto" w:fill="auto"/>
                  <w:vAlign w:val="center"/>
                </w:tcPr>
                <w:p>
                  <w:pPr>
                    <w:pStyle w:val="38"/>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冷凝器</w:t>
                  </w:r>
                </w:p>
              </w:tc>
              <w:tc>
                <w:tcPr>
                  <w:tcW w:w="467" w:type="pct"/>
                  <w:vAlign w:val="center"/>
                </w:tcPr>
                <w:p>
                  <w:pPr>
                    <w:pStyle w:val="38"/>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tc>
              <w:tc>
                <w:tcPr>
                  <w:tcW w:w="490" w:type="pct"/>
                  <w:vAlign w:val="center"/>
                </w:tcPr>
                <w:p>
                  <w:pPr>
                    <w:pStyle w:val="38"/>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72</w:t>
                  </w:r>
                </w:p>
              </w:tc>
              <w:tc>
                <w:tcPr>
                  <w:tcW w:w="490" w:type="pct"/>
                  <w:vMerge w:val="continue"/>
                  <w:vAlign w:val="center"/>
                </w:tcPr>
                <w:p>
                  <w:pPr>
                    <w:pStyle w:val="38"/>
                    <w:rPr>
                      <w:rFonts w:hint="default" w:ascii="Times New Roman" w:hAnsi="Times New Roman" w:cs="Times New Roman"/>
                      <w:color w:val="auto"/>
                      <w:sz w:val="18"/>
                      <w:szCs w:val="18"/>
                    </w:rPr>
                  </w:pPr>
                </w:p>
              </w:tc>
              <w:tc>
                <w:tcPr>
                  <w:tcW w:w="811" w:type="pct"/>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750" w:type="pct"/>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67</w:t>
                  </w:r>
                </w:p>
              </w:tc>
              <w:tc>
                <w:tcPr>
                  <w:tcW w:w="360" w:type="pct"/>
                  <w:vAlign w:val="center"/>
                </w:tcPr>
                <w:p>
                  <w:pPr>
                    <w:pStyle w:val="38"/>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10</w:t>
                  </w:r>
                </w:p>
              </w:tc>
              <w:tc>
                <w:tcPr>
                  <w:tcW w:w="380" w:type="pct"/>
                  <w:vAlign w:val="center"/>
                </w:tcPr>
                <w:p>
                  <w:pPr>
                    <w:pStyle w:val="38"/>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w:t>
                  </w:r>
                </w:p>
              </w:tc>
              <w:tc>
                <w:tcPr>
                  <w:tcW w:w="298" w:type="pct"/>
                  <w:vAlign w:val="center"/>
                </w:tcPr>
                <w:p>
                  <w:pPr>
                    <w:pStyle w:val="38"/>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 w:type="pct"/>
                  <w:vAlign w:val="center"/>
                </w:tcPr>
                <w:p>
                  <w:pPr>
                    <w:pStyle w:val="38"/>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w:t>
                  </w:r>
                </w:p>
              </w:tc>
              <w:tc>
                <w:tcPr>
                  <w:tcW w:w="391" w:type="pct"/>
                  <w:vMerge w:val="continue"/>
                  <w:vAlign w:val="center"/>
                </w:tcPr>
                <w:p>
                  <w:pPr>
                    <w:pStyle w:val="38"/>
                    <w:rPr>
                      <w:rFonts w:hint="default" w:ascii="Times New Roman" w:hAnsi="Times New Roman" w:cs="Times New Roman"/>
                      <w:color w:val="auto"/>
                      <w:sz w:val="18"/>
                      <w:szCs w:val="18"/>
                    </w:rPr>
                  </w:pPr>
                </w:p>
              </w:tc>
              <w:tc>
                <w:tcPr>
                  <w:tcW w:w="313" w:type="pct"/>
                  <w:shd w:val="clear" w:color="auto" w:fill="auto"/>
                  <w:vAlign w:val="center"/>
                </w:tcPr>
                <w:p>
                  <w:pPr>
                    <w:pStyle w:val="38"/>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冷却塔</w:t>
                  </w:r>
                </w:p>
              </w:tc>
              <w:tc>
                <w:tcPr>
                  <w:tcW w:w="467" w:type="pct"/>
                  <w:vAlign w:val="center"/>
                </w:tcPr>
                <w:p>
                  <w:pPr>
                    <w:pStyle w:val="38"/>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tc>
              <w:tc>
                <w:tcPr>
                  <w:tcW w:w="490" w:type="pct"/>
                  <w:vAlign w:val="center"/>
                </w:tcPr>
                <w:p>
                  <w:pPr>
                    <w:pStyle w:val="38"/>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72</w:t>
                  </w:r>
                </w:p>
              </w:tc>
              <w:tc>
                <w:tcPr>
                  <w:tcW w:w="490" w:type="pct"/>
                  <w:vMerge w:val="continue"/>
                  <w:vAlign w:val="center"/>
                </w:tcPr>
                <w:p>
                  <w:pPr>
                    <w:pStyle w:val="38"/>
                    <w:rPr>
                      <w:rFonts w:hint="default" w:ascii="Times New Roman" w:hAnsi="Times New Roman" w:cs="Times New Roman"/>
                      <w:color w:val="auto"/>
                      <w:sz w:val="18"/>
                      <w:szCs w:val="18"/>
                    </w:rPr>
                  </w:pPr>
                </w:p>
              </w:tc>
              <w:tc>
                <w:tcPr>
                  <w:tcW w:w="811" w:type="pct"/>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750" w:type="pct"/>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67</w:t>
                  </w:r>
                </w:p>
              </w:tc>
              <w:tc>
                <w:tcPr>
                  <w:tcW w:w="360" w:type="pct"/>
                  <w:vAlign w:val="center"/>
                </w:tcPr>
                <w:p>
                  <w:pPr>
                    <w:pStyle w:val="38"/>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15</w:t>
                  </w:r>
                </w:p>
              </w:tc>
              <w:tc>
                <w:tcPr>
                  <w:tcW w:w="380" w:type="pct"/>
                  <w:vAlign w:val="center"/>
                </w:tcPr>
                <w:p>
                  <w:pPr>
                    <w:pStyle w:val="38"/>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11</w:t>
                  </w:r>
                </w:p>
              </w:tc>
              <w:tc>
                <w:tcPr>
                  <w:tcW w:w="298" w:type="pct"/>
                  <w:vAlign w:val="center"/>
                </w:tcPr>
                <w:p>
                  <w:pPr>
                    <w:pStyle w:val="38"/>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 w:type="pct"/>
                  <w:vAlign w:val="center"/>
                </w:tcPr>
                <w:p>
                  <w:pPr>
                    <w:pStyle w:val="38"/>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w:t>
                  </w:r>
                </w:p>
              </w:tc>
              <w:tc>
                <w:tcPr>
                  <w:tcW w:w="391" w:type="pct"/>
                  <w:vMerge w:val="continue"/>
                  <w:vAlign w:val="center"/>
                </w:tcPr>
                <w:p>
                  <w:pPr>
                    <w:pStyle w:val="38"/>
                    <w:rPr>
                      <w:rFonts w:hint="default" w:ascii="Times New Roman" w:hAnsi="Times New Roman" w:cs="Times New Roman"/>
                      <w:color w:val="auto"/>
                      <w:sz w:val="18"/>
                      <w:szCs w:val="18"/>
                    </w:rPr>
                  </w:pPr>
                </w:p>
              </w:tc>
              <w:tc>
                <w:tcPr>
                  <w:tcW w:w="313" w:type="pct"/>
                  <w:vAlign w:val="center"/>
                </w:tcPr>
                <w:p>
                  <w:pPr>
                    <w:pStyle w:val="38"/>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喷淋塔</w:t>
                  </w:r>
                </w:p>
              </w:tc>
              <w:tc>
                <w:tcPr>
                  <w:tcW w:w="467" w:type="pct"/>
                  <w:vAlign w:val="center"/>
                </w:tcPr>
                <w:p>
                  <w:pPr>
                    <w:pStyle w:val="38"/>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tc>
              <w:tc>
                <w:tcPr>
                  <w:tcW w:w="490" w:type="pct"/>
                  <w:vAlign w:val="center"/>
                </w:tcPr>
                <w:p>
                  <w:pPr>
                    <w:pStyle w:val="38"/>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72</w:t>
                  </w:r>
                </w:p>
              </w:tc>
              <w:tc>
                <w:tcPr>
                  <w:tcW w:w="490" w:type="pct"/>
                  <w:vMerge w:val="continue"/>
                  <w:vAlign w:val="center"/>
                </w:tcPr>
                <w:p>
                  <w:pPr>
                    <w:pStyle w:val="38"/>
                    <w:rPr>
                      <w:rFonts w:hint="default" w:ascii="Times New Roman" w:hAnsi="Times New Roman" w:cs="Times New Roman"/>
                      <w:color w:val="auto"/>
                      <w:sz w:val="18"/>
                      <w:szCs w:val="18"/>
                    </w:rPr>
                  </w:pPr>
                </w:p>
              </w:tc>
              <w:tc>
                <w:tcPr>
                  <w:tcW w:w="811" w:type="pct"/>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750" w:type="pct"/>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67</w:t>
                  </w:r>
                </w:p>
              </w:tc>
              <w:tc>
                <w:tcPr>
                  <w:tcW w:w="360" w:type="pct"/>
                  <w:vAlign w:val="center"/>
                </w:tcPr>
                <w:p>
                  <w:pPr>
                    <w:pStyle w:val="38"/>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w:t>
                  </w:r>
                </w:p>
              </w:tc>
              <w:tc>
                <w:tcPr>
                  <w:tcW w:w="380" w:type="pct"/>
                  <w:vAlign w:val="center"/>
                </w:tcPr>
                <w:p>
                  <w:pPr>
                    <w:pStyle w:val="38"/>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13</w:t>
                  </w:r>
                </w:p>
              </w:tc>
              <w:tc>
                <w:tcPr>
                  <w:tcW w:w="298" w:type="pct"/>
                  <w:vAlign w:val="center"/>
                </w:tcPr>
                <w:p>
                  <w:pPr>
                    <w:pStyle w:val="38"/>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tc>
            </w:tr>
          </w:tbl>
          <w:p>
            <w:pPr>
              <w:widowControl/>
              <w:spacing w:line="360" w:lineRule="auto"/>
              <w:ind w:firstLine="420" w:firstLineChars="200"/>
              <w:rPr>
                <w:rFonts w:hint="eastAsia"/>
                <w:color w:val="auto"/>
                <w:szCs w:val="21"/>
              </w:rPr>
            </w:pPr>
            <w:r>
              <w:rPr>
                <w:rFonts w:hint="eastAsia"/>
                <w:color w:val="auto"/>
                <w:szCs w:val="21"/>
              </w:rPr>
              <w:t>根据上述参数计算并输出结果：</w:t>
            </w:r>
          </w:p>
          <w:p>
            <w:pPr>
              <w:spacing w:before="194" w:beforeLines="50"/>
              <w:jc w:val="center"/>
              <w:outlineLvl w:val="5"/>
              <w:rPr>
                <w:rFonts w:hint="default"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表4-29噪声预测结果</w:t>
            </w:r>
          </w:p>
          <w:tbl>
            <w:tblPr>
              <w:tblStyle w:val="19"/>
              <w:tblW w:w="8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694"/>
              <w:gridCol w:w="450"/>
              <w:gridCol w:w="725"/>
              <w:gridCol w:w="3540"/>
              <w:gridCol w:w="940"/>
              <w:gridCol w:w="9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29" w:type="dxa"/>
                  <w:shd w:val="clear" w:color="auto" w:fill="auto"/>
                  <w:vAlign w:val="center"/>
                </w:tcPr>
                <w:p>
                  <w:pPr>
                    <w:widowControl/>
                    <w:snapToGrid w:val="0"/>
                    <w:jc w:val="center"/>
                    <w:textAlignment w:val="center"/>
                    <w:rPr>
                      <w:rStyle w:val="57"/>
                      <w:rFonts w:hint="default" w:ascii="Times New Roman"/>
                      <w:b/>
                      <w:color w:val="auto"/>
                      <w:sz w:val="18"/>
                      <w:szCs w:val="18"/>
                      <w:lang w:bidi="ar"/>
                    </w:rPr>
                  </w:pPr>
                  <w:r>
                    <w:rPr>
                      <w:rStyle w:val="57"/>
                      <w:rFonts w:hint="default" w:ascii="Times New Roman"/>
                      <w:b/>
                      <w:color w:val="auto"/>
                      <w:sz w:val="18"/>
                      <w:szCs w:val="18"/>
                      <w:lang w:bidi="ar"/>
                    </w:rPr>
                    <w:t>厂界</w:t>
                  </w:r>
                </w:p>
              </w:tc>
              <w:tc>
                <w:tcPr>
                  <w:tcW w:w="694" w:type="dxa"/>
                  <w:shd w:val="clear" w:color="auto" w:fill="auto"/>
                  <w:vAlign w:val="center"/>
                </w:tcPr>
                <w:p>
                  <w:pPr>
                    <w:widowControl/>
                    <w:snapToGrid w:val="0"/>
                    <w:jc w:val="center"/>
                    <w:textAlignment w:val="center"/>
                    <w:rPr>
                      <w:b/>
                      <w:color w:val="auto"/>
                      <w:sz w:val="18"/>
                      <w:szCs w:val="18"/>
                    </w:rPr>
                  </w:pPr>
                  <w:r>
                    <w:rPr>
                      <w:rFonts w:hint="eastAsia"/>
                      <w:b/>
                      <w:color w:val="auto"/>
                      <w:sz w:val="18"/>
                      <w:szCs w:val="18"/>
                    </w:rPr>
                    <w:t>噪声贡献值</w:t>
                  </w:r>
                </w:p>
              </w:tc>
              <w:tc>
                <w:tcPr>
                  <w:tcW w:w="1175" w:type="dxa"/>
                  <w:gridSpan w:val="2"/>
                  <w:shd w:val="clear" w:color="auto" w:fill="auto"/>
                  <w:vAlign w:val="center"/>
                </w:tcPr>
                <w:p>
                  <w:pPr>
                    <w:widowControl/>
                    <w:snapToGrid w:val="0"/>
                    <w:jc w:val="center"/>
                    <w:textAlignment w:val="center"/>
                    <w:rPr>
                      <w:b/>
                      <w:color w:val="auto"/>
                      <w:sz w:val="18"/>
                      <w:szCs w:val="18"/>
                    </w:rPr>
                  </w:pPr>
                  <w:r>
                    <w:rPr>
                      <w:rFonts w:hint="eastAsia"/>
                      <w:b/>
                      <w:color w:val="auto"/>
                      <w:sz w:val="18"/>
                      <w:szCs w:val="18"/>
                    </w:rPr>
                    <w:t>叠加现状后</w:t>
                  </w:r>
                </w:p>
              </w:tc>
              <w:tc>
                <w:tcPr>
                  <w:tcW w:w="3540" w:type="dxa"/>
                  <w:shd w:val="clear" w:color="auto" w:fill="auto"/>
                  <w:vAlign w:val="center"/>
                </w:tcPr>
                <w:p>
                  <w:pPr>
                    <w:widowControl/>
                    <w:snapToGrid w:val="0"/>
                    <w:jc w:val="center"/>
                    <w:textAlignment w:val="center"/>
                    <w:rPr>
                      <w:b/>
                      <w:color w:val="auto"/>
                      <w:sz w:val="18"/>
                      <w:szCs w:val="18"/>
                    </w:rPr>
                  </w:pPr>
                  <w:r>
                    <w:rPr>
                      <w:rFonts w:hint="eastAsia"/>
                      <w:b/>
                      <w:color w:val="auto"/>
                      <w:sz w:val="18"/>
                      <w:szCs w:val="18"/>
                    </w:rPr>
                    <w:t>标准来源</w:t>
                  </w:r>
                </w:p>
              </w:tc>
              <w:tc>
                <w:tcPr>
                  <w:tcW w:w="940" w:type="dxa"/>
                  <w:shd w:val="clear" w:color="auto" w:fill="auto"/>
                  <w:vAlign w:val="center"/>
                </w:tcPr>
                <w:p>
                  <w:pPr>
                    <w:widowControl/>
                    <w:snapToGrid w:val="0"/>
                    <w:jc w:val="center"/>
                    <w:textAlignment w:val="center"/>
                    <w:rPr>
                      <w:b/>
                      <w:color w:val="auto"/>
                      <w:sz w:val="18"/>
                      <w:szCs w:val="18"/>
                    </w:rPr>
                  </w:pPr>
                  <w:r>
                    <w:rPr>
                      <w:rFonts w:hint="eastAsia"/>
                      <w:b/>
                      <w:color w:val="auto"/>
                      <w:sz w:val="18"/>
                      <w:szCs w:val="18"/>
                    </w:rPr>
                    <w:t>标准值</w:t>
                  </w:r>
                </w:p>
              </w:tc>
              <w:tc>
                <w:tcPr>
                  <w:tcW w:w="922" w:type="dxa"/>
                  <w:shd w:val="clear" w:color="auto" w:fill="auto"/>
                  <w:vAlign w:val="center"/>
                </w:tcPr>
                <w:p>
                  <w:pPr>
                    <w:widowControl/>
                    <w:snapToGrid w:val="0"/>
                    <w:jc w:val="center"/>
                    <w:textAlignment w:val="center"/>
                    <w:rPr>
                      <w:b/>
                      <w:color w:val="auto"/>
                      <w:sz w:val="18"/>
                      <w:szCs w:val="18"/>
                    </w:rPr>
                  </w:pPr>
                  <w:r>
                    <w:rPr>
                      <w:rFonts w:hint="eastAsia"/>
                      <w:b/>
                      <w:color w:val="auto"/>
                      <w:sz w:val="18"/>
                      <w:szCs w:val="18"/>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29" w:type="dxa"/>
                  <w:vMerge w:val="restart"/>
                  <w:shd w:val="clear" w:color="auto" w:fill="auto"/>
                  <w:vAlign w:val="center"/>
                </w:tcPr>
                <w:p>
                  <w:pPr>
                    <w:widowControl/>
                    <w:snapToGrid w:val="0"/>
                    <w:jc w:val="center"/>
                    <w:textAlignment w:val="center"/>
                    <w:rPr>
                      <w:rStyle w:val="57"/>
                      <w:rFonts w:hint="default" w:ascii="Times New Roman"/>
                      <w:color w:val="auto"/>
                      <w:sz w:val="18"/>
                      <w:szCs w:val="18"/>
                      <w:lang w:bidi="ar"/>
                    </w:rPr>
                  </w:pPr>
                  <w:r>
                    <w:rPr>
                      <w:rStyle w:val="57"/>
                      <w:rFonts w:hint="default" w:ascii="Times New Roman"/>
                      <w:color w:val="auto"/>
                      <w:sz w:val="18"/>
                      <w:szCs w:val="18"/>
                      <w:lang w:bidi="ar"/>
                    </w:rPr>
                    <w:t>东</w:t>
                  </w:r>
                </w:p>
                <w:p>
                  <w:pPr>
                    <w:widowControl/>
                    <w:snapToGrid w:val="0"/>
                    <w:jc w:val="center"/>
                    <w:textAlignment w:val="center"/>
                    <w:rPr>
                      <w:color w:val="auto"/>
                      <w:sz w:val="18"/>
                      <w:szCs w:val="18"/>
                    </w:rPr>
                  </w:pPr>
                  <w:r>
                    <w:rPr>
                      <w:rFonts w:hint="eastAsia"/>
                      <w:color w:val="auto"/>
                      <w:sz w:val="18"/>
                      <w:szCs w:val="18"/>
                    </w:rPr>
                    <w:t>（57,10）</w:t>
                  </w:r>
                </w:p>
              </w:tc>
              <w:tc>
                <w:tcPr>
                  <w:tcW w:w="694" w:type="dxa"/>
                  <w:vMerge w:val="restart"/>
                  <w:shd w:val="clear" w:color="auto" w:fill="auto"/>
                  <w:vAlign w:val="center"/>
                </w:tcPr>
                <w:p>
                  <w:pPr>
                    <w:widowControl/>
                    <w:snapToGrid w:val="0"/>
                    <w:jc w:val="center"/>
                    <w:textAlignment w:val="center"/>
                    <w:rPr>
                      <w:color w:val="auto"/>
                      <w:sz w:val="18"/>
                      <w:szCs w:val="18"/>
                    </w:rPr>
                  </w:pPr>
                  <w:r>
                    <w:rPr>
                      <w:rFonts w:hint="eastAsia"/>
                      <w:color w:val="auto"/>
                      <w:sz w:val="18"/>
                      <w:szCs w:val="18"/>
                    </w:rPr>
                    <w:t>38.6</w:t>
                  </w:r>
                </w:p>
              </w:tc>
              <w:tc>
                <w:tcPr>
                  <w:tcW w:w="450" w:type="dxa"/>
                  <w:shd w:val="clear" w:color="auto" w:fill="auto"/>
                  <w:vAlign w:val="center"/>
                </w:tcPr>
                <w:p>
                  <w:pPr>
                    <w:widowControl/>
                    <w:snapToGrid w:val="0"/>
                    <w:jc w:val="center"/>
                    <w:textAlignment w:val="center"/>
                    <w:rPr>
                      <w:color w:val="auto"/>
                      <w:sz w:val="18"/>
                      <w:szCs w:val="18"/>
                    </w:rPr>
                  </w:pPr>
                  <w:r>
                    <w:rPr>
                      <w:rFonts w:hint="eastAsia"/>
                      <w:color w:val="auto"/>
                      <w:sz w:val="18"/>
                      <w:szCs w:val="18"/>
                    </w:rPr>
                    <w:t>昼</w:t>
                  </w:r>
                </w:p>
              </w:tc>
              <w:tc>
                <w:tcPr>
                  <w:tcW w:w="725" w:type="dxa"/>
                  <w:shd w:val="clear" w:color="auto" w:fill="auto"/>
                  <w:vAlign w:val="center"/>
                </w:tcPr>
                <w:p>
                  <w:pPr>
                    <w:widowControl/>
                    <w:snapToGrid w:val="0"/>
                    <w:jc w:val="center"/>
                    <w:textAlignment w:val="center"/>
                    <w:rPr>
                      <w:rFonts w:hint="default" w:eastAsia="宋体"/>
                      <w:color w:val="auto"/>
                      <w:sz w:val="18"/>
                      <w:szCs w:val="18"/>
                      <w:lang w:val="en-US" w:eastAsia="zh-CN"/>
                    </w:rPr>
                  </w:pPr>
                  <w:r>
                    <w:rPr>
                      <w:rFonts w:hint="eastAsia"/>
                      <w:color w:val="auto"/>
                      <w:sz w:val="18"/>
                      <w:szCs w:val="18"/>
                      <w:lang w:val="en-US" w:eastAsia="zh-CN"/>
                    </w:rPr>
                    <w:t>56.77</w:t>
                  </w:r>
                </w:p>
              </w:tc>
              <w:tc>
                <w:tcPr>
                  <w:tcW w:w="3540" w:type="dxa"/>
                  <w:vMerge w:val="restart"/>
                  <w:shd w:val="clear" w:color="auto" w:fill="auto"/>
                  <w:vAlign w:val="center"/>
                </w:tcPr>
                <w:p>
                  <w:pPr>
                    <w:widowControl/>
                    <w:snapToGrid w:val="0"/>
                    <w:jc w:val="center"/>
                    <w:textAlignment w:val="center"/>
                    <w:rPr>
                      <w:color w:val="auto"/>
                      <w:sz w:val="18"/>
                      <w:szCs w:val="18"/>
                    </w:rPr>
                  </w:pPr>
                  <w:r>
                    <w:rPr>
                      <w:rFonts w:hint="eastAsia"/>
                      <w:color w:val="auto"/>
                      <w:sz w:val="18"/>
                      <w:szCs w:val="18"/>
                    </w:rPr>
                    <w:t>《工业企业厂界环境噪声排放标准》(GB12348-2008)表1中3类排放限值</w:t>
                  </w:r>
                </w:p>
              </w:tc>
              <w:tc>
                <w:tcPr>
                  <w:tcW w:w="940" w:type="dxa"/>
                  <w:shd w:val="clear" w:color="auto" w:fill="auto"/>
                  <w:vAlign w:val="center"/>
                </w:tcPr>
                <w:p>
                  <w:pPr>
                    <w:widowControl/>
                    <w:snapToGrid w:val="0"/>
                    <w:jc w:val="center"/>
                    <w:textAlignment w:val="center"/>
                    <w:rPr>
                      <w:color w:val="auto"/>
                      <w:sz w:val="18"/>
                      <w:szCs w:val="18"/>
                    </w:rPr>
                  </w:pPr>
                  <w:r>
                    <w:rPr>
                      <w:rFonts w:hint="eastAsia"/>
                      <w:color w:val="auto"/>
                      <w:sz w:val="18"/>
                      <w:szCs w:val="18"/>
                    </w:rPr>
                    <w:t>昼间65</w:t>
                  </w:r>
                </w:p>
              </w:tc>
              <w:tc>
                <w:tcPr>
                  <w:tcW w:w="922" w:type="dxa"/>
                  <w:vMerge w:val="restart"/>
                  <w:shd w:val="clear" w:color="auto" w:fill="auto"/>
                  <w:vAlign w:val="center"/>
                </w:tcPr>
                <w:p>
                  <w:pPr>
                    <w:widowControl/>
                    <w:snapToGrid w:val="0"/>
                    <w:jc w:val="center"/>
                    <w:textAlignment w:val="center"/>
                    <w:rPr>
                      <w:color w:val="auto"/>
                      <w:sz w:val="18"/>
                      <w:szCs w:val="18"/>
                    </w:rPr>
                  </w:pPr>
                  <w:r>
                    <w:rPr>
                      <w:rFonts w:hint="eastAsia"/>
                      <w:color w:val="auto"/>
                      <w:sz w:val="18"/>
                      <w:szCs w:val="18"/>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29" w:type="dxa"/>
                  <w:vMerge w:val="continue"/>
                  <w:shd w:val="clear" w:color="auto" w:fill="auto"/>
                  <w:vAlign w:val="center"/>
                </w:tcPr>
                <w:p>
                  <w:pPr>
                    <w:widowControl/>
                    <w:snapToGrid w:val="0"/>
                    <w:jc w:val="center"/>
                    <w:textAlignment w:val="center"/>
                    <w:rPr>
                      <w:color w:val="auto"/>
                      <w:sz w:val="18"/>
                      <w:szCs w:val="18"/>
                    </w:rPr>
                  </w:pPr>
                </w:p>
              </w:tc>
              <w:tc>
                <w:tcPr>
                  <w:tcW w:w="694" w:type="dxa"/>
                  <w:vMerge w:val="continue"/>
                  <w:shd w:val="clear" w:color="auto" w:fill="auto"/>
                  <w:vAlign w:val="center"/>
                </w:tcPr>
                <w:p>
                  <w:pPr>
                    <w:widowControl/>
                    <w:snapToGrid w:val="0"/>
                    <w:jc w:val="center"/>
                    <w:textAlignment w:val="center"/>
                    <w:rPr>
                      <w:color w:val="auto"/>
                      <w:sz w:val="18"/>
                      <w:szCs w:val="18"/>
                    </w:rPr>
                  </w:pPr>
                </w:p>
              </w:tc>
              <w:tc>
                <w:tcPr>
                  <w:tcW w:w="450" w:type="dxa"/>
                  <w:shd w:val="clear" w:color="auto" w:fill="auto"/>
                  <w:vAlign w:val="center"/>
                </w:tcPr>
                <w:p>
                  <w:pPr>
                    <w:widowControl/>
                    <w:snapToGrid w:val="0"/>
                    <w:jc w:val="center"/>
                    <w:textAlignment w:val="center"/>
                    <w:rPr>
                      <w:color w:val="auto"/>
                      <w:sz w:val="18"/>
                      <w:szCs w:val="18"/>
                    </w:rPr>
                  </w:pPr>
                  <w:r>
                    <w:rPr>
                      <w:rFonts w:hint="eastAsia"/>
                      <w:color w:val="auto"/>
                      <w:sz w:val="18"/>
                      <w:szCs w:val="18"/>
                    </w:rPr>
                    <w:t>夜</w:t>
                  </w:r>
                </w:p>
              </w:tc>
              <w:tc>
                <w:tcPr>
                  <w:tcW w:w="725" w:type="dxa"/>
                  <w:shd w:val="clear" w:color="auto" w:fill="auto"/>
                  <w:vAlign w:val="center"/>
                </w:tcPr>
                <w:p>
                  <w:pPr>
                    <w:widowControl/>
                    <w:snapToGrid w:val="0"/>
                    <w:jc w:val="center"/>
                    <w:textAlignment w:val="center"/>
                    <w:rPr>
                      <w:rFonts w:hint="default" w:eastAsia="宋体"/>
                      <w:color w:val="auto"/>
                      <w:sz w:val="18"/>
                      <w:szCs w:val="18"/>
                      <w:lang w:val="en-US" w:eastAsia="zh-CN"/>
                    </w:rPr>
                  </w:pPr>
                  <w:r>
                    <w:rPr>
                      <w:rFonts w:hint="eastAsia"/>
                      <w:color w:val="auto"/>
                      <w:sz w:val="18"/>
                      <w:szCs w:val="18"/>
                      <w:lang w:val="en-US" w:eastAsia="zh-CN"/>
                    </w:rPr>
                    <w:t>46.73</w:t>
                  </w:r>
                </w:p>
              </w:tc>
              <w:tc>
                <w:tcPr>
                  <w:tcW w:w="3540" w:type="dxa"/>
                  <w:vMerge w:val="continue"/>
                  <w:shd w:val="clear" w:color="auto" w:fill="auto"/>
                  <w:vAlign w:val="center"/>
                </w:tcPr>
                <w:p>
                  <w:pPr>
                    <w:widowControl/>
                    <w:snapToGrid w:val="0"/>
                    <w:jc w:val="center"/>
                    <w:textAlignment w:val="center"/>
                    <w:rPr>
                      <w:color w:val="auto"/>
                      <w:sz w:val="18"/>
                      <w:szCs w:val="18"/>
                    </w:rPr>
                  </w:pPr>
                </w:p>
              </w:tc>
              <w:tc>
                <w:tcPr>
                  <w:tcW w:w="940" w:type="dxa"/>
                  <w:shd w:val="clear" w:color="auto" w:fill="auto"/>
                  <w:vAlign w:val="center"/>
                </w:tcPr>
                <w:p>
                  <w:pPr>
                    <w:widowControl/>
                    <w:snapToGrid w:val="0"/>
                    <w:jc w:val="center"/>
                    <w:textAlignment w:val="center"/>
                    <w:rPr>
                      <w:color w:val="auto"/>
                      <w:sz w:val="18"/>
                      <w:szCs w:val="18"/>
                    </w:rPr>
                  </w:pPr>
                  <w:r>
                    <w:rPr>
                      <w:rFonts w:hint="eastAsia"/>
                      <w:color w:val="auto"/>
                      <w:sz w:val="18"/>
                      <w:szCs w:val="18"/>
                    </w:rPr>
                    <w:t>夜间55</w:t>
                  </w:r>
                </w:p>
              </w:tc>
              <w:tc>
                <w:tcPr>
                  <w:tcW w:w="922" w:type="dxa"/>
                  <w:vMerge w:val="continue"/>
                  <w:shd w:val="clear" w:color="auto" w:fill="auto"/>
                  <w:vAlign w:val="center"/>
                </w:tcPr>
                <w:p>
                  <w:pPr>
                    <w:widowControl/>
                    <w:snapToGrid w:val="0"/>
                    <w:jc w:val="center"/>
                    <w:textAlignment w:val="center"/>
                    <w:rPr>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29" w:type="dxa"/>
                  <w:vMerge w:val="restart"/>
                  <w:shd w:val="clear" w:color="auto" w:fill="auto"/>
                  <w:noWrap/>
                  <w:vAlign w:val="center"/>
                </w:tcPr>
                <w:p>
                  <w:pPr>
                    <w:widowControl/>
                    <w:snapToGrid w:val="0"/>
                    <w:jc w:val="center"/>
                    <w:textAlignment w:val="center"/>
                    <w:rPr>
                      <w:rStyle w:val="57"/>
                      <w:rFonts w:hint="default" w:ascii="Times New Roman"/>
                      <w:color w:val="auto"/>
                      <w:sz w:val="18"/>
                      <w:szCs w:val="18"/>
                      <w:lang w:bidi="ar"/>
                    </w:rPr>
                  </w:pPr>
                  <w:r>
                    <w:rPr>
                      <w:rStyle w:val="57"/>
                      <w:rFonts w:hint="default" w:ascii="Times New Roman"/>
                      <w:color w:val="auto"/>
                      <w:sz w:val="18"/>
                      <w:szCs w:val="18"/>
                      <w:lang w:bidi="ar"/>
                    </w:rPr>
                    <w:t>南</w:t>
                  </w:r>
                </w:p>
                <w:p>
                  <w:pPr>
                    <w:widowControl/>
                    <w:snapToGrid w:val="0"/>
                    <w:jc w:val="center"/>
                    <w:textAlignment w:val="center"/>
                    <w:rPr>
                      <w:color w:val="auto"/>
                      <w:sz w:val="18"/>
                      <w:szCs w:val="18"/>
                    </w:rPr>
                  </w:pPr>
                  <w:r>
                    <w:rPr>
                      <w:rFonts w:hint="eastAsia"/>
                      <w:color w:val="auto"/>
                      <w:sz w:val="18"/>
                      <w:szCs w:val="18"/>
                    </w:rPr>
                    <w:t>（0,-33）</w:t>
                  </w:r>
                </w:p>
              </w:tc>
              <w:tc>
                <w:tcPr>
                  <w:tcW w:w="694" w:type="dxa"/>
                  <w:vMerge w:val="restart"/>
                  <w:shd w:val="clear" w:color="auto" w:fill="auto"/>
                  <w:noWrap/>
                  <w:vAlign w:val="center"/>
                </w:tcPr>
                <w:p>
                  <w:pPr>
                    <w:widowControl/>
                    <w:snapToGrid w:val="0"/>
                    <w:jc w:val="center"/>
                    <w:textAlignment w:val="center"/>
                    <w:rPr>
                      <w:color w:val="auto"/>
                      <w:sz w:val="18"/>
                      <w:szCs w:val="18"/>
                    </w:rPr>
                  </w:pPr>
                  <w:r>
                    <w:rPr>
                      <w:rFonts w:hint="eastAsia"/>
                      <w:color w:val="auto"/>
                      <w:sz w:val="18"/>
                      <w:szCs w:val="18"/>
                    </w:rPr>
                    <w:t>38.6</w:t>
                  </w:r>
                </w:p>
              </w:tc>
              <w:tc>
                <w:tcPr>
                  <w:tcW w:w="450" w:type="dxa"/>
                  <w:shd w:val="clear" w:color="auto" w:fill="auto"/>
                  <w:noWrap/>
                  <w:vAlign w:val="center"/>
                </w:tcPr>
                <w:p>
                  <w:pPr>
                    <w:widowControl/>
                    <w:snapToGrid w:val="0"/>
                    <w:jc w:val="center"/>
                    <w:textAlignment w:val="center"/>
                    <w:rPr>
                      <w:color w:val="auto"/>
                      <w:sz w:val="18"/>
                      <w:szCs w:val="18"/>
                    </w:rPr>
                  </w:pPr>
                  <w:r>
                    <w:rPr>
                      <w:rFonts w:hint="eastAsia"/>
                      <w:color w:val="auto"/>
                      <w:sz w:val="18"/>
                      <w:szCs w:val="18"/>
                    </w:rPr>
                    <w:t>昼</w:t>
                  </w:r>
                </w:p>
              </w:tc>
              <w:tc>
                <w:tcPr>
                  <w:tcW w:w="725" w:type="dxa"/>
                  <w:shd w:val="clear" w:color="auto" w:fill="auto"/>
                  <w:noWrap/>
                  <w:vAlign w:val="center"/>
                </w:tcPr>
                <w:p>
                  <w:pPr>
                    <w:widowControl/>
                    <w:snapToGrid w:val="0"/>
                    <w:jc w:val="center"/>
                    <w:textAlignment w:val="center"/>
                    <w:rPr>
                      <w:rFonts w:hint="default" w:eastAsia="宋体"/>
                      <w:color w:val="auto"/>
                      <w:sz w:val="18"/>
                      <w:szCs w:val="18"/>
                      <w:lang w:val="en-US" w:eastAsia="zh-CN"/>
                    </w:rPr>
                  </w:pPr>
                  <w:r>
                    <w:rPr>
                      <w:rFonts w:hint="eastAsia"/>
                      <w:color w:val="auto"/>
                      <w:sz w:val="18"/>
                      <w:szCs w:val="18"/>
                      <w:lang w:val="en-US" w:eastAsia="zh-CN"/>
                    </w:rPr>
                    <w:t>58.05</w:t>
                  </w:r>
                </w:p>
              </w:tc>
              <w:tc>
                <w:tcPr>
                  <w:tcW w:w="3540" w:type="dxa"/>
                  <w:vMerge w:val="restart"/>
                  <w:shd w:val="clear" w:color="auto" w:fill="auto"/>
                  <w:noWrap/>
                  <w:vAlign w:val="center"/>
                </w:tcPr>
                <w:p>
                  <w:pPr>
                    <w:widowControl/>
                    <w:snapToGrid w:val="0"/>
                    <w:jc w:val="center"/>
                    <w:textAlignment w:val="center"/>
                    <w:rPr>
                      <w:color w:val="auto"/>
                      <w:sz w:val="18"/>
                      <w:szCs w:val="18"/>
                    </w:rPr>
                  </w:pPr>
                  <w:r>
                    <w:rPr>
                      <w:rFonts w:hint="eastAsia"/>
                      <w:color w:val="auto"/>
                      <w:sz w:val="18"/>
                      <w:szCs w:val="18"/>
                    </w:rPr>
                    <w:t>《工业企业厂界环境噪声排放标准》(GB12348-2008)表1中3类排放限值</w:t>
                  </w:r>
                </w:p>
              </w:tc>
              <w:tc>
                <w:tcPr>
                  <w:tcW w:w="940" w:type="dxa"/>
                  <w:shd w:val="clear" w:color="auto" w:fill="auto"/>
                  <w:noWrap/>
                  <w:vAlign w:val="center"/>
                </w:tcPr>
                <w:p>
                  <w:pPr>
                    <w:widowControl/>
                    <w:snapToGrid w:val="0"/>
                    <w:jc w:val="center"/>
                    <w:textAlignment w:val="center"/>
                    <w:rPr>
                      <w:color w:val="auto"/>
                      <w:sz w:val="18"/>
                      <w:szCs w:val="18"/>
                    </w:rPr>
                  </w:pPr>
                  <w:r>
                    <w:rPr>
                      <w:rFonts w:hint="eastAsia"/>
                      <w:color w:val="auto"/>
                      <w:sz w:val="18"/>
                      <w:szCs w:val="18"/>
                    </w:rPr>
                    <w:t>昼间65</w:t>
                  </w:r>
                </w:p>
              </w:tc>
              <w:tc>
                <w:tcPr>
                  <w:tcW w:w="922" w:type="dxa"/>
                  <w:vMerge w:val="restart"/>
                  <w:shd w:val="clear" w:color="auto" w:fill="auto"/>
                  <w:noWrap/>
                  <w:vAlign w:val="center"/>
                </w:tcPr>
                <w:p>
                  <w:pPr>
                    <w:widowControl/>
                    <w:snapToGrid w:val="0"/>
                    <w:jc w:val="center"/>
                    <w:textAlignment w:val="center"/>
                    <w:rPr>
                      <w:color w:val="auto"/>
                      <w:sz w:val="18"/>
                      <w:szCs w:val="18"/>
                    </w:rPr>
                  </w:pPr>
                  <w:r>
                    <w:rPr>
                      <w:rFonts w:hint="eastAsia"/>
                      <w:color w:val="auto"/>
                      <w:sz w:val="18"/>
                      <w:szCs w:val="18"/>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29" w:type="dxa"/>
                  <w:vMerge w:val="continue"/>
                  <w:shd w:val="clear" w:color="auto" w:fill="auto"/>
                  <w:noWrap/>
                  <w:vAlign w:val="center"/>
                </w:tcPr>
                <w:p>
                  <w:pPr>
                    <w:widowControl/>
                    <w:snapToGrid w:val="0"/>
                    <w:jc w:val="center"/>
                    <w:textAlignment w:val="center"/>
                    <w:rPr>
                      <w:color w:val="auto"/>
                      <w:sz w:val="18"/>
                      <w:szCs w:val="18"/>
                    </w:rPr>
                  </w:pPr>
                </w:p>
              </w:tc>
              <w:tc>
                <w:tcPr>
                  <w:tcW w:w="694" w:type="dxa"/>
                  <w:vMerge w:val="continue"/>
                  <w:shd w:val="clear" w:color="auto" w:fill="auto"/>
                  <w:noWrap/>
                  <w:vAlign w:val="center"/>
                </w:tcPr>
                <w:p>
                  <w:pPr>
                    <w:widowControl/>
                    <w:snapToGrid w:val="0"/>
                    <w:jc w:val="center"/>
                    <w:textAlignment w:val="center"/>
                    <w:rPr>
                      <w:color w:val="auto"/>
                      <w:sz w:val="18"/>
                      <w:szCs w:val="18"/>
                    </w:rPr>
                  </w:pPr>
                </w:p>
              </w:tc>
              <w:tc>
                <w:tcPr>
                  <w:tcW w:w="450" w:type="dxa"/>
                  <w:shd w:val="clear" w:color="auto" w:fill="auto"/>
                  <w:noWrap/>
                  <w:vAlign w:val="center"/>
                </w:tcPr>
                <w:p>
                  <w:pPr>
                    <w:widowControl/>
                    <w:snapToGrid w:val="0"/>
                    <w:jc w:val="center"/>
                    <w:textAlignment w:val="center"/>
                    <w:rPr>
                      <w:color w:val="auto"/>
                      <w:sz w:val="18"/>
                      <w:szCs w:val="18"/>
                    </w:rPr>
                  </w:pPr>
                  <w:r>
                    <w:rPr>
                      <w:rFonts w:hint="eastAsia"/>
                      <w:color w:val="auto"/>
                      <w:sz w:val="18"/>
                      <w:szCs w:val="18"/>
                    </w:rPr>
                    <w:t>夜</w:t>
                  </w:r>
                </w:p>
              </w:tc>
              <w:tc>
                <w:tcPr>
                  <w:tcW w:w="725" w:type="dxa"/>
                  <w:shd w:val="clear" w:color="auto" w:fill="auto"/>
                  <w:noWrap/>
                  <w:vAlign w:val="center"/>
                </w:tcPr>
                <w:p>
                  <w:pPr>
                    <w:widowControl/>
                    <w:snapToGrid w:val="0"/>
                    <w:jc w:val="center"/>
                    <w:textAlignment w:val="center"/>
                    <w:rPr>
                      <w:rFonts w:hint="default" w:eastAsia="宋体"/>
                      <w:color w:val="auto"/>
                      <w:sz w:val="18"/>
                      <w:szCs w:val="18"/>
                      <w:lang w:val="en-US" w:eastAsia="zh-CN"/>
                    </w:rPr>
                  </w:pPr>
                  <w:r>
                    <w:rPr>
                      <w:rFonts w:hint="eastAsia"/>
                      <w:color w:val="auto"/>
                      <w:sz w:val="18"/>
                      <w:szCs w:val="18"/>
                      <w:lang w:val="en-US" w:eastAsia="zh-CN"/>
                    </w:rPr>
                    <w:t>52.39</w:t>
                  </w:r>
                </w:p>
              </w:tc>
              <w:tc>
                <w:tcPr>
                  <w:tcW w:w="3540" w:type="dxa"/>
                  <w:vMerge w:val="continue"/>
                  <w:shd w:val="clear" w:color="auto" w:fill="auto"/>
                  <w:noWrap/>
                  <w:vAlign w:val="center"/>
                </w:tcPr>
                <w:p>
                  <w:pPr>
                    <w:widowControl/>
                    <w:snapToGrid w:val="0"/>
                    <w:jc w:val="center"/>
                    <w:textAlignment w:val="center"/>
                    <w:rPr>
                      <w:color w:val="auto"/>
                      <w:sz w:val="18"/>
                      <w:szCs w:val="18"/>
                    </w:rPr>
                  </w:pPr>
                </w:p>
              </w:tc>
              <w:tc>
                <w:tcPr>
                  <w:tcW w:w="940" w:type="dxa"/>
                  <w:shd w:val="clear" w:color="auto" w:fill="auto"/>
                  <w:noWrap/>
                  <w:vAlign w:val="center"/>
                </w:tcPr>
                <w:p>
                  <w:pPr>
                    <w:widowControl/>
                    <w:snapToGrid w:val="0"/>
                    <w:jc w:val="center"/>
                    <w:textAlignment w:val="center"/>
                    <w:rPr>
                      <w:color w:val="auto"/>
                      <w:sz w:val="18"/>
                      <w:szCs w:val="18"/>
                    </w:rPr>
                  </w:pPr>
                  <w:r>
                    <w:rPr>
                      <w:rFonts w:hint="eastAsia"/>
                      <w:color w:val="auto"/>
                      <w:sz w:val="18"/>
                      <w:szCs w:val="18"/>
                    </w:rPr>
                    <w:t>夜间55</w:t>
                  </w:r>
                </w:p>
              </w:tc>
              <w:tc>
                <w:tcPr>
                  <w:tcW w:w="922" w:type="dxa"/>
                  <w:vMerge w:val="continue"/>
                  <w:shd w:val="clear" w:color="auto" w:fill="auto"/>
                  <w:noWrap/>
                  <w:vAlign w:val="center"/>
                </w:tcPr>
                <w:p>
                  <w:pPr>
                    <w:widowControl/>
                    <w:snapToGrid w:val="0"/>
                    <w:jc w:val="center"/>
                    <w:textAlignment w:val="center"/>
                    <w:rPr>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29" w:type="dxa"/>
                  <w:vMerge w:val="restart"/>
                  <w:shd w:val="clear" w:color="auto" w:fill="auto"/>
                  <w:noWrap/>
                  <w:vAlign w:val="center"/>
                </w:tcPr>
                <w:p>
                  <w:pPr>
                    <w:widowControl/>
                    <w:snapToGrid w:val="0"/>
                    <w:jc w:val="center"/>
                    <w:textAlignment w:val="center"/>
                    <w:rPr>
                      <w:rStyle w:val="57"/>
                      <w:rFonts w:hint="default" w:ascii="Times New Roman"/>
                      <w:color w:val="auto"/>
                      <w:sz w:val="18"/>
                      <w:szCs w:val="18"/>
                      <w:lang w:bidi="ar"/>
                    </w:rPr>
                  </w:pPr>
                  <w:r>
                    <w:rPr>
                      <w:rStyle w:val="57"/>
                      <w:rFonts w:hint="default" w:ascii="Times New Roman"/>
                      <w:color w:val="auto"/>
                      <w:sz w:val="18"/>
                      <w:szCs w:val="18"/>
                      <w:lang w:bidi="ar"/>
                    </w:rPr>
                    <w:t>西</w:t>
                  </w:r>
                </w:p>
                <w:p>
                  <w:pPr>
                    <w:widowControl/>
                    <w:snapToGrid w:val="0"/>
                    <w:jc w:val="center"/>
                    <w:textAlignment w:val="center"/>
                    <w:rPr>
                      <w:color w:val="auto"/>
                      <w:sz w:val="18"/>
                      <w:szCs w:val="18"/>
                    </w:rPr>
                  </w:pPr>
                  <w:r>
                    <w:rPr>
                      <w:rFonts w:hint="eastAsia"/>
                      <w:color w:val="auto"/>
                      <w:sz w:val="18"/>
                      <w:szCs w:val="18"/>
                    </w:rPr>
                    <w:t>(243,15)</w:t>
                  </w:r>
                </w:p>
              </w:tc>
              <w:tc>
                <w:tcPr>
                  <w:tcW w:w="694" w:type="dxa"/>
                  <w:vMerge w:val="restart"/>
                  <w:shd w:val="clear" w:color="auto" w:fill="auto"/>
                  <w:noWrap/>
                  <w:vAlign w:val="center"/>
                </w:tcPr>
                <w:p>
                  <w:pPr>
                    <w:widowControl/>
                    <w:snapToGrid w:val="0"/>
                    <w:jc w:val="center"/>
                    <w:textAlignment w:val="center"/>
                    <w:rPr>
                      <w:color w:val="auto"/>
                      <w:sz w:val="18"/>
                      <w:szCs w:val="18"/>
                    </w:rPr>
                  </w:pPr>
                  <w:r>
                    <w:rPr>
                      <w:rFonts w:hint="eastAsia"/>
                      <w:color w:val="auto"/>
                      <w:sz w:val="18"/>
                      <w:szCs w:val="18"/>
                    </w:rPr>
                    <w:t>24.98</w:t>
                  </w:r>
                </w:p>
              </w:tc>
              <w:tc>
                <w:tcPr>
                  <w:tcW w:w="450" w:type="dxa"/>
                  <w:shd w:val="clear" w:color="auto" w:fill="auto"/>
                  <w:noWrap/>
                  <w:vAlign w:val="center"/>
                </w:tcPr>
                <w:p>
                  <w:pPr>
                    <w:widowControl/>
                    <w:snapToGrid w:val="0"/>
                    <w:jc w:val="center"/>
                    <w:textAlignment w:val="center"/>
                    <w:rPr>
                      <w:color w:val="auto"/>
                      <w:sz w:val="18"/>
                      <w:szCs w:val="18"/>
                    </w:rPr>
                  </w:pPr>
                  <w:r>
                    <w:rPr>
                      <w:rFonts w:hint="eastAsia"/>
                      <w:color w:val="auto"/>
                      <w:sz w:val="18"/>
                      <w:szCs w:val="18"/>
                    </w:rPr>
                    <w:t>昼</w:t>
                  </w:r>
                </w:p>
              </w:tc>
              <w:tc>
                <w:tcPr>
                  <w:tcW w:w="725" w:type="dxa"/>
                  <w:shd w:val="clear" w:color="auto" w:fill="auto"/>
                  <w:noWrap/>
                  <w:vAlign w:val="center"/>
                </w:tcPr>
                <w:p>
                  <w:pPr>
                    <w:widowControl/>
                    <w:snapToGrid w:val="0"/>
                    <w:jc w:val="center"/>
                    <w:textAlignment w:val="center"/>
                    <w:rPr>
                      <w:rFonts w:hint="default" w:eastAsia="宋体"/>
                      <w:color w:val="auto"/>
                      <w:sz w:val="18"/>
                      <w:szCs w:val="18"/>
                      <w:lang w:val="en-US" w:eastAsia="zh-CN"/>
                    </w:rPr>
                  </w:pPr>
                  <w:r>
                    <w:rPr>
                      <w:rFonts w:hint="eastAsia"/>
                      <w:color w:val="auto"/>
                      <w:sz w:val="18"/>
                      <w:szCs w:val="18"/>
                      <w:lang w:val="en-US" w:eastAsia="zh-CN"/>
                    </w:rPr>
                    <w:t>59.00</w:t>
                  </w:r>
                </w:p>
              </w:tc>
              <w:tc>
                <w:tcPr>
                  <w:tcW w:w="3540" w:type="dxa"/>
                  <w:vMerge w:val="restart"/>
                  <w:shd w:val="clear" w:color="auto" w:fill="auto"/>
                  <w:noWrap/>
                  <w:vAlign w:val="center"/>
                </w:tcPr>
                <w:p>
                  <w:pPr>
                    <w:widowControl/>
                    <w:snapToGrid w:val="0"/>
                    <w:jc w:val="center"/>
                    <w:textAlignment w:val="center"/>
                    <w:rPr>
                      <w:color w:val="auto"/>
                      <w:sz w:val="18"/>
                      <w:szCs w:val="18"/>
                    </w:rPr>
                  </w:pPr>
                  <w:r>
                    <w:rPr>
                      <w:rFonts w:hint="eastAsia"/>
                      <w:color w:val="auto"/>
                      <w:sz w:val="18"/>
                      <w:szCs w:val="18"/>
                    </w:rPr>
                    <w:t>《工业企业厂界环境噪声排放标准》(GB12348-2008)表1中3类排放限值</w:t>
                  </w:r>
                </w:p>
              </w:tc>
              <w:tc>
                <w:tcPr>
                  <w:tcW w:w="940" w:type="dxa"/>
                  <w:shd w:val="clear" w:color="auto" w:fill="auto"/>
                  <w:noWrap/>
                  <w:vAlign w:val="center"/>
                </w:tcPr>
                <w:p>
                  <w:pPr>
                    <w:widowControl/>
                    <w:snapToGrid w:val="0"/>
                    <w:jc w:val="center"/>
                    <w:textAlignment w:val="center"/>
                    <w:rPr>
                      <w:color w:val="auto"/>
                      <w:sz w:val="18"/>
                      <w:szCs w:val="18"/>
                    </w:rPr>
                  </w:pPr>
                  <w:r>
                    <w:rPr>
                      <w:rFonts w:hint="eastAsia"/>
                      <w:color w:val="auto"/>
                      <w:sz w:val="18"/>
                      <w:szCs w:val="18"/>
                    </w:rPr>
                    <w:t>昼间65</w:t>
                  </w:r>
                </w:p>
              </w:tc>
              <w:tc>
                <w:tcPr>
                  <w:tcW w:w="922" w:type="dxa"/>
                  <w:vMerge w:val="restart"/>
                  <w:shd w:val="clear" w:color="auto" w:fill="auto"/>
                  <w:noWrap/>
                  <w:vAlign w:val="center"/>
                </w:tcPr>
                <w:p>
                  <w:pPr>
                    <w:widowControl/>
                    <w:snapToGrid w:val="0"/>
                    <w:jc w:val="center"/>
                    <w:textAlignment w:val="center"/>
                    <w:rPr>
                      <w:color w:val="auto"/>
                      <w:sz w:val="18"/>
                      <w:szCs w:val="18"/>
                    </w:rPr>
                  </w:pPr>
                  <w:r>
                    <w:rPr>
                      <w:rFonts w:hint="eastAsia"/>
                      <w:color w:val="auto"/>
                      <w:sz w:val="18"/>
                      <w:szCs w:val="18"/>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29" w:type="dxa"/>
                  <w:vMerge w:val="continue"/>
                  <w:shd w:val="clear" w:color="auto" w:fill="auto"/>
                  <w:noWrap/>
                  <w:vAlign w:val="center"/>
                </w:tcPr>
                <w:p>
                  <w:pPr>
                    <w:widowControl/>
                    <w:snapToGrid w:val="0"/>
                    <w:jc w:val="center"/>
                    <w:textAlignment w:val="center"/>
                    <w:rPr>
                      <w:color w:val="auto"/>
                      <w:sz w:val="18"/>
                      <w:szCs w:val="18"/>
                    </w:rPr>
                  </w:pPr>
                </w:p>
              </w:tc>
              <w:tc>
                <w:tcPr>
                  <w:tcW w:w="694" w:type="dxa"/>
                  <w:vMerge w:val="continue"/>
                  <w:shd w:val="clear" w:color="auto" w:fill="auto"/>
                  <w:noWrap/>
                  <w:vAlign w:val="center"/>
                </w:tcPr>
                <w:p>
                  <w:pPr>
                    <w:widowControl/>
                    <w:snapToGrid w:val="0"/>
                    <w:jc w:val="center"/>
                    <w:textAlignment w:val="center"/>
                    <w:rPr>
                      <w:color w:val="auto"/>
                      <w:sz w:val="18"/>
                      <w:szCs w:val="18"/>
                    </w:rPr>
                  </w:pPr>
                </w:p>
              </w:tc>
              <w:tc>
                <w:tcPr>
                  <w:tcW w:w="450" w:type="dxa"/>
                  <w:shd w:val="clear" w:color="auto" w:fill="auto"/>
                  <w:noWrap/>
                  <w:vAlign w:val="center"/>
                </w:tcPr>
                <w:p>
                  <w:pPr>
                    <w:widowControl/>
                    <w:snapToGrid w:val="0"/>
                    <w:jc w:val="center"/>
                    <w:textAlignment w:val="center"/>
                    <w:rPr>
                      <w:color w:val="auto"/>
                      <w:sz w:val="18"/>
                      <w:szCs w:val="18"/>
                    </w:rPr>
                  </w:pPr>
                  <w:r>
                    <w:rPr>
                      <w:rFonts w:hint="eastAsia"/>
                      <w:color w:val="auto"/>
                      <w:sz w:val="18"/>
                      <w:szCs w:val="18"/>
                    </w:rPr>
                    <w:t>夜</w:t>
                  </w:r>
                </w:p>
              </w:tc>
              <w:tc>
                <w:tcPr>
                  <w:tcW w:w="725" w:type="dxa"/>
                  <w:shd w:val="clear" w:color="auto" w:fill="auto"/>
                  <w:noWrap/>
                  <w:vAlign w:val="center"/>
                </w:tcPr>
                <w:p>
                  <w:pPr>
                    <w:widowControl/>
                    <w:snapToGrid w:val="0"/>
                    <w:jc w:val="center"/>
                    <w:textAlignment w:val="center"/>
                    <w:rPr>
                      <w:rFonts w:hint="default" w:eastAsia="宋体"/>
                      <w:color w:val="auto"/>
                      <w:sz w:val="18"/>
                      <w:szCs w:val="18"/>
                      <w:lang w:val="en-US" w:eastAsia="zh-CN"/>
                    </w:rPr>
                  </w:pPr>
                  <w:r>
                    <w:rPr>
                      <w:rFonts w:hint="eastAsia"/>
                      <w:color w:val="auto"/>
                      <w:sz w:val="18"/>
                      <w:szCs w:val="18"/>
                      <w:lang w:val="en-US" w:eastAsia="zh-CN"/>
                    </w:rPr>
                    <w:t>52.81</w:t>
                  </w:r>
                </w:p>
              </w:tc>
              <w:tc>
                <w:tcPr>
                  <w:tcW w:w="3540" w:type="dxa"/>
                  <w:vMerge w:val="continue"/>
                  <w:shd w:val="clear" w:color="auto" w:fill="auto"/>
                  <w:noWrap/>
                  <w:vAlign w:val="center"/>
                </w:tcPr>
                <w:p>
                  <w:pPr>
                    <w:widowControl/>
                    <w:snapToGrid w:val="0"/>
                    <w:jc w:val="center"/>
                    <w:textAlignment w:val="center"/>
                    <w:rPr>
                      <w:color w:val="auto"/>
                      <w:sz w:val="18"/>
                      <w:szCs w:val="18"/>
                    </w:rPr>
                  </w:pPr>
                </w:p>
              </w:tc>
              <w:tc>
                <w:tcPr>
                  <w:tcW w:w="940" w:type="dxa"/>
                  <w:shd w:val="clear" w:color="auto" w:fill="auto"/>
                  <w:noWrap/>
                  <w:vAlign w:val="center"/>
                </w:tcPr>
                <w:p>
                  <w:pPr>
                    <w:widowControl/>
                    <w:snapToGrid w:val="0"/>
                    <w:jc w:val="center"/>
                    <w:textAlignment w:val="center"/>
                    <w:rPr>
                      <w:color w:val="auto"/>
                      <w:sz w:val="18"/>
                      <w:szCs w:val="18"/>
                    </w:rPr>
                  </w:pPr>
                  <w:r>
                    <w:rPr>
                      <w:rFonts w:hint="eastAsia"/>
                      <w:color w:val="auto"/>
                      <w:sz w:val="18"/>
                      <w:szCs w:val="18"/>
                    </w:rPr>
                    <w:t>夜间55</w:t>
                  </w:r>
                </w:p>
              </w:tc>
              <w:tc>
                <w:tcPr>
                  <w:tcW w:w="922" w:type="dxa"/>
                  <w:vMerge w:val="continue"/>
                  <w:shd w:val="clear" w:color="auto" w:fill="auto"/>
                  <w:noWrap/>
                  <w:vAlign w:val="center"/>
                </w:tcPr>
                <w:p>
                  <w:pPr>
                    <w:widowControl/>
                    <w:snapToGrid w:val="0"/>
                    <w:jc w:val="center"/>
                    <w:textAlignment w:val="center"/>
                    <w:rPr>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29" w:type="dxa"/>
                  <w:vMerge w:val="restart"/>
                  <w:shd w:val="clear" w:color="auto" w:fill="auto"/>
                  <w:noWrap/>
                  <w:vAlign w:val="center"/>
                </w:tcPr>
                <w:p>
                  <w:pPr>
                    <w:widowControl/>
                    <w:snapToGrid w:val="0"/>
                    <w:jc w:val="center"/>
                    <w:textAlignment w:val="center"/>
                    <w:rPr>
                      <w:rStyle w:val="57"/>
                      <w:rFonts w:hint="default" w:ascii="Times New Roman"/>
                      <w:color w:val="auto"/>
                      <w:sz w:val="18"/>
                      <w:szCs w:val="18"/>
                      <w:lang w:bidi="ar"/>
                    </w:rPr>
                  </w:pPr>
                  <w:r>
                    <w:rPr>
                      <w:rStyle w:val="57"/>
                      <w:rFonts w:hint="default" w:ascii="Times New Roman"/>
                      <w:color w:val="auto"/>
                      <w:sz w:val="18"/>
                      <w:szCs w:val="18"/>
                      <w:lang w:bidi="ar"/>
                    </w:rPr>
                    <w:t>北</w:t>
                  </w:r>
                </w:p>
                <w:p>
                  <w:pPr>
                    <w:widowControl/>
                    <w:snapToGrid w:val="0"/>
                    <w:jc w:val="center"/>
                    <w:textAlignment w:val="center"/>
                    <w:rPr>
                      <w:color w:val="auto"/>
                      <w:sz w:val="18"/>
                      <w:szCs w:val="18"/>
                    </w:rPr>
                  </w:pPr>
                  <w:r>
                    <w:rPr>
                      <w:rFonts w:hint="eastAsia"/>
                      <w:color w:val="auto"/>
                      <w:sz w:val="18"/>
                      <w:szCs w:val="18"/>
                    </w:rPr>
                    <w:t>（30,42）</w:t>
                  </w:r>
                </w:p>
              </w:tc>
              <w:tc>
                <w:tcPr>
                  <w:tcW w:w="694" w:type="dxa"/>
                  <w:vMerge w:val="restart"/>
                  <w:shd w:val="clear" w:color="auto" w:fill="auto"/>
                  <w:noWrap/>
                  <w:vAlign w:val="center"/>
                </w:tcPr>
                <w:p>
                  <w:pPr>
                    <w:widowControl/>
                    <w:snapToGrid w:val="0"/>
                    <w:jc w:val="center"/>
                    <w:textAlignment w:val="center"/>
                    <w:rPr>
                      <w:color w:val="auto"/>
                      <w:sz w:val="18"/>
                      <w:szCs w:val="18"/>
                    </w:rPr>
                  </w:pPr>
                  <w:r>
                    <w:rPr>
                      <w:rFonts w:hint="eastAsia"/>
                      <w:color w:val="auto"/>
                      <w:sz w:val="18"/>
                      <w:szCs w:val="18"/>
                    </w:rPr>
                    <w:t>40.77</w:t>
                  </w:r>
                </w:p>
              </w:tc>
              <w:tc>
                <w:tcPr>
                  <w:tcW w:w="450" w:type="dxa"/>
                  <w:shd w:val="clear" w:color="auto" w:fill="auto"/>
                  <w:noWrap/>
                  <w:vAlign w:val="center"/>
                </w:tcPr>
                <w:p>
                  <w:pPr>
                    <w:widowControl/>
                    <w:snapToGrid w:val="0"/>
                    <w:jc w:val="center"/>
                    <w:textAlignment w:val="center"/>
                    <w:rPr>
                      <w:color w:val="auto"/>
                      <w:sz w:val="18"/>
                      <w:szCs w:val="18"/>
                    </w:rPr>
                  </w:pPr>
                  <w:r>
                    <w:rPr>
                      <w:rFonts w:hint="eastAsia"/>
                      <w:color w:val="auto"/>
                      <w:sz w:val="18"/>
                      <w:szCs w:val="18"/>
                    </w:rPr>
                    <w:t>昼</w:t>
                  </w:r>
                </w:p>
              </w:tc>
              <w:tc>
                <w:tcPr>
                  <w:tcW w:w="725" w:type="dxa"/>
                  <w:shd w:val="clear" w:color="auto" w:fill="auto"/>
                  <w:noWrap/>
                  <w:vAlign w:val="center"/>
                </w:tcPr>
                <w:p>
                  <w:pPr>
                    <w:widowControl/>
                    <w:snapToGrid w:val="0"/>
                    <w:jc w:val="center"/>
                    <w:textAlignment w:val="center"/>
                    <w:rPr>
                      <w:rFonts w:hint="default" w:eastAsia="宋体"/>
                      <w:color w:val="auto"/>
                      <w:sz w:val="18"/>
                      <w:szCs w:val="18"/>
                      <w:lang w:val="en-US" w:eastAsia="zh-CN"/>
                    </w:rPr>
                  </w:pPr>
                  <w:r>
                    <w:rPr>
                      <w:rFonts w:hint="eastAsia"/>
                      <w:color w:val="auto"/>
                      <w:sz w:val="18"/>
                      <w:szCs w:val="18"/>
                      <w:lang w:val="en-US" w:eastAsia="zh-CN"/>
                    </w:rPr>
                    <w:t>51.39</w:t>
                  </w:r>
                </w:p>
              </w:tc>
              <w:tc>
                <w:tcPr>
                  <w:tcW w:w="3540" w:type="dxa"/>
                  <w:vMerge w:val="restart"/>
                  <w:shd w:val="clear" w:color="auto" w:fill="auto"/>
                  <w:noWrap/>
                  <w:vAlign w:val="center"/>
                </w:tcPr>
                <w:p>
                  <w:pPr>
                    <w:widowControl/>
                    <w:snapToGrid w:val="0"/>
                    <w:jc w:val="center"/>
                    <w:textAlignment w:val="center"/>
                    <w:rPr>
                      <w:color w:val="auto"/>
                      <w:sz w:val="18"/>
                      <w:szCs w:val="18"/>
                    </w:rPr>
                  </w:pPr>
                  <w:r>
                    <w:rPr>
                      <w:rFonts w:hint="eastAsia"/>
                      <w:color w:val="auto"/>
                      <w:sz w:val="18"/>
                      <w:szCs w:val="18"/>
                    </w:rPr>
                    <w:t>《工业企业厂界环境噪声排放标准》(GB12348-2008)表1中3类排放限值</w:t>
                  </w:r>
                </w:p>
              </w:tc>
              <w:tc>
                <w:tcPr>
                  <w:tcW w:w="940" w:type="dxa"/>
                  <w:shd w:val="clear" w:color="auto" w:fill="auto"/>
                  <w:noWrap/>
                  <w:vAlign w:val="center"/>
                </w:tcPr>
                <w:p>
                  <w:pPr>
                    <w:widowControl/>
                    <w:snapToGrid w:val="0"/>
                    <w:jc w:val="center"/>
                    <w:textAlignment w:val="center"/>
                    <w:rPr>
                      <w:color w:val="auto"/>
                      <w:sz w:val="18"/>
                      <w:szCs w:val="18"/>
                    </w:rPr>
                  </w:pPr>
                  <w:r>
                    <w:rPr>
                      <w:rFonts w:hint="eastAsia"/>
                      <w:color w:val="auto"/>
                      <w:sz w:val="18"/>
                      <w:szCs w:val="18"/>
                    </w:rPr>
                    <w:t>昼间65</w:t>
                  </w:r>
                </w:p>
              </w:tc>
              <w:tc>
                <w:tcPr>
                  <w:tcW w:w="922" w:type="dxa"/>
                  <w:vMerge w:val="restart"/>
                  <w:shd w:val="clear" w:color="auto" w:fill="auto"/>
                  <w:noWrap/>
                  <w:vAlign w:val="center"/>
                </w:tcPr>
                <w:p>
                  <w:pPr>
                    <w:widowControl/>
                    <w:snapToGrid w:val="0"/>
                    <w:jc w:val="center"/>
                    <w:textAlignment w:val="center"/>
                    <w:rPr>
                      <w:color w:val="auto"/>
                      <w:sz w:val="18"/>
                      <w:szCs w:val="18"/>
                    </w:rPr>
                  </w:pPr>
                  <w:r>
                    <w:rPr>
                      <w:rFonts w:hint="eastAsia"/>
                      <w:color w:val="auto"/>
                      <w:sz w:val="18"/>
                      <w:szCs w:val="18"/>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29" w:type="dxa"/>
                  <w:vMerge w:val="continue"/>
                  <w:shd w:val="clear" w:color="auto" w:fill="auto"/>
                  <w:noWrap/>
                  <w:vAlign w:val="center"/>
                </w:tcPr>
                <w:p>
                  <w:pPr>
                    <w:widowControl/>
                    <w:snapToGrid w:val="0"/>
                    <w:jc w:val="center"/>
                    <w:textAlignment w:val="center"/>
                    <w:rPr>
                      <w:color w:val="auto"/>
                      <w:sz w:val="18"/>
                      <w:szCs w:val="18"/>
                    </w:rPr>
                  </w:pPr>
                </w:p>
              </w:tc>
              <w:tc>
                <w:tcPr>
                  <w:tcW w:w="694" w:type="dxa"/>
                  <w:vMerge w:val="continue"/>
                  <w:shd w:val="clear" w:color="auto" w:fill="auto"/>
                  <w:noWrap/>
                  <w:vAlign w:val="center"/>
                </w:tcPr>
                <w:p>
                  <w:pPr>
                    <w:widowControl/>
                    <w:snapToGrid w:val="0"/>
                    <w:jc w:val="center"/>
                    <w:textAlignment w:val="center"/>
                    <w:rPr>
                      <w:color w:val="auto"/>
                      <w:sz w:val="18"/>
                      <w:szCs w:val="18"/>
                    </w:rPr>
                  </w:pPr>
                </w:p>
              </w:tc>
              <w:tc>
                <w:tcPr>
                  <w:tcW w:w="450" w:type="dxa"/>
                  <w:shd w:val="clear" w:color="auto" w:fill="auto"/>
                  <w:noWrap/>
                  <w:vAlign w:val="center"/>
                </w:tcPr>
                <w:p>
                  <w:pPr>
                    <w:widowControl/>
                    <w:snapToGrid w:val="0"/>
                    <w:jc w:val="center"/>
                    <w:textAlignment w:val="center"/>
                    <w:rPr>
                      <w:color w:val="auto"/>
                      <w:sz w:val="18"/>
                      <w:szCs w:val="18"/>
                    </w:rPr>
                  </w:pPr>
                  <w:r>
                    <w:rPr>
                      <w:rFonts w:hint="eastAsia"/>
                      <w:color w:val="auto"/>
                      <w:sz w:val="18"/>
                      <w:szCs w:val="18"/>
                    </w:rPr>
                    <w:t>夜</w:t>
                  </w:r>
                </w:p>
              </w:tc>
              <w:tc>
                <w:tcPr>
                  <w:tcW w:w="725" w:type="dxa"/>
                  <w:shd w:val="clear" w:color="auto" w:fill="auto"/>
                  <w:noWrap/>
                  <w:vAlign w:val="center"/>
                </w:tcPr>
                <w:p>
                  <w:pPr>
                    <w:widowControl/>
                    <w:snapToGrid w:val="0"/>
                    <w:jc w:val="center"/>
                    <w:textAlignment w:val="center"/>
                    <w:rPr>
                      <w:rFonts w:hint="default" w:eastAsia="宋体"/>
                      <w:color w:val="auto"/>
                      <w:sz w:val="18"/>
                      <w:szCs w:val="18"/>
                      <w:lang w:val="en-US" w:eastAsia="zh-CN"/>
                    </w:rPr>
                  </w:pPr>
                  <w:r>
                    <w:rPr>
                      <w:rFonts w:hint="eastAsia"/>
                      <w:color w:val="auto"/>
                      <w:sz w:val="18"/>
                      <w:szCs w:val="18"/>
                      <w:lang w:val="en-US" w:eastAsia="zh-CN"/>
                    </w:rPr>
                    <w:t>44.67</w:t>
                  </w:r>
                </w:p>
              </w:tc>
              <w:tc>
                <w:tcPr>
                  <w:tcW w:w="3540" w:type="dxa"/>
                  <w:vMerge w:val="continue"/>
                  <w:shd w:val="clear" w:color="auto" w:fill="auto"/>
                  <w:noWrap/>
                  <w:vAlign w:val="center"/>
                </w:tcPr>
                <w:p>
                  <w:pPr>
                    <w:widowControl/>
                    <w:snapToGrid w:val="0"/>
                    <w:jc w:val="center"/>
                    <w:textAlignment w:val="center"/>
                    <w:rPr>
                      <w:color w:val="auto"/>
                      <w:sz w:val="18"/>
                      <w:szCs w:val="18"/>
                    </w:rPr>
                  </w:pPr>
                </w:p>
              </w:tc>
              <w:tc>
                <w:tcPr>
                  <w:tcW w:w="940" w:type="dxa"/>
                  <w:shd w:val="clear" w:color="auto" w:fill="auto"/>
                  <w:noWrap/>
                  <w:vAlign w:val="center"/>
                </w:tcPr>
                <w:p>
                  <w:pPr>
                    <w:widowControl/>
                    <w:snapToGrid w:val="0"/>
                    <w:jc w:val="center"/>
                    <w:textAlignment w:val="center"/>
                    <w:rPr>
                      <w:color w:val="auto"/>
                      <w:sz w:val="18"/>
                      <w:szCs w:val="18"/>
                    </w:rPr>
                  </w:pPr>
                  <w:r>
                    <w:rPr>
                      <w:rFonts w:hint="eastAsia"/>
                      <w:color w:val="auto"/>
                      <w:sz w:val="18"/>
                      <w:szCs w:val="18"/>
                    </w:rPr>
                    <w:t>夜间55</w:t>
                  </w:r>
                </w:p>
              </w:tc>
              <w:tc>
                <w:tcPr>
                  <w:tcW w:w="922" w:type="dxa"/>
                  <w:vMerge w:val="continue"/>
                  <w:shd w:val="clear" w:color="auto" w:fill="auto"/>
                  <w:noWrap/>
                  <w:vAlign w:val="center"/>
                </w:tcPr>
                <w:p>
                  <w:pPr>
                    <w:widowControl/>
                    <w:snapToGrid w:val="0"/>
                    <w:jc w:val="center"/>
                    <w:textAlignment w:val="center"/>
                    <w:rPr>
                      <w:color w:val="auto"/>
                      <w:sz w:val="18"/>
                      <w:szCs w:val="18"/>
                    </w:rPr>
                  </w:pPr>
                </w:p>
              </w:tc>
            </w:tr>
          </w:tbl>
          <w:p>
            <w:pPr>
              <w:widowControl/>
              <w:spacing w:line="360" w:lineRule="auto"/>
              <w:ind w:firstLine="420" w:firstLineChars="200"/>
              <w:rPr>
                <w:color w:val="auto"/>
              </w:rPr>
            </w:pPr>
            <w:r>
              <w:rPr>
                <w:color w:val="auto"/>
              </w:rPr>
              <w:t>根据以上声环境影响预测结果，项目建成后噪声源强在厂界外的贡献值符合《工业企业厂界环境噪声排放标准》(GB12348-2008)表1中3类排放限值(昼间≤6</w:t>
            </w:r>
            <w:r>
              <w:rPr>
                <w:rFonts w:hint="eastAsia"/>
                <w:color w:val="auto"/>
              </w:rPr>
              <w:t>5</w:t>
            </w:r>
            <w:r>
              <w:rPr>
                <w:color w:val="auto"/>
              </w:rPr>
              <w:t>dB(A)，夜间≤5</w:t>
            </w:r>
            <w:r>
              <w:rPr>
                <w:rFonts w:hint="eastAsia"/>
                <w:color w:val="auto"/>
              </w:rPr>
              <w:t>5</w:t>
            </w:r>
            <w:r>
              <w:rPr>
                <w:color w:val="auto"/>
              </w:rPr>
              <w:t>dB(A))，建议</w:t>
            </w:r>
            <w:r>
              <w:rPr>
                <w:rFonts w:hint="eastAsia"/>
                <w:color w:val="auto"/>
              </w:rPr>
              <w:t>建设单位</w:t>
            </w:r>
            <w:r>
              <w:rPr>
                <w:color w:val="auto"/>
              </w:rPr>
              <w:t>对噪声较大的设备设置隔声墙或减震垫。通过距离的衰减和降噪措施，本项目对声环境的不利影响未增加，运营后噪声对周围环境影响较小。</w:t>
            </w:r>
          </w:p>
          <w:p>
            <w:pPr>
              <w:numPr>
                <w:ilvl w:val="0"/>
                <w:numId w:val="6"/>
              </w:numPr>
              <w:spacing w:line="360" w:lineRule="auto"/>
              <w:ind w:firstLine="422" w:firstLineChars="200"/>
              <w:jc w:val="left"/>
              <w:rPr>
                <w:b/>
                <w:bCs/>
                <w:color w:val="auto"/>
                <w:szCs w:val="21"/>
              </w:rPr>
            </w:pPr>
            <w:r>
              <w:rPr>
                <w:rFonts w:hint="eastAsia"/>
                <w:b/>
                <w:bCs/>
                <w:color w:val="auto"/>
                <w:szCs w:val="21"/>
              </w:rPr>
              <w:t>监测要求</w:t>
            </w:r>
          </w:p>
          <w:p>
            <w:pPr>
              <w:widowControl/>
              <w:spacing w:line="360" w:lineRule="auto"/>
              <w:ind w:firstLine="420" w:firstLineChars="200"/>
              <w:rPr>
                <w:color w:val="auto"/>
              </w:rPr>
            </w:pPr>
            <w:r>
              <w:rPr>
                <w:color w:val="auto"/>
              </w:rPr>
              <w:t>根据《排污单位自行监测技术指南 总则》（HJ819-2017），监测点位及监测频次见下表。</w:t>
            </w:r>
          </w:p>
          <w:p>
            <w:pPr>
              <w:spacing w:before="194" w:beforeLines="50"/>
              <w:jc w:val="center"/>
              <w:outlineLvl w:val="5"/>
              <w:rPr>
                <w:rFonts w:hint="eastAsia"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表4-30监测要求</w:t>
            </w:r>
          </w:p>
          <w:tbl>
            <w:tblPr>
              <w:tblStyle w:val="19"/>
              <w:tblW w:w="470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0"/>
              <w:gridCol w:w="4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blHeader/>
                <w:jc w:val="center"/>
              </w:trPr>
              <w:tc>
                <w:tcPr>
                  <w:tcW w:w="2454" w:type="pct"/>
                  <w:vAlign w:val="center"/>
                </w:tcPr>
                <w:p>
                  <w:pPr>
                    <w:pStyle w:val="58"/>
                    <w:widowControl w:val="0"/>
                    <w:adjustRightInd w:val="0"/>
                    <w:snapToGrid w:val="0"/>
                    <w:spacing w:line="240" w:lineRule="exact"/>
                    <w:ind w:firstLine="0"/>
                    <w:jc w:val="center"/>
                    <w:rPr>
                      <w:rFonts w:ascii="Times New Roman" w:hAnsi="Times New Roman"/>
                      <w:b/>
                      <w:bCs/>
                      <w:color w:val="auto"/>
                      <w:kern w:val="0"/>
                      <w:sz w:val="18"/>
                      <w:szCs w:val="18"/>
                    </w:rPr>
                  </w:pPr>
                  <w:r>
                    <w:rPr>
                      <w:rFonts w:ascii="Times New Roman" w:hAnsi="Times New Roman"/>
                      <w:b/>
                      <w:bCs/>
                      <w:color w:val="auto"/>
                      <w:kern w:val="0"/>
                      <w:sz w:val="18"/>
                      <w:szCs w:val="18"/>
                    </w:rPr>
                    <w:t>监测点位</w:t>
                  </w:r>
                </w:p>
              </w:tc>
              <w:tc>
                <w:tcPr>
                  <w:tcW w:w="2545" w:type="pct"/>
                  <w:vAlign w:val="center"/>
                </w:tcPr>
                <w:p>
                  <w:pPr>
                    <w:pStyle w:val="58"/>
                    <w:widowControl w:val="0"/>
                    <w:adjustRightInd w:val="0"/>
                    <w:snapToGrid w:val="0"/>
                    <w:spacing w:line="240" w:lineRule="exact"/>
                    <w:ind w:firstLine="0"/>
                    <w:jc w:val="center"/>
                    <w:rPr>
                      <w:rFonts w:ascii="Times New Roman" w:hAnsi="Times New Roman"/>
                      <w:b/>
                      <w:bCs/>
                      <w:color w:val="auto"/>
                      <w:kern w:val="0"/>
                      <w:sz w:val="18"/>
                      <w:szCs w:val="18"/>
                    </w:rPr>
                  </w:pPr>
                  <w:r>
                    <w:rPr>
                      <w:rFonts w:ascii="Times New Roman" w:hAnsi="Times New Roman"/>
                      <w:b/>
                      <w:bCs/>
                      <w:color w:val="auto"/>
                      <w:kern w:val="0"/>
                      <w:sz w:val="18"/>
                      <w:szCs w:val="18"/>
                    </w:rPr>
                    <w:t>监测频次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1" w:hRule="atLeast"/>
                <w:jc w:val="center"/>
              </w:trPr>
              <w:tc>
                <w:tcPr>
                  <w:tcW w:w="2454" w:type="pct"/>
                  <w:vAlign w:val="center"/>
                </w:tcPr>
                <w:p>
                  <w:pPr>
                    <w:pStyle w:val="58"/>
                    <w:widowControl w:val="0"/>
                    <w:adjustRightInd w:val="0"/>
                    <w:snapToGrid w:val="0"/>
                    <w:spacing w:line="240" w:lineRule="exact"/>
                    <w:ind w:firstLine="0"/>
                    <w:jc w:val="center"/>
                    <w:rPr>
                      <w:rFonts w:ascii="Times New Roman" w:hAnsi="Times New Roman"/>
                      <w:color w:val="auto"/>
                      <w:kern w:val="0"/>
                      <w:sz w:val="18"/>
                      <w:szCs w:val="18"/>
                    </w:rPr>
                  </w:pPr>
                  <w:r>
                    <w:rPr>
                      <w:rFonts w:ascii="Times New Roman" w:hAnsi="Times New Roman"/>
                      <w:color w:val="auto"/>
                      <w:kern w:val="0"/>
                      <w:sz w:val="18"/>
                      <w:szCs w:val="18"/>
                    </w:rPr>
                    <w:t>厂界</w:t>
                  </w:r>
                  <w:r>
                    <w:rPr>
                      <w:rFonts w:hint="eastAsia" w:ascii="Times New Roman" w:hAnsi="Times New Roman"/>
                      <w:color w:val="auto"/>
                      <w:kern w:val="0"/>
                      <w:sz w:val="18"/>
                      <w:szCs w:val="18"/>
                    </w:rPr>
                    <w:t>四周</w:t>
                  </w:r>
                </w:p>
              </w:tc>
              <w:tc>
                <w:tcPr>
                  <w:tcW w:w="2545" w:type="pct"/>
                  <w:vAlign w:val="center"/>
                </w:tcPr>
                <w:p>
                  <w:pPr>
                    <w:pStyle w:val="58"/>
                    <w:widowControl w:val="0"/>
                    <w:adjustRightInd w:val="0"/>
                    <w:snapToGrid w:val="0"/>
                    <w:spacing w:line="240" w:lineRule="exact"/>
                    <w:ind w:firstLine="0"/>
                    <w:jc w:val="center"/>
                    <w:rPr>
                      <w:rFonts w:ascii="Times New Roman" w:hAnsi="Times New Roman"/>
                      <w:color w:val="auto"/>
                      <w:kern w:val="0"/>
                      <w:sz w:val="18"/>
                      <w:szCs w:val="18"/>
                    </w:rPr>
                  </w:pPr>
                  <w:r>
                    <w:rPr>
                      <w:rFonts w:ascii="Times New Roman" w:hAnsi="Times New Roman"/>
                      <w:color w:val="auto"/>
                      <w:kern w:val="0"/>
                      <w:sz w:val="18"/>
                      <w:szCs w:val="18"/>
                    </w:rPr>
                    <w:t>季度/次</w:t>
                  </w:r>
                </w:p>
              </w:tc>
            </w:tr>
          </w:tbl>
          <w:p>
            <w:pPr>
              <w:widowControl/>
              <w:adjustRightInd w:val="0"/>
              <w:snapToGrid w:val="0"/>
              <w:spacing w:before="156" w:beforeLines="50" w:line="360" w:lineRule="auto"/>
              <w:outlineLvl w:val="2"/>
              <w:rPr>
                <w:b/>
                <w:color w:val="auto"/>
                <w:szCs w:val="21"/>
              </w:rPr>
            </w:pPr>
            <w:r>
              <w:rPr>
                <w:b/>
                <w:color w:val="auto"/>
                <w:szCs w:val="21"/>
              </w:rPr>
              <w:t>4.2.</w:t>
            </w:r>
            <w:r>
              <w:rPr>
                <w:rFonts w:hint="eastAsia"/>
                <w:b/>
                <w:color w:val="auto"/>
                <w:szCs w:val="21"/>
              </w:rPr>
              <w:t>3固体废物环境影响和保护措施</w:t>
            </w:r>
          </w:p>
          <w:p>
            <w:pPr>
              <w:widowControl/>
              <w:numPr>
                <w:ilvl w:val="0"/>
                <w:numId w:val="7"/>
              </w:numPr>
              <w:spacing w:line="360" w:lineRule="auto"/>
              <w:ind w:firstLine="422" w:firstLineChars="200"/>
              <w:rPr>
                <w:b/>
                <w:bCs/>
                <w:color w:val="auto"/>
              </w:rPr>
            </w:pPr>
            <w:r>
              <w:rPr>
                <w:b/>
                <w:bCs/>
                <w:color w:val="auto"/>
              </w:rPr>
              <w:t>固体废物</w:t>
            </w:r>
            <w:r>
              <w:rPr>
                <w:rFonts w:hint="eastAsia"/>
                <w:b/>
                <w:bCs/>
                <w:color w:val="auto"/>
              </w:rPr>
              <w:t>污染源分析</w:t>
            </w:r>
          </w:p>
          <w:p>
            <w:pPr>
              <w:widowControl/>
              <w:spacing w:line="360" w:lineRule="auto"/>
              <w:ind w:firstLine="420" w:firstLineChars="200"/>
              <w:rPr>
                <w:color w:val="auto"/>
              </w:rPr>
            </w:pPr>
            <w:r>
              <w:rPr>
                <w:color w:val="auto"/>
              </w:rPr>
              <w:t>本项目产生的固体废弃物主要包括三类：</w:t>
            </w:r>
            <w:r>
              <w:rPr>
                <w:rFonts w:hint="eastAsia" w:ascii="宋体" w:hAnsi="宋体" w:cs="宋体"/>
                <w:color w:val="auto"/>
              </w:rPr>
              <w:t>①</w:t>
            </w:r>
            <w:r>
              <w:rPr>
                <w:color w:val="auto"/>
              </w:rPr>
              <w:t>员工生活垃圾；</w:t>
            </w:r>
            <w:r>
              <w:rPr>
                <w:rFonts w:hint="eastAsia" w:ascii="宋体" w:hAnsi="宋体" w:cs="宋体"/>
                <w:color w:val="auto"/>
              </w:rPr>
              <w:t>②</w:t>
            </w:r>
            <w:r>
              <w:rPr>
                <w:color w:val="auto"/>
              </w:rPr>
              <w:t>一般工业固废，</w:t>
            </w:r>
            <w:r>
              <w:rPr>
                <w:rFonts w:hint="eastAsia"/>
                <w:color w:val="auto"/>
              </w:rPr>
              <w:t>如检验废料、废边角料</w:t>
            </w:r>
            <w:r>
              <w:rPr>
                <w:color w:val="auto"/>
              </w:rPr>
              <w:t>；</w:t>
            </w:r>
            <w:r>
              <w:rPr>
                <w:rFonts w:hint="eastAsia" w:ascii="宋体" w:hAnsi="宋体" w:cs="宋体"/>
                <w:color w:val="auto"/>
              </w:rPr>
              <w:t>③</w:t>
            </w:r>
            <w:r>
              <w:rPr>
                <w:color w:val="auto"/>
              </w:rPr>
              <w:t>危险废物，</w:t>
            </w:r>
            <w:r>
              <w:rPr>
                <w:rFonts w:hint="eastAsia"/>
                <w:color w:val="auto"/>
              </w:rPr>
              <w:t>隔膜泵废滤芯</w:t>
            </w:r>
            <w:r>
              <w:rPr>
                <w:color w:val="auto"/>
              </w:rPr>
              <w:t>、废</w:t>
            </w:r>
            <w:r>
              <w:rPr>
                <w:rFonts w:hint="eastAsia"/>
                <w:color w:val="auto"/>
              </w:rPr>
              <w:t>活性炭</w:t>
            </w:r>
            <w:r>
              <w:rPr>
                <w:color w:val="auto"/>
              </w:rPr>
              <w:t>、</w:t>
            </w:r>
            <w:r>
              <w:rPr>
                <w:rFonts w:hint="eastAsia"/>
                <w:color w:val="auto"/>
              </w:rPr>
              <w:t>精馏釜残</w:t>
            </w:r>
            <w:r>
              <w:rPr>
                <w:color w:val="auto"/>
              </w:rPr>
              <w:t>。</w:t>
            </w:r>
          </w:p>
          <w:p>
            <w:pPr>
              <w:widowControl/>
              <w:spacing w:line="360" w:lineRule="auto"/>
              <w:ind w:firstLine="420" w:firstLineChars="200"/>
              <w:rPr>
                <w:color w:val="auto"/>
              </w:rPr>
            </w:pPr>
            <w:r>
              <w:rPr>
                <w:rFonts w:hint="eastAsia" w:ascii="宋体" w:hAnsi="宋体" w:cs="宋体"/>
                <w:color w:val="auto"/>
              </w:rPr>
              <w:t>①</w:t>
            </w:r>
            <w:r>
              <w:rPr>
                <w:color w:val="auto"/>
              </w:rPr>
              <w:t>员工生活垃圾</w:t>
            </w:r>
          </w:p>
          <w:p>
            <w:pPr>
              <w:widowControl/>
              <w:spacing w:line="360" w:lineRule="auto"/>
              <w:ind w:firstLine="420" w:firstLineChars="200"/>
              <w:rPr>
                <w:color w:val="auto"/>
                <w:szCs w:val="21"/>
              </w:rPr>
            </w:pPr>
            <w:r>
              <w:rPr>
                <w:rFonts w:hint="eastAsia"/>
                <w:color w:val="auto"/>
              </w:rPr>
              <w:t>本项目新增劳动定员6人，员工生活垃圾产生量按</w:t>
            </w:r>
            <w:r>
              <w:rPr>
                <w:color w:val="auto"/>
                <w:szCs w:val="21"/>
              </w:rPr>
              <w:t>0.3kg/人·d计算，</w:t>
            </w:r>
            <w:r>
              <w:rPr>
                <w:rFonts w:hint="eastAsia"/>
                <w:color w:val="auto"/>
                <w:szCs w:val="21"/>
              </w:rPr>
              <w:t>年工作300天，</w:t>
            </w:r>
            <w:r>
              <w:rPr>
                <w:color w:val="auto"/>
                <w:szCs w:val="21"/>
              </w:rPr>
              <w:t>则本项目生活垃圾产生量约为</w:t>
            </w:r>
            <w:r>
              <w:rPr>
                <w:rFonts w:hint="eastAsia"/>
                <w:color w:val="auto"/>
                <w:szCs w:val="21"/>
              </w:rPr>
              <w:t>0.54</w:t>
            </w:r>
            <w:r>
              <w:rPr>
                <w:color w:val="auto"/>
                <w:szCs w:val="21"/>
              </w:rPr>
              <w:t>t/a，产生的生活垃圾经分类收集后由环卫部门统一清运处置。</w:t>
            </w:r>
          </w:p>
          <w:p>
            <w:pPr>
              <w:widowControl/>
              <w:spacing w:line="360" w:lineRule="auto"/>
              <w:ind w:firstLine="420" w:firstLineChars="200"/>
              <w:rPr>
                <w:color w:val="auto"/>
              </w:rPr>
            </w:pPr>
            <w:r>
              <w:rPr>
                <w:rFonts w:hint="eastAsia" w:ascii="宋体" w:hAnsi="宋体" w:cs="宋体"/>
                <w:color w:val="auto"/>
              </w:rPr>
              <w:t>②</w:t>
            </w:r>
            <w:r>
              <w:rPr>
                <w:color w:val="auto"/>
              </w:rPr>
              <w:t>一般工业固废</w:t>
            </w:r>
          </w:p>
          <w:p>
            <w:pPr>
              <w:widowControl/>
              <w:spacing w:line="360" w:lineRule="auto"/>
              <w:ind w:firstLine="420" w:firstLineChars="200"/>
              <w:rPr>
                <w:color w:val="auto"/>
              </w:rPr>
            </w:pPr>
            <w:r>
              <w:rPr>
                <w:rFonts w:hint="eastAsia"/>
                <w:color w:val="auto"/>
              </w:rPr>
              <w:t>流延成膜、拉伸干燥及检验、去边包装过程产生检验废料和废边角料，根据物料平衡，产生量为1.8t/a。根据《固体废物分类与代码目录》（2024年版），该废物属于SW59其他工业固体废物，废物代码为900-009-S59。该部分一般工业固废依托现有一般固废贮存仓库暂存，</w:t>
            </w:r>
            <w:r>
              <w:rPr>
                <w:rFonts w:hint="eastAsia"/>
                <w:color w:val="auto"/>
                <w:lang w:val="en-US" w:eastAsia="zh-CN"/>
              </w:rPr>
              <w:t>外售进行综合利用</w:t>
            </w:r>
            <w:r>
              <w:rPr>
                <w:rFonts w:hint="eastAsia"/>
                <w:color w:val="auto"/>
              </w:rPr>
              <w:t>。</w:t>
            </w:r>
          </w:p>
          <w:p>
            <w:pPr>
              <w:widowControl/>
              <w:spacing w:line="360" w:lineRule="auto"/>
              <w:ind w:firstLine="420" w:firstLineChars="200"/>
              <w:rPr>
                <w:color w:val="auto"/>
              </w:rPr>
            </w:pPr>
            <w:r>
              <w:rPr>
                <w:rFonts w:hint="eastAsia" w:ascii="宋体" w:hAnsi="宋体" w:cs="宋体"/>
                <w:color w:val="auto"/>
              </w:rPr>
              <w:t>③</w:t>
            </w:r>
            <w:r>
              <w:rPr>
                <w:color w:val="auto"/>
              </w:rPr>
              <w:t>危险废物</w:t>
            </w:r>
          </w:p>
          <w:p>
            <w:pPr>
              <w:widowControl/>
              <w:spacing w:line="360" w:lineRule="auto"/>
              <w:ind w:firstLine="420" w:firstLineChars="200"/>
              <w:rPr>
                <w:color w:val="auto"/>
              </w:rPr>
            </w:pPr>
            <w:r>
              <w:rPr>
                <w:rFonts w:hint="eastAsia"/>
                <w:color w:val="auto"/>
              </w:rPr>
              <w:t>a.隔膜泵废滤芯</w:t>
            </w:r>
          </w:p>
          <w:p>
            <w:pPr>
              <w:widowControl/>
              <w:spacing w:line="360" w:lineRule="auto"/>
              <w:ind w:firstLine="420" w:firstLineChars="200"/>
              <w:rPr>
                <w:color w:val="auto"/>
              </w:rPr>
            </w:pPr>
            <w:r>
              <w:rPr>
                <w:rFonts w:hint="eastAsia"/>
                <w:color w:val="auto"/>
                <w:lang w:val="en-US" w:eastAsia="zh-CN"/>
              </w:rPr>
              <w:t>钢瓶</w:t>
            </w:r>
            <w:r>
              <w:rPr>
                <w:rFonts w:hint="eastAsia"/>
                <w:color w:val="auto"/>
              </w:rPr>
              <w:t>通过密闭管道与隔膜泵连接，将浆料打入釜</w:t>
            </w:r>
            <w:r>
              <w:rPr>
                <w:rFonts w:hint="eastAsia"/>
                <w:color w:val="auto"/>
                <w:lang w:val="en-US" w:eastAsia="zh-CN"/>
              </w:rPr>
              <w:t>中</w:t>
            </w:r>
            <w:r>
              <w:rPr>
                <w:rFonts w:hint="eastAsia"/>
                <w:color w:val="auto"/>
              </w:rPr>
              <w:t>，此过程产生废滤渣。根据物料平衡，废滤渣产生量为0.4t/a；根据建设单位提供的设计资料，隔膜泵滤芯年用量约0.1t/a。隔膜泵废滤芯（含滤渣）总产生量为0.5t/a。对照《国家危险废物名录》（2025年版），隔膜泵废滤芯属于生产过程中沾染有机溶剂的过滤吸附介质，废物类别为HW49其他废物，废物代码为900-047-49。该危险废物依托</w:t>
            </w:r>
            <w:r>
              <w:rPr>
                <w:rFonts w:hint="eastAsia"/>
                <w:color w:val="auto"/>
                <w:lang w:val="en-US" w:eastAsia="zh-CN"/>
              </w:rPr>
              <w:t>二厂</w:t>
            </w:r>
            <w:r>
              <w:rPr>
                <w:rFonts w:hint="eastAsia"/>
                <w:color w:val="auto"/>
              </w:rPr>
              <w:t>现有危废暂存间暂存，委托有相关资质单位处置。</w:t>
            </w:r>
          </w:p>
          <w:p>
            <w:pPr>
              <w:widowControl/>
              <w:spacing w:line="360" w:lineRule="auto"/>
              <w:ind w:firstLine="420" w:firstLineChars="200"/>
              <w:rPr>
                <w:color w:val="auto"/>
              </w:rPr>
            </w:pPr>
            <w:r>
              <w:rPr>
                <w:rFonts w:hint="eastAsia"/>
                <w:color w:val="auto"/>
              </w:rPr>
              <w:t>b.废活性炭</w:t>
            </w:r>
          </w:p>
          <w:p>
            <w:pPr>
              <w:widowControl/>
              <w:spacing w:line="360" w:lineRule="auto"/>
              <w:ind w:firstLine="420" w:firstLineChars="200"/>
              <w:rPr>
                <w:color w:val="auto"/>
              </w:rPr>
            </w:pPr>
            <w:r>
              <w:rPr>
                <w:rFonts w:hint="eastAsia"/>
                <w:color w:val="auto"/>
              </w:rPr>
              <w:t>根据废气污染源分析，运营期G1有机废气采用“二级冷凝+一级循环水喷淋+活性炭吸附”工艺处理，活性炭随吸附量增加活性逐渐下降，需定期更换。根据物料平衡，进入活性炭吸附装置的</w:t>
            </w:r>
            <w:r>
              <w:rPr>
                <w:rFonts w:hint="eastAsia"/>
                <w:color w:val="auto"/>
                <w:lang w:eastAsia="zh-CN"/>
              </w:rPr>
              <w:t>溶剂</w:t>
            </w:r>
            <w:r>
              <w:rPr>
                <w:rFonts w:hint="eastAsia"/>
                <w:color w:val="auto"/>
              </w:rPr>
              <w:t>量为0.82t/a；按活性炭吸附容量30%计，活性炭装载量约2.73t。吸附饱和后，废活性炭（含吸附质）产生量约3.57 t/a。对照《国家危险废物名录》（2025年版），VOCs治理过程产生的废活性炭废物类别为HW49其他废物，废物代码为900-039-49。该废活性炭依托</w:t>
            </w:r>
            <w:r>
              <w:rPr>
                <w:rFonts w:hint="eastAsia"/>
                <w:color w:val="auto"/>
                <w:lang w:val="en-US" w:eastAsia="zh-CN"/>
              </w:rPr>
              <w:t>二厂</w:t>
            </w:r>
            <w:r>
              <w:rPr>
                <w:rFonts w:hint="eastAsia"/>
                <w:color w:val="auto"/>
              </w:rPr>
              <w:t>现有危废暂存间暂存，委托有相关资质单位处置。</w:t>
            </w:r>
          </w:p>
          <w:p>
            <w:pPr>
              <w:widowControl/>
              <w:spacing w:line="360" w:lineRule="auto"/>
              <w:ind w:firstLine="420" w:firstLineChars="200"/>
              <w:rPr>
                <w:color w:val="auto"/>
              </w:rPr>
            </w:pPr>
            <w:r>
              <w:rPr>
                <w:rFonts w:hint="eastAsia"/>
                <w:color w:val="auto"/>
              </w:rPr>
              <w:t>c.精馏釜残</w:t>
            </w:r>
          </w:p>
          <w:p>
            <w:pPr>
              <w:widowControl/>
              <w:spacing w:line="360" w:lineRule="auto"/>
              <w:ind w:firstLine="420" w:firstLineChars="200"/>
              <w:rPr>
                <w:color w:val="auto"/>
              </w:rPr>
            </w:pPr>
            <w:r>
              <w:rPr>
                <w:rFonts w:hint="eastAsia"/>
                <w:color w:val="auto"/>
              </w:rPr>
              <w:t>喷淋废水经精馏塔回收</w:t>
            </w:r>
            <w:r>
              <w:rPr>
                <w:rFonts w:hint="eastAsia"/>
                <w:color w:val="auto"/>
                <w:lang w:eastAsia="zh-CN"/>
              </w:rPr>
              <w:t>溶剂</w:t>
            </w:r>
            <w:r>
              <w:rPr>
                <w:rFonts w:hint="eastAsia"/>
                <w:color w:val="auto"/>
              </w:rPr>
              <w:t>过程产生精馏釜残，根据物料平衡，产生量为3t/a。对照《国家危险废物名录》（2025年版），精馏过程产生的高沸点釜底残余物属于HW11精（蒸）馏残渣，废物代码为900-013-11。该废物采用桶装，依托</w:t>
            </w:r>
            <w:r>
              <w:rPr>
                <w:rFonts w:hint="eastAsia"/>
                <w:color w:val="auto"/>
                <w:lang w:val="en-US" w:eastAsia="zh-CN"/>
              </w:rPr>
              <w:t>二厂</w:t>
            </w:r>
            <w:r>
              <w:rPr>
                <w:rFonts w:hint="eastAsia"/>
                <w:color w:val="auto"/>
              </w:rPr>
              <w:t>厂现有危废暂存间暂存，定期委托有相应资质的单位处置。</w:t>
            </w:r>
          </w:p>
          <w:p>
            <w:pPr>
              <w:spacing w:before="194" w:beforeLines="50"/>
              <w:jc w:val="center"/>
              <w:outlineLvl w:val="5"/>
              <w:rPr>
                <w:rFonts w:hint="eastAsia"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表4-31项目固体废物情况分析</w:t>
            </w:r>
          </w:p>
          <w:tbl>
            <w:tblPr>
              <w:tblStyle w:val="19"/>
              <w:tblW w:w="48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4"/>
              <w:gridCol w:w="1462"/>
              <w:gridCol w:w="1139"/>
              <w:gridCol w:w="674"/>
              <w:gridCol w:w="2290"/>
              <w:gridCol w:w="809"/>
              <w:gridCol w:w="1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09" w:type="pct"/>
                  <w:vAlign w:val="center"/>
                </w:tcPr>
                <w:p>
                  <w:pPr>
                    <w:adjustRightInd w:val="0"/>
                    <w:snapToGrid w:val="0"/>
                    <w:jc w:val="center"/>
                    <w:rPr>
                      <w:b/>
                      <w:bCs/>
                      <w:color w:val="auto"/>
                      <w:sz w:val="18"/>
                      <w:szCs w:val="18"/>
                    </w:rPr>
                  </w:pPr>
                  <w:r>
                    <w:rPr>
                      <w:b/>
                      <w:bCs/>
                      <w:color w:val="auto"/>
                      <w:sz w:val="18"/>
                      <w:szCs w:val="18"/>
                    </w:rPr>
                    <w:t>序号</w:t>
                  </w:r>
                </w:p>
              </w:tc>
              <w:tc>
                <w:tcPr>
                  <w:tcW w:w="887" w:type="pct"/>
                  <w:vAlign w:val="center"/>
                </w:tcPr>
                <w:p>
                  <w:pPr>
                    <w:adjustRightInd w:val="0"/>
                    <w:snapToGrid w:val="0"/>
                    <w:jc w:val="center"/>
                    <w:rPr>
                      <w:b/>
                      <w:bCs/>
                      <w:color w:val="auto"/>
                      <w:sz w:val="18"/>
                      <w:szCs w:val="18"/>
                    </w:rPr>
                  </w:pPr>
                  <w:r>
                    <w:rPr>
                      <w:rFonts w:hint="eastAsia"/>
                      <w:b/>
                      <w:bCs/>
                      <w:color w:val="auto"/>
                      <w:sz w:val="18"/>
                      <w:szCs w:val="18"/>
                    </w:rPr>
                    <w:t>产生环节</w:t>
                  </w:r>
                </w:p>
              </w:tc>
              <w:tc>
                <w:tcPr>
                  <w:tcW w:w="691" w:type="pct"/>
                  <w:vAlign w:val="center"/>
                </w:tcPr>
                <w:p>
                  <w:pPr>
                    <w:adjustRightInd w:val="0"/>
                    <w:snapToGrid w:val="0"/>
                    <w:jc w:val="center"/>
                    <w:rPr>
                      <w:b/>
                      <w:bCs/>
                      <w:color w:val="auto"/>
                      <w:sz w:val="18"/>
                      <w:szCs w:val="18"/>
                    </w:rPr>
                  </w:pPr>
                  <w:r>
                    <w:rPr>
                      <w:rFonts w:hint="eastAsia"/>
                      <w:b/>
                      <w:bCs/>
                      <w:color w:val="auto"/>
                      <w:sz w:val="18"/>
                      <w:szCs w:val="18"/>
                    </w:rPr>
                    <w:t>名称</w:t>
                  </w:r>
                </w:p>
              </w:tc>
              <w:tc>
                <w:tcPr>
                  <w:tcW w:w="409" w:type="pct"/>
                  <w:vAlign w:val="center"/>
                </w:tcPr>
                <w:p>
                  <w:pPr>
                    <w:adjustRightInd w:val="0"/>
                    <w:snapToGrid w:val="0"/>
                    <w:jc w:val="center"/>
                    <w:rPr>
                      <w:b/>
                      <w:bCs/>
                      <w:color w:val="auto"/>
                      <w:sz w:val="18"/>
                      <w:szCs w:val="18"/>
                    </w:rPr>
                  </w:pPr>
                  <w:r>
                    <w:rPr>
                      <w:rFonts w:hint="eastAsia"/>
                      <w:b/>
                      <w:bCs/>
                      <w:color w:val="auto"/>
                      <w:sz w:val="18"/>
                      <w:szCs w:val="18"/>
                    </w:rPr>
                    <w:t>属性</w:t>
                  </w:r>
                </w:p>
              </w:tc>
              <w:tc>
                <w:tcPr>
                  <w:tcW w:w="1389" w:type="pct"/>
                  <w:vAlign w:val="center"/>
                </w:tcPr>
                <w:p>
                  <w:pPr>
                    <w:adjustRightInd w:val="0"/>
                    <w:snapToGrid w:val="0"/>
                    <w:jc w:val="center"/>
                    <w:rPr>
                      <w:b/>
                      <w:bCs/>
                      <w:color w:val="auto"/>
                      <w:sz w:val="18"/>
                      <w:szCs w:val="18"/>
                    </w:rPr>
                  </w:pPr>
                  <w:r>
                    <w:rPr>
                      <w:rFonts w:hint="eastAsia"/>
                      <w:b/>
                      <w:bCs/>
                      <w:color w:val="auto"/>
                      <w:sz w:val="18"/>
                      <w:szCs w:val="18"/>
                    </w:rPr>
                    <w:t>废物</w:t>
                  </w:r>
                  <w:r>
                    <w:rPr>
                      <w:b/>
                      <w:bCs/>
                      <w:color w:val="auto"/>
                      <w:sz w:val="18"/>
                      <w:szCs w:val="18"/>
                    </w:rPr>
                    <w:t>种类及代码</w:t>
                  </w:r>
                </w:p>
              </w:tc>
              <w:tc>
                <w:tcPr>
                  <w:tcW w:w="491" w:type="pct"/>
                  <w:vAlign w:val="center"/>
                </w:tcPr>
                <w:p>
                  <w:pPr>
                    <w:adjustRightInd w:val="0"/>
                    <w:snapToGrid w:val="0"/>
                    <w:jc w:val="center"/>
                    <w:rPr>
                      <w:b/>
                      <w:bCs/>
                      <w:color w:val="auto"/>
                      <w:sz w:val="18"/>
                      <w:szCs w:val="18"/>
                    </w:rPr>
                  </w:pPr>
                  <w:r>
                    <w:rPr>
                      <w:rFonts w:hint="eastAsia"/>
                      <w:b/>
                      <w:bCs/>
                      <w:color w:val="auto"/>
                      <w:sz w:val="18"/>
                      <w:szCs w:val="18"/>
                    </w:rPr>
                    <w:t>形态</w:t>
                  </w:r>
                </w:p>
              </w:tc>
              <w:tc>
                <w:tcPr>
                  <w:tcW w:w="721" w:type="pct"/>
                  <w:vAlign w:val="center"/>
                </w:tcPr>
                <w:p>
                  <w:pPr>
                    <w:adjustRightInd w:val="0"/>
                    <w:snapToGrid w:val="0"/>
                    <w:jc w:val="center"/>
                    <w:rPr>
                      <w:b/>
                      <w:bCs/>
                      <w:color w:val="auto"/>
                      <w:sz w:val="18"/>
                      <w:szCs w:val="18"/>
                    </w:rPr>
                  </w:pPr>
                  <w:r>
                    <w:rPr>
                      <w:rFonts w:hint="eastAsia"/>
                      <w:b/>
                      <w:bCs/>
                      <w:color w:val="auto"/>
                      <w:sz w:val="18"/>
                      <w:szCs w:val="18"/>
                    </w:rPr>
                    <w:t>危险特性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09" w:type="pct"/>
                  <w:vAlign w:val="center"/>
                </w:tcPr>
                <w:p>
                  <w:pPr>
                    <w:adjustRightInd w:val="0"/>
                    <w:snapToGrid w:val="0"/>
                    <w:jc w:val="center"/>
                    <w:rPr>
                      <w:color w:val="auto"/>
                      <w:sz w:val="18"/>
                      <w:szCs w:val="18"/>
                    </w:rPr>
                  </w:pPr>
                  <w:r>
                    <w:rPr>
                      <w:color w:val="auto"/>
                      <w:sz w:val="18"/>
                      <w:szCs w:val="18"/>
                    </w:rPr>
                    <w:t>1</w:t>
                  </w:r>
                </w:p>
              </w:tc>
              <w:tc>
                <w:tcPr>
                  <w:tcW w:w="887" w:type="pct"/>
                  <w:vAlign w:val="center"/>
                </w:tcPr>
                <w:p>
                  <w:pPr>
                    <w:adjustRightInd w:val="0"/>
                    <w:snapToGrid w:val="0"/>
                    <w:jc w:val="center"/>
                    <w:rPr>
                      <w:color w:val="auto"/>
                      <w:sz w:val="18"/>
                      <w:szCs w:val="18"/>
                    </w:rPr>
                  </w:pPr>
                  <w:r>
                    <w:rPr>
                      <w:rFonts w:hint="eastAsia"/>
                      <w:color w:val="auto"/>
                      <w:sz w:val="18"/>
                      <w:szCs w:val="18"/>
                    </w:rPr>
                    <w:t>办公生活</w:t>
                  </w:r>
                </w:p>
              </w:tc>
              <w:tc>
                <w:tcPr>
                  <w:tcW w:w="691" w:type="pct"/>
                  <w:vAlign w:val="center"/>
                </w:tcPr>
                <w:p>
                  <w:pPr>
                    <w:adjustRightInd w:val="0"/>
                    <w:snapToGrid w:val="0"/>
                    <w:jc w:val="center"/>
                    <w:rPr>
                      <w:color w:val="auto"/>
                      <w:sz w:val="18"/>
                      <w:szCs w:val="18"/>
                    </w:rPr>
                  </w:pPr>
                  <w:r>
                    <w:rPr>
                      <w:color w:val="auto"/>
                      <w:sz w:val="18"/>
                      <w:szCs w:val="18"/>
                    </w:rPr>
                    <w:t>生活垃圾</w:t>
                  </w:r>
                </w:p>
              </w:tc>
              <w:tc>
                <w:tcPr>
                  <w:tcW w:w="409" w:type="pct"/>
                  <w:vAlign w:val="center"/>
                </w:tcPr>
                <w:p>
                  <w:pPr>
                    <w:adjustRightInd w:val="0"/>
                    <w:snapToGrid w:val="0"/>
                    <w:jc w:val="center"/>
                    <w:rPr>
                      <w:color w:val="auto"/>
                      <w:sz w:val="18"/>
                      <w:szCs w:val="18"/>
                    </w:rPr>
                  </w:pPr>
                  <w:r>
                    <w:rPr>
                      <w:rFonts w:hint="eastAsia"/>
                      <w:color w:val="auto"/>
                      <w:sz w:val="18"/>
                      <w:szCs w:val="18"/>
                    </w:rPr>
                    <w:t>/</w:t>
                  </w:r>
                </w:p>
              </w:tc>
              <w:tc>
                <w:tcPr>
                  <w:tcW w:w="1389" w:type="pct"/>
                  <w:vAlign w:val="center"/>
                </w:tcPr>
                <w:p>
                  <w:pPr>
                    <w:adjustRightInd w:val="0"/>
                    <w:snapToGrid w:val="0"/>
                    <w:jc w:val="center"/>
                    <w:rPr>
                      <w:color w:val="auto"/>
                      <w:sz w:val="18"/>
                      <w:szCs w:val="18"/>
                    </w:rPr>
                  </w:pPr>
                  <w:r>
                    <w:rPr>
                      <w:color w:val="auto"/>
                      <w:sz w:val="18"/>
                      <w:szCs w:val="18"/>
                    </w:rPr>
                    <w:t>/</w:t>
                  </w:r>
                </w:p>
              </w:tc>
              <w:tc>
                <w:tcPr>
                  <w:tcW w:w="491" w:type="pct"/>
                  <w:vAlign w:val="center"/>
                </w:tcPr>
                <w:p>
                  <w:pPr>
                    <w:adjustRightInd w:val="0"/>
                    <w:snapToGrid w:val="0"/>
                    <w:jc w:val="center"/>
                    <w:rPr>
                      <w:color w:val="auto"/>
                      <w:sz w:val="18"/>
                      <w:szCs w:val="18"/>
                    </w:rPr>
                  </w:pPr>
                  <w:r>
                    <w:rPr>
                      <w:rFonts w:hint="eastAsia"/>
                      <w:color w:val="auto"/>
                      <w:sz w:val="18"/>
                      <w:szCs w:val="18"/>
                    </w:rPr>
                    <w:t>固态</w:t>
                  </w:r>
                </w:p>
              </w:tc>
              <w:tc>
                <w:tcPr>
                  <w:tcW w:w="721" w:type="pct"/>
                  <w:vAlign w:val="center"/>
                </w:tcPr>
                <w:p>
                  <w:pPr>
                    <w:adjustRightInd w:val="0"/>
                    <w:snapToGrid w:val="0"/>
                    <w:jc w:val="center"/>
                    <w:rPr>
                      <w:color w:val="auto"/>
                      <w:sz w:val="18"/>
                      <w:szCs w:val="18"/>
                    </w:rPr>
                  </w:pPr>
                  <w:r>
                    <w:rPr>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09" w:type="pct"/>
                  <w:vAlign w:val="center"/>
                </w:tcPr>
                <w:p>
                  <w:pPr>
                    <w:adjustRightInd w:val="0"/>
                    <w:snapToGrid w:val="0"/>
                    <w:jc w:val="center"/>
                    <w:rPr>
                      <w:color w:val="auto"/>
                      <w:sz w:val="18"/>
                      <w:szCs w:val="18"/>
                    </w:rPr>
                  </w:pPr>
                  <w:r>
                    <w:rPr>
                      <w:color w:val="auto"/>
                      <w:sz w:val="18"/>
                      <w:szCs w:val="18"/>
                    </w:rPr>
                    <w:t>2</w:t>
                  </w:r>
                </w:p>
              </w:tc>
              <w:tc>
                <w:tcPr>
                  <w:tcW w:w="887" w:type="pct"/>
                  <w:vAlign w:val="center"/>
                </w:tcPr>
                <w:p>
                  <w:pPr>
                    <w:adjustRightInd w:val="0"/>
                    <w:snapToGrid w:val="0"/>
                    <w:jc w:val="center"/>
                    <w:rPr>
                      <w:color w:val="auto"/>
                      <w:sz w:val="18"/>
                      <w:szCs w:val="18"/>
                    </w:rPr>
                  </w:pPr>
                  <w:r>
                    <w:rPr>
                      <w:rFonts w:hint="eastAsia"/>
                      <w:color w:val="auto"/>
                      <w:sz w:val="18"/>
                      <w:szCs w:val="18"/>
                    </w:rPr>
                    <w:t>检验、去边</w:t>
                  </w:r>
                </w:p>
              </w:tc>
              <w:tc>
                <w:tcPr>
                  <w:tcW w:w="691" w:type="pct"/>
                  <w:vAlign w:val="center"/>
                </w:tcPr>
                <w:p>
                  <w:pPr>
                    <w:adjustRightInd w:val="0"/>
                    <w:snapToGrid w:val="0"/>
                    <w:jc w:val="center"/>
                    <w:rPr>
                      <w:color w:val="auto"/>
                      <w:sz w:val="18"/>
                      <w:szCs w:val="18"/>
                    </w:rPr>
                  </w:pPr>
                  <w:r>
                    <w:rPr>
                      <w:rFonts w:hint="eastAsia"/>
                      <w:color w:val="auto"/>
                      <w:sz w:val="18"/>
                      <w:szCs w:val="18"/>
                    </w:rPr>
                    <w:t>检验废料、废边角料</w:t>
                  </w:r>
                </w:p>
              </w:tc>
              <w:tc>
                <w:tcPr>
                  <w:tcW w:w="409" w:type="pct"/>
                  <w:vAlign w:val="center"/>
                </w:tcPr>
                <w:p>
                  <w:pPr>
                    <w:adjustRightInd w:val="0"/>
                    <w:snapToGrid w:val="0"/>
                    <w:jc w:val="center"/>
                    <w:rPr>
                      <w:color w:val="auto"/>
                      <w:kern w:val="0"/>
                      <w:sz w:val="18"/>
                      <w:szCs w:val="18"/>
                    </w:rPr>
                  </w:pPr>
                  <w:r>
                    <w:rPr>
                      <w:rFonts w:hint="eastAsia"/>
                      <w:color w:val="auto"/>
                      <w:sz w:val="18"/>
                      <w:szCs w:val="18"/>
                    </w:rPr>
                    <w:t>一般工业固废</w:t>
                  </w:r>
                </w:p>
              </w:tc>
              <w:tc>
                <w:tcPr>
                  <w:tcW w:w="1389" w:type="pct"/>
                  <w:vAlign w:val="center"/>
                </w:tcPr>
                <w:p>
                  <w:pPr>
                    <w:adjustRightInd w:val="0"/>
                    <w:snapToGrid w:val="0"/>
                    <w:jc w:val="center"/>
                    <w:rPr>
                      <w:color w:val="auto"/>
                      <w:sz w:val="18"/>
                      <w:szCs w:val="18"/>
                    </w:rPr>
                  </w:pPr>
                  <w:r>
                    <w:rPr>
                      <w:color w:val="auto"/>
                      <w:sz w:val="18"/>
                      <w:szCs w:val="18"/>
                    </w:rPr>
                    <w:t>SW59其他工业固体废物900-099-S59</w:t>
                  </w:r>
                </w:p>
              </w:tc>
              <w:tc>
                <w:tcPr>
                  <w:tcW w:w="491" w:type="pct"/>
                  <w:vAlign w:val="center"/>
                </w:tcPr>
                <w:p>
                  <w:pPr>
                    <w:adjustRightInd w:val="0"/>
                    <w:snapToGrid w:val="0"/>
                    <w:jc w:val="center"/>
                    <w:rPr>
                      <w:color w:val="auto"/>
                      <w:sz w:val="18"/>
                      <w:szCs w:val="18"/>
                    </w:rPr>
                  </w:pPr>
                  <w:r>
                    <w:rPr>
                      <w:rFonts w:hint="eastAsia"/>
                      <w:color w:val="auto"/>
                      <w:sz w:val="18"/>
                      <w:szCs w:val="18"/>
                    </w:rPr>
                    <w:t>固态</w:t>
                  </w:r>
                </w:p>
              </w:tc>
              <w:tc>
                <w:tcPr>
                  <w:tcW w:w="721" w:type="pct"/>
                  <w:vAlign w:val="center"/>
                </w:tcPr>
                <w:p>
                  <w:pPr>
                    <w:adjustRightInd w:val="0"/>
                    <w:snapToGrid w:val="0"/>
                    <w:jc w:val="center"/>
                    <w:rPr>
                      <w:color w:val="auto"/>
                      <w:sz w:val="18"/>
                      <w:szCs w:val="18"/>
                    </w:rPr>
                  </w:pPr>
                  <w:r>
                    <w:rPr>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09" w:type="pct"/>
                  <w:vAlign w:val="center"/>
                </w:tcPr>
                <w:p>
                  <w:pPr>
                    <w:adjustRightInd w:val="0"/>
                    <w:snapToGrid w:val="0"/>
                    <w:jc w:val="center"/>
                    <w:rPr>
                      <w:color w:val="auto"/>
                      <w:sz w:val="18"/>
                      <w:szCs w:val="18"/>
                    </w:rPr>
                  </w:pPr>
                  <w:r>
                    <w:rPr>
                      <w:rFonts w:hint="eastAsia"/>
                      <w:color w:val="auto"/>
                      <w:sz w:val="18"/>
                      <w:szCs w:val="18"/>
                    </w:rPr>
                    <w:t>3</w:t>
                  </w:r>
                </w:p>
              </w:tc>
              <w:tc>
                <w:tcPr>
                  <w:tcW w:w="887" w:type="pct"/>
                  <w:vAlign w:val="center"/>
                </w:tcPr>
                <w:p>
                  <w:pPr>
                    <w:adjustRightInd w:val="0"/>
                    <w:snapToGrid w:val="0"/>
                    <w:jc w:val="center"/>
                    <w:rPr>
                      <w:color w:val="auto"/>
                      <w:sz w:val="18"/>
                      <w:szCs w:val="18"/>
                    </w:rPr>
                  </w:pPr>
                  <w:r>
                    <w:rPr>
                      <w:rFonts w:hint="eastAsia"/>
                      <w:color w:val="auto"/>
                      <w:sz w:val="18"/>
                      <w:szCs w:val="18"/>
                    </w:rPr>
                    <w:t>浆料进料</w:t>
                  </w:r>
                </w:p>
              </w:tc>
              <w:tc>
                <w:tcPr>
                  <w:tcW w:w="691" w:type="pct"/>
                  <w:vAlign w:val="center"/>
                </w:tcPr>
                <w:p>
                  <w:pPr>
                    <w:adjustRightInd w:val="0"/>
                    <w:snapToGrid w:val="0"/>
                    <w:jc w:val="center"/>
                    <w:rPr>
                      <w:color w:val="auto"/>
                      <w:sz w:val="18"/>
                      <w:szCs w:val="18"/>
                    </w:rPr>
                  </w:pPr>
                  <w:r>
                    <w:rPr>
                      <w:rFonts w:hint="eastAsia"/>
                      <w:color w:val="auto"/>
                      <w:sz w:val="18"/>
                      <w:szCs w:val="18"/>
                    </w:rPr>
                    <w:t>隔膜泵废滤芯</w:t>
                  </w:r>
                </w:p>
              </w:tc>
              <w:tc>
                <w:tcPr>
                  <w:tcW w:w="409" w:type="pct"/>
                  <w:vMerge w:val="restart"/>
                  <w:vAlign w:val="center"/>
                </w:tcPr>
                <w:p>
                  <w:pPr>
                    <w:adjustRightInd w:val="0"/>
                    <w:snapToGrid w:val="0"/>
                    <w:jc w:val="center"/>
                    <w:rPr>
                      <w:color w:val="auto"/>
                      <w:sz w:val="18"/>
                      <w:szCs w:val="18"/>
                    </w:rPr>
                  </w:pPr>
                  <w:r>
                    <w:rPr>
                      <w:color w:val="auto"/>
                      <w:sz w:val="18"/>
                      <w:szCs w:val="18"/>
                    </w:rPr>
                    <w:t>危险</w:t>
                  </w:r>
                </w:p>
                <w:p>
                  <w:pPr>
                    <w:adjustRightInd w:val="0"/>
                    <w:snapToGrid w:val="0"/>
                    <w:jc w:val="center"/>
                    <w:rPr>
                      <w:color w:val="auto"/>
                      <w:kern w:val="0"/>
                      <w:sz w:val="18"/>
                      <w:szCs w:val="18"/>
                    </w:rPr>
                  </w:pPr>
                  <w:r>
                    <w:rPr>
                      <w:color w:val="auto"/>
                      <w:sz w:val="18"/>
                      <w:szCs w:val="18"/>
                    </w:rPr>
                    <w:t>废物</w:t>
                  </w:r>
                </w:p>
              </w:tc>
              <w:tc>
                <w:tcPr>
                  <w:tcW w:w="1389" w:type="pct"/>
                  <w:vAlign w:val="center"/>
                </w:tcPr>
                <w:p>
                  <w:pPr>
                    <w:adjustRightInd w:val="0"/>
                    <w:snapToGrid w:val="0"/>
                    <w:jc w:val="center"/>
                    <w:rPr>
                      <w:color w:val="auto"/>
                      <w:kern w:val="0"/>
                      <w:sz w:val="18"/>
                      <w:szCs w:val="18"/>
                    </w:rPr>
                  </w:pPr>
                  <w:r>
                    <w:rPr>
                      <w:rFonts w:hint="eastAsia"/>
                      <w:color w:val="auto"/>
                      <w:kern w:val="0"/>
                      <w:sz w:val="18"/>
                      <w:szCs w:val="18"/>
                    </w:rPr>
                    <w:t>HW49</w:t>
                  </w:r>
                  <w:r>
                    <w:rPr>
                      <w:rFonts w:hint="eastAsia"/>
                      <w:color w:val="auto"/>
                      <w:sz w:val="18"/>
                      <w:szCs w:val="18"/>
                    </w:rPr>
                    <w:t>其他废物</w:t>
                  </w:r>
                  <w:r>
                    <w:rPr>
                      <w:rFonts w:hint="eastAsia"/>
                      <w:color w:val="auto"/>
                      <w:kern w:val="0"/>
                      <w:sz w:val="18"/>
                      <w:szCs w:val="18"/>
                    </w:rPr>
                    <w:t>900-047-49</w:t>
                  </w:r>
                </w:p>
              </w:tc>
              <w:tc>
                <w:tcPr>
                  <w:tcW w:w="491" w:type="pct"/>
                  <w:vAlign w:val="center"/>
                </w:tcPr>
                <w:p>
                  <w:pPr>
                    <w:adjustRightInd w:val="0"/>
                    <w:snapToGrid w:val="0"/>
                    <w:jc w:val="center"/>
                    <w:rPr>
                      <w:color w:val="auto"/>
                      <w:sz w:val="18"/>
                      <w:szCs w:val="18"/>
                    </w:rPr>
                  </w:pPr>
                  <w:r>
                    <w:rPr>
                      <w:rFonts w:hint="eastAsia"/>
                      <w:color w:val="auto"/>
                      <w:sz w:val="18"/>
                      <w:szCs w:val="18"/>
                    </w:rPr>
                    <w:t>固态</w:t>
                  </w:r>
                </w:p>
              </w:tc>
              <w:tc>
                <w:tcPr>
                  <w:tcW w:w="721" w:type="pct"/>
                  <w:vAlign w:val="center"/>
                </w:tcPr>
                <w:p>
                  <w:pPr>
                    <w:adjustRightInd w:val="0"/>
                    <w:snapToGrid w:val="0"/>
                    <w:jc w:val="center"/>
                    <w:rPr>
                      <w:color w:val="auto"/>
                      <w:sz w:val="18"/>
                      <w:szCs w:val="18"/>
                    </w:rPr>
                  </w:pPr>
                  <w:r>
                    <w:rPr>
                      <w:rFonts w:hint="eastAsia"/>
                      <w:color w:val="auto"/>
                      <w:sz w:val="18"/>
                      <w:szCs w:val="18"/>
                    </w:rPr>
                    <w:t>T/C/I/R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09" w:type="pct"/>
                  <w:vAlign w:val="center"/>
                </w:tcPr>
                <w:p>
                  <w:pPr>
                    <w:adjustRightInd w:val="0"/>
                    <w:snapToGrid w:val="0"/>
                    <w:jc w:val="center"/>
                    <w:rPr>
                      <w:color w:val="auto"/>
                      <w:sz w:val="18"/>
                      <w:szCs w:val="18"/>
                    </w:rPr>
                  </w:pPr>
                  <w:r>
                    <w:rPr>
                      <w:rFonts w:hint="eastAsia"/>
                      <w:color w:val="auto"/>
                      <w:sz w:val="18"/>
                      <w:szCs w:val="18"/>
                    </w:rPr>
                    <w:t>4</w:t>
                  </w:r>
                </w:p>
              </w:tc>
              <w:tc>
                <w:tcPr>
                  <w:tcW w:w="887" w:type="pct"/>
                  <w:vAlign w:val="center"/>
                </w:tcPr>
                <w:p>
                  <w:pPr>
                    <w:adjustRightInd w:val="0"/>
                    <w:snapToGrid w:val="0"/>
                    <w:jc w:val="center"/>
                    <w:rPr>
                      <w:color w:val="auto"/>
                      <w:sz w:val="18"/>
                      <w:szCs w:val="18"/>
                    </w:rPr>
                  </w:pPr>
                  <w:r>
                    <w:rPr>
                      <w:rFonts w:hint="eastAsia"/>
                      <w:color w:val="auto"/>
                      <w:sz w:val="18"/>
                      <w:szCs w:val="18"/>
                    </w:rPr>
                    <w:t>废气治理</w:t>
                  </w:r>
                </w:p>
              </w:tc>
              <w:tc>
                <w:tcPr>
                  <w:tcW w:w="691" w:type="pct"/>
                  <w:vAlign w:val="center"/>
                </w:tcPr>
                <w:p>
                  <w:pPr>
                    <w:adjustRightInd w:val="0"/>
                    <w:snapToGrid w:val="0"/>
                    <w:jc w:val="center"/>
                    <w:rPr>
                      <w:color w:val="auto"/>
                      <w:sz w:val="18"/>
                      <w:szCs w:val="18"/>
                    </w:rPr>
                  </w:pPr>
                  <w:r>
                    <w:rPr>
                      <w:rFonts w:hint="eastAsia"/>
                      <w:color w:val="auto"/>
                      <w:sz w:val="18"/>
                      <w:szCs w:val="18"/>
                    </w:rPr>
                    <w:t>废活性炭</w:t>
                  </w:r>
                </w:p>
              </w:tc>
              <w:tc>
                <w:tcPr>
                  <w:tcW w:w="409" w:type="pct"/>
                  <w:vMerge w:val="continue"/>
                  <w:vAlign w:val="center"/>
                </w:tcPr>
                <w:p>
                  <w:pPr>
                    <w:adjustRightInd w:val="0"/>
                    <w:snapToGrid w:val="0"/>
                    <w:jc w:val="center"/>
                    <w:rPr>
                      <w:color w:val="auto"/>
                      <w:kern w:val="0"/>
                      <w:sz w:val="18"/>
                      <w:szCs w:val="18"/>
                    </w:rPr>
                  </w:pPr>
                </w:p>
              </w:tc>
              <w:tc>
                <w:tcPr>
                  <w:tcW w:w="1389" w:type="pct"/>
                  <w:vAlign w:val="center"/>
                </w:tcPr>
                <w:p>
                  <w:pPr>
                    <w:adjustRightInd w:val="0"/>
                    <w:snapToGrid w:val="0"/>
                    <w:jc w:val="center"/>
                    <w:rPr>
                      <w:color w:val="auto"/>
                      <w:kern w:val="0"/>
                      <w:sz w:val="18"/>
                      <w:szCs w:val="18"/>
                    </w:rPr>
                  </w:pPr>
                  <w:r>
                    <w:rPr>
                      <w:rFonts w:hint="eastAsia"/>
                      <w:color w:val="auto"/>
                      <w:sz w:val="18"/>
                      <w:szCs w:val="18"/>
                    </w:rPr>
                    <w:t>HW49其他废物900-039-49</w:t>
                  </w:r>
                </w:p>
              </w:tc>
              <w:tc>
                <w:tcPr>
                  <w:tcW w:w="491" w:type="pct"/>
                  <w:vAlign w:val="center"/>
                </w:tcPr>
                <w:p>
                  <w:pPr>
                    <w:adjustRightInd w:val="0"/>
                    <w:snapToGrid w:val="0"/>
                    <w:jc w:val="center"/>
                    <w:rPr>
                      <w:color w:val="auto"/>
                      <w:sz w:val="18"/>
                      <w:szCs w:val="18"/>
                    </w:rPr>
                  </w:pPr>
                  <w:r>
                    <w:rPr>
                      <w:rFonts w:hint="eastAsia"/>
                      <w:color w:val="auto"/>
                      <w:sz w:val="18"/>
                      <w:szCs w:val="18"/>
                    </w:rPr>
                    <w:t>固态</w:t>
                  </w:r>
                </w:p>
              </w:tc>
              <w:tc>
                <w:tcPr>
                  <w:tcW w:w="721" w:type="pct"/>
                  <w:vAlign w:val="center"/>
                </w:tcPr>
                <w:p>
                  <w:pPr>
                    <w:adjustRightInd w:val="0"/>
                    <w:snapToGrid w:val="0"/>
                    <w:jc w:val="center"/>
                    <w:rPr>
                      <w:color w:val="auto"/>
                      <w:sz w:val="18"/>
                      <w:szCs w:val="18"/>
                    </w:rPr>
                  </w:pPr>
                  <w:r>
                    <w:rPr>
                      <w:rFonts w:hint="eastAsia"/>
                      <w:color w:val="auto"/>
                      <w:sz w:val="18"/>
                      <w:szCs w:val="18"/>
                    </w:rPr>
                    <w: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09" w:type="pct"/>
                  <w:vAlign w:val="center"/>
                </w:tcPr>
                <w:p>
                  <w:pPr>
                    <w:adjustRightInd w:val="0"/>
                    <w:snapToGrid w:val="0"/>
                    <w:jc w:val="center"/>
                    <w:rPr>
                      <w:color w:val="auto"/>
                      <w:sz w:val="18"/>
                      <w:szCs w:val="18"/>
                    </w:rPr>
                  </w:pPr>
                  <w:r>
                    <w:rPr>
                      <w:rFonts w:hint="eastAsia"/>
                      <w:color w:val="auto"/>
                      <w:sz w:val="18"/>
                      <w:szCs w:val="18"/>
                    </w:rPr>
                    <w:t>5</w:t>
                  </w:r>
                </w:p>
              </w:tc>
              <w:tc>
                <w:tcPr>
                  <w:tcW w:w="887" w:type="pct"/>
                  <w:vAlign w:val="center"/>
                </w:tcPr>
                <w:p>
                  <w:pPr>
                    <w:adjustRightInd w:val="0"/>
                    <w:snapToGrid w:val="0"/>
                    <w:jc w:val="center"/>
                    <w:rPr>
                      <w:color w:val="auto"/>
                      <w:sz w:val="18"/>
                      <w:szCs w:val="18"/>
                    </w:rPr>
                  </w:pPr>
                  <w:r>
                    <w:rPr>
                      <w:rFonts w:hint="eastAsia"/>
                      <w:color w:val="auto"/>
                      <w:sz w:val="18"/>
                      <w:szCs w:val="18"/>
                      <w:lang w:eastAsia="zh-CN"/>
                    </w:rPr>
                    <w:t>溶剂</w:t>
                  </w:r>
                  <w:r>
                    <w:rPr>
                      <w:rFonts w:hint="eastAsia"/>
                      <w:color w:val="auto"/>
                      <w:sz w:val="18"/>
                      <w:szCs w:val="18"/>
                    </w:rPr>
                    <w:t>回收</w:t>
                  </w:r>
                </w:p>
              </w:tc>
              <w:tc>
                <w:tcPr>
                  <w:tcW w:w="691" w:type="pct"/>
                  <w:vAlign w:val="center"/>
                </w:tcPr>
                <w:p>
                  <w:pPr>
                    <w:adjustRightInd w:val="0"/>
                    <w:snapToGrid w:val="0"/>
                    <w:jc w:val="center"/>
                    <w:rPr>
                      <w:color w:val="auto"/>
                      <w:sz w:val="18"/>
                      <w:szCs w:val="18"/>
                    </w:rPr>
                  </w:pPr>
                  <w:r>
                    <w:rPr>
                      <w:rFonts w:hint="eastAsia"/>
                      <w:color w:val="auto"/>
                      <w:sz w:val="18"/>
                      <w:szCs w:val="18"/>
                    </w:rPr>
                    <w:t>精馏釜残</w:t>
                  </w:r>
                </w:p>
              </w:tc>
              <w:tc>
                <w:tcPr>
                  <w:tcW w:w="409" w:type="pct"/>
                  <w:vMerge w:val="continue"/>
                  <w:vAlign w:val="center"/>
                </w:tcPr>
                <w:p>
                  <w:pPr>
                    <w:adjustRightInd w:val="0"/>
                    <w:snapToGrid w:val="0"/>
                    <w:jc w:val="center"/>
                    <w:rPr>
                      <w:color w:val="auto"/>
                      <w:kern w:val="0"/>
                      <w:sz w:val="18"/>
                      <w:szCs w:val="18"/>
                    </w:rPr>
                  </w:pPr>
                </w:p>
              </w:tc>
              <w:tc>
                <w:tcPr>
                  <w:tcW w:w="1389" w:type="pct"/>
                  <w:vAlign w:val="center"/>
                </w:tcPr>
                <w:p>
                  <w:pPr>
                    <w:adjustRightInd w:val="0"/>
                    <w:snapToGrid w:val="0"/>
                    <w:jc w:val="center"/>
                    <w:rPr>
                      <w:color w:val="auto"/>
                      <w:kern w:val="0"/>
                      <w:sz w:val="18"/>
                      <w:szCs w:val="18"/>
                    </w:rPr>
                  </w:pPr>
                  <w:r>
                    <w:rPr>
                      <w:rFonts w:hint="eastAsia"/>
                      <w:color w:val="auto"/>
                      <w:kern w:val="0"/>
                      <w:sz w:val="18"/>
                      <w:szCs w:val="18"/>
                    </w:rPr>
                    <w:t>HW11精（蒸）馏残渣</w:t>
                  </w:r>
                  <w:r>
                    <w:rPr>
                      <w:rFonts w:hint="eastAsia"/>
                      <w:color w:val="auto"/>
                      <w:sz w:val="18"/>
                      <w:szCs w:val="18"/>
                    </w:rPr>
                    <w:t>900-013-11</w:t>
                  </w:r>
                </w:p>
              </w:tc>
              <w:tc>
                <w:tcPr>
                  <w:tcW w:w="491" w:type="pct"/>
                  <w:vAlign w:val="center"/>
                </w:tcPr>
                <w:p>
                  <w:pPr>
                    <w:adjustRightInd w:val="0"/>
                    <w:snapToGrid w:val="0"/>
                    <w:jc w:val="center"/>
                    <w:rPr>
                      <w:color w:val="auto"/>
                      <w:sz w:val="18"/>
                      <w:szCs w:val="18"/>
                    </w:rPr>
                  </w:pPr>
                  <w:r>
                    <w:rPr>
                      <w:rFonts w:hint="eastAsia"/>
                      <w:color w:val="auto"/>
                      <w:sz w:val="18"/>
                      <w:szCs w:val="18"/>
                    </w:rPr>
                    <w:t>液态</w:t>
                  </w:r>
                </w:p>
              </w:tc>
              <w:tc>
                <w:tcPr>
                  <w:tcW w:w="721" w:type="pct"/>
                  <w:vAlign w:val="center"/>
                </w:tcPr>
                <w:p>
                  <w:pPr>
                    <w:adjustRightInd w:val="0"/>
                    <w:snapToGrid w:val="0"/>
                    <w:jc w:val="center"/>
                    <w:rPr>
                      <w:color w:val="auto"/>
                      <w:sz w:val="18"/>
                      <w:szCs w:val="18"/>
                    </w:rPr>
                  </w:pPr>
                  <w:r>
                    <w:rPr>
                      <w:color w:val="auto"/>
                      <w:sz w:val="18"/>
                      <w:szCs w:val="18"/>
                    </w:rPr>
                    <w:t>T</w:t>
                  </w:r>
                </w:p>
              </w:tc>
            </w:tr>
          </w:tbl>
          <w:p>
            <w:pPr>
              <w:spacing w:before="194" w:beforeLines="50"/>
              <w:jc w:val="center"/>
              <w:outlineLvl w:val="5"/>
              <w:rPr>
                <w:rFonts w:hint="eastAsia"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表4-32固体废物产生及处置情况一览表</w:t>
            </w:r>
          </w:p>
          <w:tbl>
            <w:tblPr>
              <w:tblStyle w:val="19"/>
              <w:tblW w:w="49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4"/>
              <w:gridCol w:w="1328"/>
              <w:gridCol w:w="805"/>
              <w:gridCol w:w="1486"/>
              <w:gridCol w:w="3242"/>
              <w:gridCol w:w="9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310" w:type="pct"/>
                  <w:vAlign w:val="center"/>
                </w:tcPr>
                <w:p>
                  <w:pPr>
                    <w:adjustRightInd w:val="0"/>
                    <w:snapToGrid w:val="0"/>
                    <w:spacing w:line="240" w:lineRule="exact"/>
                    <w:jc w:val="center"/>
                    <w:rPr>
                      <w:b/>
                      <w:bCs/>
                      <w:color w:val="auto"/>
                      <w:sz w:val="18"/>
                      <w:szCs w:val="18"/>
                    </w:rPr>
                  </w:pPr>
                  <w:r>
                    <w:rPr>
                      <w:b/>
                      <w:bCs/>
                      <w:color w:val="auto"/>
                      <w:sz w:val="18"/>
                      <w:szCs w:val="18"/>
                    </w:rPr>
                    <w:t>序号</w:t>
                  </w:r>
                </w:p>
              </w:tc>
              <w:tc>
                <w:tcPr>
                  <w:tcW w:w="800" w:type="pct"/>
                  <w:vAlign w:val="center"/>
                </w:tcPr>
                <w:p>
                  <w:pPr>
                    <w:adjustRightInd w:val="0"/>
                    <w:snapToGrid w:val="0"/>
                    <w:spacing w:line="240" w:lineRule="exact"/>
                    <w:jc w:val="center"/>
                    <w:rPr>
                      <w:b/>
                      <w:bCs/>
                      <w:color w:val="auto"/>
                      <w:sz w:val="18"/>
                      <w:szCs w:val="18"/>
                    </w:rPr>
                  </w:pPr>
                  <w:r>
                    <w:rPr>
                      <w:rFonts w:hint="eastAsia"/>
                      <w:b/>
                      <w:bCs/>
                      <w:color w:val="auto"/>
                      <w:sz w:val="18"/>
                      <w:szCs w:val="18"/>
                    </w:rPr>
                    <w:t>名称</w:t>
                  </w:r>
                </w:p>
              </w:tc>
              <w:tc>
                <w:tcPr>
                  <w:tcW w:w="485" w:type="pct"/>
                  <w:vAlign w:val="center"/>
                </w:tcPr>
                <w:p>
                  <w:pPr>
                    <w:adjustRightInd w:val="0"/>
                    <w:snapToGrid w:val="0"/>
                    <w:spacing w:line="240" w:lineRule="exact"/>
                    <w:jc w:val="center"/>
                    <w:rPr>
                      <w:b/>
                      <w:bCs/>
                      <w:color w:val="auto"/>
                      <w:sz w:val="18"/>
                      <w:szCs w:val="18"/>
                    </w:rPr>
                  </w:pPr>
                  <w:r>
                    <w:rPr>
                      <w:b/>
                      <w:bCs/>
                      <w:color w:val="auto"/>
                      <w:sz w:val="18"/>
                      <w:szCs w:val="18"/>
                    </w:rPr>
                    <w:t>产生量t/a</w:t>
                  </w:r>
                </w:p>
              </w:tc>
              <w:tc>
                <w:tcPr>
                  <w:tcW w:w="895" w:type="pct"/>
                  <w:vAlign w:val="center"/>
                </w:tcPr>
                <w:p>
                  <w:pPr>
                    <w:adjustRightInd w:val="0"/>
                    <w:snapToGrid w:val="0"/>
                    <w:spacing w:line="240" w:lineRule="exact"/>
                    <w:jc w:val="center"/>
                    <w:rPr>
                      <w:b/>
                      <w:bCs/>
                      <w:color w:val="auto"/>
                      <w:sz w:val="18"/>
                      <w:szCs w:val="18"/>
                    </w:rPr>
                  </w:pPr>
                  <w:r>
                    <w:rPr>
                      <w:rFonts w:hint="eastAsia"/>
                      <w:b/>
                      <w:bCs/>
                      <w:color w:val="auto"/>
                      <w:sz w:val="18"/>
                      <w:szCs w:val="18"/>
                    </w:rPr>
                    <w:t>贮存方式</w:t>
                  </w:r>
                </w:p>
              </w:tc>
              <w:tc>
                <w:tcPr>
                  <w:tcW w:w="1953" w:type="pct"/>
                  <w:vAlign w:val="center"/>
                </w:tcPr>
                <w:p>
                  <w:pPr>
                    <w:adjustRightInd w:val="0"/>
                    <w:snapToGrid w:val="0"/>
                    <w:spacing w:line="240" w:lineRule="exact"/>
                    <w:jc w:val="center"/>
                    <w:rPr>
                      <w:b/>
                      <w:bCs/>
                      <w:color w:val="auto"/>
                      <w:sz w:val="18"/>
                      <w:szCs w:val="18"/>
                    </w:rPr>
                  </w:pPr>
                  <w:r>
                    <w:rPr>
                      <w:b/>
                      <w:bCs/>
                      <w:color w:val="auto"/>
                      <w:sz w:val="18"/>
                      <w:szCs w:val="18"/>
                    </w:rPr>
                    <w:t>治理措施及去向</w:t>
                  </w:r>
                </w:p>
              </w:tc>
              <w:tc>
                <w:tcPr>
                  <w:tcW w:w="555" w:type="pct"/>
                  <w:vAlign w:val="center"/>
                </w:tcPr>
                <w:p>
                  <w:pPr>
                    <w:adjustRightInd w:val="0"/>
                    <w:snapToGrid w:val="0"/>
                    <w:spacing w:line="240" w:lineRule="exact"/>
                    <w:jc w:val="center"/>
                    <w:rPr>
                      <w:b/>
                      <w:bCs/>
                      <w:color w:val="auto"/>
                      <w:sz w:val="18"/>
                      <w:szCs w:val="18"/>
                    </w:rPr>
                  </w:pPr>
                  <w:r>
                    <w:rPr>
                      <w:rFonts w:hint="eastAsia"/>
                      <w:b/>
                      <w:bCs/>
                      <w:color w:val="auto"/>
                      <w:sz w:val="18"/>
                      <w:szCs w:val="18"/>
                    </w:rPr>
                    <w:t>处置量</w:t>
                  </w:r>
                  <w:r>
                    <w:rPr>
                      <w:b/>
                      <w:bCs/>
                      <w:color w:val="auto"/>
                      <w:sz w:val="18"/>
                      <w:szCs w:val="18"/>
                    </w:rPr>
                    <w:t>（t/a）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310" w:type="pct"/>
                  <w:vAlign w:val="center"/>
                </w:tcPr>
                <w:p>
                  <w:pPr>
                    <w:adjustRightInd w:val="0"/>
                    <w:snapToGrid w:val="0"/>
                    <w:spacing w:line="240" w:lineRule="exact"/>
                    <w:jc w:val="center"/>
                    <w:rPr>
                      <w:color w:val="auto"/>
                      <w:sz w:val="18"/>
                      <w:szCs w:val="18"/>
                    </w:rPr>
                  </w:pPr>
                  <w:r>
                    <w:rPr>
                      <w:color w:val="auto"/>
                      <w:sz w:val="18"/>
                      <w:szCs w:val="18"/>
                    </w:rPr>
                    <w:t>1</w:t>
                  </w:r>
                </w:p>
              </w:tc>
              <w:tc>
                <w:tcPr>
                  <w:tcW w:w="800" w:type="pct"/>
                  <w:vAlign w:val="center"/>
                </w:tcPr>
                <w:p>
                  <w:pPr>
                    <w:adjustRightInd w:val="0"/>
                    <w:snapToGrid w:val="0"/>
                    <w:spacing w:line="240" w:lineRule="exact"/>
                    <w:jc w:val="center"/>
                    <w:rPr>
                      <w:color w:val="auto"/>
                      <w:sz w:val="18"/>
                      <w:szCs w:val="18"/>
                    </w:rPr>
                  </w:pPr>
                  <w:r>
                    <w:rPr>
                      <w:color w:val="auto"/>
                      <w:sz w:val="18"/>
                      <w:szCs w:val="18"/>
                    </w:rPr>
                    <w:t>生活垃圾</w:t>
                  </w:r>
                </w:p>
              </w:tc>
              <w:tc>
                <w:tcPr>
                  <w:tcW w:w="485" w:type="pct"/>
                  <w:vAlign w:val="center"/>
                </w:tcPr>
                <w:p>
                  <w:pPr>
                    <w:adjustRightInd w:val="0"/>
                    <w:snapToGrid w:val="0"/>
                    <w:spacing w:line="240" w:lineRule="exact"/>
                    <w:jc w:val="center"/>
                    <w:rPr>
                      <w:color w:val="auto"/>
                      <w:sz w:val="18"/>
                      <w:szCs w:val="18"/>
                    </w:rPr>
                  </w:pPr>
                  <w:r>
                    <w:rPr>
                      <w:rFonts w:hint="eastAsia"/>
                      <w:color w:val="auto"/>
                      <w:sz w:val="18"/>
                      <w:szCs w:val="18"/>
                    </w:rPr>
                    <w:t>0.54</w:t>
                  </w:r>
                </w:p>
              </w:tc>
              <w:tc>
                <w:tcPr>
                  <w:tcW w:w="895" w:type="pct"/>
                  <w:vAlign w:val="center"/>
                </w:tcPr>
                <w:p>
                  <w:pPr>
                    <w:adjustRightInd w:val="0"/>
                    <w:snapToGrid w:val="0"/>
                    <w:spacing w:line="240" w:lineRule="exact"/>
                    <w:jc w:val="center"/>
                    <w:rPr>
                      <w:color w:val="auto"/>
                      <w:sz w:val="18"/>
                      <w:szCs w:val="18"/>
                    </w:rPr>
                  </w:pPr>
                  <w:r>
                    <w:rPr>
                      <w:rFonts w:hint="eastAsia"/>
                      <w:color w:val="auto"/>
                      <w:sz w:val="18"/>
                      <w:szCs w:val="18"/>
                    </w:rPr>
                    <w:t>垃圾箱收集</w:t>
                  </w:r>
                </w:p>
              </w:tc>
              <w:tc>
                <w:tcPr>
                  <w:tcW w:w="1953" w:type="pct"/>
                  <w:vAlign w:val="center"/>
                </w:tcPr>
                <w:p>
                  <w:pPr>
                    <w:adjustRightInd w:val="0"/>
                    <w:snapToGrid w:val="0"/>
                    <w:spacing w:line="240" w:lineRule="exact"/>
                    <w:jc w:val="center"/>
                    <w:rPr>
                      <w:color w:val="auto"/>
                      <w:sz w:val="18"/>
                      <w:szCs w:val="18"/>
                    </w:rPr>
                  </w:pPr>
                  <w:r>
                    <w:rPr>
                      <w:color w:val="auto"/>
                      <w:sz w:val="18"/>
                      <w:szCs w:val="18"/>
                    </w:rPr>
                    <w:t>生活垃圾经</w:t>
                  </w:r>
                  <w:r>
                    <w:rPr>
                      <w:rFonts w:hint="eastAsia"/>
                      <w:color w:val="auto"/>
                      <w:sz w:val="18"/>
                      <w:szCs w:val="18"/>
                    </w:rPr>
                    <w:t>车间</w:t>
                  </w:r>
                  <w:r>
                    <w:rPr>
                      <w:color w:val="auto"/>
                      <w:sz w:val="18"/>
                      <w:szCs w:val="18"/>
                    </w:rPr>
                    <w:t>设置的垃圾桶收集后，委托环卫部门定期清运</w:t>
                  </w:r>
                </w:p>
              </w:tc>
              <w:tc>
                <w:tcPr>
                  <w:tcW w:w="555" w:type="pct"/>
                  <w:vAlign w:val="center"/>
                </w:tcPr>
                <w:p>
                  <w:pPr>
                    <w:adjustRightInd w:val="0"/>
                    <w:snapToGrid w:val="0"/>
                    <w:spacing w:line="240" w:lineRule="exact"/>
                    <w:jc w:val="center"/>
                    <w:rPr>
                      <w:color w:val="auto"/>
                      <w:sz w:val="18"/>
                      <w:szCs w:val="18"/>
                    </w:rPr>
                  </w:pPr>
                  <w:r>
                    <w:rPr>
                      <w:rFonts w:hint="eastAsia"/>
                      <w:color w:val="auto"/>
                      <w:sz w:val="18"/>
                      <w:szCs w:val="18"/>
                    </w:rPr>
                    <w:t>0.54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310" w:type="pct"/>
                  <w:vAlign w:val="center"/>
                </w:tcPr>
                <w:p>
                  <w:pPr>
                    <w:adjustRightInd w:val="0"/>
                    <w:snapToGrid w:val="0"/>
                    <w:spacing w:line="240" w:lineRule="exact"/>
                    <w:jc w:val="center"/>
                    <w:rPr>
                      <w:color w:val="auto"/>
                      <w:sz w:val="18"/>
                      <w:szCs w:val="18"/>
                    </w:rPr>
                  </w:pPr>
                  <w:r>
                    <w:rPr>
                      <w:color w:val="auto"/>
                      <w:sz w:val="18"/>
                      <w:szCs w:val="18"/>
                    </w:rPr>
                    <w:t>2</w:t>
                  </w:r>
                </w:p>
              </w:tc>
              <w:tc>
                <w:tcPr>
                  <w:tcW w:w="800" w:type="pct"/>
                  <w:vAlign w:val="center"/>
                </w:tcPr>
                <w:p>
                  <w:pPr>
                    <w:adjustRightInd w:val="0"/>
                    <w:snapToGrid w:val="0"/>
                    <w:spacing w:line="240" w:lineRule="exact"/>
                    <w:jc w:val="center"/>
                    <w:rPr>
                      <w:color w:val="auto"/>
                      <w:sz w:val="18"/>
                      <w:szCs w:val="18"/>
                    </w:rPr>
                  </w:pPr>
                  <w:r>
                    <w:rPr>
                      <w:rFonts w:hint="eastAsia"/>
                      <w:color w:val="auto"/>
                      <w:sz w:val="18"/>
                      <w:szCs w:val="18"/>
                    </w:rPr>
                    <w:t>检验废料、废边角料</w:t>
                  </w:r>
                </w:p>
              </w:tc>
              <w:tc>
                <w:tcPr>
                  <w:tcW w:w="485" w:type="pct"/>
                  <w:vAlign w:val="center"/>
                </w:tcPr>
                <w:p>
                  <w:pPr>
                    <w:adjustRightInd w:val="0"/>
                    <w:snapToGrid w:val="0"/>
                    <w:spacing w:line="240" w:lineRule="exact"/>
                    <w:jc w:val="center"/>
                    <w:rPr>
                      <w:color w:val="auto"/>
                      <w:sz w:val="18"/>
                      <w:szCs w:val="18"/>
                    </w:rPr>
                  </w:pPr>
                  <w:r>
                    <w:rPr>
                      <w:rFonts w:hint="eastAsia"/>
                      <w:color w:val="auto"/>
                      <w:sz w:val="18"/>
                      <w:szCs w:val="18"/>
                    </w:rPr>
                    <w:t>1.8</w:t>
                  </w:r>
                </w:p>
              </w:tc>
              <w:tc>
                <w:tcPr>
                  <w:tcW w:w="895" w:type="pct"/>
                  <w:vAlign w:val="center"/>
                </w:tcPr>
                <w:p>
                  <w:pPr>
                    <w:adjustRightInd w:val="0"/>
                    <w:snapToGrid w:val="0"/>
                    <w:spacing w:line="240" w:lineRule="exact"/>
                    <w:jc w:val="center"/>
                    <w:rPr>
                      <w:color w:val="auto"/>
                      <w:sz w:val="18"/>
                      <w:szCs w:val="18"/>
                    </w:rPr>
                  </w:pPr>
                  <w:r>
                    <w:rPr>
                      <w:rFonts w:hint="eastAsia"/>
                      <w:color w:val="auto"/>
                      <w:sz w:val="18"/>
                      <w:szCs w:val="18"/>
                    </w:rPr>
                    <w:t>依托一厂现有一般工业固体废物暂存间</w:t>
                  </w:r>
                </w:p>
              </w:tc>
              <w:tc>
                <w:tcPr>
                  <w:tcW w:w="1953" w:type="pct"/>
                  <w:vAlign w:val="center"/>
                </w:tcPr>
                <w:p>
                  <w:pPr>
                    <w:adjustRightInd w:val="0"/>
                    <w:snapToGrid w:val="0"/>
                    <w:spacing w:line="240" w:lineRule="exact"/>
                    <w:jc w:val="center"/>
                    <w:rPr>
                      <w:color w:val="auto"/>
                      <w:sz w:val="18"/>
                      <w:szCs w:val="18"/>
                    </w:rPr>
                  </w:pPr>
                  <w:r>
                    <w:rPr>
                      <w:rFonts w:hint="eastAsia"/>
                      <w:color w:val="auto"/>
                      <w:sz w:val="18"/>
                      <w:szCs w:val="18"/>
                    </w:rPr>
                    <w:t>暂存于一般工业固体废物暂存区，</w:t>
                  </w:r>
                  <w:r>
                    <w:rPr>
                      <w:color w:val="auto"/>
                      <w:sz w:val="18"/>
                      <w:szCs w:val="18"/>
                    </w:rPr>
                    <w:t>出售给可回收利用企业</w:t>
                  </w:r>
                </w:p>
              </w:tc>
              <w:tc>
                <w:tcPr>
                  <w:tcW w:w="555" w:type="pct"/>
                  <w:vAlign w:val="center"/>
                </w:tcPr>
                <w:p>
                  <w:pPr>
                    <w:adjustRightInd w:val="0"/>
                    <w:snapToGrid w:val="0"/>
                    <w:spacing w:line="240" w:lineRule="exact"/>
                    <w:jc w:val="center"/>
                    <w:rPr>
                      <w:color w:val="auto"/>
                      <w:sz w:val="18"/>
                      <w:szCs w:val="18"/>
                    </w:rPr>
                  </w:pPr>
                  <w:r>
                    <w:rPr>
                      <w:rFonts w:hint="eastAsia"/>
                      <w:color w:val="auto"/>
                      <w:sz w:val="18"/>
                      <w:szCs w:val="18"/>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310" w:type="pct"/>
                  <w:vAlign w:val="center"/>
                </w:tcPr>
                <w:p>
                  <w:pPr>
                    <w:adjustRightInd w:val="0"/>
                    <w:snapToGrid w:val="0"/>
                    <w:spacing w:line="240" w:lineRule="exact"/>
                    <w:jc w:val="center"/>
                    <w:rPr>
                      <w:color w:val="auto"/>
                      <w:sz w:val="18"/>
                      <w:szCs w:val="18"/>
                    </w:rPr>
                  </w:pPr>
                  <w:r>
                    <w:rPr>
                      <w:rFonts w:hint="eastAsia"/>
                      <w:color w:val="auto"/>
                      <w:sz w:val="18"/>
                      <w:szCs w:val="18"/>
                    </w:rPr>
                    <w:t>3</w:t>
                  </w:r>
                </w:p>
              </w:tc>
              <w:tc>
                <w:tcPr>
                  <w:tcW w:w="800" w:type="pct"/>
                  <w:vAlign w:val="center"/>
                </w:tcPr>
                <w:p>
                  <w:pPr>
                    <w:adjustRightInd w:val="0"/>
                    <w:snapToGrid w:val="0"/>
                    <w:spacing w:line="240" w:lineRule="exact"/>
                    <w:jc w:val="center"/>
                    <w:rPr>
                      <w:color w:val="auto"/>
                      <w:sz w:val="18"/>
                      <w:szCs w:val="18"/>
                    </w:rPr>
                  </w:pPr>
                  <w:r>
                    <w:rPr>
                      <w:rFonts w:hint="eastAsia"/>
                      <w:color w:val="auto"/>
                      <w:sz w:val="18"/>
                      <w:szCs w:val="18"/>
                    </w:rPr>
                    <w:t>隔膜泵废滤芯</w:t>
                  </w:r>
                </w:p>
              </w:tc>
              <w:tc>
                <w:tcPr>
                  <w:tcW w:w="485" w:type="pct"/>
                  <w:vAlign w:val="center"/>
                </w:tcPr>
                <w:p>
                  <w:pPr>
                    <w:adjustRightInd w:val="0"/>
                    <w:snapToGrid w:val="0"/>
                    <w:spacing w:line="240" w:lineRule="exact"/>
                    <w:jc w:val="center"/>
                    <w:rPr>
                      <w:color w:val="auto"/>
                      <w:sz w:val="18"/>
                      <w:szCs w:val="18"/>
                    </w:rPr>
                  </w:pPr>
                  <w:r>
                    <w:rPr>
                      <w:rFonts w:hint="eastAsia"/>
                      <w:color w:val="auto"/>
                      <w:sz w:val="18"/>
                      <w:szCs w:val="18"/>
                    </w:rPr>
                    <w:t>0.5</w:t>
                  </w:r>
                </w:p>
              </w:tc>
              <w:tc>
                <w:tcPr>
                  <w:tcW w:w="895" w:type="pct"/>
                  <w:vAlign w:val="center"/>
                </w:tcPr>
                <w:p>
                  <w:pPr>
                    <w:adjustRightInd w:val="0"/>
                    <w:snapToGrid w:val="0"/>
                    <w:spacing w:line="240" w:lineRule="exact"/>
                    <w:jc w:val="center"/>
                    <w:rPr>
                      <w:color w:val="auto"/>
                      <w:sz w:val="18"/>
                      <w:szCs w:val="18"/>
                    </w:rPr>
                  </w:pPr>
                  <w:r>
                    <w:rPr>
                      <w:rFonts w:hint="eastAsia"/>
                      <w:color w:val="auto"/>
                      <w:sz w:val="18"/>
                      <w:szCs w:val="18"/>
                    </w:rPr>
                    <w:t>依托</w:t>
                  </w:r>
                  <w:r>
                    <w:rPr>
                      <w:rFonts w:hint="eastAsia"/>
                      <w:color w:val="auto"/>
                      <w:sz w:val="18"/>
                      <w:szCs w:val="18"/>
                      <w:lang w:val="en-US" w:eastAsia="zh-CN"/>
                    </w:rPr>
                    <w:t>二厂</w:t>
                  </w:r>
                  <w:r>
                    <w:rPr>
                      <w:rFonts w:hint="eastAsia"/>
                      <w:color w:val="auto"/>
                      <w:sz w:val="18"/>
                      <w:szCs w:val="18"/>
                    </w:rPr>
                    <w:t>厂现有危险</w:t>
                  </w:r>
                  <w:r>
                    <w:rPr>
                      <w:color w:val="auto"/>
                      <w:sz w:val="18"/>
                      <w:szCs w:val="18"/>
                    </w:rPr>
                    <w:t>废物</w:t>
                  </w:r>
                  <w:r>
                    <w:rPr>
                      <w:rFonts w:hint="eastAsia"/>
                      <w:color w:val="auto"/>
                      <w:sz w:val="18"/>
                      <w:szCs w:val="18"/>
                    </w:rPr>
                    <w:t>贮存间</w:t>
                  </w:r>
                </w:p>
              </w:tc>
              <w:tc>
                <w:tcPr>
                  <w:tcW w:w="1953" w:type="pct"/>
                  <w:vAlign w:val="center"/>
                </w:tcPr>
                <w:p>
                  <w:pPr>
                    <w:adjustRightInd w:val="0"/>
                    <w:snapToGrid w:val="0"/>
                    <w:spacing w:line="240" w:lineRule="exact"/>
                    <w:jc w:val="center"/>
                    <w:rPr>
                      <w:color w:val="auto"/>
                      <w:sz w:val="18"/>
                      <w:szCs w:val="18"/>
                    </w:rPr>
                  </w:pPr>
                  <w:r>
                    <w:rPr>
                      <w:rFonts w:hint="eastAsia"/>
                      <w:color w:val="auto"/>
                      <w:sz w:val="18"/>
                      <w:szCs w:val="18"/>
                    </w:rPr>
                    <w:t>贮存</w:t>
                  </w:r>
                  <w:r>
                    <w:rPr>
                      <w:color w:val="auto"/>
                      <w:sz w:val="18"/>
                      <w:szCs w:val="18"/>
                    </w:rPr>
                    <w:t>在危险废物</w:t>
                  </w:r>
                  <w:r>
                    <w:rPr>
                      <w:rFonts w:hint="eastAsia"/>
                      <w:color w:val="auto"/>
                      <w:sz w:val="18"/>
                      <w:szCs w:val="18"/>
                    </w:rPr>
                    <w:t>贮存间</w:t>
                  </w:r>
                  <w:r>
                    <w:rPr>
                      <w:color w:val="auto"/>
                      <w:sz w:val="18"/>
                      <w:szCs w:val="18"/>
                    </w:rPr>
                    <w:t>，定期委托有相应危险废物处置资质单位处置</w:t>
                  </w:r>
                </w:p>
              </w:tc>
              <w:tc>
                <w:tcPr>
                  <w:tcW w:w="555" w:type="pct"/>
                  <w:vAlign w:val="center"/>
                </w:tcPr>
                <w:p>
                  <w:pPr>
                    <w:adjustRightInd w:val="0"/>
                    <w:snapToGrid w:val="0"/>
                    <w:spacing w:line="240" w:lineRule="exact"/>
                    <w:jc w:val="center"/>
                    <w:rPr>
                      <w:color w:val="auto"/>
                      <w:sz w:val="18"/>
                      <w:szCs w:val="18"/>
                    </w:rPr>
                  </w:pPr>
                  <w:r>
                    <w:rPr>
                      <w:color w:val="auto"/>
                      <w:sz w:val="18"/>
                      <w:szCs w:val="18"/>
                    </w:rPr>
                    <w:t>0.</w:t>
                  </w:r>
                  <w:r>
                    <w:rPr>
                      <w:rFonts w:hint="eastAsia"/>
                      <w:color w:val="auto"/>
                      <w:sz w:val="18"/>
                      <w:szCs w:val="1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310" w:type="pct"/>
                  <w:vAlign w:val="center"/>
                </w:tcPr>
                <w:p>
                  <w:pPr>
                    <w:adjustRightInd w:val="0"/>
                    <w:snapToGrid w:val="0"/>
                    <w:spacing w:line="240" w:lineRule="exact"/>
                    <w:jc w:val="center"/>
                    <w:rPr>
                      <w:color w:val="auto"/>
                      <w:sz w:val="18"/>
                      <w:szCs w:val="18"/>
                    </w:rPr>
                  </w:pPr>
                  <w:r>
                    <w:rPr>
                      <w:rFonts w:hint="eastAsia"/>
                      <w:color w:val="auto"/>
                      <w:sz w:val="18"/>
                      <w:szCs w:val="18"/>
                    </w:rPr>
                    <w:t>4</w:t>
                  </w:r>
                </w:p>
              </w:tc>
              <w:tc>
                <w:tcPr>
                  <w:tcW w:w="800" w:type="pct"/>
                  <w:vAlign w:val="center"/>
                </w:tcPr>
                <w:p>
                  <w:pPr>
                    <w:adjustRightInd w:val="0"/>
                    <w:snapToGrid w:val="0"/>
                    <w:spacing w:line="240" w:lineRule="exact"/>
                    <w:jc w:val="center"/>
                    <w:rPr>
                      <w:color w:val="auto"/>
                      <w:sz w:val="18"/>
                      <w:szCs w:val="18"/>
                    </w:rPr>
                  </w:pPr>
                  <w:r>
                    <w:rPr>
                      <w:rFonts w:hint="eastAsia"/>
                      <w:color w:val="auto"/>
                      <w:sz w:val="18"/>
                      <w:szCs w:val="18"/>
                    </w:rPr>
                    <w:t>废活性炭</w:t>
                  </w:r>
                </w:p>
              </w:tc>
              <w:tc>
                <w:tcPr>
                  <w:tcW w:w="485" w:type="pct"/>
                  <w:vAlign w:val="center"/>
                </w:tcPr>
                <w:p>
                  <w:pPr>
                    <w:adjustRightInd w:val="0"/>
                    <w:snapToGrid w:val="0"/>
                    <w:spacing w:line="240" w:lineRule="exact"/>
                    <w:jc w:val="center"/>
                    <w:rPr>
                      <w:color w:val="auto"/>
                      <w:sz w:val="18"/>
                      <w:szCs w:val="18"/>
                    </w:rPr>
                  </w:pPr>
                  <w:r>
                    <w:rPr>
                      <w:rFonts w:hint="eastAsia"/>
                      <w:color w:val="auto"/>
                      <w:sz w:val="18"/>
                      <w:szCs w:val="18"/>
                    </w:rPr>
                    <w:t>3.57</w:t>
                  </w:r>
                </w:p>
              </w:tc>
              <w:tc>
                <w:tcPr>
                  <w:tcW w:w="895" w:type="pct"/>
                  <w:vAlign w:val="center"/>
                </w:tcPr>
                <w:p>
                  <w:pPr>
                    <w:adjustRightInd w:val="0"/>
                    <w:snapToGrid w:val="0"/>
                    <w:spacing w:line="240" w:lineRule="exact"/>
                    <w:jc w:val="center"/>
                    <w:rPr>
                      <w:color w:val="auto"/>
                      <w:sz w:val="18"/>
                      <w:szCs w:val="18"/>
                    </w:rPr>
                  </w:pPr>
                  <w:r>
                    <w:rPr>
                      <w:rFonts w:hint="eastAsia"/>
                      <w:color w:val="auto"/>
                      <w:sz w:val="18"/>
                      <w:szCs w:val="18"/>
                    </w:rPr>
                    <w:t>依托</w:t>
                  </w:r>
                  <w:r>
                    <w:rPr>
                      <w:rFonts w:hint="eastAsia"/>
                      <w:color w:val="auto"/>
                      <w:sz w:val="18"/>
                      <w:szCs w:val="18"/>
                      <w:lang w:val="en-US" w:eastAsia="zh-CN"/>
                    </w:rPr>
                    <w:t>二</w:t>
                  </w:r>
                  <w:r>
                    <w:rPr>
                      <w:rFonts w:hint="eastAsia"/>
                      <w:color w:val="auto"/>
                      <w:sz w:val="18"/>
                      <w:szCs w:val="18"/>
                    </w:rPr>
                    <w:t>厂现有危险</w:t>
                  </w:r>
                  <w:r>
                    <w:rPr>
                      <w:color w:val="auto"/>
                      <w:sz w:val="18"/>
                      <w:szCs w:val="18"/>
                    </w:rPr>
                    <w:t>废物</w:t>
                  </w:r>
                  <w:r>
                    <w:rPr>
                      <w:rFonts w:hint="eastAsia"/>
                      <w:color w:val="auto"/>
                      <w:sz w:val="18"/>
                      <w:szCs w:val="18"/>
                    </w:rPr>
                    <w:t>贮存间</w:t>
                  </w:r>
                </w:p>
              </w:tc>
              <w:tc>
                <w:tcPr>
                  <w:tcW w:w="1953" w:type="pct"/>
                  <w:vAlign w:val="center"/>
                </w:tcPr>
                <w:p>
                  <w:pPr>
                    <w:adjustRightInd w:val="0"/>
                    <w:snapToGrid w:val="0"/>
                    <w:spacing w:line="240" w:lineRule="exact"/>
                    <w:jc w:val="center"/>
                    <w:rPr>
                      <w:color w:val="auto"/>
                      <w:sz w:val="18"/>
                      <w:szCs w:val="18"/>
                    </w:rPr>
                  </w:pPr>
                  <w:r>
                    <w:rPr>
                      <w:rFonts w:hint="eastAsia"/>
                      <w:color w:val="auto"/>
                      <w:sz w:val="18"/>
                      <w:szCs w:val="18"/>
                    </w:rPr>
                    <w:t>贮存</w:t>
                  </w:r>
                  <w:r>
                    <w:rPr>
                      <w:color w:val="auto"/>
                      <w:sz w:val="18"/>
                      <w:szCs w:val="18"/>
                    </w:rPr>
                    <w:t>在危险废物</w:t>
                  </w:r>
                  <w:r>
                    <w:rPr>
                      <w:rFonts w:hint="eastAsia"/>
                      <w:color w:val="auto"/>
                      <w:sz w:val="18"/>
                      <w:szCs w:val="18"/>
                    </w:rPr>
                    <w:t>贮存间</w:t>
                  </w:r>
                  <w:r>
                    <w:rPr>
                      <w:color w:val="auto"/>
                      <w:sz w:val="18"/>
                      <w:szCs w:val="18"/>
                    </w:rPr>
                    <w:t>，定期委托有相应危险废物处置资质单位处置</w:t>
                  </w:r>
                </w:p>
              </w:tc>
              <w:tc>
                <w:tcPr>
                  <w:tcW w:w="555" w:type="pct"/>
                  <w:vAlign w:val="center"/>
                </w:tcPr>
                <w:p>
                  <w:pPr>
                    <w:adjustRightInd w:val="0"/>
                    <w:snapToGrid w:val="0"/>
                    <w:spacing w:line="240" w:lineRule="exact"/>
                    <w:jc w:val="center"/>
                    <w:rPr>
                      <w:color w:val="auto"/>
                      <w:sz w:val="18"/>
                      <w:szCs w:val="18"/>
                    </w:rPr>
                  </w:pPr>
                  <w:r>
                    <w:rPr>
                      <w:rFonts w:hint="eastAsia"/>
                      <w:color w:val="auto"/>
                      <w:sz w:val="18"/>
                      <w:szCs w:val="18"/>
                    </w:rPr>
                    <w:t>3.57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310" w:type="pct"/>
                  <w:vAlign w:val="center"/>
                </w:tcPr>
                <w:p>
                  <w:pPr>
                    <w:adjustRightInd w:val="0"/>
                    <w:snapToGrid w:val="0"/>
                    <w:spacing w:line="240" w:lineRule="exact"/>
                    <w:jc w:val="center"/>
                    <w:rPr>
                      <w:color w:val="auto"/>
                      <w:sz w:val="18"/>
                      <w:szCs w:val="18"/>
                    </w:rPr>
                  </w:pPr>
                  <w:r>
                    <w:rPr>
                      <w:rFonts w:hint="eastAsia"/>
                      <w:color w:val="auto"/>
                      <w:sz w:val="18"/>
                      <w:szCs w:val="18"/>
                    </w:rPr>
                    <w:t>5</w:t>
                  </w:r>
                </w:p>
              </w:tc>
              <w:tc>
                <w:tcPr>
                  <w:tcW w:w="800" w:type="pct"/>
                  <w:vAlign w:val="center"/>
                </w:tcPr>
                <w:p>
                  <w:pPr>
                    <w:adjustRightInd w:val="0"/>
                    <w:snapToGrid w:val="0"/>
                    <w:spacing w:line="240" w:lineRule="exact"/>
                    <w:jc w:val="center"/>
                    <w:rPr>
                      <w:color w:val="auto"/>
                      <w:sz w:val="18"/>
                      <w:szCs w:val="18"/>
                    </w:rPr>
                  </w:pPr>
                  <w:r>
                    <w:rPr>
                      <w:rFonts w:hint="eastAsia"/>
                      <w:color w:val="auto"/>
                      <w:sz w:val="18"/>
                      <w:szCs w:val="18"/>
                    </w:rPr>
                    <w:t>精馏釜残</w:t>
                  </w:r>
                </w:p>
              </w:tc>
              <w:tc>
                <w:tcPr>
                  <w:tcW w:w="485" w:type="pct"/>
                  <w:vAlign w:val="center"/>
                </w:tcPr>
                <w:p>
                  <w:pPr>
                    <w:adjustRightInd w:val="0"/>
                    <w:snapToGrid w:val="0"/>
                    <w:spacing w:line="240" w:lineRule="exact"/>
                    <w:jc w:val="center"/>
                    <w:rPr>
                      <w:color w:val="auto"/>
                      <w:sz w:val="18"/>
                      <w:szCs w:val="18"/>
                    </w:rPr>
                  </w:pPr>
                  <w:r>
                    <w:rPr>
                      <w:rFonts w:hint="eastAsia"/>
                      <w:color w:val="auto"/>
                      <w:sz w:val="18"/>
                      <w:szCs w:val="18"/>
                    </w:rPr>
                    <w:t>3</w:t>
                  </w:r>
                </w:p>
              </w:tc>
              <w:tc>
                <w:tcPr>
                  <w:tcW w:w="895" w:type="pct"/>
                  <w:vAlign w:val="center"/>
                </w:tcPr>
                <w:p>
                  <w:pPr>
                    <w:adjustRightInd w:val="0"/>
                    <w:snapToGrid w:val="0"/>
                    <w:spacing w:line="240" w:lineRule="exact"/>
                    <w:jc w:val="center"/>
                    <w:rPr>
                      <w:color w:val="auto"/>
                      <w:sz w:val="18"/>
                      <w:szCs w:val="18"/>
                    </w:rPr>
                  </w:pPr>
                  <w:r>
                    <w:rPr>
                      <w:rFonts w:hint="eastAsia"/>
                      <w:color w:val="auto"/>
                      <w:sz w:val="18"/>
                      <w:szCs w:val="18"/>
                    </w:rPr>
                    <w:t>依托</w:t>
                  </w:r>
                  <w:r>
                    <w:rPr>
                      <w:rFonts w:hint="eastAsia"/>
                      <w:color w:val="auto"/>
                      <w:sz w:val="18"/>
                      <w:szCs w:val="18"/>
                      <w:lang w:val="en-US" w:eastAsia="zh-CN"/>
                    </w:rPr>
                    <w:t>二</w:t>
                  </w:r>
                  <w:r>
                    <w:rPr>
                      <w:rFonts w:hint="eastAsia"/>
                      <w:color w:val="auto"/>
                      <w:sz w:val="18"/>
                      <w:szCs w:val="18"/>
                    </w:rPr>
                    <w:t>厂现有危险</w:t>
                  </w:r>
                  <w:r>
                    <w:rPr>
                      <w:color w:val="auto"/>
                      <w:sz w:val="18"/>
                      <w:szCs w:val="18"/>
                    </w:rPr>
                    <w:t>废物</w:t>
                  </w:r>
                  <w:r>
                    <w:rPr>
                      <w:rFonts w:hint="eastAsia"/>
                      <w:color w:val="auto"/>
                      <w:sz w:val="18"/>
                      <w:szCs w:val="18"/>
                    </w:rPr>
                    <w:t>贮存间</w:t>
                  </w:r>
                </w:p>
              </w:tc>
              <w:tc>
                <w:tcPr>
                  <w:tcW w:w="1953" w:type="pct"/>
                  <w:vAlign w:val="center"/>
                </w:tcPr>
                <w:p>
                  <w:pPr>
                    <w:adjustRightInd w:val="0"/>
                    <w:snapToGrid w:val="0"/>
                    <w:spacing w:line="240" w:lineRule="exact"/>
                    <w:jc w:val="center"/>
                    <w:rPr>
                      <w:color w:val="auto"/>
                      <w:sz w:val="18"/>
                      <w:szCs w:val="18"/>
                    </w:rPr>
                  </w:pPr>
                  <w:r>
                    <w:rPr>
                      <w:rFonts w:hint="eastAsia"/>
                      <w:color w:val="auto"/>
                      <w:sz w:val="18"/>
                      <w:szCs w:val="18"/>
                    </w:rPr>
                    <w:t>贮存</w:t>
                  </w:r>
                  <w:r>
                    <w:rPr>
                      <w:color w:val="auto"/>
                      <w:sz w:val="18"/>
                      <w:szCs w:val="18"/>
                    </w:rPr>
                    <w:t>在危险废物</w:t>
                  </w:r>
                  <w:r>
                    <w:rPr>
                      <w:rFonts w:hint="eastAsia"/>
                      <w:color w:val="auto"/>
                      <w:sz w:val="18"/>
                      <w:szCs w:val="18"/>
                    </w:rPr>
                    <w:t>贮存间</w:t>
                  </w:r>
                  <w:r>
                    <w:rPr>
                      <w:color w:val="auto"/>
                      <w:sz w:val="18"/>
                      <w:szCs w:val="18"/>
                    </w:rPr>
                    <w:t>，定期委托有相应危险废物处置资质单位处置</w:t>
                  </w:r>
                </w:p>
              </w:tc>
              <w:tc>
                <w:tcPr>
                  <w:tcW w:w="555" w:type="pct"/>
                  <w:vAlign w:val="center"/>
                </w:tcPr>
                <w:p>
                  <w:pPr>
                    <w:adjustRightInd w:val="0"/>
                    <w:snapToGrid w:val="0"/>
                    <w:spacing w:line="240" w:lineRule="exact"/>
                    <w:jc w:val="center"/>
                    <w:rPr>
                      <w:color w:val="auto"/>
                      <w:sz w:val="18"/>
                      <w:szCs w:val="18"/>
                    </w:rPr>
                  </w:pPr>
                  <w:r>
                    <w:rPr>
                      <w:rFonts w:hint="eastAsia"/>
                      <w:color w:val="auto"/>
                      <w:sz w:val="18"/>
                      <w:szCs w:val="18"/>
                    </w:rPr>
                    <w:t>3</w:t>
                  </w:r>
                </w:p>
              </w:tc>
            </w:tr>
          </w:tbl>
          <w:p>
            <w:pPr>
              <w:widowControl/>
              <w:numPr>
                <w:ilvl w:val="0"/>
                <w:numId w:val="7"/>
              </w:numPr>
              <w:spacing w:line="360" w:lineRule="auto"/>
              <w:ind w:firstLine="422" w:firstLineChars="200"/>
              <w:rPr>
                <w:b/>
                <w:bCs/>
                <w:color w:val="auto"/>
              </w:rPr>
            </w:pPr>
            <w:r>
              <w:rPr>
                <w:rFonts w:hint="eastAsia"/>
                <w:b/>
                <w:bCs/>
                <w:color w:val="auto"/>
              </w:rPr>
              <w:t>固体废物管理要求</w:t>
            </w:r>
          </w:p>
          <w:p>
            <w:pPr>
              <w:widowControl/>
              <w:spacing w:line="360" w:lineRule="auto"/>
              <w:ind w:firstLine="420" w:firstLineChars="200"/>
              <w:rPr>
                <w:color w:val="auto"/>
              </w:rPr>
            </w:pPr>
            <w:r>
              <w:rPr>
                <w:rFonts w:hint="eastAsia" w:ascii="宋体" w:hAnsi="宋体" w:cs="宋体"/>
                <w:color w:val="auto"/>
              </w:rPr>
              <w:t>①</w:t>
            </w:r>
            <w:r>
              <w:rPr>
                <w:rFonts w:hint="eastAsia"/>
                <w:color w:val="auto"/>
              </w:rPr>
              <w:t>一般固废暂存管理</w:t>
            </w:r>
          </w:p>
          <w:p>
            <w:pPr>
              <w:widowControl/>
              <w:spacing w:line="360" w:lineRule="auto"/>
              <w:ind w:firstLine="420" w:firstLineChars="200"/>
              <w:rPr>
                <w:color w:val="auto"/>
              </w:rPr>
            </w:pPr>
            <w:r>
              <w:rPr>
                <w:rFonts w:hint="eastAsia"/>
                <w:color w:val="auto"/>
              </w:rPr>
              <w:t>一般固废暂存依托一厂现有</w:t>
            </w:r>
            <w:r>
              <w:rPr>
                <w:rFonts w:hint="eastAsia"/>
                <w:color w:val="auto"/>
                <w:lang w:val="en-US" w:eastAsia="zh-CN"/>
              </w:rPr>
              <w:t>1.5</w:t>
            </w:r>
            <w:r>
              <w:rPr>
                <w:rFonts w:hint="eastAsia"/>
                <w:color w:val="auto"/>
              </w:rPr>
              <w:t>m</w:t>
            </w:r>
            <w:r>
              <w:rPr>
                <w:rFonts w:hint="eastAsia"/>
                <w:color w:val="auto"/>
                <w:vertAlign w:val="superscript"/>
              </w:rPr>
              <w:t>2</w:t>
            </w:r>
            <w:r>
              <w:rPr>
                <w:rFonts w:hint="eastAsia"/>
                <w:color w:val="auto"/>
              </w:rPr>
              <w:t>一般固废暂存间，已按照《一般工业固体废物贮存和填埋污染控制标准(GB18599-2020)》规范建设并设置环境保护标志牌。建设单位应规范固废处置场所，加强一般工业固废的综合利用工作，产生的各类固废均不得丢弃，不可露天堆放。</w:t>
            </w:r>
          </w:p>
          <w:p>
            <w:pPr>
              <w:widowControl/>
              <w:spacing w:line="360" w:lineRule="auto"/>
              <w:ind w:firstLine="420" w:firstLineChars="200"/>
              <w:rPr>
                <w:color w:val="auto"/>
              </w:rPr>
            </w:pPr>
            <w:r>
              <w:rPr>
                <w:rFonts w:hint="eastAsia" w:ascii="宋体" w:hAnsi="宋体" w:cs="宋体"/>
                <w:color w:val="auto"/>
              </w:rPr>
              <w:t>②</w:t>
            </w:r>
            <w:r>
              <w:rPr>
                <w:rFonts w:hint="eastAsia"/>
                <w:color w:val="auto"/>
              </w:rPr>
              <w:t>危险废物暂存管理</w:t>
            </w:r>
          </w:p>
          <w:p>
            <w:pPr>
              <w:widowControl/>
              <w:spacing w:line="360" w:lineRule="auto"/>
              <w:ind w:firstLine="420" w:firstLineChars="200"/>
              <w:rPr>
                <w:color w:val="auto"/>
              </w:rPr>
            </w:pPr>
            <w:r>
              <w:rPr>
                <w:color w:val="auto"/>
              </w:rPr>
              <w:t>本项目新增危险废物主要为隔膜泵废滤芯、废活性炭及精馏釜残，均依托</w:t>
            </w:r>
            <w:r>
              <w:rPr>
                <w:rFonts w:hint="eastAsia"/>
                <w:color w:val="auto"/>
                <w:lang w:val="en-US" w:eastAsia="zh-CN"/>
              </w:rPr>
              <w:t>二</w:t>
            </w:r>
            <w:r>
              <w:rPr>
                <w:color w:val="auto"/>
              </w:rPr>
              <w:t>厂现有</w:t>
            </w:r>
            <w:r>
              <w:rPr>
                <w:rFonts w:hint="eastAsia"/>
                <w:color w:val="auto"/>
                <w:lang w:val="en-US" w:eastAsia="zh-CN"/>
              </w:rPr>
              <w:t>140</w:t>
            </w:r>
            <w:r>
              <w:rPr>
                <w:color w:val="auto"/>
              </w:rPr>
              <w:t>m</w:t>
            </w:r>
            <w:r>
              <w:rPr>
                <w:rFonts w:hint="eastAsia"/>
                <w:color w:val="auto"/>
                <w:vertAlign w:val="superscript"/>
              </w:rPr>
              <w:t>2</w:t>
            </w:r>
            <w:r>
              <w:rPr>
                <w:color w:val="auto"/>
              </w:rPr>
              <w:t>危废暂存间贮存，计划每</w:t>
            </w:r>
            <w:r>
              <w:rPr>
                <w:rFonts w:hint="eastAsia"/>
                <w:color w:val="auto"/>
                <w:lang w:val="en-US" w:eastAsia="zh-CN"/>
              </w:rPr>
              <w:t>1个月</w:t>
            </w:r>
            <w:r>
              <w:rPr>
                <w:color w:val="auto"/>
              </w:rPr>
              <w:t>转运一次。该暂存间已按《危险废物贮存污染控制标准》（GB18597—2023）要求落实防风、防雨、防晒、防渗漏措施，采用封闭结构，内部按危废种类分区堆放。</w:t>
            </w:r>
            <w:r>
              <w:rPr>
                <w:rFonts w:hint="eastAsia"/>
                <w:color w:val="auto"/>
                <w:lang w:val="en-US" w:eastAsia="zh-CN"/>
              </w:rPr>
              <w:t>二厂</w:t>
            </w:r>
            <w:r>
              <w:rPr>
                <w:color w:val="auto"/>
              </w:rPr>
              <w:t>厂现有危废暂存间能力可满足本项目新增危险废物贮存要求。危险废物严格执行《危险废物转移联单管理办法》，规范填写转移联单，加强运输过程的环境保护管理，确保运输环节不发生环境安全事故。</w:t>
            </w:r>
          </w:p>
          <w:p>
            <w:pPr>
              <w:spacing w:before="194" w:beforeLines="50"/>
              <w:jc w:val="center"/>
              <w:outlineLvl w:val="5"/>
              <w:rPr>
                <w:rFonts w:hint="eastAsia"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表4-33二厂现有危险废物贮存间情况分析</w:t>
            </w:r>
          </w:p>
          <w:tbl>
            <w:tblPr>
              <w:tblStyle w:val="19"/>
              <w:tblW w:w="9234"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27"/>
              <w:gridCol w:w="1298"/>
              <w:gridCol w:w="553"/>
              <w:gridCol w:w="594"/>
              <w:gridCol w:w="1657"/>
              <w:gridCol w:w="575"/>
              <w:gridCol w:w="662"/>
              <w:gridCol w:w="376"/>
              <w:gridCol w:w="747"/>
              <w:gridCol w:w="747"/>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49" w:hRule="atLeast"/>
                <w:tblHeader/>
              </w:trPr>
              <w:tc>
                <w:tcPr>
                  <w:tcW w:w="1357" w:type="dxa"/>
                  <w:tcBorders>
                    <w:left w:val="single" w:color="auto" w:sz="0" w:space="0"/>
                  </w:tcBorders>
                  <w:noWrap/>
                  <w:vAlign w:val="center"/>
                </w:tcPr>
                <w:p>
                  <w:pPr>
                    <w:widowControl/>
                    <w:adjustRightInd w:val="0"/>
                    <w:snapToGrid w:val="0"/>
                    <w:jc w:val="center"/>
                    <w:rPr>
                      <w:rFonts w:hint="eastAsia"/>
                      <w:b/>
                      <w:bCs/>
                      <w:color w:val="auto"/>
                      <w:kern w:val="0"/>
                      <w:sz w:val="18"/>
                      <w:szCs w:val="18"/>
                    </w:rPr>
                  </w:pPr>
                  <w:r>
                    <w:rPr>
                      <w:rFonts w:hint="eastAsia" w:hAnsi="宋体"/>
                      <w:b/>
                      <w:bCs/>
                      <w:color w:val="auto"/>
                      <w:kern w:val="0"/>
                      <w:sz w:val="18"/>
                      <w:szCs w:val="18"/>
                    </w:rPr>
                    <w:t>名称</w:t>
                  </w:r>
                </w:p>
              </w:tc>
              <w:tc>
                <w:tcPr>
                  <w:tcW w:w="1436" w:type="dxa"/>
                  <w:noWrap/>
                  <w:vAlign w:val="center"/>
                </w:tcPr>
                <w:p>
                  <w:pPr>
                    <w:widowControl/>
                    <w:adjustRightInd w:val="0"/>
                    <w:snapToGrid w:val="0"/>
                    <w:jc w:val="center"/>
                    <w:rPr>
                      <w:rFonts w:hint="eastAsia"/>
                      <w:b/>
                      <w:bCs/>
                      <w:color w:val="auto"/>
                      <w:kern w:val="0"/>
                      <w:sz w:val="18"/>
                      <w:szCs w:val="18"/>
                    </w:rPr>
                  </w:pPr>
                  <w:r>
                    <w:rPr>
                      <w:rFonts w:hint="eastAsia" w:hAnsi="宋体"/>
                      <w:b/>
                      <w:bCs/>
                      <w:color w:val="auto"/>
                      <w:kern w:val="0"/>
                      <w:sz w:val="18"/>
                      <w:szCs w:val="18"/>
                    </w:rPr>
                    <w:t>位置</w:t>
                  </w:r>
                </w:p>
              </w:tc>
              <w:tc>
                <w:tcPr>
                  <w:tcW w:w="596" w:type="dxa"/>
                  <w:noWrap/>
                  <w:vAlign w:val="center"/>
                </w:tcPr>
                <w:p>
                  <w:pPr>
                    <w:widowControl/>
                    <w:adjustRightInd w:val="0"/>
                    <w:snapToGrid w:val="0"/>
                    <w:jc w:val="center"/>
                    <w:rPr>
                      <w:rFonts w:hint="eastAsia"/>
                      <w:b/>
                      <w:bCs/>
                      <w:color w:val="auto"/>
                      <w:kern w:val="0"/>
                      <w:sz w:val="18"/>
                      <w:szCs w:val="18"/>
                    </w:rPr>
                  </w:pPr>
                  <w:r>
                    <w:rPr>
                      <w:rFonts w:hint="eastAsia" w:hAnsi="宋体"/>
                      <w:b/>
                      <w:bCs/>
                      <w:color w:val="auto"/>
                      <w:kern w:val="0"/>
                      <w:sz w:val="18"/>
                      <w:szCs w:val="18"/>
                    </w:rPr>
                    <w:t>分区</w:t>
                  </w:r>
                </w:p>
              </w:tc>
              <w:tc>
                <w:tcPr>
                  <w:tcW w:w="642" w:type="dxa"/>
                  <w:noWrap/>
                  <w:vAlign w:val="center"/>
                </w:tcPr>
                <w:p>
                  <w:pPr>
                    <w:widowControl/>
                    <w:adjustRightInd w:val="0"/>
                    <w:snapToGrid w:val="0"/>
                    <w:jc w:val="center"/>
                    <w:rPr>
                      <w:rFonts w:hint="eastAsia"/>
                      <w:b/>
                      <w:bCs/>
                      <w:color w:val="auto"/>
                      <w:kern w:val="0"/>
                      <w:sz w:val="18"/>
                      <w:szCs w:val="18"/>
                    </w:rPr>
                  </w:pPr>
                  <w:r>
                    <w:rPr>
                      <w:rFonts w:hint="eastAsia" w:hAnsi="宋体"/>
                      <w:b/>
                      <w:bCs/>
                      <w:color w:val="auto"/>
                      <w:kern w:val="0"/>
                      <w:sz w:val="18"/>
                      <w:szCs w:val="18"/>
                    </w:rPr>
                    <w:t>面积m</w:t>
                  </w:r>
                  <w:r>
                    <w:rPr>
                      <w:rFonts w:hint="eastAsia" w:hAnsi="宋体"/>
                      <w:b/>
                      <w:bCs/>
                      <w:color w:val="auto"/>
                      <w:kern w:val="0"/>
                      <w:sz w:val="18"/>
                      <w:szCs w:val="18"/>
                      <w:vertAlign w:val="superscript"/>
                    </w:rPr>
                    <w:t>2</w:t>
                  </w:r>
                </w:p>
              </w:tc>
              <w:tc>
                <w:tcPr>
                  <w:tcW w:w="1841" w:type="dxa"/>
                  <w:noWrap/>
                  <w:vAlign w:val="center"/>
                </w:tcPr>
                <w:p>
                  <w:pPr>
                    <w:widowControl/>
                    <w:adjustRightInd w:val="0"/>
                    <w:snapToGrid w:val="0"/>
                    <w:jc w:val="center"/>
                    <w:rPr>
                      <w:rFonts w:hint="eastAsia"/>
                      <w:b/>
                      <w:bCs/>
                      <w:color w:val="auto"/>
                      <w:kern w:val="0"/>
                      <w:sz w:val="18"/>
                      <w:szCs w:val="18"/>
                    </w:rPr>
                  </w:pPr>
                  <w:r>
                    <w:rPr>
                      <w:rFonts w:hint="eastAsia"/>
                      <w:b/>
                      <w:bCs/>
                      <w:color w:val="auto"/>
                      <w:kern w:val="0"/>
                      <w:sz w:val="18"/>
                      <w:szCs w:val="18"/>
                    </w:rPr>
                    <w:t>贮存危废种类</w:t>
                  </w:r>
                </w:p>
              </w:tc>
              <w:tc>
                <w:tcPr>
                  <w:tcW w:w="617" w:type="dxa"/>
                  <w:noWrap w:val="0"/>
                  <w:vAlign w:val="center"/>
                </w:tcPr>
                <w:p>
                  <w:pPr>
                    <w:widowControl/>
                    <w:adjustRightInd w:val="0"/>
                    <w:snapToGrid w:val="0"/>
                    <w:jc w:val="center"/>
                    <w:rPr>
                      <w:rFonts w:hint="eastAsia"/>
                      <w:b/>
                      <w:bCs/>
                      <w:color w:val="auto"/>
                      <w:kern w:val="0"/>
                      <w:sz w:val="18"/>
                      <w:szCs w:val="18"/>
                    </w:rPr>
                  </w:pPr>
                  <w:r>
                    <w:rPr>
                      <w:rFonts w:hint="eastAsia"/>
                      <w:b/>
                      <w:bCs/>
                      <w:color w:val="auto"/>
                      <w:kern w:val="0"/>
                      <w:sz w:val="18"/>
                      <w:szCs w:val="18"/>
                    </w:rPr>
                    <w:t>产生量t/a</w:t>
                  </w:r>
                </w:p>
              </w:tc>
              <w:tc>
                <w:tcPr>
                  <w:tcW w:w="719" w:type="dxa"/>
                  <w:noWrap/>
                  <w:vAlign w:val="center"/>
                </w:tcPr>
                <w:p>
                  <w:pPr>
                    <w:widowControl/>
                    <w:adjustRightInd w:val="0"/>
                    <w:snapToGrid w:val="0"/>
                    <w:jc w:val="center"/>
                    <w:rPr>
                      <w:b/>
                      <w:bCs/>
                      <w:color w:val="auto"/>
                      <w:kern w:val="0"/>
                      <w:sz w:val="18"/>
                      <w:szCs w:val="18"/>
                    </w:rPr>
                  </w:pPr>
                  <w:r>
                    <w:rPr>
                      <w:rFonts w:hAnsi="宋体"/>
                      <w:b/>
                      <w:bCs/>
                      <w:color w:val="auto"/>
                      <w:kern w:val="0"/>
                      <w:sz w:val="18"/>
                      <w:szCs w:val="18"/>
                    </w:rPr>
                    <w:t>贮存方式</w:t>
                  </w:r>
                </w:p>
              </w:tc>
              <w:tc>
                <w:tcPr>
                  <w:tcW w:w="396" w:type="dxa"/>
                  <w:noWrap w:val="0"/>
                  <w:vAlign w:val="center"/>
                </w:tcPr>
                <w:p>
                  <w:pPr>
                    <w:widowControl/>
                    <w:adjustRightInd w:val="0"/>
                    <w:snapToGrid w:val="0"/>
                    <w:jc w:val="center"/>
                    <w:rPr>
                      <w:rFonts w:hint="eastAsia"/>
                      <w:b/>
                      <w:bCs/>
                      <w:color w:val="auto"/>
                      <w:kern w:val="0"/>
                      <w:sz w:val="18"/>
                      <w:szCs w:val="18"/>
                    </w:rPr>
                  </w:pPr>
                  <w:r>
                    <w:rPr>
                      <w:rFonts w:hint="eastAsia"/>
                      <w:b/>
                      <w:bCs/>
                      <w:color w:val="auto"/>
                      <w:kern w:val="0"/>
                      <w:sz w:val="18"/>
                      <w:szCs w:val="18"/>
                    </w:rPr>
                    <w:t>贮存周期</w:t>
                  </w:r>
                </w:p>
              </w:tc>
              <w:tc>
                <w:tcPr>
                  <w:tcW w:w="815" w:type="dxa"/>
                  <w:tcBorders>
                    <w:right w:val="single" w:color="auto" w:sz="4" w:space="0"/>
                  </w:tcBorders>
                  <w:noWrap/>
                  <w:vAlign w:val="center"/>
                </w:tcPr>
                <w:p>
                  <w:pPr>
                    <w:widowControl/>
                    <w:adjustRightInd w:val="0"/>
                    <w:snapToGrid w:val="0"/>
                    <w:jc w:val="center"/>
                    <w:rPr>
                      <w:rFonts w:hint="default" w:eastAsia="宋体"/>
                      <w:b/>
                      <w:bCs/>
                      <w:color w:val="auto"/>
                      <w:kern w:val="0"/>
                      <w:sz w:val="18"/>
                      <w:szCs w:val="18"/>
                      <w:lang w:val="en-US" w:eastAsia="zh-CN"/>
                    </w:rPr>
                  </w:pPr>
                  <w:r>
                    <w:rPr>
                      <w:rFonts w:hint="eastAsia"/>
                      <w:b/>
                      <w:bCs/>
                      <w:color w:val="auto"/>
                      <w:kern w:val="0"/>
                      <w:sz w:val="18"/>
                      <w:szCs w:val="18"/>
                      <w:lang w:val="en-US" w:eastAsia="zh-CN"/>
                    </w:rPr>
                    <w:t>现</w:t>
                  </w:r>
                  <w:r>
                    <w:rPr>
                      <w:rFonts w:hint="eastAsia"/>
                      <w:b/>
                      <w:bCs/>
                      <w:color w:val="auto"/>
                      <w:kern w:val="0"/>
                      <w:sz w:val="18"/>
                      <w:szCs w:val="18"/>
                    </w:rPr>
                    <w:t>贮存</w:t>
                  </w:r>
                  <w:r>
                    <w:rPr>
                      <w:rFonts w:hint="eastAsia"/>
                      <w:b/>
                      <w:bCs/>
                      <w:color w:val="auto"/>
                      <w:kern w:val="0"/>
                      <w:sz w:val="18"/>
                      <w:szCs w:val="18"/>
                      <w:lang w:val="en-US" w:eastAsia="zh-CN"/>
                    </w:rPr>
                    <w:t>量</w:t>
                  </w:r>
                </w:p>
              </w:tc>
              <w:tc>
                <w:tcPr>
                  <w:tcW w:w="815" w:type="dxa"/>
                  <w:tcBorders>
                    <w:right w:val="single" w:color="auto" w:sz="4" w:space="0"/>
                  </w:tcBorders>
                  <w:noWrap/>
                  <w:vAlign w:val="center"/>
                </w:tcPr>
                <w:p>
                  <w:pPr>
                    <w:widowControl/>
                    <w:adjustRightInd w:val="0"/>
                    <w:snapToGrid w:val="0"/>
                    <w:jc w:val="center"/>
                    <w:rPr>
                      <w:b/>
                      <w:bCs/>
                      <w:color w:val="auto"/>
                      <w:kern w:val="0"/>
                      <w:sz w:val="18"/>
                      <w:szCs w:val="18"/>
                    </w:rPr>
                  </w:pPr>
                  <w:r>
                    <w:rPr>
                      <w:rFonts w:hint="eastAsia" w:hAnsi="宋体"/>
                      <w:b/>
                      <w:bCs/>
                      <w:color w:val="auto"/>
                      <w:kern w:val="0"/>
                      <w:sz w:val="18"/>
                      <w:szCs w:val="18"/>
                    </w:rPr>
                    <w:t>最大</w:t>
                  </w:r>
                  <w:r>
                    <w:rPr>
                      <w:rFonts w:hAnsi="宋体"/>
                      <w:b/>
                      <w:bCs/>
                      <w:color w:val="auto"/>
                      <w:kern w:val="0"/>
                      <w:sz w:val="18"/>
                      <w:szCs w:val="18"/>
                    </w:rPr>
                    <w:t>储存能力</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57" w:type="dxa"/>
                  <w:vMerge w:val="restart"/>
                  <w:tcBorders>
                    <w:left w:val="single" w:color="auto" w:sz="4" w:space="0"/>
                  </w:tcBorders>
                  <w:noWrap/>
                  <w:vAlign w:val="center"/>
                </w:tcPr>
                <w:p>
                  <w:pPr>
                    <w:widowControl/>
                    <w:adjustRightInd w:val="0"/>
                    <w:snapToGrid w:val="0"/>
                    <w:jc w:val="center"/>
                    <w:rPr>
                      <w:rFonts w:hint="eastAsia"/>
                      <w:color w:val="auto"/>
                      <w:kern w:val="0"/>
                      <w:sz w:val="18"/>
                      <w:szCs w:val="18"/>
                    </w:rPr>
                  </w:pPr>
                  <w:r>
                    <w:rPr>
                      <w:rFonts w:hint="eastAsia"/>
                      <w:color w:val="auto"/>
                      <w:kern w:val="0"/>
                      <w:sz w:val="18"/>
                      <w:szCs w:val="18"/>
                      <w:lang w:val="en-US" w:eastAsia="zh-CN"/>
                    </w:rPr>
                    <w:t>二厂</w:t>
                  </w:r>
                  <w:r>
                    <w:rPr>
                      <w:rFonts w:hint="eastAsia"/>
                      <w:color w:val="auto"/>
                      <w:kern w:val="0"/>
                      <w:sz w:val="18"/>
                      <w:szCs w:val="18"/>
                    </w:rPr>
                    <w:t>危废贮存库</w:t>
                  </w:r>
                </w:p>
              </w:tc>
              <w:tc>
                <w:tcPr>
                  <w:tcW w:w="1436" w:type="dxa"/>
                  <w:vMerge w:val="restart"/>
                  <w:noWrap/>
                  <w:vAlign w:val="center"/>
                </w:tcPr>
                <w:p>
                  <w:pPr>
                    <w:widowControl/>
                    <w:adjustRightInd w:val="0"/>
                    <w:snapToGrid w:val="0"/>
                    <w:jc w:val="center"/>
                    <w:rPr>
                      <w:color w:val="auto"/>
                      <w:kern w:val="0"/>
                      <w:sz w:val="18"/>
                      <w:szCs w:val="18"/>
                    </w:rPr>
                  </w:pPr>
                  <w:r>
                    <w:rPr>
                      <w:rFonts w:hint="eastAsia"/>
                      <w:color w:val="auto"/>
                      <w:kern w:val="0"/>
                      <w:sz w:val="18"/>
                      <w:szCs w:val="18"/>
                      <w:lang w:val="en-US" w:eastAsia="zh-CN"/>
                    </w:rPr>
                    <w:t>二厂</w:t>
                  </w:r>
                  <w:r>
                    <w:rPr>
                      <w:rFonts w:hint="eastAsia"/>
                      <w:color w:val="auto"/>
                      <w:kern w:val="0"/>
                      <w:sz w:val="18"/>
                      <w:szCs w:val="18"/>
                    </w:rPr>
                    <w:t>仓库八东侧（140m</w:t>
                  </w:r>
                  <w:r>
                    <w:rPr>
                      <w:rFonts w:hint="eastAsia"/>
                      <w:color w:val="auto"/>
                      <w:kern w:val="0"/>
                      <w:sz w:val="18"/>
                      <w:szCs w:val="18"/>
                      <w:vertAlign w:val="superscript"/>
                    </w:rPr>
                    <w:t>2</w:t>
                  </w:r>
                  <w:r>
                    <w:rPr>
                      <w:rFonts w:hint="eastAsia"/>
                      <w:color w:val="auto"/>
                      <w:kern w:val="0"/>
                      <w:sz w:val="18"/>
                      <w:szCs w:val="18"/>
                    </w:rPr>
                    <w:t>）</w:t>
                  </w:r>
                </w:p>
              </w:tc>
              <w:tc>
                <w:tcPr>
                  <w:tcW w:w="596" w:type="dxa"/>
                  <w:noWrap/>
                  <w:vAlign w:val="center"/>
                </w:tcPr>
                <w:p>
                  <w:pPr>
                    <w:widowControl/>
                    <w:adjustRightInd w:val="0"/>
                    <w:snapToGrid w:val="0"/>
                    <w:jc w:val="center"/>
                    <w:rPr>
                      <w:rFonts w:hint="eastAsia"/>
                      <w:color w:val="auto"/>
                      <w:kern w:val="0"/>
                      <w:sz w:val="18"/>
                      <w:szCs w:val="18"/>
                    </w:rPr>
                  </w:pPr>
                  <w:r>
                    <w:rPr>
                      <w:rFonts w:hint="eastAsia"/>
                      <w:color w:val="auto"/>
                      <w:kern w:val="0"/>
                      <w:sz w:val="18"/>
                      <w:szCs w:val="18"/>
                    </w:rPr>
                    <w:t>液态区</w:t>
                  </w:r>
                </w:p>
              </w:tc>
              <w:tc>
                <w:tcPr>
                  <w:tcW w:w="642" w:type="dxa"/>
                  <w:noWrap/>
                  <w:vAlign w:val="center"/>
                </w:tcPr>
                <w:p>
                  <w:pPr>
                    <w:widowControl/>
                    <w:adjustRightInd w:val="0"/>
                    <w:snapToGrid w:val="0"/>
                    <w:jc w:val="center"/>
                    <w:rPr>
                      <w:rFonts w:hint="eastAsia"/>
                      <w:color w:val="auto"/>
                      <w:kern w:val="0"/>
                      <w:sz w:val="18"/>
                      <w:szCs w:val="18"/>
                    </w:rPr>
                  </w:pPr>
                  <w:r>
                    <w:rPr>
                      <w:rFonts w:hint="eastAsia"/>
                      <w:color w:val="auto"/>
                      <w:kern w:val="0"/>
                      <w:sz w:val="18"/>
                      <w:szCs w:val="18"/>
                    </w:rPr>
                    <w:t>40</w:t>
                  </w:r>
                </w:p>
              </w:tc>
              <w:tc>
                <w:tcPr>
                  <w:tcW w:w="1841" w:type="dxa"/>
                  <w:noWrap/>
                  <w:vAlign w:val="center"/>
                </w:tcPr>
                <w:p>
                  <w:pPr>
                    <w:widowControl/>
                    <w:adjustRightInd w:val="0"/>
                    <w:snapToGrid w:val="0"/>
                    <w:jc w:val="center"/>
                    <w:rPr>
                      <w:rFonts w:hint="eastAsia"/>
                      <w:color w:val="auto"/>
                      <w:kern w:val="0"/>
                      <w:sz w:val="18"/>
                      <w:szCs w:val="18"/>
                    </w:rPr>
                  </w:pPr>
                  <w:r>
                    <w:rPr>
                      <w:rFonts w:hint="eastAsia"/>
                      <w:color w:val="auto"/>
                      <w:sz w:val="18"/>
                      <w:szCs w:val="18"/>
                    </w:rPr>
                    <w:t>精馏残液、</w:t>
                  </w:r>
                  <w:r>
                    <w:rPr>
                      <w:rFonts w:hint="eastAsia"/>
                      <w:color w:val="auto"/>
                      <w:kern w:val="0"/>
                      <w:sz w:val="18"/>
                      <w:szCs w:val="18"/>
                    </w:rPr>
                    <w:t>废有机溶剂、废酸等</w:t>
                  </w:r>
                </w:p>
              </w:tc>
              <w:tc>
                <w:tcPr>
                  <w:tcW w:w="617" w:type="dxa"/>
                  <w:noWrap w:val="0"/>
                  <w:vAlign w:val="center"/>
                </w:tcPr>
                <w:p>
                  <w:pPr>
                    <w:jc w:val="center"/>
                    <w:rPr>
                      <w:rFonts w:eastAsia="等线"/>
                      <w:color w:val="auto"/>
                      <w:sz w:val="18"/>
                      <w:szCs w:val="18"/>
                    </w:rPr>
                  </w:pPr>
                  <w:r>
                    <w:rPr>
                      <w:rFonts w:eastAsia="等线"/>
                      <w:color w:val="auto"/>
                      <w:sz w:val="18"/>
                      <w:szCs w:val="18"/>
                    </w:rPr>
                    <w:t>140.4</w:t>
                  </w:r>
                </w:p>
              </w:tc>
              <w:tc>
                <w:tcPr>
                  <w:tcW w:w="719" w:type="dxa"/>
                  <w:noWrap/>
                  <w:vAlign w:val="center"/>
                </w:tcPr>
                <w:p>
                  <w:pPr>
                    <w:widowControl/>
                    <w:adjustRightInd w:val="0"/>
                    <w:snapToGrid w:val="0"/>
                    <w:jc w:val="center"/>
                    <w:rPr>
                      <w:rFonts w:hint="eastAsia"/>
                      <w:color w:val="auto"/>
                      <w:kern w:val="0"/>
                      <w:sz w:val="18"/>
                      <w:szCs w:val="18"/>
                    </w:rPr>
                  </w:pPr>
                  <w:r>
                    <w:rPr>
                      <w:rFonts w:hint="eastAsia"/>
                      <w:color w:val="auto"/>
                      <w:kern w:val="0"/>
                      <w:sz w:val="18"/>
                      <w:szCs w:val="18"/>
                    </w:rPr>
                    <w:t>吨桶桶装</w:t>
                  </w:r>
                </w:p>
              </w:tc>
              <w:tc>
                <w:tcPr>
                  <w:tcW w:w="396" w:type="dxa"/>
                  <w:noWrap w:val="0"/>
                  <w:vAlign w:val="center"/>
                </w:tcPr>
                <w:p>
                  <w:pPr>
                    <w:widowControl/>
                    <w:adjustRightInd w:val="0"/>
                    <w:snapToGrid w:val="0"/>
                    <w:jc w:val="center"/>
                    <w:rPr>
                      <w:rFonts w:hint="eastAsia"/>
                      <w:color w:val="auto"/>
                      <w:kern w:val="0"/>
                      <w:sz w:val="18"/>
                      <w:szCs w:val="18"/>
                    </w:rPr>
                  </w:pPr>
                  <w:r>
                    <w:rPr>
                      <w:rFonts w:hint="eastAsia"/>
                      <w:color w:val="auto"/>
                      <w:kern w:val="0"/>
                      <w:sz w:val="18"/>
                      <w:szCs w:val="18"/>
                    </w:rPr>
                    <w:t>1个月</w:t>
                  </w:r>
                </w:p>
              </w:tc>
              <w:tc>
                <w:tcPr>
                  <w:tcW w:w="815" w:type="dxa"/>
                  <w:tcBorders>
                    <w:right w:val="single" w:color="auto" w:sz="4" w:space="0"/>
                  </w:tcBorders>
                  <w:noWrap/>
                  <w:vAlign w:val="center"/>
                </w:tcPr>
                <w:p>
                  <w:pPr>
                    <w:widowControl/>
                    <w:adjustRightInd w:val="0"/>
                    <w:snapToGrid w:val="0"/>
                    <w:jc w:val="center"/>
                    <w:rPr>
                      <w:rFonts w:hint="default" w:eastAsia="宋体"/>
                      <w:color w:val="auto"/>
                      <w:kern w:val="0"/>
                      <w:sz w:val="18"/>
                      <w:szCs w:val="18"/>
                      <w:lang w:val="en-US" w:eastAsia="zh-CN"/>
                    </w:rPr>
                  </w:pPr>
                  <w:r>
                    <w:rPr>
                      <w:rFonts w:hint="eastAsia"/>
                      <w:color w:val="auto"/>
                      <w:kern w:val="0"/>
                      <w:sz w:val="18"/>
                      <w:szCs w:val="18"/>
                      <w:lang w:val="en-US" w:eastAsia="zh-CN"/>
                    </w:rPr>
                    <w:t>11.7t</w:t>
                  </w:r>
                </w:p>
              </w:tc>
              <w:tc>
                <w:tcPr>
                  <w:tcW w:w="815" w:type="dxa"/>
                  <w:tcBorders>
                    <w:right w:val="single" w:color="auto" w:sz="4" w:space="0"/>
                  </w:tcBorders>
                  <w:noWrap/>
                  <w:vAlign w:val="center"/>
                </w:tcPr>
                <w:p>
                  <w:pPr>
                    <w:widowControl/>
                    <w:adjustRightInd w:val="0"/>
                    <w:snapToGrid w:val="0"/>
                    <w:jc w:val="center"/>
                    <w:rPr>
                      <w:color w:val="auto"/>
                      <w:kern w:val="0"/>
                      <w:sz w:val="18"/>
                      <w:szCs w:val="18"/>
                    </w:rPr>
                  </w:pPr>
                  <w:r>
                    <w:rPr>
                      <w:rFonts w:hint="eastAsia"/>
                      <w:color w:val="auto"/>
                      <w:kern w:val="0"/>
                      <w:sz w:val="18"/>
                      <w:szCs w:val="18"/>
                    </w:rPr>
                    <w:t>4</w:t>
                  </w:r>
                  <w:r>
                    <w:rPr>
                      <w:color w:val="auto"/>
                      <w:kern w:val="0"/>
                      <w:sz w:val="18"/>
                      <w:szCs w:val="18"/>
                    </w:rPr>
                    <w:t>0t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42" w:hRule="atLeast"/>
              </w:trPr>
              <w:tc>
                <w:tcPr>
                  <w:tcW w:w="1357" w:type="dxa"/>
                  <w:vMerge w:val="continue"/>
                  <w:tcBorders>
                    <w:left w:val="single" w:color="auto" w:sz="4" w:space="0"/>
                  </w:tcBorders>
                  <w:noWrap/>
                  <w:vAlign w:val="center"/>
                </w:tcPr>
                <w:p>
                  <w:pPr>
                    <w:widowControl/>
                    <w:adjustRightInd w:val="0"/>
                    <w:snapToGrid w:val="0"/>
                    <w:jc w:val="center"/>
                    <w:rPr>
                      <w:color w:val="auto"/>
                      <w:kern w:val="0"/>
                      <w:sz w:val="18"/>
                      <w:szCs w:val="18"/>
                    </w:rPr>
                  </w:pPr>
                </w:p>
              </w:tc>
              <w:tc>
                <w:tcPr>
                  <w:tcW w:w="1436" w:type="dxa"/>
                  <w:vMerge w:val="continue"/>
                  <w:noWrap/>
                  <w:vAlign w:val="center"/>
                </w:tcPr>
                <w:p>
                  <w:pPr>
                    <w:widowControl/>
                    <w:adjustRightInd w:val="0"/>
                    <w:snapToGrid w:val="0"/>
                    <w:jc w:val="center"/>
                    <w:rPr>
                      <w:color w:val="auto"/>
                      <w:kern w:val="0"/>
                      <w:sz w:val="18"/>
                      <w:szCs w:val="18"/>
                    </w:rPr>
                  </w:pPr>
                </w:p>
              </w:tc>
              <w:tc>
                <w:tcPr>
                  <w:tcW w:w="596" w:type="dxa"/>
                  <w:noWrap/>
                  <w:vAlign w:val="center"/>
                </w:tcPr>
                <w:p>
                  <w:pPr>
                    <w:widowControl/>
                    <w:adjustRightInd w:val="0"/>
                    <w:snapToGrid w:val="0"/>
                    <w:jc w:val="center"/>
                    <w:rPr>
                      <w:rFonts w:hint="eastAsia"/>
                      <w:color w:val="auto"/>
                      <w:kern w:val="0"/>
                      <w:sz w:val="18"/>
                      <w:szCs w:val="18"/>
                    </w:rPr>
                  </w:pPr>
                  <w:r>
                    <w:rPr>
                      <w:rFonts w:hint="eastAsia"/>
                      <w:color w:val="auto"/>
                      <w:kern w:val="0"/>
                      <w:sz w:val="18"/>
                      <w:szCs w:val="18"/>
                    </w:rPr>
                    <w:t>固态区</w:t>
                  </w:r>
                </w:p>
              </w:tc>
              <w:tc>
                <w:tcPr>
                  <w:tcW w:w="642" w:type="dxa"/>
                  <w:noWrap/>
                  <w:vAlign w:val="center"/>
                </w:tcPr>
                <w:p>
                  <w:pPr>
                    <w:widowControl/>
                    <w:adjustRightInd w:val="0"/>
                    <w:snapToGrid w:val="0"/>
                    <w:jc w:val="center"/>
                    <w:rPr>
                      <w:rFonts w:hint="eastAsia"/>
                      <w:color w:val="auto"/>
                      <w:kern w:val="0"/>
                      <w:sz w:val="18"/>
                      <w:szCs w:val="18"/>
                    </w:rPr>
                  </w:pPr>
                  <w:r>
                    <w:rPr>
                      <w:rFonts w:hint="eastAsia"/>
                      <w:color w:val="auto"/>
                      <w:kern w:val="0"/>
                      <w:sz w:val="18"/>
                      <w:szCs w:val="18"/>
                    </w:rPr>
                    <w:t>100</w:t>
                  </w:r>
                </w:p>
              </w:tc>
              <w:tc>
                <w:tcPr>
                  <w:tcW w:w="1841" w:type="dxa"/>
                  <w:noWrap/>
                  <w:vAlign w:val="center"/>
                </w:tcPr>
                <w:p>
                  <w:pPr>
                    <w:widowControl/>
                    <w:adjustRightInd w:val="0"/>
                    <w:snapToGrid w:val="0"/>
                    <w:jc w:val="center"/>
                    <w:rPr>
                      <w:rFonts w:hint="eastAsia"/>
                      <w:color w:val="auto"/>
                      <w:kern w:val="0"/>
                      <w:sz w:val="18"/>
                      <w:szCs w:val="18"/>
                    </w:rPr>
                  </w:pPr>
                  <w:r>
                    <w:rPr>
                      <w:rFonts w:hint="eastAsia"/>
                      <w:color w:val="auto"/>
                      <w:kern w:val="0"/>
                      <w:sz w:val="18"/>
                      <w:szCs w:val="18"/>
                    </w:rPr>
                    <w:t>废活性炭、污泥、废危化品包装物</w:t>
                  </w:r>
                </w:p>
              </w:tc>
              <w:tc>
                <w:tcPr>
                  <w:tcW w:w="617" w:type="dxa"/>
                  <w:noWrap w:val="0"/>
                  <w:vAlign w:val="center"/>
                </w:tcPr>
                <w:p>
                  <w:pPr>
                    <w:jc w:val="center"/>
                    <w:rPr>
                      <w:rFonts w:eastAsia="等线"/>
                      <w:color w:val="auto"/>
                      <w:sz w:val="18"/>
                      <w:szCs w:val="18"/>
                    </w:rPr>
                  </w:pPr>
                  <w:r>
                    <w:rPr>
                      <w:rFonts w:eastAsia="等线"/>
                      <w:color w:val="auto"/>
                      <w:sz w:val="18"/>
                      <w:szCs w:val="18"/>
                    </w:rPr>
                    <w:t>465.6</w:t>
                  </w:r>
                </w:p>
              </w:tc>
              <w:tc>
                <w:tcPr>
                  <w:tcW w:w="719" w:type="dxa"/>
                  <w:noWrap/>
                  <w:vAlign w:val="center"/>
                </w:tcPr>
                <w:p>
                  <w:pPr>
                    <w:widowControl/>
                    <w:adjustRightInd w:val="0"/>
                    <w:snapToGrid w:val="0"/>
                    <w:jc w:val="center"/>
                    <w:rPr>
                      <w:rFonts w:hint="eastAsia"/>
                      <w:color w:val="auto"/>
                      <w:kern w:val="0"/>
                      <w:sz w:val="18"/>
                      <w:szCs w:val="18"/>
                    </w:rPr>
                  </w:pPr>
                  <w:r>
                    <w:rPr>
                      <w:rFonts w:hint="eastAsia"/>
                      <w:color w:val="auto"/>
                      <w:kern w:val="0"/>
                      <w:sz w:val="18"/>
                      <w:szCs w:val="18"/>
                    </w:rPr>
                    <w:t>袋装</w:t>
                  </w:r>
                </w:p>
              </w:tc>
              <w:tc>
                <w:tcPr>
                  <w:tcW w:w="396" w:type="dxa"/>
                  <w:noWrap w:val="0"/>
                  <w:vAlign w:val="center"/>
                </w:tcPr>
                <w:p>
                  <w:pPr>
                    <w:widowControl/>
                    <w:adjustRightInd w:val="0"/>
                    <w:snapToGrid w:val="0"/>
                    <w:jc w:val="center"/>
                    <w:rPr>
                      <w:rFonts w:hint="eastAsia"/>
                      <w:color w:val="auto"/>
                      <w:kern w:val="0"/>
                      <w:sz w:val="18"/>
                      <w:szCs w:val="18"/>
                    </w:rPr>
                  </w:pPr>
                  <w:r>
                    <w:rPr>
                      <w:rFonts w:hint="eastAsia"/>
                      <w:color w:val="auto"/>
                      <w:kern w:val="0"/>
                      <w:sz w:val="18"/>
                      <w:szCs w:val="18"/>
                    </w:rPr>
                    <w:t>1个月</w:t>
                  </w:r>
                </w:p>
              </w:tc>
              <w:tc>
                <w:tcPr>
                  <w:tcW w:w="815" w:type="dxa"/>
                  <w:tcBorders>
                    <w:right w:val="single" w:color="auto" w:sz="4" w:space="0"/>
                  </w:tcBorders>
                  <w:noWrap/>
                  <w:vAlign w:val="center"/>
                </w:tcPr>
                <w:p>
                  <w:pPr>
                    <w:widowControl/>
                    <w:adjustRightInd w:val="0"/>
                    <w:snapToGrid w:val="0"/>
                    <w:jc w:val="center"/>
                    <w:rPr>
                      <w:rFonts w:hint="default" w:eastAsia="宋体"/>
                      <w:color w:val="auto"/>
                      <w:kern w:val="0"/>
                      <w:sz w:val="18"/>
                      <w:szCs w:val="18"/>
                      <w:lang w:val="en-US" w:eastAsia="zh-CN"/>
                    </w:rPr>
                  </w:pPr>
                  <w:r>
                    <w:rPr>
                      <w:rFonts w:hint="eastAsia"/>
                      <w:color w:val="auto"/>
                      <w:kern w:val="0"/>
                      <w:sz w:val="18"/>
                      <w:szCs w:val="18"/>
                      <w:lang w:val="en-US" w:eastAsia="zh-CN"/>
                    </w:rPr>
                    <w:t>38.8t</w:t>
                  </w:r>
                </w:p>
              </w:tc>
              <w:tc>
                <w:tcPr>
                  <w:tcW w:w="815" w:type="dxa"/>
                  <w:tcBorders>
                    <w:right w:val="single" w:color="auto" w:sz="4" w:space="0"/>
                  </w:tcBorders>
                  <w:noWrap/>
                  <w:vAlign w:val="center"/>
                </w:tcPr>
                <w:p>
                  <w:pPr>
                    <w:widowControl/>
                    <w:adjustRightInd w:val="0"/>
                    <w:snapToGrid w:val="0"/>
                    <w:jc w:val="center"/>
                    <w:rPr>
                      <w:color w:val="auto"/>
                      <w:kern w:val="0"/>
                      <w:sz w:val="18"/>
                      <w:szCs w:val="18"/>
                    </w:rPr>
                  </w:pPr>
                  <w:r>
                    <w:rPr>
                      <w:rFonts w:hint="eastAsia"/>
                      <w:color w:val="auto"/>
                      <w:kern w:val="0"/>
                      <w:sz w:val="18"/>
                      <w:szCs w:val="18"/>
                    </w:rPr>
                    <w:t>8</w:t>
                  </w:r>
                  <w:r>
                    <w:rPr>
                      <w:color w:val="auto"/>
                      <w:kern w:val="0"/>
                      <w:sz w:val="18"/>
                      <w:szCs w:val="18"/>
                    </w:rPr>
                    <w:t>0t</w:t>
                  </w:r>
                </w:p>
              </w:tc>
            </w:tr>
          </w:tbl>
          <w:p>
            <w:pPr>
              <w:spacing w:before="194" w:beforeLines="50"/>
              <w:jc w:val="center"/>
              <w:outlineLvl w:val="5"/>
              <w:rPr>
                <w:rFonts w:hint="eastAsia"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表4-34本项目新增危险废物情况分析</w:t>
            </w:r>
          </w:p>
          <w:tbl>
            <w:tblPr>
              <w:tblStyle w:val="1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0"/>
              <w:gridCol w:w="1532"/>
              <w:gridCol w:w="831"/>
              <w:gridCol w:w="1252"/>
              <w:gridCol w:w="831"/>
              <w:gridCol w:w="732"/>
              <w:gridCol w:w="641"/>
              <w:gridCol w:w="843"/>
              <w:gridCol w:w="6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71" w:type="pct"/>
                  <w:vAlign w:val="center"/>
                </w:tcPr>
                <w:p>
                  <w:pPr>
                    <w:pStyle w:val="35"/>
                    <w:spacing w:line="240" w:lineRule="auto"/>
                    <w:ind w:firstLine="0" w:firstLineChars="0"/>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贮存场所名称</w:t>
                  </w:r>
                </w:p>
              </w:tc>
              <w:tc>
                <w:tcPr>
                  <w:tcW w:w="909" w:type="pct"/>
                  <w:vAlign w:val="center"/>
                </w:tcPr>
                <w:p>
                  <w:pPr>
                    <w:pStyle w:val="35"/>
                    <w:spacing w:line="240" w:lineRule="auto"/>
                    <w:ind w:firstLine="0" w:firstLineChars="0"/>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危险废物名称</w:t>
                  </w:r>
                </w:p>
              </w:tc>
              <w:tc>
                <w:tcPr>
                  <w:tcW w:w="493" w:type="pct"/>
                  <w:vAlign w:val="center"/>
                </w:tcPr>
                <w:p>
                  <w:pPr>
                    <w:pStyle w:val="35"/>
                    <w:spacing w:line="240" w:lineRule="auto"/>
                    <w:ind w:firstLine="0" w:firstLineChars="0"/>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危险废物类别</w:t>
                  </w:r>
                </w:p>
              </w:tc>
              <w:tc>
                <w:tcPr>
                  <w:tcW w:w="743" w:type="pct"/>
                  <w:vAlign w:val="center"/>
                </w:tcPr>
                <w:p>
                  <w:pPr>
                    <w:pStyle w:val="35"/>
                    <w:spacing w:line="240" w:lineRule="auto"/>
                    <w:ind w:firstLine="0" w:firstLineChars="0"/>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危险废物</w:t>
                  </w:r>
                </w:p>
                <w:p>
                  <w:pPr>
                    <w:pStyle w:val="35"/>
                    <w:spacing w:line="240" w:lineRule="auto"/>
                    <w:ind w:firstLine="0" w:firstLineChars="0"/>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代码</w:t>
                  </w:r>
                </w:p>
              </w:tc>
              <w:tc>
                <w:tcPr>
                  <w:tcW w:w="493" w:type="pct"/>
                  <w:vAlign w:val="center"/>
                </w:tcPr>
                <w:p>
                  <w:pPr>
                    <w:pStyle w:val="35"/>
                    <w:spacing w:line="240" w:lineRule="auto"/>
                    <w:ind w:firstLine="0" w:firstLineChars="0"/>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位置</w:t>
                  </w:r>
                </w:p>
              </w:tc>
              <w:tc>
                <w:tcPr>
                  <w:tcW w:w="434" w:type="pct"/>
                  <w:vAlign w:val="center"/>
                </w:tcPr>
                <w:p>
                  <w:pPr>
                    <w:pStyle w:val="35"/>
                    <w:spacing w:line="240" w:lineRule="auto"/>
                    <w:ind w:firstLine="0" w:firstLineChars="0"/>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占地面积</w:t>
                  </w:r>
                </w:p>
              </w:tc>
              <w:tc>
                <w:tcPr>
                  <w:tcW w:w="380" w:type="pct"/>
                  <w:vAlign w:val="center"/>
                </w:tcPr>
                <w:p>
                  <w:pPr>
                    <w:pStyle w:val="35"/>
                    <w:spacing w:line="240" w:lineRule="auto"/>
                    <w:ind w:firstLine="0" w:firstLineChars="0"/>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贮存方式</w:t>
                  </w:r>
                </w:p>
              </w:tc>
              <w:tc>
                <w:tcPr>
                  <w:tcW w:w="500" w:type="pct"/>
                  <w:vAlign w:val="center"/>
                </w:tcPr>
                <w:p>
                  <w:pPr>
                    <w:pStyle w:val="35"/>
                    <w:spacing w:line="240" w:lineRule="auto"/>
                    <w:ind w:firstLine="0" w:firstLineChars="0"/>
                    <w:jc w:val="center"/>
                    <w:rPr>
                      <w:rFonts w:hint="default" w:ascii="Times New Roman" w:hAnsi="Times New Roman" w:cs="Times New Roman" w:eastAsiaTheme="minorEastAsia"/>
                      <w:b/>
                      <w:bCs/>
                      <w:color w:val="auto"/>
                      <w:sz w:val="18"/>
                      <w:szCs w:val="18"/>
                      <w:lang w:val="en-US" w:eastAsia="zh-CN"/>
                    </w:rPr>
                  </w:pPr>
                  <w:r>
                    <w:rPr>
                      <w:rFonts w:hint="eastAsia" w:ascii="Times New Roman" w:hAnsi="Times New Roman" w:cs="Times New Roman"/>
                      <w:b/>
                      <w:bCs/>
                      <w:color w:val="auto"/>
                      <w:sz w:val="18"/>
                      <w:szCs w:val="18"/>
                      <w:lang w:val="en-US" w:eastAsia="zh-CN"/>
                    </w:rPr>
                    <w:t>产生量t/月</w:t>
                  </w:r>
                </w:p>
              </w:tc>
              <w:tc>
                <w:tcPr>
                  <w:tcW w:w="373" w:type="pct"/>
                  <w:vAlign w:val="center"/>
                </w:tcPr>
                <w:p>
                  <w:pPr>
                    <w:pStyle w:val="35"/>
                    <w:spacing w:line="240" w:lineRule="auto"/>
                    <w:ind w:firstLine="0" w:firstLineChars="0"/>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贮存周期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71" w:type="pct"/>
                  <w:vMerge w:val="restart"/>
                  <w:vAlign w:val="center"/>
                </w:tcPr>
                <w:p>
                  <w:pPr>
                    <w:pStyle w:val="35"/>
                    <w:spacing w:line="240" w:lineRule="auto"/>
                    <w:ind w:firstLine="0" w:firstLineChars="0"/>
                    <w:jc w:val="center"/>
                    <w:rPr>
                      <w:rFonts w:ascii="Times New Roman" w:hAnsi="Times New Roman" w:eastAsia="宋体" w:cs="Times New Roman"/>
                      <w:color w:val="auto"/>
                      <w:sz w:val="18"/>
                      <w:szCs w:val="18"/>
                    </w:rPr>
                  </w:pPr>
                  <w:r>
                    <w:rPr>
                      <w:rFonts w:hint="eastAsia" w:ascii="Times New Roman" w:hAnsi="Times New Roman" w:cs="Times New Roman"/>
                      <w:color w:val="auto"/>
                      <w:sz w:val="18"/>
                      <w:szCs w:val="18"/>
                      <w:lang w:val="en-US" w:eastAsia="zh-CN"/>
                    </w:rPr>
                    <w:t>二</w:t>
                  </w:r>
                  <w:r>
                    <w:rPr>
                      <w:rFonts w:ascii="Times New Roman" w:hAnsi="Times New Roman" w:cs="Times New Roman"/>
                      <w:color w:val="auto"/>
                      <w:sz w:val="18"/>
                      <w:szCs w:val="18"/>
                    </w:rPr>
                    <w:t>厂现有危险废物贮存间</w:t>
                  </w:r>
                </w:p>
              </w:tc>
              <w:tc>
                <w:tcPr>
                  <w:tcW w:w="909" w:type="pct"/>
                  <w:vAlign w:val="center"/>
                </w:tcPr>
                <w:p>
                  <w:pPr>
                    <w:adjustRightInd w:val="0"/>
                    <w:snapToGrid w:val="0"/>
                    <w:spacing w:line="240" w:lineRule="exact"/>
                    <w:jc w:val="center"/>
                    <w:rPr>
                      <w:color w:val="auto"/>
                      <w:sz w:val="18"/>
                      <w:szCs w:val="18"/>
                    </w:rPr>
                  </w:pPr>
                  <w:r>
                    <w:rPr>
                      <w:color w:val="auto"/>
                      <w:sz w:val="18"/>
                      <w:szCs w:val="18"/>
                    </w:rPr>
                    <w:t>隔膜泵废滤芯</w:t>
                  </w:r>
                </w:p>
              </w:tc>
              <w:tc>
                <w:tcPr>
                  <w:tcW w:w="493" w:type="pct"/>
                  <w:vAlign w:val="center"/>
                </w:tcPr>
                <w:p>
                  <w:pPr>
                    <w:pStyle w:val="35"/>
                    <w:spacing w:line="240" w:lineRule="auto"/>
                    <w:ind w:firstLine="0" w:firstLineChars="0"/>
                    <w:jc w:val="center"/>
                    <w:rPr>
                      <w:rFonts w:ascii="Times New Roman" w:hAnsi="Times New Roman" w:cs="Times New Roman"/>
                      <w:color w:val="auto"/>
                      <w:sz w:val="18"/>
                      <w:szCs w:val="18"/>
                    </w:rPr>
                  </w:pPr>
                  <w:r>
                    <w:rPr>
                      <w:rFonts w:ascii="Times New Roman" w:hAnsi="Times New Roman" w:cs="Times New Roman"/>
                      <w:color w:val="auto"/>
                      <w:sz w:val="18"/>
                      <w:szCs w:val="18"/>
                    </w:rPr>
                    <w:t>HW49</w:t>
                  </w:r>
                </w:p>
              </w:tc>
              <w:tc>
                <w:tcPr>
                  <w:tcW w:w="743" w:type="pct"/>
                  <w:vAlign w:val="center"/>
                </w:tcPr>
                <w:p>
                  <w:pPr>
                    <w:pStyle w:val="35"/>
                    <w:spacing w:line="240" w:lineRule="auto"/>
                    <w:ind w:firstLine="0" w:firstLineChars="0"/>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900-047-49</w:t>
                  </w:r>
                </w:p>
              </w:tc>
              <w:tc>
                <w:tcPr>
                  <w:tcW w:w="493" w:type="pct"/>
                  <w:vMerge w:val="restart"/>
                  <w:vAlign w:val="center"/>
                </w:tcPr>
                <w:p>
                  <w:pPr>
                    <w:pStyle w:val="35"/>
                    <w:spacing w:line="240" w:lineRule="auto"/>
                    <w:ind w:firstLine="0" w:firstLineChars="0"/>
                    <w:jc w:val="center"/>
                    <w:rPr>
                      <w:rFonts w:ascii="Times New Roman" w:hAnsi="Times New Roman" w:cs="Times New Roman"/>
                      <w:color w:val="auto"/>
                      <w:sz w:val="18"/>
                      <w:szCs w:val="18"/>
                    </w:rPr>
                  </w:pPr>
                  <w:r>
                    <w:rPr>
                      <w:rFonts w:hint="eastAsia" w:ascii="Times New Roman" w:hAnsi="Times New Roman" w:cs="Times New Roman"/>
                      <w:color w:val="auto"/>
                      <w:sz w:val="18"/>
                      <w:szCs w:val="18"/>
                      <w:lang w:val="en-US" w:eastAsia="zh-CN"/>
                    </w:rPr>
                    <w:t>二</w:t>
                  </w:r>
                  <w:r>
                    <w:rPr>
                      <w:rFonts w:ascii="Times New Roman" w:hAnsi="Times New Roman" w:cs="Times New Roman"/>
                      <w:color w:val="auto"/>
                      <w:sz w:val="18"/>
                      <w:szCs w:val="18"/>
                    </w:rPr>
                    <w:t>厂现有危险废物贮存间内</w:t>
                  </w:r>
                </w:p>
              </w:tc>
              <w:tc>
                <w:tcPr>
                  <w:tcW w:w="434" w:type="pct"/>
                  <w:vMerge w:val="restart"/>
                  <w:vAlign w:val="center"/>
                </w:tcPr>
                <w:p>
                  <w:pPr>
                    <w:pStyle w:val="35"/>
                    <w:spacing w:line="240" w:lineRule="auto"/>
                    <w:ind w:firstLine="0" w:firstLineChars="0"/>
                    <w:jc w:val="center"/>
                    <w:rPr>
                      <w:rFonts w:ascii="Times New Roman" w:hAnsi="Times New Roman" w:cs="Times New Roman"/>
                      <w:color w:val="auto"/>
                      <w:sz w:val="18"/>
                      <w:szCs w:val="18"/>
                    </w:rPr>
                  </w:pPr>
                  <w:r>
                    <w:rPr>
                      <w:rFonts w:hint="eastAsia" w:ascii="Times New Roman" w:hAnsi="Times New Roman" w:cs="Times New Roman"/>
                      <w:color w:val="auto"/>
                      <w:sz w:val="18"/>
                      <w:szCs w:val="18"/>
                      <w:lang w:val="en-US" w:eastAsia="zh-CN"/>
                    </w:rPr>
                    <w:t>140</w:t>
                  </w:r>
                  <w:r>
                    <w:rPr>
                      <w:rFonts w:ascii="Times New Roman" w:hAnsi="Times New Roman" w:cs="Times New Roman"/>
                      <w:color w:val="auto"/>
                      <w:sz w:val="18"/>
                      <w:szCs w:val="18"/>
                    </w:rPr>
                    <w:t>m</w:t>
                  </w:r>
                  <w:r>
                    <w:rPr>
                      <w:rFonts w:ascii="Times New Roman" w:hAnsi="Times New Roman" w:cs="Times New Roman"/>
                      <w:color w:val="auto"/>
                      <w:sz w:val="18"/>
                      <w:szCs w:val="18"/>
                      <w:vertAlign w:val="superscript"/>
                    </w:rPr>
                    <w:t>2</w:t>
                  </w:r>
                </w:p>
              </w:tc>
              <w:tc>
                <w:tcPr>
                  <w:tcW w:w="380" w:type="pct"/>
                  <w:vAlign w:val="center"/>
                </w:tcPr>
                <w:p>
                  <w:pPr>
                    <w:pStyle w:val="35"/>
                    <w:spacing w:line="240" w:lineRule="auto"/>
                    <w:ind w:firstLine="0" w:firstLineChars="0"/>
                    <w:jc w:val="center"/>
                    <w:rPr>
                      <w:rFonts w:ascii="Times New Roman" w:hAnsi="Times New Roman" w:cs="Times New Roman"/>
                      <w:color w:val="auto"/>
                      <w:sz w:val="18"/>
                      <w:szCs w:val="18"/>
                    </w:rPr>
                  </w:pPr>
                  <w:r>
                    <w:rPr>
                      <w:rFonts w:ascii="Times New Roman" w:hAnsi="Times New Roman" w:cs="Times New Roman"/>
                      <w:color w:val="auto"/>
                      <w:sz w:val="18"/>
                      <w:szCs w:val="18"/>
                    </w:rPr>
                    <w:t>袋装</w:t>
                  </w:r>
                </w:p>
              </w:tc>
              <w:tc>
                <w:tcPr>
                  <w:tcW w:w="500" w:type="pct"/>
                  <w:vAlign w:val="center"/>
                </w:tcPr>
                <w:p>
                  <w:pPr>
                    <w:pStyle w:val="35"/>
                    <w:spacing w:line="240" w:lineRule="auto"/>
                    <w:ind w:firstLine="0" w:firstLineChars="0"/>
                    <w:jc w:val="center"/>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0.042</w:t>
                  </w:r>
                </w:p>
              </w:tc>
              <w:tc>
                <w:tcPr>
                  <w:tcW w:w="373" w:type="pct"/>
                  <w:vAlign w:val="center"/>
                </w:tcPr>
                <w:p>
                  <w:pPr>
                    <w:pStyle w:val="35"/>
                    <w:spacing w:line="240" w:lineRule="auto"/>
                    <w:ind w:firstLine="0" w:firstLineChars="0"/>
                    <w:jc w:val="center"/>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1个月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71" w:type="pct"/>
                  <w:vMerge w:val="continue"/>
                  <w:vAlign w:val="center"/>
                </w:tcPr>
                <w:p>
                  <w:pPr>
                    <w:pStyle w:val="35"/>
                    <w:spacing w:line="240" w:lineRule="auto"/>
                    <w:ind w:firstLine="0" w:firstLineChars="0"/>
                    <w:jc w:val="center"/>
                    <w:rPr>
                      <w:rFonts w:ascii="Times New Roman" w:hAnsi="Times New Roman" w:cs="Times New Roman"/>
                      <w:color w:val="auto"/>
                      <w:sz w:val="18"/>
                      <w:szCs w:val="18"/>
                    </w:rPr>
                  </w:pPr>
                </w:p>
              </w:tc>
              <w:tc>
                <w:tcPr>
                  <w:tcW w:w="909" w:type="pct"/>
                  <w:vAlign w:val="center"/>
                </w:tcPr>
                <w:p>
                  <w:pPr>
                    <w:adjustRightInd w:val="0"/>
                    <w:snapToGrid w:val="0"/>
                    <w:spacing w:line="240" w:lineRule="exact"/>
                    <w:jc w:val="center"/>
                    <w:rPr>
                      <w:color w:val="auto"/>
                      <w:sz w:val="18"/>
                      <w:szCs w:val="18"/>
                    </w:rPr>
                  </w:pPr>
                  <w:r>
                    <w:rPr>
                      <w:color w:val="auto"/>
                      <w:sz w:val="18"/>
                      <w:szCs w:val="18"/>
                    </w:rPr>
                    <w:t>废活性炭</w:t>
                  </w:r>
                </w:p>
              </w:tc>
              <w:tc>
                <w:tcPr>
                  <w:tcW w:w="493" w:type="pct"/>
                  <w:vAlign w:val="center"/>
                </w:tcPr>
                <w:p>
                  <w:pPr>
                    <w:pStyle w:val="35"/>
                    <w:spacing w:line="240" w:lineRule="auto"/>
                    <w:ind w:firstLine="0" w:firstLineChars="0"/>
                    <w:jc w:val="center"/>
                    <w:rPr>
                      <w:rFonts w:ascii="Times New Roman" w:hAnsi="Times New Roman" w:cs="Times New Roman"/>
                      <w:color w:val="auto"/>
                      <w:sz w:val="18"/>
                      <w:szCs w:val="18"/>
                    </w:rPr>
                  </w:pPr>
                  <w:r>
                    <w:rPr>
                      <w:rFonts w:ascii="Times New Roman" w:hAnsi="Times New Roman" w:cs="Times New Roman"/>
                      <w:color w:val="auto"/>
                      <w:sz w:val="18"/>
                      <w:szCs w:val="18"/>
                    </w:rPr>
                    <w:t>HW49</w:t>
                  </w:r>
                </w:p>
              </w:tc>
              <w:tc>
                <w:tcPr>
                  <w:tcW w:w="743" w:type="pct"/>
                  <w:vAlign w:val="center"/>
                </w:tcPr>
                <w:p>
                  <w:pPr>
                    <w:pStyle w:val="35"/>
                    <w:spacing w:line="240" w:lineRule="auto"/>
                    <w:ind w:firstLine="0" w:firstLineChars="0"/>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900-039-49</w:t>
                  </w:r>
                </w:p>
              </w:tc>
              <w:tc>
                <w:tcPr>
                  <w:tcW w:w="493" w:type="pct"/>
                  <w:vMerge w:val="continue"/>
                  <w:vAlign w:val="center"/>
                </w:tcPr>
                <w:p>
                  <w:pPr>
                    <w:pStyle w:val="35"/>
                    <w:spacing w:line="240" w:lineRule="auto"/>
                    <w:ind w:firstLine="0" w:firstLineChars="0"/>
                    <w:jc w:val="center"/>
                    <w:rPr>
                      <w:rFonts w:ascii="Times New Roman" w:hAnsi="Times New Roman" w:cs="Times New Roman"/>
                      <w:color w:val="auto"/>
                      <w:sz w:val="18"/>
                      <w:szCs w:val="18"/>
                    </w:rPr>
                  </w:pPr>
                </w:p>
              </w:tc>
              <w:tc>
                <w:tcPr>
                  <w:tcW w:w="434" w:type="pct"/>
                  <w:vMerge w:val="continue"/>
                  <w:vAlign w:val="center"/>
                </w:tcPr>
                <w:p>
                  <w:pPr>
                    <w:pStyle w:val="35"/>
                    <w:spacing w:line="240" w:lineRule="auto"/>
                    <w:ind w:firstLine="0" w:firstLineChars="0"/>
                    <w:jc w:val="center"/>
                    <w:rPr>
                      <w:rFonts w:ascii="Times New Roman" w:hAnsi="Times New Roman" w:cs="Times New Roman"/>
                      <w:color w:val="auto"/>
                      <w:sz w:val="18"/>
                      <w:szCs w:val="18"/>
                    </w:rPr>
                  </w:pPr>
                </w:p>
              </w:tc>
              <w:tc>
                <w:tcPr>
                  <w:tcW w:w="380" w:type="pct"/>
                  <w:vAlign w:val="center"/>
                </w:tcPr>
                <w:p>
                  <w:pPr>
                    <w:pStyle w:val="35"/>
                    <w:spacing w:line="240" w:lineRule="auto"/>
                    <w:ind w:firstLine="0" w:firstLineChars="0"/>
                    <w:jc w:val="center"/>
                    <w:rPr>
                      <w:rFonts w:ascii="Times New Roman" w:hAnsi="Times New Roman" w:cs="Times New Roman"/>
                      <w:color w:val="auto"/>
                      <w:sz w:val="18"/>
                      <w:szCs w:val="18"/>
                    </w:rPr>
                  </w:pPr>
                  <w:r>
                    <w:rPr>
                      <w:rFonts w:ascii="Times New Roman" w:hAnsi="Times New Roman" w:cs="Times New Roman"/>
                      <w:color w:val="auto"/>
                      <w:sz w:val="18"/>
                      <w:szCs w:val="18"/>
                    </w:rPr>
                    <w:t>袋装</w:t>
                  </w:r>
                </w:p>
              </w:tc>
              <w:tc>
                <w:tcPr>
                  <w:tcW w:w="500" w:type="pct"/>
                  <w:vAlign w:val="center"/>
                </w:tcPr>
                <w:p>
                  <w:pPr>
                    <w:pStyle w:val="35"/>
                    <w:spacing w:line="240" w:lineRule="auto"/>
                    <w:ind w:firstLine="0" w:firstLineChars="0"/>
                    <w:jc w:val="center"/>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0.3</w:t>
                  </w:r>
                </w:p>
              </w:tc>
              <w:tc>
                <w:tcPr>
                  <w:tcW w:w="373" w:type="pct"/>
                  <w:vAlign w:val="center"/>
                </w:tcPr>
                <w:p>
                  <w:pPr>
                    <w:pStyle w:val="35"/>
                    <w:spacing w:line="240" w:lineRule="auto"/>
                    <w:ind w:firstLine="0" w:firstLineChars="0"/>
                    <w:jc w:val="center"/>
                    <w:rPr>
                      <w:rFonts w:ascii="Times New Roman" w:hAnsi="Times New Roman" w:cs="Times New Roman"/>
                      <w:color w:val="auto"/>
                      <w:sz w:val="18"/>
                      <w:szCs w:val="18"/>
                    </w:rPr>
                  </w:pPr>
                  <w:r>
                    <w:rPr>
                      <w:rFonts w:hint="eastAsia" w:ascii="Times New Roman" w:hAnsi="Times New Roman" w:cs="Times New Roman"/>
                      <w:color w:val="auto"/>
                      <w:sz w:val="18"/>
                      <w:szCs w:val="18"/>
                      <w:lang w:val="en-US" w:eastAsia="zh-CN"/>
                    </w:rPr>
                    <w:t>1个月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71" w:type="pct"/>
                  <w:vMerge w:val="continue"/>
                  <w:vAlign w:val="center"/>
                </w:tcPr>
                <w:p>
                  <w:pPr>
                    <w:pStyle w:val="35"/>
                    <w:spacing w:line="240" w:lineRule="auto"/>
                    <w:ind w:firstLine="0" w:firstLineChars="0"/>
                    <w:jc w:val="center"/>
                    <w:rPr>
                      <w:rFonts w:ascii="Times New Roman" w:hAnsi="Times New Roman" w:cs="Times New Roman"/>
                      <w:color w:val="auto"/>
                      <w:sz w:val="18"/>
                      <w:szCs w:val="18"/>
                    </w:rPr>
                  </w:pPr>
                </w:p>
              </w:tc>
              <w:tc>
                <w:tcPr>
                  <w:tcW w:w="909" w:type="pct"/>
                  <w:vAlign w:val="center"/>
                </w:tcPr>
                <w:p>
                  <w:pPr>
                    <w:adjustRightInd w:val="0"/>
                    <w:snapToGrid w:val="0"/>
                    <w:spacing w:line="240" w:lineRule="exact"/>
                    <w:jc w:val="center"/>
                    <w:rPr>
                      <w:color w:val="auto"/>
                      <w:sz w:val="18"/>
                      <w:szCs w:val="18"/>
                    </w:rPr>
                  </w:pPr>
                  <w:r>
                    <w:rPr>
                      <w:color w:val="auto"/>
                      <w:sz w:val="18"/>
                      <w:szCs w:val="18"/>
                    </w:rPr>
                    <w:t>精馏釜残</w:t>
                  </w:r>
                </w:p>
              </w:tc>
              <w:tc>
                <w:tcPr>
                  <w:tcW w:w="493" w:type="pct"/>
                  <w:vAlign w:val="center"/>
                </w:tcPr>
                <w:p>
                  <w:pPr>
                    <w:pStyle w:val="35"/>
                    <w:spacing w:line="240" w:lineRule="auto"/>
                    <w:ind w:firstLine="0" w:firstLineChars="0"/>
                    <w:jc w:val="center"/>
                    <w:rPr>
                      <w:rFonts w:ascii="Times New Roman" w:hAnsi="Times New Roman" w:cs="Times New Roman"/>
                      <w:color w:val="auto"/>
                      <w:sz w:val="18"/>
                      <w:szCs w:val="18"/>
                    </w:rPr>
                  </w:pPr>
                  <w:r>
                    <w:rPr>
                      <w:rFonts w:ascii="Times New Roman" w:hAnsi="Times New Roman" w:eastAsia="宋体" w:cs="Times New Roman"/>
                      <w:color w:val="auto"/>
                      <w:sz w:val="18"/>
                      <w:szCs w:val="18"/>
                    </w:rPr>
                    <w:t>HW11</w:t>
                  </w:r>
                </w:p>
              </w:tc>
              <w:tc>
                <w:tcPr>
                  <w:tcW w:w="743" w:type="pct"/>
                  <w:vAlign w:val="center"/>
                </w:tcPr>
                <w:p>
                  <w:pPr>
                    <w:pStyle w:val="35"/>
                    <w:spacing w:line="240" w:lineRule="auto"/>
                    <w:ind w:firstLine="0" w:firstLineChars="0"/>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900-013-11</w:t>
                  </w:r>
                </w:p>
              </w:tc>
              <w:tc>
                <w:tcPr>
                  <w:tcW w:w="493" w:type="pct"/>
                  <w:vMerge w:val="continue"/>
                  <w:vAlign w:val="center"/>
                </w:tcPr>
                <w:p>
                  <w:pPr>
                    <w:pStyle w:val="35"/>
                    <w:spacing w:line="240" w:lineRule="auto"/>
                    <w:ind w:firstLine="0" w:firstLineChars="0"/>
                    <w:jc w:val="center"/>
                    <w:rPr>
                      <w:rFonts w:ascii="Times New Roman" w:hAnsi="Times New Roman" w:cs="Times New Roman"/>
                      <w:color w:val="auto"/>
                      <w:sz w:val="18"/>
                      <w:szCs w:val="18"/>
                    </w:rPr>
                  </w:pPr>
                </w:p>
              </w:tc>
              <w:tc>
                <w:tcPr>
                  <w:tcW w:w="434" w:type="pct"/>
                  <w:vMerge w:val="continue"/>
                  <w:vAlign w:val="center"/>
                </w:tcPr>
                <w:p>
                  <w:pPr>
                    <w:pStyle w:val="35"/>
                    <w:spacing w:line="240" w:lineRule="auto"/>
                    <w:ind w:firstLine="0" w:firstLineChars="0"/>
                    <w:jc w:val="center"/>
                    <w:rPr>
                      <w:rFonts w:ascii="Times New Roman" w:hAnsi="Times New Roman" w:cs="Times New Roman"/>
                      <w:color w:val="auto"/>
                      <w:sz w:val="18"/>
                      <w:szCs w:val="18"/>
                    </w:rPr>
                  </w:pPr>
                </w:p>
              </w:tc>
              <w:tc>
                <w:tcPr>
                  <w:tcW w:w="380" w:type="pct"/>
                  <w:vAlign w:val="center"/>
                </w:tcPr>
                <w:p>
                  <w:pPr>
                    <w:pStyle w:val="35"/>
                    <w:spacing w:line="240" w:lineRule="auto"/>
                    <w:ind w:firstLine="0" w:firstLineChars="0"/>
                    <w:jc w:val="center"/>
                    <w:rPr>
                      <w:rFonts w:ascii="Times New Roman" w:hAnsi="Times New Roman" w:cs="Times New Roman"/>
                      <w:color w:val="auto"/>
                      <w:sz w:val="18"/>
                      <w:szCs w:val="18"/>
                    </w:rPr>
                  </w:pPr>
                  <w:r>
                    <w:rPr>
                      <w:rFonts w:ascii="Times New Roman" w:hAnsi="Times New Roman" w:cs="Times New Roman"/>
                      <w:color w:val="auto"/>
                      <w:sz w:val="18"/>
                      <w:szCs w:val="18"/>
                    </w:rPr>
                    <w:t>桶装</w:t>
                  </w:r>
                </w:p>
              </w:tc>
              <w:tc>
                <w:tcPr>
                  <w:tcW w:w="500" w:type="pct"/>
                  <w:vAlign w:val="center"/>
                </w:tcPr>
                <w:p>
                  <w:pPr>
                    <w:pStyle w:val="35"/>
                    <w:spacing w:line="240" w:lineRule="auto"/>
                    <w:ind w:firstLine="0" w:firstLineChars="0"/>
                    <w:jc w:val="center"/>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0.25</w:t>
                  </w:r>
                </w:p>
              </w:tc>
              <w:tc>
                <w:tcPr>
                  <w:tcW w:w="373" w:type="pct"/>
                  <w:vAlign w:val="center"/>
                </w:tcPr>
                <w:p>
                  <w:pPr>
                    <w:pStyle w:val="35"/>
                    <w:spacing w:line="240" w:lineRule="auto"/>
                    <w:ind w:firstLine="0" w:firstLineChars="0"/>
                    <w:jc w:val="center"/>
                    <w:rPr>
                      <w:rFonts w:ascii="Times New Roman" w:hAnsi="Times New Roman" w:cs="Times New Roman"/>
                      <w:color w:val="auto"/>
                      <w:sz w:val="18"/>
                      <w:szCs w:val="18"/>
                    </w:rPr>
                  </w:pPr>
                  <w:r>
                    <w:rPr>
                      <w:rFonts w:hint="eastAsia" w:ascii="Times New Roman" w:hAnsi="Times New Roman" w:cs="Times New Roman"/>
                      <w:color w:val="auto"/>
                      <w:sz w:val="18"/>
                      <w:szCs w:val="18"/>
                      <w:lang w:val="en-US" w:eastAsia="zh-CN"/>
                    </w:rPr>
                    <w:t>1个月</w:t>
                  </w:r>
                </w:p>
              </w:tc>
            </w:tr>
          </w:tbl>
          <w:p>
            <w:pPr>
              <w:widowControl/>
              <w:spacing w:line="360" w:lineRule="auto"/>
              <w:ind w:firstLine="420" w:firstLineChars="200"/>
              <w:rPr>
                <w:color w:val="auto"/>
              </w:rPr>
            </w:pPr>
            <w:r>
              <w:rPr>
                <w:color w:val="auto"/>
              </w:rPr>
              <w:t>经上述措施，项目固体废物均</w:t>
            </w:r>
            <w:r>
              <w:rPr>
                <w:rFonts w:hint="eastAsia"/>
                <w:color w:val="auto"/>
              </w:rPr>
              <w:t>可</w:t>
            </w:r>
            <w:r>
              <w:rPr>
                <w:color w:val="auto"/>
              </w:rPr>
              <w:t>得到妥善处置。因此，项目固体废物处置措施可行。</w:t>
            </w:r>
          </w:p>
          <w:p>
            <w:pPr>
              <w:widowControl/>
              <w:adjustRightInd w:val="0"/>
              <w:snapToGrid w:val="0"/>
              <w:spacing w:before="156" w:beforeLines="50" w:line="360" w:lineRule="auto"/>
              <w:outlineLvl w:val="2"/>
              <w:rPr>
                <w:b/>
                <w:color w:val="auto"/>
                <w:szCs w:val="21"/>
              </w:rPr>
            </w:pPr>
            <w:r>
              <w:rPr>
                <w:b/>
                <w:color w:val="auto"/>
                <w:szCs w:val="21"/>
              </w:rPr>
              <w:t>4.2.</w:t>
            </w:r>
            <w:r>
              <w:rPr>
                <w:rFonts w:hint="eastAsia"/>
                <w:b/>
                <w:color w:val="auto"/>
                <w:szCs w:val="21"/>
              </w:rPr>
              <w:t>4土壤、地下水环境影响分析</w:t>
            </w:r>
          </w:p>
          <w:p>
            <w:pPr>
              <w:widowControl/>
              <w:spacing w:line="360" w:lineRule="auto"/>
              <w:ind w:firstLine="420" w:firstLineChars="200"/>
              <w:rPr>
                <w:color w:val="auto"/>
              </w:rPr>
            </w:pPr>
            <w:r>
              <w:rPr>
                <w:color w:val="auto"/>
              </w:rPr>
              <w:t>（1）污染物进入地下水、土壤环境的可能途径</w:t>
            </w:r>
          </w:p>
          <w:p>
            <w:pPr>
              <w:widowControl/>
              <w:spacing w:line="360" w:lineRule="auto"/>
              <w:ind w:firstLine="420" w:firstLineChars="200"/>
              <w:rPr>
                <w:color w:val="auto"/>
              </w:rPr>
            </w:pPr>
            <w:r>
              <w:rPr>
                <w:color w:val="auto"/>
              </w:rPr>
              <w:t>根据本项目工程分析，运营期地下水、土壤污染源主要为生产区生产装置，污染途径主要为泄漏入渗，影响范围主要为构筑物周边区域的土壤、周边及下游地下水。</w:t>
            </w:r>
          </w:p>
          <w:p>
            <w:pPr>
              <w:widowControl/>
              <w:spacing w:line="360" w:lineRule="auto"/>
              <w:ind w:firstLine="420" w:firstLineChars="200"/>
              <w:rPr>
                <w:color w:val="auto"/>
              </w:rPr>
            </w:pPr>
            <w:r>
              <w:rPr>
                <w:color w:val="auto"/>
              </w:rPr>
              <w:t>（2）土壤、地下水环境防控措施</w:t>
            </w:r>
          </w:p>
          <w:p>
            <w:pPr>
              <w:widowControl/>
              <w:spacing w:line="360" w:lineRule="auto"/>
              <w:ind w:firstLine="420" w:firstLineChars="200"/>
              <w:rPr>
                <w:color w:val="auto"/>
              </w:rPr>
            </w:pPr>
            <w:r>
              <w:rPr>
                <w:color w:val="auto"/>
              </w:rPr>
              <w:t>对于项目建设区地下水、土壤环境防污控制原则，应坚持“注重源头控制、强化监测手段、污水集中处理、完善应急响应系统建设”的原则，其宗旨是采取主动控制，避免泄漏事故及防渗措施失效事故的发生，但若发生事故，则采取应急响应处理办法，尽最快速度处理，严防污染物进入地下水环境造成不良影响。</w:t>
            </w:r>
          </w:p>
          <w:p>
            <w:pPr>
              <w:widowControl/>
              <w:spacing w:line="360" w:lineRule="auto"/>
              <w:ind w:firstLine="420" w:firstLineChars="200"/>
              <w:rPr>
                <w:color w:val="auto"/>
              </w:rPr>
            </w:pPr>
            <w:r>
              <w:rPr>
                <w:color w:val="auto"/>
              </w:rPr>
              <w:t>①防治原则</w:t>
            </w:r>
          </w:p>
          <w:p>
            <w:pPr>
              <w:widowControl/>
              <w:spacing w:line="360" w:lineRule="auto"/>
              <w:ind w:firstLine="420" w:firstLineChars="200"/>
              <w:rPr>
                <w:color w:val="auto"/>
              </w:rPr>
            </w:pPr>
            <w:r>
              <w:rPr>
                <w:color w:val="auto"/>
              </w:rPr>
              <w:t>A、注重源头控制。本项目存在的主要潜在污染源为</w:t>
            </w:r>
            <w:r>
              <w:rPr>
                <w:rFonts w:hint="eastAsia"/>
                <w:color w:val="auto"/>
              </w:rPr>
              <w:t>新增</w:t>
            </w:r>
            <w:r>
              <w:rPr>
                <w:rFonts w:hint="eastAsia"/>
                <w:color w:val="auto"/>
                <w:lang w:eastAsia="zh-CN"/>
              </w:rPr>
              <w:t>车间X1</w:t>
            </w:r>
            <w:r>
              <w:rPr>
                <w:rFonts w:hint="eastAsia"/>
                <w:color w:val="auto"/>
              </w:rPr>
              <w:t>生产装置区和生产车间二外新增精馏塔区</w:t>
            </w:r>
            <w:r>
              <w:rPr>
                <w:color w:val="auto"/>
              </w:rPr>
              <w:t>等，企业应严格按照防渗处理要求建设，尽最大努力将污染物控制在源头，防止运营期出现泄漏或渗漏事故。此外需要对管道所在区域进行防漏防渗处理，防止污染物的跑、冒、滴、漏，将污染物</w:t>
            </w:r>
            <w:r>
              <w:rPr>
                <w:rFonts w:hint="eastAsia"/>
                <w:color w:val="auto"/>
                <w:lang w:eastAsia="zh-CN"/>
              </w:rPr>
              <w:t>泄漏</w:t>
            </w:r>
            <w:r>
              <w:rPr>
                <w:color w:val="auto"/>
              </w:rPr>
              <w:t>的环境风险事故</w:t>
            </w:r>
            <w:r>
              <w:rPr>
                <w:rFonts w:hint="eastAsia"/>
                <w:color w:val="auto"/>
                <w:lang w:eastAsia="zh-CN"/>
              </w:rPr>
              <w:t>降到</w:t>
            </w:r>
            <w:r>
              <w:rPr>
                <w:color w:val="auto"/>
              </w:rPr>
              <w:t>最低限度。管道敷设尽量采用“可视化”原则，即管道尽可</w:t>
            </w:r>
            <w:r>
              <w:rPr>
                <w:rFonts w:hint="eastAsia"/>
                <w:color w:val="auto"/>
                <w:lang w:eastAsia="zh-CN"/>
              </w:rPr>
              <w:t>能在</w:t>
            </w:r>
            <w:r>
              <w:rPr>
                <w:color w:val="auto"/>
              </w:rPr>
              <w:t>地上敷设，做到污染物“早发现、早处理”，减少由于埋地管道</w:t>
            </w:r>
            <w:r>
              <w:rPr>
                <w:rFonts w:hint="eastAsia"/>
                <w:color w:val="auto"/>
                <w:lang w:eastAsia="zh-CN"/>
              </w:rPr>
              <w:t>泄漏</w:t>
            </w:r>
            <w:r>
              <w:rPr>
                <w:color w:val="auto"/>
              </w:rPr>
              <w:t>而造成的地下水污染。结合项目各生产环节划分污染防治区，建立防渗设施的检漏系统。</w:t>
            </w:r>
          </w:p>
          <w:p>
            <w:pPr>
              <w:widowControl/>
              <w:spacing w:line="360" w:lineRule="auto"/>
              <w:ind w:firstLine="420" w:firstLineChars="200"/>
              <w:rPr>
                <w:color w:val="auto"/>
              </w:rPr>
            </w:pPr>
            <w:r>
              <w:rPr>
                <w:color w:val="auto"/>
              </w:rPr>
              <w:t>B、强化监测手段。对厂址区监测井实时监控地下水水质动态，科学、合理地设置地下水污染监控井，及时发现污染、及时控制。</w:t>
            </w:r>
          </w:p>
          <w:p>
            <w:pPr>
              <w:widowControl/>
              <w:spacing w:line="360" w:lineRule="auto"/>
              <w:ind w:firstLine="420" w:firstLineChars="200"/>
              <w:rPr>
                <w:color w:val="auto"/>
              </w:rPr>
            </w:pPr>
            <w:r>
              <w:rPr>
                <w:color w:val="auto"/>
              </w:rPr>
              <w:t>C、</w:t>
            </w:r>
            <w:r>
              <w:rPr>
                <w:rFonts w:hint="eastAsia"/>
                <w:color w:val="auto"/>
              </w:rPr>
              <w:t>新增</w:t>
            </w:r>
            <w:r>
              <w:rPr>
                <w:color w:val="auto"/>
              </w:rPr>
              <w:t>污水集中处理。目前</w:t>
            </w:r>
            <w:r>
              <w:rPr>
                <w:rFonts w:hint="eastAsia"/>
                <w:color w:val="auto"/>
              </w:rPr>
              <w:t>一</w:t>
            </w:r>
            <w:r>
              <w:rPr>
                <w:color w:val="auto"/>
              </w:rPr>
              <w:t>厂区</w:t>
            </w:r>
            <w:r>
              <w:rPr>
                <w:rFonts w:hint="eastAsia"/>
                <w:color w:val="auto"/>
              </w:rPr>
              <w:t>已</w:t>
            </w:r>
            <w:r>
              <w:rPr>
                <w:color w:val="auto"/>
              </w:rPr>
              <w:t>建设污水处理站，</w:t>
            </w:r>
            <w:r>
              <w:rPr>
                <w:rFonts w:hint="eastAsia"/>
                <w:color w:val="auto"/>
                <w:lang w:val="en-US" w:eastAsia="zh-CN"/>
              </w:rPr>
              <w:t>污水处理站为重点防渗区</w:t>
            </w:r>
            <w:r>
              <w:rPr>
                <w:rFonts w:hint="eastAsia"/>
                <w:color w:val="auto"/>
                <w:lang w:eastAsia="zh-CN"/>
              </w:rPr>
              <w:t>，池体底板和壁板</w:t>
            </w:r>
            <w:r>
              <w:rPr>
                <w:rFonts w:hint="eastAsia"/>
                <w:color w:val="auto"/>
                <w:lang w:val="en-US" w:eastAsia="zh-CN"/>
              </w:rPr>
              <w:t>已采用防渗混凝土+环氧树脂涂布地面进行防渗处理，防渗性能不低于6.0m厚、渗透系数为1.0×10</w:t>
            </w:r>
            <w:r>
              <w:rPr>
                <w:rFonts w:hint="eastAsia"/>
                <w:color w:val="auto"/>
                <w:vertAlign w:val="superscript"/>
                <w:lang w:val="en-US" w:eastAsia="zh-CN"/>
              </w:rPr>
              <w:t>-7</w:t>
            </w:r>
            <w:r>
              <w:rPr>
                <w:rFonts w:hint="eastAsia"/>
                <w:color w:val="auto"/>
                <w:lang w:val="en-US" w:eastAsia="zh-CN"/>
              </w:rPr>
              <w:t>cm/s的黏土层</w:t>
            </w:r>
            <w:r>
              <w:rPr>
                <w:rFonts w:hint="eastAsia"/>
                <w:color w:val="auto"/>
                <w:lang w:eastAsia="zh-CN"/>
              </w:rPr>
              <w:t>，</w:t>
            </w:r>
            <w:r>
              <w:rPr>
                <w:rFonts w:hint="eastAsia"/>
                <w:color w:val="auto"/>
                <w:lang w:val="en-US" w:eastAsia="zh-CN"/>
              </w:rPr>
              <w:t>企业因继续做好管理，</w:t>
            </w:r>
            <w:r>
              <w:rPr>
                <w:color w:val="auto"/>
              </w:rPr>
              <w:t>对污水处理站做好相应防止事故发生的措施。</w:t>
            </w:r>
          </w:p>
          <w:p>
            <w:pPr>
              <w:widowControl/>
              <w:spacing w:line="360" w:lineRule="auto"/>
              <w:ind w:firstLine="420" w:firstLineChars="200"/>
              <w:rPr>
                <w:color w:val="auto"/>
              </w:rPr>
            </w:pPr>
            <w:r>
              <w:rPr>
                <w:color w:val="auto"/>
              </w:rPr>
              <w:t>D、完善应急响应措施。通过实时监控系统和地下水监测井的监测，随时掌握地下水污染信息，污染事故一旦发生，立即启动应急防范措施，减少事故影响。</w:t>
            </w:r>
          </w:p>
          <w:p>
            <w:pPr>
              <w:widowControl/>
              <w:spacing w:line="360" w:lineRule="auto"/>
              <w:ind w:firstLine="420" w:firstLineChars="200"/>
              <w:rPr>
                <w:color w:val="auto"/>
              </w:rPr>
            </w:pPr>
            <w:r>
              <w:rPr>
                <w:rFonts w:hint="eastAsia"/>
                <w:color w:val="auto"/>
              </w:rPr>
              <w:t>②分区防治</w:t>
            </w:r>
          </w:p>
          <w:p>
            <w:pPr>
              <w:widowControl/>
              <w:spacing w:line="360" w:lineRule="auto"/>
              <w:ind w:firstLine="420" w:firstLineChars="200"/>
              <w:rPr>
                <w:color w:val="auto"/>
              </w:rPr>
            </w:pPr>
            <w:r>
              <w:rPr>
                <w:rFonts w:hint="eastAsia"/>
                <w:color w:val="auto"/>
              </w:rPr>
              <w:t>A、防渗区划分标准</w:t>
            </w:r>
          </w:p>
          <w:p>
            <w:pPr>
              <w:widowControl/>
              <w:spacing w:line="360" w:lineRule="auto"/>
              <w:ind w:firstLine="420" w:firstLineChars="200"/>
              <w:rPr>
                <w:color w:val="auto"/>
              </w:rPr>
            </w:pPr>
            <w:r>
              <w:rPr>
                <w:rFonts w:hint="eastAsia"/>
                <w:color w:val="auto"/>
              </w:rPr>
              <w:t>参照《石油化工工程防渗技术规范》（GB/T 50934-2013），污染防治区的防渗应根据厂区布局，按生产装置、工艺单元的不同特点，划分污染区和非污染区，采取不同的设计方案。此外根据污染物的污染性质、泄漏的途径和生产功能单元所处的位置不同，污染区又可划分为一般污染防治区、重点污染防治区。</w:t>
            </w:r>
          </w:p>
          <w:p>
            <w:pPr>
              <w:widowControl/>
              <w:spacing w:line="360" w:lineRule="auto"/>
              <w:ind w:firstLine="420" w:firstLineChars="200"/>
              <w:rPr>
                <w:color w:val="auto"/>
              </w:rPr>
            </w:pPr>
            <w:r>
              <w:rPr>
                <w:rFonts w:hint="eastAsia"/>
                <w:color w:val="auto"/>
              </w:rPr>
              <w:t>a一般污染防治区：指在污染地下水环境的物料或污染物泄漏后，可及时发现和处理的区域或部位。一般污染防治区防渗层的防渗性能不应低于1.5m厚渗透系数为1×10</w:t>
            </w:r>
            <w:r>
              <w:rPr>
                <w:rFonts w:hint="eastAsia"/>
                <w:color w:val="auto"/>
                <w:vertAlign w:val="superscript"/>
              </w:rPr>
              <w:t>-7</w:t>
            </w:r>
            <w:r>
              <w:rPr>
                <w:rFonts w:hint="eastAsia"/>
                <w:color w:val="auto"/>
              </w:rPr>
              <w:t>cm/s的黏土层的防渗性能。</w:t>
            </w:r>
          </w:p>
          <w:p>
            <w:pPr>
              <w:widowControl/>
              <w:spacing w:line="360" w:lineRule="auto"/>
              <w:ind w:firstLine="420" w:firstLineChars="200"/>
              <w:rPr>
                <w:color w:val="auto"/>
              </w:rPr>
            </w:pPr>
            <w:r>
              <w:rPr>
                <w:rFonts w:hint="eastAsia"/>
                <w:color w:val="auto"/>
              </w:rPr>
              <w:t>b重点污染防治区：指污染地下水环境的物料或污染物泄漏后，不易及时发现和处理的区域或部位。重点污染防治区防渗层的防渗性能不应低于6.0m厚渗透系数为1×10</w:t>
            </w:r>
            <w:r>
              <w:rPr>
                <w:rFonts w:hint="eastAsia"/>
                <w:color w:val="auto"/>
                <w:vertAlign w:val="superscript"/>
              </w:rPr>
              <w:t>-7</w:t>
            </w:r>
            <w:r>
              <w:rPr>
                <w:rFonts w:hint="eastAsia"/>
                <w:color w:val="auto"/>
              </w:rPr>
              <w:t>cm/s的黏土层的防渗性能。</w:t>
            </w:r>
          </w:p>
          <w:p>
            <w:pPr>
              <w:widowControl/>
              <w:spacing w:line="360" w:lineRule="auto"/>
              <w:ind w:firstLine="420" w:firstLineChars="200"/>
              <w:rPr>
                <w:color w:val="auto"/>
              </w:rPr>
            </w:pPr>
            <w:r>
              <w:rPr>
                <w:rFonts w:hint="eastAsia"/>
                <w:color w:val="auto"/>
              </w:rPr>
              <w:t>生产车间二外新增的精馏塔区</w:t>
            </w:r>
            <w:r>
              <w:rPr>
                <w:rFonts w:hint="eastAsia"/>
                <w:color w:val="auto"/>
                <w:lang w:eastAsia="zh-CN"/>
              </w:rPr>
              <w:t>、车间X1</w:t>
            </w:r>
            <w:r>
              <w:rPr>
                <w:rFonts w:hint="eastAsia"/>
                <w:color w:val="auto"/>
              </w:rPr>
              <w:t>生产装置区划为一般防渗区，防渗层的防渗性能不应低于1.5 m厚、渗透系数为</w:t>
            </w:r>
            <w:r>
              <w:rPr>
                <w:rFonts w:hint="eastAsia"/>
                <w:color w:val="auto"/>
                <w:szCs w:val="21"/>
              </w:rPr>
              <w:t>1×10</w:t>
            </w:r>
            <w:r>
              <w:rPr>
                <w:rFonts w:hint="eastAsia"/>
                <w:color w:val="auto"/>
                <w:szCs w:val="21"/>
                <w:vertAlign w:val="superscript"/>
              </w:rPr>
              <w:t>-7</w:t>
            </w:r>
            <w:r>
              <w:rPr>
                <w:rFonts w:hint="eastAsia"/>
                <w:color w:val="auto"/>
                <w:szCs w:val="21"/>
              </w:rPr>
              <w:t>cm/s</w:t>
            </w:r>
            <w:r>
              <w:rPr>
                <w:rFonts w:hint="eastAsia"/>
                <w:color w:val="auto"/>
              </w:rPr>
              <w:t>的黏土层的防渗性能。</w:t>
            </w:r>
          </w:p>
          <w:p>
            <w:pPr>
              <w:spacing w:line="360" w:lineRule="auto"/>
              <w:ind w:firstLine="420" w:firstLineChars="200"/>
              <w:rPr>
                <w:color w:val="auto"/>
                <w:sz w:val="21"/>
                <w:szCs w:val="21"/>
              </w:rPr>
            </w:pPr>
            <w:r>
              <w:rPr>
                <w:color w:val="auto"/>
                <w:sz w:val="21"/>
                <w:szCs w:val="21"/>
              </w:rPr>
              <w:t>B</w:t>
            </w:r>
            <w:r>
              <w:rPr>
                <w:rFonts w:hint="eastAsia"/>
                <w:color w:val="auto"/>
                <w:sz w:val="21"/>
                <w:szCs w:val="21"/>
              </w:rPr>
              <w:t>、项目污染防治分区要求</w:t>
            </w:r>
          </w:p>
          <w:p>
            <w:pPr>
              <w:spacing w:line="360" w:lineRule="auto"/>
              <w:ind w:firstLine="420" w:firstLineChars="200"/>
              <w:rPr>
                <w:rFonts w:hint="eastAsia"/>
                <w:color w:val="auto"/>
                <w:sz w:val="21"/>
                <w:szCs w:val="21"/>
              </w:rPr>
            </w:pPr>
            <w:r>
              <w:rPr>
                <w:rFonts w:hint="eastAsia"/>
                <w:color w:val="auto"/>
                <w:sz w:val="21"/>
                <w:szCs w:val="21"/>
              </w:rPr>
              <w:t>本项目新增污染防治分区划分情况见下表，防治图见附图</w:t>
            </w:r>
            <w:r>
              <w:rPr>
                <w:rFonts w:hint="eastAsia"/>
                <w:color w:val="auto"/>
                <w:sz w:val="21"/>
                <w:szCs w:val="21"/>
                <w:lang w:val="en-US" w:eastAsia="zh-CN"/>
              </w:rPr>
              <w:t>7</w:t>
            </w:r>
            <w:r>
              <w:rPr>
                <w:rFonts w:hint="eastAsia"/>
                <w:color w:val="auto"/>
                <w:sz w:val="21"/>
                <w:szCs w:val="21"/>
              </w:rPr>
              <w:t>。</w:t>
            </w:r>
          </w:p>
          <w:p>
            <w:pPr>
              <w:spacing w:before="194" w:beforeLines="50"/>
              <w:jc w:val="center"/>
              <w:outlineLvl w:val="5"/>
              <w:rPr>
                <w:rFonts w:hint="default"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表4-35本项目新增污染防治分区划分情况</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4"/>
              <w:gridCol w:w="1088"/>
              <w:gridCol w:w="2622"/>
              <w:gridCol w:w="713"/>
              <w:gridCol w:w="35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81" w:type="pct"/>
                  <w:vAlign w:val="center"/>
                </w:tcPr>
                <w:p>
                  <w:pPr>
                    <w:pStyle w:val="59"/>
                    <w:snapToGrid w:val="0"/>
                    <w:spacing w:line="240" w:lineRule="auto"/>
                    <w:ind w:firstLine="0" w:firstLineChars="0"/>
                    <w:jc w:val="center"/>
                    <w:rPr>
                      <w:b/>
                      <w:color w:val="auto"/>
                      <w:sz w:val="18"/>
                      <w:szCs w:val="18"/>
                    </w:rPr>
                  </w:pPr>
                  <w:r>
                    <w:rPr>
                      <w:rFonts w:hint="eastAsia"/>
                      <w:b/>
                      <w:color w:val="auto"/>
                      <w:sz w:val="18"/>
                      <w:szCs w:val="18"/>
                    </w:rPr>
                    <w:t>序号</w:t>
                  </w:r>
                </w:p>
              </w:tc>
              <w:tc>
                <w:tcPr>
                  <w:tcW w:w="645" w:type="pct"/>
                  <w:vAlign w:val="center"/>
                </w:tcPr>
                <w:p>
                  <w:pPr>
                    <w:pStyle w:val="59"/>
                    <w:snapToGrid w:val="0"/>
                    <w:spacing w:line="240" w:lineRule="auto"/>
                    <w:ind w:firstLine="0" w:firstLineChars="0"/>
                    <w:jc w:val="center"/>
                    <w:rPr>
                      <w:b/>
                      <w:color w:val="auto"/>
                      <w:sz w:val="18"/>
                      <w:szCs w:val="18"/>
                    </w:rPr>
                  </w:pPr>
                  <w:r>
                    <w:rPr>
                      <w:rFonts w:hint="eastAsia"/>
                      <w:b/>
                      <w:color w:val="auto"/>
                      <w:sz w:val="18"/>
                      <w:szCs w:val="18"/>
                    </w:rPr>
                    <w:t>防治分区</w:t>
                  </w:r>
                </w:p>
              </w:tc>
              <w:tc>
                <w:tcPr>
                  <w:tcW w:w="1555" w:type="pct"/>
                  <w:vAlign w:val="center"/>
                </w:tcPr>
                <w:p>
                  <w:pPr>
                    <w:pStyle w:val="59"/>
                    <w:snapToGrid w:val="0"/>
                    <w:spacing w:line="240" w:lineRule="auto"/>
                    <w:ind w:firstLine="0" w:firstLineChars="0"/>
                    <w:jc w:val="center"/>
                    <w:rPr>
                      <w:b/>
                      <w:color w:val="auto"/>
                      <w:sz w:val="18"/>
                      <w:szCs w:val="18"/>
                    </w:rPr>
                  </w:pPr>
                  <w:r>
                    <w:rPr>
                      <w:rFonts w:hint="eastAsia"/>
                      <w:b/>
                      <w:color w:val="auto"/>
                      <w:sz w:val="18"/>
                      <w:szCs w:val="18"/>
                    </w:rPr>
                    <w:t>装置或建构筑物名称</w:t>
                  </w:r>
                </w:p>
              </w:tc>
              <w:tc>
                <w:tcPr>
                  <w:tcW w:w="423" w:type="pct"/>
                  <w:vAlign w:val="center"/>
                </w:tcPr>
                <w:p>
                  <w:pPr>
                    <w:pStyle w:val="59"/>
                    <w:snapToGrid w:val="0"/>
                    <w:spacing w:line="240" w:lineRule="auto"/>
                    <w:ind w:firstLine="0" w:firstLineChars="0"/>
                    <w:jc w:val="center"/>
                    <w:rPr>
                      <w:b/>
                      <w:color w:val="auto"/>
                      <w:sz w:val="18"/>
                      <w:szCs w:val="18"/>
                    </w:rPr>
                  </w:pPr>
                  <w:r>
                    <w:rPr>
                      <w:rFonts w:hint="eastAsia"/>
                      <w:b/>
                      <w:color w:val="auto"/>
                      <w:sz w:val="18"/>
                      <w:szCs w:val="18"/>
                    </w:rPr>
                    <w:t>防渗区域</w:t>
                  </w:r>
                </w:p>
              </w:tc>
              <w:tc>
                <w:tcPr>
                  <w:tcW w:w="2093" w:type="pct"/>
                  <w:vAlign w:val="center"/>
                </w:tcPr>
                <w:p>
                  <w:pPr>
                    <w:pStyle w:val="59"/>
                    <w:snapToGrid w:val="0"/>
                    <w:spacing w:line="240" w:lineRule="auto"/>
                    <w:ind w:firstLine="0" w:firstLineChars="0"/>
                    <w:jc w:val="center"/>
                    <w:rPr>
                      <w:b/>
                      <w:color w:val="auto"/>
                      <w:sz w:val="18"/>
                      <w:szCs w:val="18"/>
                    </w:rPr>
                  </w:pPr>
                  <w:r>
                    <w:rPr>
                      <w:rFonts w:hint="eastAsia"/>
                      <w:b/>
                      <w:color w:val="auto"/>
                      <w:sz w:val="18"/>
                      <w:szCs w:val="18"/>
                    </w:rPr>
                    <w:t>防渗要求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1" w:type="pct"/>
                  <w:vAlign w:val="center"/>
                </w:tcPr>
                <w:p>
                  <w:pPr>
                    <w:pStyle w:val="59"/>
                    <w:snapToGrid w:val="0"/>
                    <w:spacing w:line="240" w:lineRule="auto"/>
                    <w:ind w:firstLine="0" w:firstLineChars="0"/>
                    <w:jc w:val="center"/>
                    <w:rPr>
                      <w:color w:val="auto"/>
                      <w:sz w:val="18"/>
                      <w:szCs w:val="18"/>
                    </w:rPr>
                  </w:pPr>
                  <w:r>
                    <w:rPr>
                      <w:rFonts w:hint="eastAsia"/>
                      <w:color w:val="auto"/>
                      <w:sz w:val="18"/>
                      <w:szCs w:val="18"/>
                    </w:rPr>
                    <w:t>1</w:t>
                  </w:r>
                </w:p>
              </w:tc>
              <w:tc>
                <w:tcPr>
                  <w:tcW w:w="645" w:type="pct"/>
                  <w:vMerge w:val="restart"/>
                  <w:vAlign w:val="center"/>
                </w:tcPr>
                <w:p>
                  <w:pPr>
                    <w:pStyle w:val="59"/>
                    <w:snapToGrid w:val="0"/>
                    <w:spacing w:line="240" w:lineRule="auto"/>
                    <w:ind w:firstLine="0" w:firstLineChars="0"/>
                    <w:jc w:val="center"/>
                    <w:rPr>
                      <w:color w:val="auto"/>
                      <w:sz w:val="18"/>
                      <w:szCs w:val="18"/>
                    </w:rPr>
                  </w:pPr>
                  <w:r>
                    <w:rPr>
                      <w:rFonts w:hint="eastAsia"/>
                      <w:color w:val="auto"/>
                      <w:sz w:val="18"/>
                      <w:szCs w:val="18"/>
                    </w:rPr>
                    <w:t>一般污染防治区</w:t>
                  </w:r>
                </w:p>
              </w:tc>
              <w:tc>
                <w:tcPr>
                  <w:tcW w:w="1555" w:type="pct"/>
                  <w:vAlign w:val="center"/>
                </w:tcPr>
                <w:p>
                  <w:pPr>
                    <w:pStyle w:val="59"/>
                    <w:snapToGrid w:val="0"/>
                    <w:spacing w:line="240" w:lineRule="auto"/>
                    <w:ind w:firstLine="0" w:firstLineChars="0"/>
                    <w:jc w:val="center"/>
                    <w:rPr>
                      <w:color w:val="auto"/>
                      <w:sz w:val="18"/>
                      <w:szCs w:val="18"/>
                    </w:rPr>
                  </w:pPr>
                  <w:r>
                    <w:rPr>
                      <w:rFonts w:hint="eastAsia"/>
                      <w:color w:val="auto"/>
                      <w:sz w:val="18"/>
                      <w:szCs w:val="18"/>
                    </w:rPr>
                    <w:t>生产车间二外新增的精馏塔区</w:t>
                  </w:r>
                </w:p>
              </w:tc>
              <w:tc>
                <w:tcPr>
                  <w:tcW w:w="423" w:type="pct"/>
                  <w:vAlign w:val="center"/>
                </w:tcPr>
                <w:p>
                  <w:pPr>
                    <w:pStyle w:val="59"/>
                    <w:snapToGrid w:val="0"/>
                    <w:spacing w:line="240" w:lineRule="auto"/>
                    <w:ind w:firstLine="0" w:firstLineChars="0"/>
                    <w:jc w:val="center"/>
                    <w:rPr>
                      <w:color w:val="auto"/>
                      <w:sz w:val="18"/>
                      <w:szCs w:val="18"/>
                    </w:rPr>
                  </w:pPr>
                  <w:r>
                    <w:rPr>
                      <w:rFonts w:hint="eastAsia"/>
                      <w:color w:val="auto"/>
                      <w:sz w:val="18"/>
                      <w:szCs w:val="18"/>
                    </w:rPr>
                    <w:t>地面</w:t>
                  </w:r>
                </w:p>
              </w:tc>
              <w:tc>
                <w:tcPr>
                  <w:tcW w:w="2093" w:type="pct"/>
                  <w:vAlign w:val="center"/>
                </w:tcPr>
                <w:p>
                  <w:pPr>
                    <w:pStyle w:val="59"/>
                    <w:snapToGrid w:val="0"/>
                    <w:spacing w:line="240" w:lineRule="auto"/>
                    <w:ind w:firstLine="0" w:firstLineChars="0"/>
                    <w:jc w:val="left"/>
                    <w:rPr>
                      <w:color w:val="auto"/>
                      <w:sz w:val="18"/>
                      <w:szCs w:val="18"/>
                    </w:rPr>
                  </w:pPr>
                  <w:r>
                    <w:rPr>
                      <w:rFonts w:hint="eastAsia"/>
                      <w:color w:val="auto"/>
                      <w:sz w:val="18"/>
                      <w:szCs w:val="18"/>
                    </w:rPr>
                    <w:t>防渗性能不应低于1.5m厚渗透系数为1×10</w:t>
                  </w:r>
                  <w:r>
                    <w:rPr>
                      <w:rFonts w:hint="eastAsia"/>
                      <w:color w:val="auto"/>
                      <w:sz w:val="18"/>
                      <w:szCs w:val="18"/>
                      <w:vertAlign w:val="superscript"/>
                    </w:rPr>
                    <w:t>-7</w:t>
                  </w:r>
                  <w:r>
                    <w:rPr>
                      <w:rFonts w:hint="eastAsia"/>
                      <w:color w:val="auto"/>
                      <w:sz w:val="18"/>
                      <w:szCs w:val="18"/>
                    </w:rPr>
                    <w:t>cm/s的黏土层的防渗性能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1" w:type="pct"/>
                  <w:shd w:val="clear" w:color="auto" w:fill="auto"/>
                  <w:vAlign w:val="center"/>
                </w:tcPr>
                <w:p>
                  <w:pPr>
                    <w:pStyle w:val="59"/>
                    <w:snapToGrid w:val="0"/>
                    <w:spacing w:line="240" w:lineRule="auto"/>
                    <w:ind w:firstLine="0" w:firstLineChars="0"/>
                    <w:jc w:val="center"/>
                    <w:rPr>
                      <w:color w:val="auto"/>
                      <w:sz w:val="18"/>
                      <w:szCs w:val="18"/>
                    </w:rPr>
                  </w:pPr>
                  <w:r>
                    <w:rPr>
                      <w:rFonts w:hint="eastAsia"/>
                      <w:color w:val="auto"/>
                      <w:sz w:val="18"/>
                      <w:szCs w:val="18"/>
                    </w:rPr>
                    <w:t>2</w:t>
                  </w:r>
                </w:p>
              </w:tc>
              <w:tc>
                <w:tcPr>
                  <w:tcW w:w="645" w:type="pct"/>
                  <w:vMerge w:val="continue"/>
                  <w:shd w:val="clear" w:color="auto" w:fill="auto"/>
                  <w:vAlign w:val="center"/>
                </w:tcPr>
                <w:p>
                  <w:pPr>
                    <w:pStyle w:val="59"/>
                    <w:snapToGrid w:val="0"/>
                    <w:spacing w:line="240" w:lineRule="auto"/>
                    <w:ind w:firstLine="0" w:firstLineChars="0"/>
                    <w:jc w:val="center"/>
                    <w:rPr>
                      <w:color w:val="auto"/>
                      <w:sz w:val="18"/>
                      <w:szCs w:val="18"/>
                    </w:rPr>
                  </w:pPr>
                </w:p>
              </w:tc>
              <w:tc>
                <w:tcPr>
                  <w:tcW w:w="1555" w:type="pct"/>
                  <w:vAlign w:val="center"/>
                </w:tcPr>
                <w:p>
                  <w:pPr>
                    <w:jc w:val="center"/>
                    <w:rPr>
                      <w:color w:val="auto"/>
                      <w:sz w:val="18"/>
                      <w:szCs w:val="18"/>
                    </w:rPr>
                  </w:pPr>
                  <w:r>
                    <w:rPr>
                      <w:rFonts w:hint="eastAsia"/>
                      <w:color w:val="auto"/>
                      <w:sz w:val="18"/>
                      <w:szCs w:val="18"/>
                      <w:lang w:eastAsia="zh-CN"/>
                    </w:rPr>
                    <w:t>车间X1</w:t>
                  </w:r>
                  <w:r>
                    <w:rPr>
                      <w:rFonts w:hint="eastAsia"/>
                      <w:color w:val="auto"/>
                      <w:sz w:val="18"/>
                      <w:szCs w:val="18"/>
                    </w:rPr>
                    <w:t>生产装置区</w:t>
                  </w:r>
                </w:p>
              </w:tc>
              <w:tc>
                <w:tcPr>
                  <w:tcW w:w="423" w:type="pct"/>
                  <w:vAlign w:val="center"/>
                </w:tcPr>
                <w:p>
                  <w:pPr>
                    <w:pStyle w:val="59"/>
                    <w:snapToGrid w:val="0"/>
                    <w:spacing w:line="240" w:lineRule="auto"/>
                    <w:ind w:firstLine="0" w:firstLineChars="0"/>
                    <w:jc w:val="center"/>
                    <w:rPr>
                      <w:color w:val="auto"/>
                      <w:sz w:val="18"/>
                      <w:szCs w:val="18"/>
                    </w:rPr>
                  </w:pPr>
                  <w:r>
                    <w:rPr>
                      <w:rFonts w:hint="eastAsia"/>
                      <w:color w:val="auto"/>
                      <w:sz w:val="18"/>
                      <w:szCs w:val="18"/>
                    </w:rPr>
                    <w:t>地面</w:t>
                  </w:r>
                </w:p>
              </w:tc>
              <w:tc>
                <w:tcPr>
                  <w:tcW w:w="2093" w:type="pct"/>
                  <w:vAlign w:val="center"/>
                </w:tcPr>
                <w:p>
                  <w:pPr>
                    <w:pStyle w:val="59"/>
                    <w:snapToGrid w:val="0"/>
                    <w:spacing w:line="240" w:lineRule="auto"/>
                    <w:ind w:firstLine="0" w:firstLineChars="0"/>
                    <w:jc w:val="left"/>
                    <w:rPr>
                      <w:color w:val="auto"/>
                      <w:sz w:val="18"/>
                      <w:szCs w:val="18"/>
                    </w:rPr>
                  </w:pPr>
                  <w:r>
                    <w:rPr>
                      <w:rFonts w:hint="eastAsia"/>
                      <w:color w:val="auto"/>
                      <w:sz w:val="18"/>
                      <w:szCs w:val="18"/>
                    </w:rPr>
                    <w:t>防渗性能不应低于1.5m厚渗透系数为1×10</w:t>
                  </w:r>
                  <w:r>
                    <w:rPr>
                      <w:rFonts w:hint="eastAsia"/>
                      <w:color w:val="auto"/>
                      <w:sz w:val="18"/>
                      <w:szCs w:val="18"/>
                      <w:vertAlign w:val="superscript"/>
                    </w:rPr>
                    <w:t>-7</w:t>
                  </w:r>
                  <w:r>
                    <w:rPr>
                      <w:rFonts w:hint="eastAsia"/>
                      <w:color w:val="auto"/>
                      <w:sz w:val="18"/>
                      <w:szCs w:val="18"/>
                    </w:rPr>
                    <w:t>cm/s的黏土层的防渗性能</w:t>
                  </w:r>
                </w:p>
              </w:tc>
            </w:tr>
          </w:tbl>
          <w:p>
            <w:pPr>
              <w:widowControl/>
              <w:adjustRightInd w:val="0"/>
              <w:snapToGrid w:val="0"/>
              <w:spacing w:before="156" w:beforeLines="50" w:line="360" w:lineRule="auto"/>
              <w:outlineLvl w:val="2"/>
              <w:rPr>
                <w:b/>
                <w:color w:val="auto"/>
                <w:szCs w:val="21"/>
              </w:rPr>
            </w:pPr>
            <w:r>
              <w:rPr>
                <w:b/>
                <w:color w:val="auto"/>
                <w:szCs w:val="21"/>
              </w:rPr>
              <w:t>4.2.</w:t>
            </w:r>
            <w:r>
              <w:rPr>
                <w:rFonts w:hint="eastAsia"/>
                <w:b/>
                <w:color w:val="auto"/>
                <w:szCs w:val="21"/>
              </w:rPr>
              <w:t>5生态环境影响分析</w:t>
            </w:r>
          </w:p>
          <w:p>
            <w:pPr>
              <w:pStyle w:val="24"/>
              <w:spacing w:line="360" w:lineRule="auto"/>
              <w:ind w:firstLine="420"/>
              <w:rPr>
                <w:color w:val="auto"/>
                <w:sz w:val="21"/>
                <w:szCs w:val="21"/>
              </w:rPr>
            </w:pPr>
            <w:r>
              <w:rPr>
                <w:color w:val="auto"/>
                <w:sz w:val="21"/>
                <w:szCs w:val="21"/>
              </w:rPr>
              <w:t>根据《建设项目环境影响报告表编制技术指南（污染影响类）（试行）》，位于产业园区外建设项目新增用地且用地范围内含有生态环境保护目标时，应明确保护措施。本</w:t>
            </w:r>
            <w:r>
              <w:rPr>
                <w:rFonts w:hint="eastAsia"/>
                <w:color w:val="auto"/>
                <w:sz w:val="21"/>
                <w:szCs w:val="21"/>
              </w:rPr>
              <w:t>项目仅在一厂区闲置空地（原甲类仓库）进行建设，不新增用地，对照《明溪县国土空间总体规划（2021-2035年）》（附图8），项目用地为二类工业用地，在城市开发边界范围内</w:t>
            </w:r>
            <w:r>
              <w:rPr>
                <w:rFonts w:hint="eastAsia"/>
                <w:color w:val="auto"/>
                <w:sz w:val="21"/>
                <w:szCs w:val="21"/>
                <w:lang w:eastAsia="zh-CN"/>
              </w:rPr>
              <w:t>；</w:t>
            </w:r>
            <w:r>
              <w:rPr>
                <w:rFonts w:hint="eastAsia"/>
                <w:color w:val="auto"/>
                <w:sz w:val="21"/>
                <w:szCs w:val="21"/>
                <w:lang w:val="en-US" w:eastAsia="zh-CN"/>
              </w:rPr>
              <w:t>对照</w:t>
            </w:r>
            <w:r>
              <w:rPr>
                <w:rFonts w:hint="eastAsia"/>
                <w:color w:val="auto"/>
                <w:sz w:val="21"/>
                <w:szCs w:val="21"/>
              </w:rPr>
              <w:t>《明溪县生态环境功能区划图》（附图1</w:t>
            </w:r>
            <w:r>
              <w:rPr>
                <w:rFonts w:hint="eastAsia"/>
                <w:color w:val="auto"/>
                <w:sz w:val="21"/>
                <w:szCs w:val="21"/>
                <w:lang w:val="en-US" w:eastAsia="zh-CN"/>
              </w:rPr>
              <w:t>1</w:t>
            </w:r>
            <w:r>
              <w:rPr>
                <w:rFonts w:hint="eastAsia"/>
                <w:color w:val="auto"/>
                <w:sz w:val="21"/>
                <w:szCs w:val="21"/>
              </w:rPr>
              <w:t>），项目所在区域生态功能小区为明溪中部生态农业与城乡协调建设生态功能小区</w:t>
            </w:r>
            <w:r>
              <w:rPr>
                <w:rFonts w:hint="eastAsia"/>
                <w:color w:val="auto"/>
                <w:sz w:val="21"/>
                <w:szCs w:val="21"/>
                <w:lang w:eastAsia="zh-CN"/>
              </w:rPr>
              <w:t>，</w:t>
            </w:r>
            <w:r>
              <w:rPr>
                <w:rFonts w:hint="eastAsia"/>
                <w:color w:val="auto"/>
                <w:sz w:val="21"/>
                <w:szCs w:val="21"/>
              </w:rPr>
              <w:t>项目不在当地饮用水源、风景区、自然保护区等生态保护区内，不在生态环境保护红线范围内</w:t>
            </w:r>
            <w:r>
              <w:rPr>
                <w:rFonts w:hint="eastAsia"/>
                <w:color w:val="auto"/>
                <w:sz w:val="21"/>
                <w:szCs w:val="21"/>
                <w:lang w:eastAsia="zh-CN"/>
              </w:rPr>
              <w:t>。</w:t>
            </w:r>
            <w:r>
              <w:rPr>
                <w:rFonts w:hint="eastAsia"/>
                <w:color w:val="auto"/>
                <w:sz w:val="21"/>
                <w:szCs w:val="21"/>
                <w:lang w:val="en-US" w:eastAsia="zh-CN"/>
              </w:rPr>
              <w:t>综上，</w:t>
            </w:r>
            <w:r>
              <w:rPr>
                <w:color w:val="auto"/>
                <w:sz w:val="21"/>
                <w:szCs w:val="21"/>
              </w:rPr>
              <w:t>不属于编制指南中“产业园区外新增用地且用地范围内含有生态环境保护目标”的项目，</w:t>
            </w:r>
            <w:r>
              <w:rPr>
                <w:rFonts w:hint="eastAsia"/>
                <w:color w:val="auto"/>
                <w:sz w:val="21"/>
                <w:szCs w:val="21"/>
                <w:lang w:val="en-US" w:eastAsia="zh-CN"/>
              </w:rPr>
              <w:t>因此</w:t>
            </w:r>
            <w:r>
              <w:rPr>
                <w:color w:val="auto"/>
                <w:sz w:val="21"/>
                <w:szCs w:val="21"/>
              </w:rPr>
              <w:t>不进行相应生态环境影响评价。</w:t>
            </w:r>
          </w:p>
          <w:p>
            <w:pPr>
              <w:widowControl/>
              <w:adjustRightInd w:val="0"/>
              <w:snapToGrid w:val="0"/>
              <w:spacing w:before="156" w:beforeLines="50" w:line="360" w:lineRule="auto"/>
              <w:outlineLvl w:val="2"/>
              <w:rPr>
                <w:b/>
                <w:color w:val="auto"/>
                <w:szCs w:val="21"/>
              </w:rPr>
            </w:pPr>
            <w:r>
              <w:rPr>
                <w:b/>
                <w:color w:val="auto"/>
                <w:szCs w:val="21"/>
              </w:rPr>
              <w:t>4.2.</w:t>
            </w:r>
            <w:r>
              <w:rPr>
                <w:rFonts w:hint="eastAsia"/>
                <w:b/>
                <w:color w:val="auto"/>
                <w:szCs w:val="21"/>
              </w:rPr>
              <w:t>6环境风险影响和保护措施</w:t>
            </w:r>
          </w:p>
          <w:p>
            <w:pPr>
              <w:spacing w:line="360" w:lineRule="auto"/>
              <w:ind w:firstLine="420" w:firstLineChars="200"/>
              <w:rPr>
                <w:color w:val="auto"/>
                <w:szCs w:val="21"/>
              </w:rPr>
            </w:pPr>
            <w:r>
              <w:rPr>
                <w:color w:val="auto"/>
                <w:szCs w:val="21"/>
              </w:rPr>
              <w:t>（1）评价依据</w:t>
            </w:r>
          </w:p>
          <w:p>
            <w:pPr>
              <w:spacing w:line="360" w:lineRule="auto"/>
              <w:ind w:firstLine="420" w:firstLineChars="200"/>
              <w:rPr>
                <w:color w:val="auto"/>
                <w:szCs w:val="21"/>
              </w:rPr>
            </w:pPr>
            <w:r>
              <w:rPr>
                <w:color w:val="auto"/>
                <w:szCs w:val="21"/>
              </w:rPr>
              <w:t>①风险调查</w:t>
            </w:r>
          </w:p>
          <w:p>
            <w:pPr>
              <w:spacing w:line="360" w:lineRule="auto"/>
              <w:ind w:firstLine="420" w:firstLineChars="200"/>
              <w:rPr>
                <w:color w:val="auto"/>
                <w:szCs w:val="21"/>
              </w:rPr>
            </w:pPr>
            <w:r>
              <w:rPr>
                <w:color w:val="auto"/>
                <w:szCs w:val="21"/>
              </w:rPr>
              <w:t>根据《建设项目环境风险评价技术导则》（HJ169-2018）附录B、《企业突发环境事件风险分级方法》（HJ 941-2018）、《危险化学品名录》和《危险化学品重大危险源辨识》（GB18218-2018）的规定，在进行项目潜在危害分析时，首先根据《建设项目环境风险评价技术导则》附录B中表1内容与《危险化学品重大危险源辨识》（GB18218-2018），筛选出本项目重点关注的危险物质及临界量。</w:t>
            </w:r>
          </w:p>
          <w:p>
            <w:pPr>
              <w:spacing w:line="360" w:lineRule="auto"/>
              <w:ind w:firstLine="420" w:firstLineChars="200"/>
              <w:rPr>
                <w:rFonts w:hint="eastAsia"/>
                <w:color w:val="auto"/>
                <w:szCs w:val="21"/>
              </w:rPr>
            </w:pPr>
            <w:r>
              <w:rPr>
                <w:rFonts w:hint="eastAsia"/>
                <w:color w:val="auto"/>
                <w:szCs w:val="21"/>
              </w:rPr>
              <w:t>本项目生产过程中涉及的物料见下表：</w:t>
            </w:r>
          </w:p>
          <w:p>
            <w:pPr>
              <w:spacing w:before="194" w:beforeLines="50"/>
              <w:jc w:val="center"/>
              <w:outlineLvl w:val="5"/>
              <w:rPr>
                <w:rFonts w:hint="default"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表4-36</w:t>
            </w:r>
            <w:r>
              <w:rPr>
                <w:rFonts w:hint="eastAsia" w:cs="Times New Roman"/>
                <w:b/>
                <w:color w:val="auto"/>
                <w:spacing w:val="0"/>
                <w:sz w:val="21"/>
                <w:szCs w:val="21"/>
                <w:lang w:val="en-US" w:eastAsia="zh-CN"/>
              </w:rPr>
              <w:t xml:space="preserve">  </w:t>
            </w:r>
            <w:r>
              <w:rPr>
                <w:rFonts w:hint="eastAsia" w:eastAsia="宋体" w:cs="Times New Roman"/>
                <w:b/>
                <w:color w:val="auto"/>
                <w:spacing w:val="0"/>
                <w:sz w:val="21"/>
                <w:szCs w:val="21"/>
                <w:lang w:val="en-US" w:eastAsia="zh-CN"/>
              </w:rPr>
              <w:t>本项目危险物质识别情况</w:t>
            </w:r>
          </w:p>
          <w:tbl>
            <w:tblPr>
              <w:tblStyle w:val="2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5"/>
              <w:gridCol w:w="2486"/>
              <w:gridCol w:w="1800"/>
              <w:gridCol w:w="24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2457" w:type="pct"/>
                  <w:gridSpan w:val="2"/>
                  <w:vAlign w:val="center"/>
                </w:tcPr>
                <w:p>
                  <w:pPr>
                    <w:snapToGrid w:val="0"/>
                    <w:jc w:val="center"/>
                    <w:rPr>
                      <w:b/>
                      <w:color w:val="auto"/>
                      <w:sz w:val="18"/>
                      <w:szCs w:val="18"/>
                    </w:rPr>
                  </w:pPr>
                  <w:r>
                    <w:rPr>
                      <w:rFonts w:hint="eastAsia"/>
                      <w:b/>
                      <w:color w:val="auto"/>
                      <w:sz w:val="18"/>
                      <w:szCs w:val="18"/>
                    </w:rPr>
                    <w:t>物料名称</w:t>
                  </w:r>
                </w:p>
              </w:tc>
              <w:tc>
                <w:tcPr>
                  <w:tcW w:w="1068" w:type="pct"/>
                  <w:vAlign w:val="center"/>
                </w:tcPr>
                <w:p>
                  <w:pPr>
                    <w:snapToGrid w:val="0"/>
                    <w:jc w:val="center"/>
                    <w:rPr>
                      <w:b/>
                      <w:color w:val="auto"/>
                      <w:sz w:val="18"/>
                      <w:szCs w:val="18"/>
                    </w:rPr>
                  </w:pPr>
                  <w:r>
                    <w:rPr>
                      <w:rFonts w:hint="eastAsia"/>
                      <w:b/>
                      <w:color w:val="auto"/>
                      <w:sz w:val="18"/>
                      <w:szCs w:val="18"/>
                    </w:rPr>
                    <w:t>最大贮存量t</w:t>
                  </w:r>
                </w:p>
              </w:tc>
              <w:tc>
                <w:tcPr>
                  <w:tcW w:w="1473" w:type="pct"/>
                  <w:vAlign w:val="center"/>
                </w:tcPr>
                <w:p>
                  <w:pPr>
                    <w:snapToGrid w:val="0"/>
                    <w:jc w:val="center"/>
                    <w:rPr>
                      <w:b/>
                      <w:color w:val="auto"/>
                      <w:sz w:val="18"/>
                      <w:szCs w:val="18"/>
                    </w:rPr>
                  </w:pPr>
                  <w:r>
                    <w:rPr>
                      <w:rFonts w:hint="eastAsia"/>
                      <w:b/>
                      <w:color w:val="auto"/>
                      <w:sz w:val="18"/>
                      <w:szCs w:val="18"/>
                    </w:rPr>
                    <w:t>是否属于危险物质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2" w:type="pct"/>
                  <w:vMerge w:val="restart"/>
                  <w:vAlign w:val="center"/>
                </w:tcPr>
                <w:p>
                  <w:pPr>
                    <w:snapToGrid w:val="0"/>
                    <w:jc w:val="center"/>
                    <w:rPr>
                      <w:color w:val="auto"/>
                      <w:sz w:val="18"/>
                      <w:szCs w:val="18"/>
                    </w:rPr>
                  </w:pPr>
                  <w:r>
                    <w:rPr>
                      <w:rFonts w:hint="eastAsia"/>
                      <w:color w:val="auto"/>
                      <w:sz w:val="18"/>
                      <w:szCs w:val="18"/>
                    </w:rPr>
                    <w:t>原辅材料</w:t>
                  </w:r>
                </w:p>
              </w:tc>
              <w:tc>
                <w:tcPr>
                  <w:tcW w:w="1475" w:type="pct"/>
                  <w:vAlign w:val="center"/>
                </w:tcPr>
                <w:p>
                  <w:pPr>
                    <w:snapToGrid w:val="0"/>
                    <w:jc w:val="center"/>
                    <w:rPr>
                      <w:color w:val="auto"/>
                      <w:sz w:val="18"/>
                      <w:szCs w:val="18"/>
                    </w:rPr>
                  </w:pPr>
                  <w:r>
                    <w:rPr>
                      <w:rFonts w:hint="eastAsia"/>
                      <w:color w:val="auto"/>
                      <w:sz w:val="18"/>
                      <w:szCs w:val="18"/>
                    </w:rPr>
                    <w:t>氟</w:t>
                  </w:r>
                  <w:r>
                    <w:rPr>
                      <w:rFonts w:hint="eastAsia"/>
                      <w:color w:val="auto"/>
                      <w:sz w:val="18"/>
                      <w:szCs w:val="18"/>
                      <w:lang w:eastAsia="zh-CN"/>
                    </w:rPr>
                    <w:t>原料</w:t>
                  </w:r>
                  <w:r>
                    <w:rPr>
                      <w:rFonts w:hint="eastAsia"/>
                      <w:color w:val="auto"/>
                      <w:sz w:val="18"/>
                      <w:szCs w:val="18"/>
                    </w:rPr>
                    <w:t>浓浆料</w:t>
                  </w:r>
                </w:p>
              </w:tc>
              <w:tc>
                <w:tcPr>
                  <w:tcW w:w="1068" w:type="pct"/>
                  <w:vAlign w:val="center"/>
                </w:tcPr>
                <w:p>
                  <w:pPr>
                    <w:snapToGrid w:val="0"/>
                    <w:jc w:val="center"/>
                    <w:rPr>
                      <w:rFonts w:hint="eastAsia" w:eastAsia="宋体"/>
                      <w:color w:val="auto"/>
                      <w:sz w:val="18"/>
                      <w:szCs w:val="18"/>
                      <w:lang w:eastAsia="zh-CN"/>
                    </w:rPr>
                  </w:pPr>
                  <w:r>
                    <w:rPr>
                      <w:rFonts w:hint="eastAsia"/>
                      <w:color w:val="auto"/>
                      <w:sz w:val="18"/>
                      <w:szCs w:val="18"/>
                      <w:lang w:val="en-US" w:eastAsia="zh-CN"/>
                    </w:rPr>
                    <w:t>0</w:t>
                  </w:r>
                </w:p>
              </w:tc>
              <w:tc>
                <w:tcPr>
                  <w:tcW w:w="1473" w:type="pct"/>
                  <w:vAlign w:val="center"/>
                </w:tcPr>
                <w:p>
                  <w:pPr>
                    <w:snapToGrid w:val="0"/>
                    <w:jc w:val="center"/>
                    <w:rPr>
                      <w:color w:val="auto"/>
                      <w:sz w:val="18"/>
                      <w:szCs w:val="18"/>
                    </w:rPr>
                  </w:pPr>
                  <w:r>
                    <w:rPr>
                      <w:rFonts w:hint="eastAsia"/>
                      <w:color w:val="auto"/>
                      <w:sz w:val="18"/>
                      <w:szCs w:val="1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2" w:type="pct"/>
                  <w:vMerge w:val="continue"/>
                  <w:vAlign w:val="center"/>
                </w:tcPr>
                <w:p>
                  <w:pPr>
                    <w:snapToGrid w:val="0"/>
                    <w:jc w:val="center"/>
                    <w:rPr>
                      <w:color w:val="auto"/>
                      <w:sz w:val="18"/>
                      <w:szCs w:val="18"/>
                    </w:rPr>
                  </w:pPr>
                </w:p>
              </w:tc>
              <w:tc>
                <w:tcPr>
                  <w:tcW w:w="1475" w:type="pct"/>
                  <w:vAlign w:val="center"/>
                </w:tcPr>
                <w:p>
                  <w:pPr>
                    <w:snapToGrid w:val="0"/>
                    <w:jc w:val="center"/>
                    <w:rPr>
                      <w:rFonts w:hint="eastAsia" w:eastAsia="宋体"/>
                      <w:color w:val="auto"/>
                      <w:sz w:val="18"/>
                      <w:szCs w:val="18"/>
                      <w:lang w:eastAsia="zh-CN"/>
                    </w:rPr>
                  </w:pPr>
                  <w:r>
                    <w:rPr>
                      <w:rFonts w:hint="eastAsia"/>
                      <w:color w:val="auto"/>
                      <w:sz w:val="18"/>
                      <w:szCs w:val="18"/>
                      <w:lang w:eastAsia="zh-CN"/>
                    </w:rPr>
                    <w:t>溶剂</w:t>
                  </w:r>
                </w:p>
              </w:tc>
              <w:tc>
                <w:tcPr>
                  <w:tcW w:w="1068" w:type="pct"/>
                  <w:vAlign w:val="center"/>
                </w:tcPr>
                <w:p>
                  <w:pPr>
                    <w:snapToGrid w:val="0"/>
                    <w:jc w:val="center"/>
                    <w:rPr>
                      <w:rFonts w:hint="eastAsia" w:eastAsia="宋体"/>
                      <w:color w:val="auto"/>
                      <w:sz w:val="18"/>
                      <w:szCs w:val="18"/>
                      <w:lang w:eastAsia="zh-CN"/>
                    </w:rPr>
                  </w:pPr>
                  <w:r>
                    <w:rPr>
                      <w:rFonts w:hint="eastAsia"/>
                      <w:color w:val="auto"/>
                      <w:sz w:val="18"/>
                      <w:szCs w:val="18"/>
                      <w:lang w:val="en-US" w:eastAsia="zh-CN"/>
                    </w:rPr>
                    <w:t>4</w:t>
                  </w:r>
                </w:p>
              </w:tc>
              <w:tc>
                <w:tcPr>
                  <w:tcW w:w="1473" w:type="pct"/>
                  <w:vAlign w:val="center"/>
                </w:tcPr>
                <w:p>
                  <w:pPr>
                    <w:snapToGrid w:val="0"/>
                    <w:jc w:val="center"/>
                    <w:rPr>
                      <w:color w:val="auto"/>
                      <w:sz w:val="18"/>
                      <w:szCs w:val="18"/>
                    </w:rPr>
                  </w:pPr>
                  <w:r>
                    <w:rPr>
                      <w:rFonts w:hint="eastAsia"/>
                      <w:color w:val="auto"/>
                      <w:sz w:val="18"/>
                      <w:szCs w:val="1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2" w:type="pct"/>
                  <w:shd w:val="clear" w:color="auto" w:fill="auto"/>
                  <w:vAlign w:val="center"/>
                </w:tcPr>
                <w:p>
                  <w:pPr>
                    <w:snapToGrid w:val="0"/>
                    <w:jc w:val="center"/>
                    <w:rPr>
                      <w:color w:val="auto"/>
                      <w:sz w:val="18"/>
                      <w:szCs w:val="18"/>
                    </w:rPr>
                  </w:pPr>
                  <w:r>
                    <w:rPr>
                      <w:rFonts w:hint="eastAsia"/>
                      <w:color w:val="auto"/>
                      <w:sz w:val="18"/>
                      <w:szCs w:val="18"/>
                    </w:rPr>
                    <w:t>产品</w:t>
                  </w:r>
                </w:p>
              </w:tc>
              <w:tc>
                <w:tcPr>
                  <w:tcW w:w="1475" w:type="pct"/>
                  <w:vAlign w:val="center"/>
                </w:tcPr>
                <w:p>
                  <w:pPr>
                    <w:snapToGrid w:val="0"/>
                    <w:jc w:val="center"/>
                    <w:rPr>
                      <w:color w:val="auto"/>
                      <w:sz w:val="18"/>
                      <w:szCs w:val="18"/>
                    </w:rPr>
                  </w:pPr>
                  <w:r>
                    <w:rPr>
                      <w:rFonts w:hint="eastAsia"/>
                      <w:color w:val="auto"/>
                      <w:sz w:val="18"/>
                      <w:szCs w:val="18"/>
                    </w:rPr>
                    <w:t>氟</w:t>
                  </w:r>
                  <w:r>
                    <w:rPr>
                      <w:rFonts w:hint="eastAsia"/>
                      <w:color w:val="auto"/>
                      <w:sz w:val="18"/>
                      <w:szCs w:val="18"/>
                      <w:lang w:eastAsia="zh-CN"/>
                    </w:rPr>
                    <w:t>原料</w:t>
                  </w:r>
                  <w:r>
                    <w:rPr>
                      <w:rFonts w:hint="eastAsia"/>
                      <w:color w:val="auto"/>
                      <w:sz w:val="18"/>
                      <w:szCs w:val="18"/>
                    </w:rPr>
                    <w:t>薄膜</w:t>
                  </w:r>
                </w:p>
              </w:tc>
              <w:tc>
                <w:tcPr>
                  <w:tcW w:w="1068" w:type="pct"/>
                  <w:vAlign w:val="center"/>
                </w:tcPr>
                <w:p>
                  <w:pPr>
                    <w:snapToGrid w:val="0"/>
                    <w:jc w:val="center"/>
                    <w:rPr>
                      <w:color w:val="auto"/>
                      <w:sz w:val="18"/>
                      <w:szCs w:val="18"/>
                    </w:rPr>
                  </w:pPr>
                  <w:r>
                    <w:rPr>
                      <w:rFonts w:hint="eastAsia"/>
                      <w:color w:val="auto"/>
                      <w:sz w:val="18"/>
                      <w:szCs w:val="18"/>
                    </w:rPr>
                    <w:t>1</w:t>
                  </w:r>
                </w:p>
              </w:tc>
              <w:tc>
                <w:tcPr>
                  <w:tcW w:w="1473" w:type="pct"/>
                  <w:vAlign w:val="center"/>
                </w:tcPr>
                <w:p>
                  <w:pPr>
                    <w:snapToGrid w:val="0"/>
                    <w:jc w:val="center"/>
                    <w:rPr>
                      <w:color w:val="auto"/>
                      <w:sz w:val="18"/>
                      <w:szCs w:val="18"/>
                    </w:rPr>
                  </w:pPr>
                  <w:r>
                    <w:rPr>
                      <w:rFonts w:hint="eastAsia"/>
                      <w:color w:val="auto"/>
                      <w:sz w:val="18"/>
                      <w:szCs w:val="1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2" w:type="pct"/>
                  <w:shd w:val="clear" w:color="auto" w:fill="auto"/>
                  <w:vAlign w:val="center"/>
                </w:tcPr>
                <w:p>
                  <w:pPr>
                    <w:snapToGrid w:val="0"/>
                    <w:jc w:val="center"/>
                    <w:rPr>
                      <w:color w:val="auto"/>
                      <w:sz w:val="18"/>
                      <w:szCs w:val="18"/>
                    </w:rPr>
                  </w:pPr>
                  <w:r>
                    <w:rPr>
                      <w:rFonts w:hint="eastAsia"/>
                      <w:color w:val="auto"/>
                      <w:sz w:val="18"/>
                      <w:szCs w:val="18"/>
                    </w:rPr>
                    <w:t>废气污染物</w:t>
                  </w:r>
                </w:p>
              </w:tc>
              <w:tc>
                <w:tcPr>
                  <w:tcW w:w="1475" w:type="pct"/>
                  <w:vAlign w:val="center"/>
                </w:tcPr>
                <w:p>
                  <w:pPr>
                    <w:snapToGrid w:val="0"/>
                    <w:jc w:val="center"/>
                    <w:rPr>
                      <w:color w:val="auto"/>
                      <w:sz w:val="18"/>
                      <w:szCs w:val="18"/>
                    </w:rPr>
                  </w:pPr>
                  <w:r>
                    <w:rPr>
                      <w:rFonts w:hint="eastAsia"/>
                      <w:color w:val="auto"/>
                      <w:sz w:val="18"/>
                      <w:szCs w:val="18"/>
                    </w:rPr>
                    <w:t>非甲烷总烃</w:t>
                  </w:r>
                </w:p>
              </w:tc>
              <w:tc>
                <w:tcPr>
                  <w:tcW w:w="1068" w:type="pct"/>
                  <w:vAlign w:val="center"/>
                </w:tcPr>
                <w:p>
                  <w:pPr>
                    <w:snapToGrid w:val="0"/>
                    <w:jc w:val="center"/>
                    <w:rPr>
                      <w:color w:val="auto"/>
                      <w:sz w:val="18"/>
                      <w:szCs w:val="18"/>
                    </w:rPr>
                  </w:pPr>
                  <w:r>
                    <w:rPr>
                      <w:rFonts w:hint="eastAsia"/>
                      <w:color w:val="auto"/>
                      <w:sz w:val="18"/>
                      <w:szCs w:val="18"/>
                    </w:rPr>
                    <w:t>/</w:t>
                  </w:r>
                </w:p>
              </w:tc>
              <w:tc>
                <w:tcPr>
                  <w:tcW w:w="1473" w:type="pct"/>
                  <w:vAlign w:val="center"/>
                </w:tcPr>
                <w:p>
                  <w:pPr>
                    <w:snapToGrid w:val="0"/>
                    <w:jc w:val="center"/>
                    <w:rPr>
                      <w:color w:val="auto"/>
                      <w:sz w:val="18"/>
                      <w:szCs w:val="18"/>
                    </w:rPr>
                  </w:pPr>
                  <w:r>
                    <w:rPr>
                      <w:rFonts w:hint="eastAsia"/>
                      <w:color w:val="auto"/>
                      <w:sz w:val="18"/>
                      <w:szCs w:val="1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2" w:type="pct"/>
                  <w:vMerge w:val="restart"/>
                  <w:shd w:val="clear" w:color="auto" w:fill="auto"/>
                  <w:vAlign w:val="center"/>
                </w:tcPr>
                <w:p>
                  <w:pPr>
                    <w:snapToGrid w:val="0"/>
                    <w:jc w:val="center"/>
                    <w:rPr>
                      <w:color w:val="auto"/>
                      <w:sz w:val="18"/>
                      <w:szCs w:val="18"/>
                    </w:rPr>
                  </w:pPr>
                  <w:r>
                    <w:rPr>
                      <w:rFonts w:hint="eastAsia"/>
                      <w:color w:val="auto"/>
                      <w:sz w:val="18"/>
                      <w:szCs w:val="18"/>
                    </w:rPr>
                    <w:t>废水污染物</w:t>
                  </w:r>
                </w:p>
              </w:tc>
              <w:tc>
                <w:tcPr>
                  <w:tcW w:w="1475" w:type="pct"/>
                  <w:vAlign w:val="center"/>
                </w:tcPr>
                <w:p>
                  <w:pPr>
                    <w:snapToGrid w:val="0"/>
                    <w:jc w:val="center"/>
                    <w:rPr>
                      <w:rFonts w:hint="eastAsia" w:eastAsia="宋体"/>
                      <w:color w:val="auto"/>
                      <w:sz w:val="18"/>
                      <w:szCs w:val="18"/>
                      <w:lang w:eastAsia="zh-CN"/>
                    </w:rPr>
                  </w:pPr>
                  <w:r>
                    <w:rPr>
                      <w:rFonts w:hint="eastAsia"/>
                      <w:color w:val="auto"/>
                      <w:sz w:val="18"/>
                      <w:szCs w:val="18"/>
                    </w:rPr>
                    <w:t>COD</w:t>
                  </w:r>
                  <w:r>
                    <w:rPr>
                      <w:rFonts w:hint="eastAsia"/>
                      <w:color w:val="auto"/>
                      <w:sz w:val="18"/>
                      <w:szCs w:val="18"/>
                      <w:lang w:eastAsia="zh-CN"/>
                    </w:rPr>
                    <w:t>（</w:t>
                  </w:r>
                  <w:r>
                    <w:rPr>
                      <w:rFonts w:hint="eastAsia"/>
                      <w:color w:val="auto"/>
                      <w:sz w:val="18"/>
                      <w:szCs w:val="18"/>
                      <w:lang w:val="en-US" w:eastAsia="zh-CN"/>
                    </w:rPr>
                    <w:t>产生浓度659.93mg/L</w:t>
                  </w:r>
                  <w:r>
                    <w:rPr>
                      <w:rFonts w:hint="eastAsia"/>
                      <w:color w:val="auto"/>
                      <w:sz w:val="18"/>
                      <w:szCs w:val="18"/>
                      <w:lang w:eastAsia="zh-CN"/>
                    </w:rPr>
                    <w:t>）</w:t>
                  </w:r>
                </w:p>
              </w:tc>
              <w:tc>
                <w:tcPr>
                  <w:tcW w:w="1068" w:type="pct"/>
                  <w:vAlign w:val="center"/>
                </w:tcPr>
                <w:p>
                  <w:pPr>
                    <w:snapToGrid w:val="0"/>
                    <w:jc w:val="center"/>
                    <w:rPr>
                      <w:color w:val="auto"/>
                      <w:sz w:val="18"/>
                      <w:szCs w:val="18"/>
                    </w:rPr>
                  </w:pPr>
                  <w:r>
                    <w:rPr>
                      <w:rFonts w:hint="eastAsia"/>
                      <w:color w:val="auto"/>
                      <w:sz w:val="18"/>
                      <w:szCs w:val="18"/>
                    </w:rPr>
                    <w:t>/</w:t>
                  </w:r>
                </w:p>
              </w:tc>
              <w:tc>
                <w:tcPr>
                  <w:tcW w:w="1473" w:type="pct"/>
                  <w:vAlign w:val="center"/>
                </w:tcPr>
                <w:p>
                  <w:pPr>
                    <w:snapToGrid w:val="0"/>
                    <w:jc w:val="center"/>
                    <w:rPr>
                      <w:color w:val="auto"/>
                      <w:sz w:val="18"/>
                      <w:szCs w:val="18"/>
                    </w:rPr>
                  </w:pPr>
                  <w:r>
                    <w:rPr>
                      <w:rFonts w:hint="eastAsia"/>
                      <w:color w:val="auto"/>
                      <w:sz w:val="18"/>
                      <w:szCs w:val="1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2" w:type="pct"/>
                  <w:vMerge w:val="continue"/>
                  <w:shd w:val="clear" w:color="auto" w:fill="auto"/>
                  <w:vAlign w:val="center"/>
                </w:tcPr>
                <w:p>
                  <w:pPr>
                    <w:snapToGrid w:val="0"/>
                    <w:jc w:val="center"/>
                    <w:rPr>
                      <w:color w:val="auto"/>
                      <w:sz w:val="18"/>
                      <w:szCs w:val="18"/>
                    </w:rPr>
                  </w:pPr>
                </w:p>
              </w:tc>
              <w:tc>
                <w:tcPr>
                  <w:tcW w:w="1475" w:type="pct"/>
                  <w:vAlign w:val="center"/>
                </w:tcPr>
                <w:p>
                  <w:pPr>
                    <w:snapToGrid w:val="0"/>
                    <w:jc w:val="center"/>
                    <w:rPr>
                      <w:color w:val="auto"/>
                      <w:sz w:val="18"/>
                      <w:szCs w:val="18"/>
                    </w:rPr>
                  </w:pPr>
                  <w:r>
                    <w:rPr>
                      <w:rFonts w:hint="eastAsia"/>
                      <w:color w:val="auto"/>
                      <w:sz w:val="18"/>
                      <w:szCs w:val="18"/>
                    </w:rPr>
                    <w:t>BOD</w:t>
                  </w:r>
                  <w:r>
                    <w:rPr>
                      <w:rFonts w:hint="eastAsia"/>
                      <w:color w:val="auto"/>
                      <w:sz w:val="18"/>
                      <w:szCs w:val="18"/>
                      <w:vertAlign w:val="subscript"/>
                    </w:rPr>
                    <w:t>5</w:t>
                  </w:r>
                </w:p>
              </w:tc>
              <w:tc>
                <w:tcPr>
                  <w:tcW w:w="1068" w:type="pct"/>
                  <w:vAlign w:val="center"/>
                </w:tcPr>
                <w:p>
                  <w:pPr>
                    <w:snapToGrid w:val="0"/>
                    <w:jc w:val="center"/>
                    <w:rPr>
                      <w:color w:val="auto"/>
                      <w:sz w:val="18"/>
                      <w:szCs w:val="18"/>
                    </w:rPr>
                  </w:pPr>
                  <w:r>
                    <w:rPr>
                      <w:rFonts w:hint="eastAsia"/>
                      <w:color w:val="auto"/>
                      <w:sz w:val="18"/>
                      <w:szCs w:val="18"/>
                    </w:rPr>
                    <w:t>/</w:t>
                  </w:r>
                </w:p>
              </w:tc>
              <w:tc>
                <w:tcPr>
                  <w:tcW w:w="1473" w:type="pct"/>
                  <w:vAlign w:val="center"/>
                </w:tcPr>
                <w:p>
                  <w:pPr>
                    <w:snapToGrid w:val="0"/>
                    <w:jc w:val="center"/>
                    <w:rPr>
                      <w:color w:val="auto"/>
                      <w:sz w:val="18"/>
                      <w:szCs w:val="18"/>
                    </w:rPr>
                  </w:pPr>
                  <w:r>
                    <w:rPr>
                      <w:rFonts w:hint="eastAsia"/>
                      <w:color w:val="auto"/>
                      <w:sz w:val="18"/>
                      <w:szCs w:val="1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2" w:type="pct"/>
                  <w:vMerge w:val="continue"/>
                  <w:vAlign w:val="center"/>
                </w:tcPr>
                <w:p>
                  <w:pPr>
                    <w:snapToGrid w:val="0"/>
                    <w:jc w:val="center"/>
                    <w:rPr>
                      <w:color w:val="auto"/>
                      <w:sz w:val="18"/>
                      <w:szCs w:val="18"/>
                    </w:rPr>
                  </w:pPr>
                </w:p>
              </w:tc>
              <w:tc>
                <w:tcPr>
                  <w:tcW w:w="1475" w:type="pct"/>
                  <w:vAlign w:val="center"/>
                </w:tcPr>
                <w:p>
                  <w:pPr>
                    <w:snapToGrid w:val="0"/>
                    <w:jc w:val="center"/>
                    <w:rPr>
                      <w:color w:val="auto"/>
                      <w:sz w:val="18"/>
                      <w:szCs w:val="18"/>
                    </w:rPr>
                  </w:pPr>
                  <w:r>
                    <w:rPr>
                      <w:rFonts w:hint="eastAsia"/>
                      <w:color w:val="auto"/>
                      <w:sz w:val="18"/>
                      <w:szCs w:val="18"/>
                    </w:rPr>
                    <w:t>SS</w:t>
                  </w:r>
                </w:p>
              </w:tc>
              <w:tc>
                <w:tcPr>
                  <w:tcW w:w="1068" w:type="pct"/>
                  <w:vAlign w:val="center"/>
                </w:tcPr>
                <w:p>
                  <w:pPr>
                    <w:snapToGrid w:val="0"/>
                    <w:jc w:val="center"/>
                    <w:rPr>
                      <w:color w:val="auto"/>
                      <w:sz w:val="18"/>
                      <w:szCs w:val="18"/>
                    </w:rPr>
                  </w:pPr>
                  <w:r>
                    <w:rPr>
                      <w:rFonts w:hint="eastAsia"/>
                      <w:color w:val="auto"/>
                      <w:sz w:val="18"/>
                      <w:szCs w:val="18"/>
                    </w:rPr>
                    <w:t>/</w:t>
                  </w:r>
                </w:p>
              </w:tc>
              <w:tc>
                <w:tcPr>
                  <w:tcW w:w="1473" w:type="pct"/>
                  <w:vAlign w:val="center"/>
                </w:tcPr>
                <w:p>
                  <w:pPr>
                    <w:snapToGrid w:val="0"/>
                    <w:jc w:val="center"/>
                    <w:rPr>
                      <w:color w:val="auto"/>
                      <w:sz w:val="18"/>
                      <w:szCs w:val="18"/>
                    </w:rPr>
                  </w:pPr>
                  <w:r>
                    <w:rPr>
                      <w:rFonts w:hint="eastAsia"/>
                      <w:color w:val="auto"/>
                      <w:sz w:val="18"/>
                      <w:szCs w:val="1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2" w:type="pct"/>
                  <w:vMerge w:val="continue"/>
                  <w:vAlign w:val="center"/>
                </w:tcPr>
                <w:p>
                  <w:pPr>
                    <w:snapToGrid w:val="0"/>
                    <w:jc w:val="center"/>
                    <w:rPr>
                      <w:color w:val="auto"/>
                      <w:sz w:val="18"/>
                      <w:szCs w:val="18"/>
                    </w:rPr>
                  </w:pPr>
                </w:p>
              </w:tc>
              <w:tc>
                <w:tcPr>
                  <w:tcW w:w="1475" w:type="pct"/>
                  <w:vAlign w:val="center"/>
                </w:tcPr>
                <w:p>
                  <w:pPr>
                    <w:snapToGrid w:val="0"/>
                    <w:jc w:val="center"/>
                    <w:rPr>
                      <w:rFonts w:hint="eastAsia" w:eastAsia="宋体"/>
                      <w:color w:val="auto"/>
                      <w:sz w:val="18"/>
                      <w:szCs w:val="18"/>
                      <w:lang w:eastAsia="zh-CN"/>
                    </w:rPr>
                  </w:pPr>
                  <w:r>
                    <w:rPr>
                      <w:rFonts w:hint="eastAsia"/>
                      <w:color w:val="auto"/>
                      <w:sz w:val="18"/>
                      <w:szCs w:val="18"/>
                    </w:rPr>
                    <w:t>氨氮</w:t>
                  </w:r>
                  <w:r>
                    <w:rPr>
                      <w:rFonts w:hint="eastAsia"/>
                      <w:color w:val="auto"/>
                      <w:sz w:val="18"/>
                      <w:szCs w:val="18"/>
                      <w:lang w:eastAsia="zh-CN"/>
                    </w:rPr>
                    <w:t>（</w:t>
                  </w:r>
                  <w:r>
                    <w:rPr>
                      <w:rFonts w:hint="eastAsia"/>
                      <w:color w:val="auto"/>
                      <w:sz w:val="18"/>
                      <w:szCs w:val="18"/>
                      <w:lang w:val="en-US" w:eastAsia="zh-CN"/>
                    </w:rPr>
                    <w:t>产生浓度23.81mg/L</w:t>
                  </w:r>
                  <w:r>
                    <w:rPr>
                      <w:rFonts w:hint="eastAsia"/>
                      <w:color w:val="auto"/>
                      <w:sz w:val="18"/>
                      <w:szCs w:val="18"/>
                      <w:lang w:eastAsia="zh-CN"/>
                    </w:rPr>
                    <w:t>）</w:t>
                  </w:r>
                </w:p>
              </w:tc>
              <w:tc>
                <w:tcPr>
                  <w:tcW w:w="1068" w:type="pct"/>
                  <w:vAlign w:val="center"/>
                </w:tcPr>
                <w:p>
                  <w:pPr>
                    <w:snapToGrid w:val="0"/>
                    <w:jc w:val="center"/>
                    <w:rPr>
                      <w:color w:val="auto"/>
                      <w:sz w:val="18"/>
                      <w:szCs w:val="18"/>
                    </w:rPr>
                  </w:pPr>
                  <w:r>
                    <w:rPr>
                      <w:rFonts w:hint="eastAsia"/>
                      <w:color w:val="auto"/>
                      <w:sz w:val="18"/>
                      <w:szCs w:val="18"/>
                    </w:rPr>
                    <w:t>/</w:t>
                  </w:r>
                </w:p>
              </w:tc>
              <w:tc>
                <w:tcPr>
                  <w:tcW w:w="1473" w:type="pct"/>
                  <w:vAlign w:val="center"/>
                </w:tcPr>
                <w:p>
                  <w:pPr>
                    <w:snapToGrid w:val="0"/>
                    <w:jc w:val="center"/>
                    <w:rPr>
                      <w:color w:val="auto"/>
                      <w:sz w:val="18"/>
                      <w:szCs w:val="18"/>
                    </w:rPr>
                  </w:pPr>
                  <w:r>
                    <w:rPr>
                      <w:rFonts w:hint="eastAsia"/>
                      <w:color w:val="auto"/>
                      <w:sz w:val="18"/>
                      <w:szCs w:val="1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2" w:type="pct"/>
                  <w:vMerge w:val="restart"/>
                  <w:vAlign w:val="center"/>
                </w:tcPr>
                <w:p>
                  <w:pPr>
                    <w:snapToGrid w:val="0"/>
                    <w:jc w:val="center"/>
                    <w:rPr>
                      <w:color w:val="auto"/>
                      <w:sz w:val="18"/>
                      <w:szCs w:val="18"/>
                    </w:rPr>
                  </w:pPr>
                  <w:r>
                    <w:rPr>
                      <w:rFonts w:hint="eastAsia"/>
                      <w:color w:val="auto"/>
                      <w:sz w:val="18"/>
                      <w:szCs w:val="18"/>
                    </w:rPr>
                    <w:t>危险废物</w:t>
                  </w:r>
                </w:p>
              </w:tc>
              <w:tc>
                <w:tcPr>
                  <w:tcW w:w="1475" w:type="pct"/>
                  <w:shd w:val="clear" w:color="auto" w:fill="E7E6E6" w:themeFill="background2"/>
                  <w:vAlign w:val="center"/>
                </w:tcPr>
                <w:p>
                  <w:pPr>
                    <w:snapToGrid w:val="0"/>
                    <w:jc w:val="center"/>
                    <w:rPr>
                      <w:color w:val="auto"/>
                      <w:sz w:val="18"/>
                      <w:szCs w:val="18"/>
                    </w:rPr>
                  </w:pPr>
                  <w:r>
                    <w:rPr>
                      <w:rFonts w:hint="eastAsia"/>
                      <w:color w:val="auto"/>
                      <w:sz w:val="18"/>
                      <w:szCs w:val="18"/>
                    </w:rPr>
                    <w:t>隔膜泵废滤芯</w:t>
                  </w:r>
                </w:p>
              </w:tc>
              <w:tc>
                <w:tcPr>
                  <w:tcW w:w="1800" w:type="dxa"/>
                  <w:vAlign w:val="center"/>
                </w:tcPr>
                <w:p>
                  <w:pPr>
                    <w:pStyle w:val="35"/>
                    <w:spacing w:line="240" w:lineRule="auto"/>
                    <w:ind w:firstLine="0" w:firstLineChars="0"/>
                    <w:jc w:val="center"/>
                    <w:rPr>
                      <w:color w:val="auto"/>
                      <w:sz w:val="18"/>
                      <w:szCs w:val="18"/>
                    </w:rPr>
                  </w:pPr>
                  <w:r>
                    <w:rPr>
                      <w:rFonts w:hint="eastAsia" w:ascii="Times New Roman" w:hAnsi="Times New Roman" w:eastAsia="宋体" w:cs="Times New Roman"/>
                      <w:color w:val="auto"/>
                      <w:sz w:val="18"/>
                      <w:szCs w:val="18"/>
                      <w:lang w:val="en-US" w:eastAsia="zh-CN"/>
                    </w:rPr>
                    <w:t>0.042</w:t>
                  </w:r>
                </w:p>
              </w:tc>
              <w:tc>
                <w:tcPr>
                  <w:tcW w:w="1473" w:type="pct"/>
                  <w:shd w:val="clear" w:color="auto" w:fill="E7E6E6" w:themeFill="background2"/>
                  <w:vAlign w:val="center"/>
                </w:tcPr>
                <w:p>
                  <w:pPr>
                    <w:snapToGrid w:val="0"/>
                    <w:jc w:val="center"/>
                    <w:rPr>
                      <w:b/>
                      <w:bCs/>
                      <w:color w:val="auto"/>
                      <w:sz w:val="18"/>
                      <w:szCs w:val="18"/>
                    </w:rPr>
                  </w:pPr>
                  <w:r>
                    <w:rPr>
                      <w:rFonts w:hint="eastAsia"/>
                      <w:b/>
                      <w:bCs/>
                      <w:color w:val="auto"/>
                      <w:sz w:val="18"/>
                      <w:szCs w:val="18"/>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2" w:type="pct"/>
                  <w:vMerge w:val="continue"/>
                  <w:vAlign w:val="center"/>
                </w:tcPr>
                <w:p>
                  <w:pPr>
                    <w:snapToGrid w:val="0"/>
                    <w:jc w:val="center"/>
                    <w:rPr>
                      <w:color w:val="auto"/>
                      <w:sz w:val="18"/>
                      <w:szCs w:val="18"/>
                    </w:rPr>
                  </w:pPr>
                </w:p>
              </w:tc>
              <w:tc>
                <w:tcPr>
                  <w:tcW w:w="1475" w:type="pct"/>
                  <w:shd w:val="clear" w:color="auto" w:fill="E7E6E6" w:themeFill="background2"/>
                  <w:vAlign w:val="center"/>
                </w:tcPr>
                <w:p>
                  <w:pPr>
                    <w:adjustRightInd w:val="0"/>
                    <w:snapToGrid w:val="0"/>
                    <w:jc w:val="center"/>
                    <w:rPr>
                      <w:color w:val="auto"/>
                      <w:sz w:val="18"/>
                      <w:szCs w:val="18"/>
                    </w:rPr>
                  </w:pPr>
                  <w:r>
                    <w:rPr>
                      <w:rFonts w:hint="eastAsia"/>
                      <w:color w:val="auto"/>
                      <w:sz w:val="18"/>
                      <w:szCs w:val="18"/>
                    </w:rPr>
                    <w:t>废活性炭</w:t>
                  </w:r>
                </w:p>
              </w:tc>
              <w:tc>
                <w:tcPr>
                  <w:tcW w:w="1800" w:type="dxa"/>
                  <w:vAlign w:val="center"/>
                </w:tcPr>
                <w:p>
                  <w:pPr>
                    <w:pStyle w:val="35"/>
                    <w:spacing w:line="240" w:lineRule="auto"/>
                    <w:ind w:firstLine="0" w:firstLineChars="0"/>
                    <w:jc w:val="center"/>
                    <w:rPr>
                      <w:color w:val="auto"/>
                      <w:sz w:val="18"/>
                      <w:szCs w:val="18"/>
                    </w:rPr>
                  </w:pPr>
                  <w:r>
                    <w:rPr>
                      <w:rFonts w:hint="eastAsia" w:ascii="Times New Roman" w:hAnsi="Times New Roman" w:cs="Times New Roman"/>
                      <w:color w:val="auto"/>
                      <w:sz w:val="18"/>
                      <w:szCs w:val="18"/>
                      <w:lang w:val="en-US" w:eastAsia="zh-CN"/>
                    </w:rPr>
                    <w:t>0.3</w:t>
                  </w:r>
                </w:p>
              </w:tc>
              <w:tc>
                <w:tcPr>
                  <w:tcW w:w="1473" w:type="pct"/>
                  <w:shd w:val="clear" w:color="auto" w:fill="E7E6E6" w:themeFill="background2"/>
                  <w:vAlign w:val="center"/>
                </w:tcPr>
                <w:p>
                  <w:pPr>
                    <w:snapToGrid w:val="0"/>
                    <w:jc w:val="center"/>
                    <w:rPr>
                      <w:b/>
                      <w:bCs/>
                      <w:color w:val="auto"/>
                      <w:sz w:val="18"/>
                      <w:szCs w:val="18"/>
                    </w:rPr>
                  </w:pPr>
                  <w:r>
                    <w:rPr>
                      <w:rFonts w:hint="eastAsia"/>
                      <w:b/>
                      <w:bCs/>
                      <w:color w:val="auto"/>
                      <w:sz w:val="18"/>
                      <w:szCs w:val="18"/>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2" w:type="pct"/>
                  <w:vMerge w:val="continue"/>
                  <w:vAlign w:val="center"/>
                </w:tcPr>
                <w:p>
                  <w:pPr>
                    <w:snapToGrid w:val="0"/>
                    <w:jc w:val="center"/>
                    <w:rPr>
                      <w:color w:val="auto"/>
                      <w:sz w:val="18"/>
                      <w:szCs w:val="18"/>
                    </w:rPr>
                  </w:pPr>
                </w:p>
              </w:tc>
              <w:tc>
                <w:tcPr>
                  <w:tcW w:w="1475" w:type="pct"/>
                  <w:shd w:val="clear" w:color="auto" w:fill="E7E6E6" w:themeFill="background2"/>
                  <w:vAlign w:val="center"/>
                </w:tcPr>
                <w:p>
                  <w:pPr>
                    <w:adjustRightInd w:val="0"/>
                    <w:snapToGrid w:val="0"/>
                    <w:jc w:val="center"/>
                    <w:rPr>
                      <w:color w:val="auto"/>
                      <w:sz w:val="18"/>
                      <w:szCs w:val="18"/>
                    </w:rPr>
                  </w:pPr>
                  <w:r>
                    <w:rPr>
                      <w:rFonts w:hint="eastAsia"/>
                      <w:color w:val="auto"/>
                      <w:sz w:val="18"/>
                      <w:szCs w:val="18"/>
                    </w:rPr>
                    <w:t>精馏釜残</w:t>
                  </w:r>
                </w:p>
              </w:tc>
              <w:tc>
                <w:tcPr>
                  <w:tcW w:w="1800" w:type="dxa"/>
                  <w:vAlign w:val="center"/>
                </w:tcPr>
                <w:p>
                  <w:pPr>
                    <w:pStyle w:val="35"/>
                    <w:spacing w:line="240" w:lineRule="auto"/>
                    <w:ind w:firstLine="0" w:firstLineChars="0"/>
                    <w:jc w:val="center"/>
                    <w:rPr>
                      <w:color w:val="auto"/>
                      <w:sz w:val="18"/>
                      <w:szCs w:val="18"/>
                    </w:rPr>
                  </w:pPr>
                  <w:r>
                    <w:rPr>
                      <w:rFonts w:hint="eastAsia" w:ascii="Times New Roman" w:hAnsi="Times New Roman" w:cs="Times New Roman"/>
                      <w:color w:val="auto"/>
                      <w:sz w:val="18"/>
                      <w:szCs w:val="18"/>
                      <w:lang w:val="en-US" w:eastAsia="zh-CN"/>
                    </w:rPr>
                    <w:t>0.25</w:t>
                  </w:r>
                </w:p>
              </w:tc>
              <w:tc>
                <w:tcPr>
                  <w:tcW w:w="1473" w:type="pct"/>
                  <w:shd w:val="clear" w:color="auto" w:fill="E7E6E6" w:themeFill="background2"/>
                  <w:vAlign w:val="center"/>
                </w:tcPr>
                <w:p>
                  <w:pPr>
                    <w:snapToGrid w:val="0"/>
                    <w:jc w:val="center"/>
                    <w:rPr>
                      <w:b/>
                      <w:bCs/>
                      <w:color w:val="auto"/>
                      <w:sz w:val="18"/>
                      <w:szCs w:val="18"/>
                    </w:rPr>
                  </w:pPr>
                  <w:r>
                    <w:rPr>
                      <w:rFonts w:hint="eastAsia"/>
                      <w:b/>
                      <w:bCs/>
                      <w:color w:val="auto"/>
                      <w:sz w:val="18"/>
                      <w:szCs w:val="18"/>
                    </w:rPr>
                    <w:t>是</w:t>
                  </w:r>
                </w:p>
              </w:tc>
            </w:tr>
          </w:tbl>
          <w:p>
            <w:pPr>
              <w:spacing w:line="360" w:lineRule="auto"/>
              <w:ind w:firstLine="420" w:firstLineChars="200"/>
              <w:rPr>
                <w:color w:val="auto"/>
                <w:szCs w:val="21"/>
              </w:rPr>
            </w:pPr>
            <w:r>
              <w:rPr>
                <w:rFonts w:hint="eastAsia" w:ascii="宋体" w:hAnsi="宋体" w:cs="宋体"/>
                <w:color w:val="auto"/>
                <w:szCs w:val="21"/>
              </w:rPr>
              <w:t>②</w:t>
            </w:r>
            <w:r>
              <w:rPr>
                <w:color w:val="auto"/>
                <w:szCs w:val="21"/>
              </w:rPr>
              <w:t>风险</w:t>
            </w:r>
            <w:r>
              <w:rPr>
                <w:rFonts w:hint="eastAsia"/>
                <w:color w:val="auto"/>
                <w:szCs w:val="21"/>
              </w:rPr>
              <w:t>潜势初判</w:t>
            </w:r>
          </w:p>
          <w:p>
            <w:pPr>
              <w:spacing w:line="360" w:lineRule="auto"/>
              <w:ind w:firstLine="420" w:firstLineChars="200"/>
              <w:rPr>
                <w:color w:val="auto"/>
                <w:szCs w:val="21"/>
              </w:rPr>
            </w:pPr>
            <w:r>
              <w:rPr>
                <w:color w:val="auto"/>
                <w:szCs w:val="21"/>
              </w:rPr>
              <w:t>根据</w:t>
            </w:r>
            <w:r>
              <w:rPr>
                <w:rFonts w:hint="eastAsia"/>
                <w:color w:val="auto"/>
                <w:szCs w:val="21"/>
              </w:rPr>
              <w:t>上</w:t>
            </w:r>
            <w:r>
              <w:rPr>
                <w:color w:val="auto"/>
                <w:szCs w:val="21"/>
              </w:rPr>
              <w:t>表，主要危险物质来自</w:t>
            </w:r>
            <w:r>
              <w:rPr>
                <w:rFonts w:hint="eastAsia"/>
                <w:color w:val="auto"/>
                <w:szCs w:val="21"/>
              </w:rPr>
              <w:t>危险废物：</w:t>
            </w:r>
            <w:r>
              <w:rPr>
                <w:color w:val="auto"/>
                <w:szCs w:val="21"/>
              </w:rPr>
              <w:t>废活性炭</w:t>
            </w:r>
            <w:r>
              <w:rPr>
                <w:rFonts w:hint="eastAsia"/>
                <w:color w:val="auto"/>
                <w:szCs w:val="21"/>
              </w:rPr>
              <w:t>、隔膜泵废滤芯、精馏釜残</w:t>
            </w:r>
            <w:r>
              <w:rPr>
                <w:color w:val="auto"/>
                <w:szCs w:val="21"/>
              </w:rPr>
              <w:t>，其危险物质种类及临界量计算见</w:t>
            </w:r>
            <w:r>
              <w:rPr>
                <w:rFonts w:hint="eastAsia"/>
                <w:color w:val="auto"/>
                <w:szCs w:val="21"/>
              </w:rPr>
              <w:t>下</w:t>
            </w:r>
            <w:r>
              <w:rPr>
                <w:color w:val="auto"/>
                <w:szCs w:val="21"/>
              </w:rPr>
              <w:t>表。</w:t>
            </w:r>
          </w:p>
          <w:p>
            <w:pPr>
              <w:spacing w:before="194" w:beforeLines="50"/>
              <w:jc w:val="center"/>
              <w:outlineLvl w:val="5"/>
              <w:rPr>
                <w:rFonts w:hint="default"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表4-37</w:t>
            </w:r>
            <w:r>
              <w:rPr>
                <w:rFonts w:hint="eastAsia" w:cs="Times New Roman"/>
                <w:b/>
                <w:color w:val="auto"/>
                <w:spacing w:val="0"/>
                <w:sz w:val="21"/>
                <w:szCs w:val="21"/>
                <w:lang w:val="en-US" w:eastAsia="zh-CN"/>
              </w:rPr>
              <w:t xml:space="preserve">  </w:t>
            </w:r>
            <w:r>
              <w:rPr>
                <w:rFonts w:hint="eastAsia" w:eastAsia="宋体" w:cs="Times New Roman"/>
                <w:b/>
                <w:color w:val="auto"/>
                <w:spacing w:val="0"/>
                <w:sz w:val="21"/>
                <w:szCs w:val="21"/>
                <w:lang w:val="en-US" w:eastAsia="zh-CN"/>
              </w:rPr>
              <w:t>项目危险物质种类及临界量计算</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7"/>
              <w:gridCol w:w="1875"/>
              <w:gridCol w:w="1020"/>
              <w:gridCol w:w="960"/>
              <w:gridCol w:w="1695"/>
              <w:gridCol w:w="840"/>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 w:type="dxa"/>
                  <w:vAlign w:val="center"/>
                </w:tcPr>
                <w:p>
                  <w:pPr>
                    <w:adjustRightInd w:val="0"/>
                    <w:jc w:val="center"/>
                    <w:rPr>
                      <w:color w:val="auto"/>
                      <w:spacing w:val="-2"/>
                      <w:sz w:val="18"/>
                      <w:szCs w:val="18"/>
                    </w:rPr>
                  </w:pPr>
                  <w:r>
                    <w:rPr>
                      <w:b/>
                      <w:bCs/>
                      <w:color w:val="auto"/>
                      <w:spacing w:val="-2"/>
                      <w:sz w:val="18"/>
                      <w:szCs w:val="18"/>
                    </w:rPr>
                    <w:t>类别</w:t>
                  </w:r>
                </w:p>
              </w:tc>
              <w:tc>
                <w:tcPr>
                  <w:tcW w:w="1875" w:type="dxa"/>
                  <w:vAlign w:val="center"/>
                </w:tcPr>
                <w:p>
                  <w:pPr>
                    <w:pStyle w:val="40"/>
                    <w:ind w:firstLine="0" w:firstLineChars="0"/>
                    <w:jc w:val="center"/>
                    <w:rPr>
                      <w:rFonts w:eastAsia="宋体" w:cs="Times New Roman"/>
                      <w:b/>
                      <w:bCs/>
                      <w:color w:val="auto"/>
                      <w:spacing w:val="0"/>
                      <w:sz w:val="18"/>
                      <w:szCs w:val="18"/>
                      <w:lang w:bidi="ar"/>
                    </w:rPr>
                  </w:pPr>
                  <w:r>
                    <w:rPr>
                      <w:rFonts w:eastAsia="宋体" w:cs="Times New Roman"/>
                      <w:b/>
                      <w:bCs/>
                      <w:color w:val="auto"/>
                      <w:spacing w:val="0"/>
                      <w:sz w:val="18"/>
                      <w:szCs w:val="18"/>
                      <w:lang w:bidi="ar"/>
                    </w:rPr>
                    <w:t>名称</w:t>
                  </w:r>
                </w:p>
              </w:tc>
              <w:tc>
                <w:tcPr>
                  <w:tcW w:w="1020" w:type="dxa"/>
                  <w:vAlign w:val="center"/>
                </w:tcPr>
                <w:p>
                  <w:pPr>
                    <w:pStyle w:val="40"/>
                    <w:ind w:firstLine="0" w:firstLineChars="0"/>
                    <w:jc w:val="center"/>
                    <w:rPr>
                      <w:rFonts w:eastAsia="宋体" w:cs="Times New Roman"/>
                      <w:color w:val="auto"/>
                      <w:spacing w:val="0"/>
                      <w:sz w:val="18"/>
                      <w:szCs w:val="18"/>
                    </w:rPr>
                  </w:pPr>
                  <w:r>
                    <w:rPr>
                      <w:rFonts w:eastAsia="宋体" w:cs="Times New Roman"/>
                      <w:b/>
                      <w:bCs/>
                      <w:color w:val="auto"/>
                      <w:spacing w:val="0"/>
                      <w:sz w:val="18"/>
                      <w:szCs w:val="18"/>
                      <w:lang w:bidi="ar"/>
                    </w:rPr>
                    <w:t>储存方式</w:t>
                  </w:r>
                </w:p>
              </w:tc>
              <w:tc>
                <w:tcPr>
                  <w:tcW w:w="960" w:type="dxa"/>
                  <w:vAlign w:val="center"/>
                </w:tcPr>
                <w:p>
                  <w:pPr>
                    <w:pStyle w:val="40"/>
                    <w:ind w:firstLine="0" w:firstLineChars="0"/>
                    <w:jc w:val="center"/>
                    <w:rPr>
                      <w:rFonts w:eastAsia="宋体" w:cs="Times New Roman"/>
                      <w:color w:val="auto"/>
                      <w:spacing w:val="0"/>
                      <w:sz w:val="18"/>
                      <w:szCs w:val="18"/>
                    </w:rPr>
                  </w:pPr>
                  <w:r>
                    <w:rPr>
                      <w:rFonts w:eastAsia="宋体" w:cs="Times New Roman"/>
                      <w:b/>
                      <w:bCs/>
                      <w:color w:val="auto"/>
                      <w:spacing w:val="0"/>
                      <w:sz w:val="18"/>
                      <w:szCs w:val="18"/>
                      <w:lang w:bidi="ar"/>
                    </w:rPr>
                    <w:t>储存位置</w:t>
                  </w:r>
                </w:p>
              </w:tc>
              <w:tc>
                <w:tcPr>
                  <w:tcW w:w="1695" w:type="dxa"/>
                  <w:vAlign w:val="center"/>
                </w:tcPr>
                <w:p>
                  <w:pPr>
                    <w:pStyle w:val="40"/>
                    <w:ind w:firstLine="0" w:firstLineChars="0"/>
                    <w:jc w:val="center"/>
                    <w:rPr>
                      <w:rFonts w:eastAsia="宋体" w:cs="Times New Roman"/>
                      <w:b/>
                      <w:bCs/>
                      <w:color w:val="auto"/>
                      <w:spacing w:val="0"/>
                      <w:sz w:val="18"/>
                      <w:szCs w:val="18"/>
                      <w:lang w:bidi="ar"/>
                    </w:rPr>
                  </w:pPr>
                  <w:r>
                    <w:rPr>
                      <w:rFonts w:eastAsia="宋体" w:cs="Times New Roman"/>
                      <w:b/>
                      <w:bCs/>
                      <w:color w:val="auto"/>
                      <w:spacing w:val="0"/>
                      <w:sz w:val="18"/>
                      <w:szCs w:val="18"/>
                      <w:lang w:bidi="ar"/>
                    </w:rPr>
                    <w:t>本次项目储存量/最大在线量（t）q</w:t>
                  </w:r>
                </w:p>
              </w:tc>
              <w:tc>
                <w:tcPr>
                  <w:tcW w:w="840" w:type="dxa"/>
                  <w:vAlign w:val="center"/>
                </w:tcPr>
                <w:p>
                  <w:pPr>
                    <w:pStyle w:val="40"/>
                    <w:ind w:firstLine="0" w:firstLineChars="0"/>
                    <w:jc w:val="center"/>
                    <w:rPr>
                      <w:rFonts w:eastAsia="宋体" w:cs="Times New Roman"/>
                      <w:color w:val="auto"/>
                      <w:spacing w:val="0"/>
                      <w:sz w:val="18"/>
                      <w:szCs w:val="18"/>
                    </w:rPr>
                  </w:pPr>
                  <w:r>
                    <w:rPr>
                      <w:rFonts w:eastAsia="宋体" w:cs="Times New Roman"/>
                      <w:b/>
                      <w:bCs/>
                      <w:color w:val="auto"/>
                      <w:spacing w:val="0"/>
                      <w:sz w:val="18"/>
                      <w:szCs w:val="18"/>
                      <w:lang w:bidi="ar"/>
                    </w:rPr>
                    <w:t>临界量（t）Q</w:t>
                  </w:r>
                </w:p>
              </w:tc>
              <w:tc>
                <w:tcPr>
                  <w:tcW w:w="992" w:type="dxa"/>
                  <w:vAlign w:val="center"/>
                </w:tcPr>
                <w:p>
                  <w:pPr>
                    <w:pStyle w:val="40"/>
                    <w:ind w:firstLine="0" w:firstLineChars="0"/>
                    <w:jc w:val="center"/>
                    <w:rPr>
                      <w:rFonts w:eastAsia="宋体" w:cs="Times New Roman"/>
                      <w:color w:val="auto"/>
                      <w:spacing w:val="0"/>
                      <w:sz w:val="18"/>
                      <w:szCs w:val="18"/>
                    </w:rPr>
                  </w:pPr>
                  <w:r>
                    <w:rPr>
                      <w:rFonts w:eastAsia="宋体" w:cs="Times New Roman"/>
                      <w:b/>
                      <w:bCs/>
                      <w:color w:val="auto"/>
                      <w:spacing w:val="0"/>
                      <w:sz w:val="18"/>
                      <w:szCs w:val="18"/>
                      <w:lang w:bidi="ar"/>
                    </w:rPr>
                    <w:t>本次项目q/Q</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 w:type="dxa"/>
                  <w:vMerge w:val="restart"/>
                  <w:vAlign w:val="center"/>
                </w:tcPr>
                <w:p>
                  <w:pPr>
                    <w:adjustRightInd w:val="0"/>
                    <w:jc w:val="center"/>
                    <w:rPr>
                      <w:color w:val="auto"/>
                      <w:spacing w:val="-2"/>
                      <w:sz w:val="18"/>
                      <w:szCs w:val="18"/>
                    </w:rPr>
                  </w:pPr>
                  <w:r>
                    <w:rPr>
                      <w:rFonts w:hint="eastAsia"/>
                      <w:color w:val="auto"/>
                      <w:spacing w:val="-2"/>
                      <w:sz w:val="18"/>
                      <w:szCs w:val="18"/>
                      <w:lang w:val="en-US" w:eastAsia="zh-CN"/>
                    </w:rPr>
                    <w:t>本次扩建项目</w:t>
                  </w:r>
                  <w:r>
                    <w:rPr>
                      <w:color w:val="auto"/>
                      <w:spacing w:val="-2"/>
                      <w:sz w:val="18"/>
                      <w:szCs w:val="18"/>
                    </w:rPr>
                    <w:t>危险废物</w:t>
                  </w:r>
                </w:p>
              </w:tc>
              <w:tc>
                <w:tcPr>
                  <w:tcW w:w="1875" w:type="dxa"/>
                  <w:vAlign w:val="center"/>
                </w:tcPr>
                <w:p>
                  <w:pPr>
                    <w:snapToGrid w:val="0"/>
                    <w:jc w:val="center"/>
                    <w:rPr>
                      <w:color w:val="auto"/>
                      <w:sz w:val="18"/>
                      <w:szCs w:val="18"/>
                      <w:lang w:bidi="ar"/>
                    </w:rPr>
                  </w:pPr>
                  <w:r>
                    <w:rPr>
                      <w:color w:val="auto"/>
                      <w:sz w:val="18"/>
                      <w:szCs w:val="18"/>
                    </w:rPr>
                    <w:t>隔膜泵废滤芯</w:t>
                  </w:r>
                </w:p>
              </w:tc>
              <w:tc>
                <w:tcPr>
                  <w:tcW w:w="1020" w:type="dxa"/>
                  <w:vAlign w:val="center"/>
                </w:tcPr>
                <w:p>
                  <w:pPr>
                    <w:pStyle w:val="40"/>
                    <w:ind w:firstLine="0" w:firstLineChars="0"/>
                    <w:jc w:val="center"/>
                    <w:rPr>
                      <w:rFonts w:eastAsia="宋体" w:cs="Times New Roman"/>
                      <w:color w:val="auto"/>
                      <w:spacing w:val="0"/>
                      <w:sz w:val="18"/>
                      <w:szCs w:val="18"/>
                      <w:lang w:bidi="ar"/>
                    </w:rPr>
                  </w:pPr>
                  <w:r>
                    <w:rPr>
                      <w:rFonts w:eastAsia="宋体" w:cs="Times New Roman"/>
                      <w:color w:val="auto"/>
                      <w:spacing w:val="0"/>
                      <w:sz w:val="18"/>
                      <w:szCs w:val="18"/>
                      <w:lang w:bidi="ar"/>
                    </w:rPr>
                    <w:t>袋装</w:t>
                  </w:r>
                </w:p>
              </w:tc>
              <w:tc>
                <w:tcPr>
                  <w:tcW w:w="960" w:type="dxa"/>
                  <w:vMerge w:val="restart"/>
                  <w:vAlign w:val="center"/>
                </w:tcPr>
                <w:p>
                  <w:pPr>
                    <w:pStyle w:val="40"/>
                    <w:ind w:firstLine="0" w:firstLineChars="0"/>
                    <w:jc w:val="center"/>
                    <w:rPr>
                      <w:rFonts w:hint="eastAsia" w:eastAsia="宋体" w:cs="Times New Roman"/>
                      <w:color w:val="auto"/>
                      <w:spacing w:val="0"/>
                      <w:sz w:val="18"/>
                      <w:szCs w:val="18"/>
                      <w:lang w:val="en-US" w:eastAsia="zh-CN" w:bidi="ar"/>
                    </w:rPr>
                  </w:pPr>
                  <w:r>
                    <w:rPr>
                      <w:rFonts w:hint="eastAsia" w:eastAsia="宋体" w:cs="Times New Roman"/>
                      <w:color w:val="auto"/>
                      <w:spacing w:val="0"/>
                      <w:sz w:val="18"/>
                      <w:szCs w:val="18"/>
                      <w:lang w:val="en-US" w:eastAsia="zh-CN" w:bidi="ar"/>
                    </w:rPr>
                    <w:t>二厂</w:t>
                  </w:r>
                </w:p>
                <w:p>
                  <w:pPr>
                    <w:pStyle w:val="40"/>
                    <w:ind w:firstLine="0" w:firstLineChars="0"/>
                    <w:jc w:val="center"/>
                    <w:rPr>
                      <w:rFonts w:eastAsia="宋体" w:cs="Times New Roman"/>
                      <w:color w:val="auto"/>
                      <w:spacing w:val="0"/>
                      <w:sz w:val="18"/>
                      <w:szCs w:val="18"/>
                      <w:lang w:bidi="ar"/>
                    </w:rPr>
                  </w:pPr>
                  <w:r>
                    <w:rPr>
                      <w:rFonts w:eastAsia="宋体" w:cs="Times New Roman"/>
                      <w:color w:val="auto"/>
                      <w:spacing w:val="0"/>
                      <w:sz w:val="18"/>
                      <w:szCs w:val="18"/>
                      <w:lang w:bidi="ar"/>
                    </w:rPr>
                    <w:t>危险废物</w:t>
                  </w:r>
                </w:p>
                <w:p>
                  <w:pPr>
                    <w:pStyle w:val="40"/>
                    <w:ind w:firstLine="0" w:firstLineChars="0"/>
                    <w:jc w:val="center"/>
                    <w:rPr>
                      <w:rFonts w:eastAsia="宋体" w:cs="Times New Roman"/>
                      <w:color w:val="auto"/>
                      <w:spacing w:val="0"/>
                      <w:sz w:val="18"/>
                      <w:szCs w:val="18"/>
                    </w:rPr>
                  </w:pPr>
                  <w:r>
                    <w:rPr>
                      <w:rFonts w:eastAsia="宋体" w:cs="Times New Roman"/>
                      <w:color w:val="auto"/>
                      <w:spacing w:val="0"/>
                      <w:sz w:val="18"/>
                      <w:szCs w:val="18"/>
                      <w:lang w:bidi="ar"/>
                    </w:rPr>
                    <w:t>暂存间</w:t>
                  </w:r>
                </w:p>
              </w:tc>
              <w:tc>
                <w:tcPr>
                  <w:tcW w:w="1695" w:type="dxa"/>
                  <w:vAlign w:val="center"/>
                </w:tcPr>
                <w:p>
                  <w:pPr>
                    <w:pStyle w:val="35"/>
                    <w:spacing w:line="240" w:lineRule="auto"/>
                    <w:ind w:firstLine="0" w:firstLineChars="0"/>
                    <w:jc w:val="center"/>
                    <w:rPr>
                      <w:color w:val="auto"/>
                      <w:sz w:val="18"/>
                      <w:szCs w:val="18"/>
                    </w:rPr>
                  </w:pPr>
                  <w:r>
                    <w:rPr>
                      <w:rFonts w:hint="eastAsia" w:ascii="Times New Roman" w:hAnsi="Times New Roman" w:eastAsia="宋体" w:cs="Times New Roman"/>
                      <w:color w:val="auto"/>
                      <w:sz w:val="18"/>
                      <w:szCs w:val="18"/>
                      <w:lang w:val="en-US" w:eastAsia="zh-CN"/>
                    </w:rPr>
                    <w:t>0.042</w:t>
                  </w:r>
                </w:p>
              </w:tc>
              <w:tc>
                <w:tcPr>
                  <w:tcW w:w="840" w:type="dxa"/>
                  <w:vAlign w:val="center"/>
                </w:tcPr>
                <w:p>
                  <w:pPr>
                    <w:widowControl/>
                    <w:jc w:val="center"/>
                    <w:textAlignment w:val="center"/>
                    <w:rPr>
                      <w:color w:val="auto"/>
                      <w:sz w:val="18"/>
                      <w:szCs w:val="18"/>
                      <w:lang w:bidi="ar"/>
                    </w:rPr>
                  </w:pPr>
                  <w:r>
                    <w:rPr>
                      <w:color w:val="auto"/>
                      <w:kern w:val="0"/>
                      <w:sz w:val="18"/>
                      <w:szCs w:val="18"/>
                      <w:lang w:bidi="ar"/>
                    </w:rPr>
                    <w:t>50</w:t>
                  </w:r>
                </w:p>
              </w:tc>
              <w:tc>
                <w:tcPr>
                  <w:tcW w:w="992" w:type="dxa"/>
                  <w:vAlign w:val="center"/>
                </w:tcPr>
                <w:p>
                  <w:pPr>
                    <w:keepNext w:val="0"/>
                    <w:keepLines w:val="0"/>
                    <w:widowControl/>
                    <w:suppressLineNumbers w:val="0"/>
                    <w:jc w:val="center"/>
                    <w:textAlignment w:val="center"/>
                    <w:rPr>
                      <w:rFonts w:hint="default" w:ascii="Times New Roman" w:hAnsi="Times New Roman" w:cs="Times New Roman"/>
                      <w:color w:val="auto"/>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0.00084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 w:type="dxa"/>
                  <w:vMerge w:val="continue"/>
                  <w:vAlign w:val="center"/>
                </w:tcPr>
                <w:p>
                  <w:pPr>
                    <w:adjustRightInd w:val="0"/>
                    <w:jc w:val="center"/>
                    <w:rPr>
                      <w:color w:val="auto"/>
                      <w:spacing w:val="-2"/>
                      <w:sz w:val="18"/>
                      <w:szCs w:val="18"/>
                    </w:rPr>
                  </w:pPr>
                </w:p>
              </w:tc>
              <w:tc>
                <w:tcPr>
                  <w:tcW w:w="1875" w:type="dxa"/>
                  <w:vAlign w:val="center"/>
                </w:tcPr>
                <w:p>
                  <w:pPr>
                    <w:adjustRightInd w:val="0"/>
                    <w:snapToGrid w:val="0"/>
                    <w:jc w:val="center"/>
                    <w:rPr>
                      <w:color w:val="auto"/>
                      <w:sz w:val="18"/>
                      <w:szCs w:val="18"/>
                    </w:rPr>
                  </w:pPr>
                  <w:r>
                    <w:rPr>
                      <w:color w:val="auto"/>
                      <w:sz w:val="18"/>
                      <w:szCs w:val="18"/>
                    </w:rPr>
                    <w:t>废活性炭</w:t>
                  </w:r>
                </w:p>
              </w:tc>
              <w:tc>
                <w:tcPr>
                  <w:tcW w:w="1020" w:type="dxa"/>
                  <w:vAlign w:val="center"/>
                </w:tcPr>
                <w:p>
                  <w:pPr>
                    <w:pStyle w:val="40"/>
                    <w:ind w:firstLine="0" w:firstLineChars="0"/>
                    <w:jc w:val="center"/>
                    <w:rPr>
                      <w:rFonts w:eastAsia="宋体" w:cs="Times New Roman"/>
                      <w:color w:val="auto"/>
                      <w:spacing w:val="0"/>
                      <w:sz w:val="18"/>
                      <w:szCs w:val="18"/>
                    </w:rPr>
                  </w:pPr>
                  <w:r>
                    <w:rPr>
                      <w:rFonts w:eastAsia="宋体" w:cs="Times New Roman"/>
                      <w:color w:val="auto"/>
                      <w:spacing w:val="0"/>
                      <w:sz w:val="18"/>
                      <w:szCs w:val="18"/>
                      <w:lang w:bidi="ar"/>
                    </w:rPr>
                    <w:t>袋装</w:t>
                  </w:r>
                </w:p>
              </w:tc>
              <w:tc>
                <w:tcPr>
                  <w:tcW w:w="960" w:type="dxa"/>
                  <w:vMerge w:val="continue"/>
                  <w:vAlign w:val="center"/>
                </w:tcPr>
                <w:p>
                  <w:pPr>
                    <w:pStyle w:val="40"/>
                    <w:ind w:firstLine="0" w:firstLineChars="0"/>
                    <w:jc w:val="center"/>
                    <w:rPr>
                      <w:rFonts w:eastAsia="宋体" w:cs="Times New Roman"/>
                      <w:color w:val="auto"/>
                      <w:spacing w:val="0"/>
                      <w:sz w:val="18"/>
                      <w:szCs w:val="18"/>
                    </w:rPr>
                  </w:pPr>
                </w:p>
              </w:tc>
              <w:tc>
                <w:tcPr>
                  <w:tcW w:w="1695" w:type="dxa"/>
                  <w:vAlign w:val="center"/>
                </w:tcPr>
                <w:p>
                  <w:pPr>
                    <w:pStyle w:val="35"/>
                    <w:spacing w:line="240" w:lineRule="auto"/>
                    <w:ind w:firstLine="0" w:firstLineChars="0"/>
                    <w:jc w:val="center"/>
                    <w:rPr>
                      <w:color w:val="auto"/>
                      <w:sz w:val="18"/>
                      <w:szCs w:val="18"/>
                    </w:rPr>
                  </w:pPr>
                  <w:r>
                    <w:rPr>
                      <w:rFonts w:hint="eastAsia" w:ascii="Times New Roman" w:hAnsi="Times New Roman" w:cs="Times New Roman"/>
                      <w:color w:val="auto"/>
                      <w:sz w:val="18"/>
                      <w:szCs w:val="18"/>
                      <w:lang w:val="en-US" w:eastAsia="zh-CN"/>
                    </w:rPr>
                    <w:t>0.3</w:t>
                  </w:r>
                </w:p>
              </w:tc>
              <w:tc>
                <w:tcPr>
                  <w:tcW w:w="840" w:type="dxa"/>
                  <w:vAlign w:val="center"/>
                </w:tcPr>
                <w:p>
                  <w:pPr>
                    <w:widowControl/>
                    <w:jc w:val="center"/>
                    <w:textAlignment w:val="center"/>
                    <w:rPr>
                      <w:color w:val="auto"/>
                      <w:sz w:val="18"/>
                      <w:szCs w:val="18"/>
                      <w:lang w:bidi="ar"/>
                    </w:rPr>
                  </w:pPr>
                  <w:r>
                    <w:rPr>
                      <w:color w:val="auto"/>
                      <w:kern w:val="0"/>
                      <w:sz w:val="18"/>
                      <w:szCs w:val="18"/>
                      <w:lang w:bidi="ar"/>
                    </w:rPr>
                    <w:t>50</w:t>
                  </w:r>
                </w:p>
              </w:tc>
              <w:tc>
                <w:tcPr>
                  <w:tcW w:w="992" w:type="dxa"/>
                  <w:vAlign w:val="center"/>
                </w:tcPr>
                <w:p>
                  <w:pPr>
                    <w:keepNext w:val="0"/>
                    <w:keepLines w:val="0"/>
                    <w:widowControl/>
                    <w:suppressLineNumbers w:val="0"/>
                    <w:jc w:val="center"/>
                    <w:textAlignment w:val="center"/>
                    <w:rPr>
                      <w:rFonts w:hint="default" w:ascii="Times New Roman" w:hAnsi="Times New Roman" w:cs="Times New Roman"/>
                      <w:color w:val="auto"/>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997" w:type="dxa"/>
                  <w:vMerge w:val="continue"/>
                  <w:vAlign w:val="center"/>
                </w:tcPr>
                <w:p>
                  <w:pPr>
                    <w:adjustRightInd w:val="0"/>
                    <w:jc w:val="center"/>
                    <w:rPr>
                      <w:color w:val="auto"/>
                      <w:spacing w:val="-2"/>
                      <w:sz w:val="18"/>
                      <w:szCs w:val="18"/>
                    </w:rPr>
                  </w:pPr>
                </w:p>
              </w:tc>
              <w:tc>
                <w:tcPr>
                  <w:tcW w:w="1875" w:type="dxa"/>
                  <w:vAlign w:val="center"/>
                </w:tcPr>
                <w:p>
                  <w:pPr>
                    <w:adjustRightInd w:val="0"/>
                    <w:snapToGrid w:val="0"/>
                    <w:jc w:val="center"/>
                    <w:rPr>
                      <w:color w:val="auto"/>
                      <w:sz w:val="18"/>
                      <w:szCs w:val="18"/>
                    </w:rPr>
                  </w:pPr>
                  <w:r>
                    <w:rPr>
                      <w:color w:val="auto"/>
                      <w:sz w:val="18"/>
                      <w:szCs w:val="18"/>
                    </w:rPr>
                    <w:t>精馏釜残</w:t>
                  </w:r>
                </w:p>
              </w:tc>
              <w:tc>
                <w:tcPr>
                  <w:tcW w:w="1020" w:type="dxa"/>
                  <w:vAlign w:val="center"/>
                </w:tcPr>
                <w:p>
                  <w:pPr>
                    <w:pStyle w:val="40"/>
                    <w:ind w:firstLine="0" w:firstLineChars="0"/>
                    <w:jc w:val="center"/>
                    <w:rPr>
                      <w:rFonts w:eastAsia="宋体" w:cs="Times New Roman"/>
                      <w:color w:val="auto"/>
                      <w:spacing w:val="0"/>
                      <w:sz w:val="18"/>
                      <w:szCs w:val="18"/>
                    </w:rPr>
                  </w:pPr>
                  <w:r>
                    <w:rPr>
                      <w:rFonts w:eastAsia="宋体" w:cs="Times New Roman"/>
                      <w:color w:val="auto"/>
                      <w:spacing w:val="0"/>
                      <w:sz w:val="18"/>
                      <w:szCs w:val="18"/>
                      <w:lang w:bidi="ar"/>
                    </w:rPr>
                    <w:t>桶装</w:t>
                  </w:r>
                </w:p>
              </w:tc>
              <w:tc>
                <w:tcPr>
                  <w:tcW w:w="960" w:type="dxa"/>
                  <w:vMerge w:val="continue"/>
                  <w:vAlign w:val="center"/>
                </w:tcPr>
                <w:p>
                  <w:pPr>
                    <w:pStyle w:val="40"/>
                    <w:ind w:firstLine="0" w:firstLineChars="0"/>
                    <w:jc w:val="center"/>
                    <w:rPr>
                      <w:rFonts w:eastAsia="宋体" w:cs="Times New Roman"/>
                      <w:color w:val="auto"/>
                      <w:spacing w:val="0"/>
                      <w:sz w:val="18"/>
                      <w:szCs w:val="18"/>
                    </w:rPr>
                  </w:pPr>
                </w:p>
              </w:tc>
              <w:tc>
                <w:tcPr>
                  <w:tcW w:w="1695" w:type="dxa"/>
                  <w:vAlign w:val="center"/>
                </w:tcPr>
                <w:p>
                  <w:pPr>
                    <w:pStyle w:val="35"/>
                    <w:spacing w:line="240" w:lineRule="auto"/>
                    <w:ind w:firstLine="0" w:firstLineChars="0"/>
                    <w:jc w:val="center"/>
                    <w:rPr>
                      <w:color w:val="auto"/>
                      <w:sz w:val="18"/>
                      <w:szCs w:val="18"/>
                    </w:rPr>
                  </w:pPr>
                  <w:r>
                    <w:rPr>
                      <w:rFonts w:hint="eastAsia" w:ascii="Times New Roman" w:hAnsi="Times New Roman" w:cs="Times New Roman"/>
                      <w:color w:val="auto"/>
                      <w:sz w:val="18"/>
                      <w:szCs w:val="18"/>
                      <w:lang w:val="en-US" w:eastAsia="zh-CN"/>
                    </w:rPr>
                    <w:t>0.25</w:t>
                  </w:r>
                </w:p>
              </w:tc>
              <w:tc>
                <w:tcPr>
                  <w:tcW w:w="840" w:type="dxa"/>
                  <w:vAlign w:val="center"/>
                </w:tcPr>
                <w:p>
                  <w:pPr>
                    <w:widowControl/>
                    <w:jc w:val="center"/>
                    <w:textAlignment w:val="center"/>
                    <w:rPr>
                      <w:color w:val="auto"/>
                      <w:sz w:val="18"/>
                      <w:szCs w:val="18"/>
                      <w:lang w:bidi="ar"/>
                    </w:rPr>
                  </w:pPr>
                  <w:r>
                    <w:rPr>
                      <w:color w:val="auto"/>
                      <w:kern w:val="0"/>
                      <w:sz w:val="18"/>
                      <w:szCs w:val="18"/>
                      <w:lang w:bidi="ar"/>
                    </w:rPr>
                    <w:t>50</w:t>
                  </w:r>
                </w:p>
              </w:tc>
              <w:tc>
                <w:tcPr>
                  <w:tcW w:w="992" w:type="dxa"/>
                  <w:vAlign w:val="center"/>
                </w:tcPr>
                <w:p>
                  <w:pPr>
                    <w:keepNext w:val="0"/>
                    <w:keepLines w:val="0"/>
                    <w:widowControl/>
                    <w:suppressLineNumbers w:val="0"/>
                    <w:jc w:val="center"/>
                    <w:textAlignment w:val="center"/>
                    <w:rPr>
                      <w:rFonts w:hint="default" w:ascii="Times New Roman" w:hAnsi="Times New Roman" w:cs="Times New Roman"/>
                      <w:color w:val="auto"/>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0.005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997" w:type="dxa"/>
                  <w:vMerge w:val="restart"/>
                  <w:vAlign w:val="center"/>
                </w:tcPr>
                <w:p>
                  <w:pPr>
                    <w:adjustRightInd w:val="0"/>
                    <w:jc w:val="center"/>
                    <w:rPr>
                      <w:rFonts w:hint="default" w:eastAsia="宋体"/>
                      <w:color w:val="auto"/>
                      <w:spacing w:val="-2"/>
                      <w:sz w:val="18"/>
                      <w:szCs w:val="18"/>
                      <w:lang w:val="en-US" w:eastAsia="zh-CN"/>
                    </w:rPr>
                  </w:pPr>
                  <w:r>
                    <w:rPr>
                      <w:rFonts w:hint="eastAsia"/>
                      <w:color w:val="auto"/>
                      <w:spacing w:val="-2"/>
                      <w:sz w:val="18"/>
                      <w:szCs w:val="18"/>
                      <w:lang w:val="en-US" w:eastAsia="zh-CN"/>
                    </w:rPr>
                    <w:t>现有工程危险废物</w:t>
                  </w:r>
                </w:p>
              </w:tc>
              <w:tc>
                <w:tcPr>
                  <w:tcW w:w="1875" w:type="dxa"/>
                  <w:vAlign w:val="center"/>
                </w:tcPr>
                <w:p>
                  <w:pPr>
                    <w:adjustRightInd w:val="0"/>
                    <w:snapToGrid w:val="0"/>
                    <w:jc w:val="center"/>
                    <w:rPr>
                      <w:color w:val="auto"/>
                      <w:sz w:val="18"/>
                      <w:szCs w:val="18"/>
                    </w:rPr>
                  </w:pPr>
                  <w:r>
                    <w:rPr>
                      <w:rFonts w:hint="eastAsia"/>
                      <w:color w:val="auto"/>
                      <w:sz w:val="18"/>
                      <w:szCs w:val="18"/>
                      <w:lang w:val="en-US" w:eastAsia="zh-CN"/>
                    </w:rPr>
                    <w:t>废有机溶剂</w:t>
                  </w:r>
                </w:p>
              </w:tc>
              <w:tc>
                <w:tcPr>
                  <w:tcW w:w="1020" w:type="dxa"/>
                  <w:vAlign w:val="center"/>
                </w:tcPr>
                <w:p>
                  <w:pPr>
                    <w:pStyle w:val="40"/>
                    <w:ind w:firstLine="0" w:firstLineChars="0"/>
                    <w:jc w:val="center"/>
                    <w:rPr>
                      <w:rFonts w:eastAsia="宋体" w:cs="Times New Roman"/>
                      <w:color w:val="auto"/>
                      <w:spacing w:val="0"/>
                      <w:sz w:val="18"/>
                      <w:szCs w:val="18"/>
                      <w:lang w:bidi="ar"/>
                    </w:rPr>
                  </w:pPr>
                  <w:r>
                    <w:rPr>
                      <w:rFonts w:eastAsia="宋体" w:cs="Times New Roman"/>
                      <w:color w:val="auto"/>
                      <w:spacing w:val="0"/>
                      <w:sz w:val="18"/>
                      <w:szCs w:val="18"/>
                      <w:lang w:bidi="ar"/>
                    </w:rPr>
                    <w:t>桶装</w:t>
                  </w:r>
                </w:p>
              </w:tc>
              <w:tc>
                <w:tcPr>
                  <w:tcW w:w="960" w:type="dxa"/>
                  <w:vMerge w:val="continue"/>
                  <w:vAlign w:val="center"/>
                </w:tcPr>
                <w:p>
                  <w:pPr>
                    <w:pStyle w:val="40"/>
                    <w:ind w:firstLine="0" w:firstLineChars="0"/>
                    <w:jc w:val="center"/>
                    <w:rPr>
                      <w:rFonts w:eastAsia="宋体" w:cs="Times New Roman"/>
                      <w:color w:val="auto"/>
                      <w:spacing w:val="0"/>
                      <w:sz w:val="18"/>
                      <w:szCs w:val="18"/>
                    </w:rPr>
                  </w:pPr>
                </w:p>
              </w:tc>
              <w:tc>
                <w:tcPr>
                  <w:tcW w:w="1695" w:type="dxa"/>
                  <w:vAlign w:val="center"/>
                </w:tcPr>
                <w:p>
                  <w:pPr>
                    <w:keepNext w:val="0"/>
                    <w:keepLines w:val="0"/>
                    <w:widowControl/>
                    <w:suppressLineNumbers w:val="0"/>
                    <w:jc w:val="center"/>
                    <w:textAlignment w:val="center"/>
                    <w:rPr>
                      <w:rFonts w:hint="default" w:ascii="Times New Roman" w:hAnsi="Times New Roman" w:cs="Times New Roman"/>
                      <w:color w:val="auto"/>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0.50</w:t>
                  </w:r>
                </w:p>
              </w:tc>
              <w:tc>
                <w:tcPr>
                  <w:tcW w:w="840" w:type="dxa"/>
                  <w:vAlign w:val="center"/>
                </w:tcPr>
                <w:p>
                  <w:pPr>
                    <w:widowControl/>
                    <w:jc w:val="center"/>
                    <w:textAlignment w:val="center"/>
                    <w:rPr>
                      <w:rFonts w:hint="default" w:eastAsia="宋体"/>
                      <w:color w:val="auto"/>
                      <w:kern w:val="0"/>
                      <w:sz w:val="18"/>
                      <w:szCs w:val="18"/>
                      <w:lang w:val="en-US" w:eastAsia="zh-CN" w:bidi="ar"/>
                    </w:rPr>
                  </w:pPr>
                  <w:r>
                    <w:rPr>
                      <w:rFonts w:hint="eastAsia"/>
                      <w:color w:val="auto"/>
                      <w:kern w:val="0"/>
                      <w:sz w:val="18"/>
                      <w:szCs w:val="18"/>
                      <w:lang w:val="en-US" w:eastAsia="zh-CN" w:bidi="ar"/>
                    </w:rPr>
                    <w:t>100</w:t>
                  </w:r>
                </w:p>
              </w:tc>
              <w:tc>
                <w:tcPr>
                  <w:tcW w:w="992" w:type="dxa"/>
                  <w:vAlign w:val="center"/>
                </w:tcPr>
                <w:p>
                  <w:pPr>
                    <w:widowControl/>
                    <w:jc w:val="center"/>
                    <w:textAlignment w:val="center"/>
                    <w:rPr>
                      <w:rFonts w:hint="default"/>
                      <w:color w:val="auto"/>
                      <w:kern w:val="0"/>
                      <w:sz w:val="18"/>
                      <w:szCs w:val="18"/>
                      <w:lang w:val="en-US" w:eastAsia="zh-CN" w:bidi="ar"/>
                    </w:rPr>
                  </w:pPr>
                  <w:r>
                    <w:rPr>
                      <w:rFonts w:hint="eastAsia"/>
                      <w:color w:val="auto"/>
                      <w:kern w:val="0"/>
                      <w:sz w:val="18"/>
                      <w:szCs w:val="18"/>
                      <w:lang w:val="en-US" w:eastAsia="zh-CN" w:bidi="ar"/>
                    </w:rPr>
                    <w:t>0.0050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997" w:type="dxa"/>
                  <w:vMerge w:val="continue"/>
                  <w:vAlign w:val="center"/>
                </w:tcPr>
                <w:p>
                  <w:pPr>
                    <w:adjustRightInd w:val="0"/>
                    <w:jc w:val="center"/>
                    <w:rPr>
                      <w:color w:val="auto"/>
                      <w:spacing w:val="-2"/>
                      <w:sz w:val="18"/>
                      <w:szCs w:val="18"/>
                    </w:rPr>
                  </w:pPr>
                </w:p>
              </w:tc>
              <w:tc>
                <w:tcPr>
                  <w:tcW w:w="1875" w:type="dxa"/>
                  <w:vAlign w:val="center"/>
                </w:tcPr>
                <w:p>
                  <w:pPr>
                    <w:adjustRightInd w:val="0"/>
                    <w:snapToGrid w:val="0"/>
                    <w:jc w:val="center"/>
                    <w:rPr>
                      <w:color w:val="auto"/>
                      <w:sz w:val="18"/>
                      <w:szCs w:val="18"/>
                    </w:rPr>
                  </w:pPr>
                  <w:r>
                    <w:rPr>
                      <w:rFonts w:hint="eastAsia"/>
                      <w:color w:val="auto"/>
                      <w:sz w:val="18"/>
                      <w:szCs w:val="18"/>
                      <w:lang w:val="en-US" w:eastAsia="zh-CN"/>
                    </w:rPr>
                    <w:t>蒸馏残</w:t>
                  </w:r>
                  <w:r>
                    <w:rPr>
                      <w:color w:val="auto"/>
                      <w:sz w:val="18"/>
                      <w:szCs w:val="18"/>
                      <w:lang w:val="en-US" w:eastAsia="zh-CN"/>
                    </w:rPr>
                    <w:t>液</w:t>
                  </w:r>
                </w:p>
              </w:tc>
              <w:tc>
                <w:tcPr>
                  <w:tcW w:w="1020" w:type="dxa"/>
                  <w:vAlign w:val="center"/>
                </w:tcPr>
                <w:p>
                  <w:pPr>
                    <w:pStyle w:val="40"/>
                    <w:ind w:firstLine="0" w:firstLineChars="0"/>
                    <w:jc w:val="center"/>
                    <w:rPr>
                      <w:rFonts w:eastAsia="宋体" w:cs="Times New Roman"/>
                      <w:color w:val="auto"/>
                      <w:spacing w:val="0"/>
                      <w:sz w:val="18"/>
                      <w:szCs w:val="18"/>
                      <w:lang w:bidi="ar"/>
                    </w:rPr>
                  </w:pPr>
                  <w:r>
                    <w:rPr>
                      <w:rFonts w:eastAsia="宋体" w:cs="Times New Roman"/>
                      <w:color w:val="auto"/>
                      <w:spacing w:val="0"/>
                      <w:sz w:val="18"/>
                      <w:szCs w:val="18"/>
                      <w:lang w:bidi="ar"/>
                    </w:rPr>
                    <w:t>桶装</w:t>
                  </w:r>
                </w:p>
              </w:tc>
              <w:tc>
                <w:tcPr>
                  <w:tcW w:w="960" w:type="dxa"/>
                  <w:vMerge w:val="continue"/>
                  <w:vAlign w:val="center"/>
                </w:tcPr>
                <w:p>
                  <w:pPr>
                    <w:pStyle w:val="40"/>
                    <w:ind w:firstLine="0" w:firstLineChars="0"/>
                    <w:jc w:val="center"/>
                    <w:rPr>
                      <w:rFonts w:eastAsia="宋体" w:cs="Times New Roman"/>
                      <w:color w:val="auto"/>
                      <w:spacing w:val="0"/>
                      <w:sz w:val="18"/>
                      <w:szCs w:val="18"/>
                    </w:rPr>
                  </w:pPr>
                </w:p>
              </w:tc>
              <w:tc>
                <w:tcPr>
                  <w:tcW w:w="1695" w:type="dxa"/>
                  <w:vAlign w:val="center"/>
                </w:tcPr>
                <w:p>
                  <w:pPr>
                    <w:keepNext w:val="0"/>
                    <w:keepLines w:val="0"/>
                    <w:widowControl/>
                    <w:suppressLineNumbers w:val="0"/>
                    <w:jc w:val="center"/>
                    <w:textAlignment w:val="center"/>
                    <w:rPr>
                      <w:rFonts w:hint="default" w:ascii="Times New Roman" w:hAnsi="Times New Roman" w:cs="Times New Roman"/>
                      <w:color w:val="auto"/>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10.5833</w:t>
                  </w:r>
                </w:p>
              </w:tc>
              <w:tc>
                <w:tcPr>
                  <w:tcW w:w="840" w:type="dxa"/>
                  <w:vAlign w:val="center"/>
                </w:tcPr>
                <w:p>
                  <w:pPr>
                    <w:widowControl/>
                    <w:jc w:val="center"/>
                    <w:textAlignment w:val="center"/>
                    <w:rPr>
                      <w:rFonts w:hint="default" w:eastAsia="宋体"/>
                      <w:color w:val="auto"/>
                      <w:kern w:val="0"/>
                      <w:sz w:val="18"/>
                      <w:szCs w:val="18"/>
                      <w:lang w:val="en-US" w:eastAsia="zh-CN" w:bidi="ar"/>
                    </w:rPr>
                  </w:pPr>
                  <w:r>
                    <w:rPr>
                      <w:rFonts w:hint="eastAsia"/>
                      <w:color w:val="auto"/>
                      <w:kern w:val="0"/>
                      <w:sz w:val="18"/>
                      <w:szCs w:val="18"/>
                      <w:lang w:val="en-US" w:eastAsia="zh-CN" w:bidi="ar"/>
                    </w:rPr>
                    <w:t>100</w:t>
                  </w:r>
                </w:p>
              </w:tc>
              <w:tc>
                <w:tcPr>
                  <w:tcW w:w="992" w:type="dxa"/>
                  <w:vAlign w:val="center"/>
                </w:tcPr>
                <w:p>
                  <w:pPr>
                    <w:widowControl/>
                    <w:jc w:val="center"/>
                    <w:textAlignment w:val="center"/>
                    <w:rPr>
                      <w:rFonts w:hint="default"/>
                      <w:color w:val="auto"/>
                      <w:kern w:val="0"/>
                      <w:sz w:val="18"/>
                      <w:szCs w:val="18"/>
                      <w:lang w:val="en-US" w:eastAsia="zh-CN" w:bidi="ar"/>
                    </w:rPr>
                  </w:pPr>
                  <w:r>
                    <w:rPr>
                      <w:rFonts w:hint="eastAsia"/>
                      <w:color w:val="auto"/>
                      <w:kern w:val="0"/>
                      <w:sz w:val="18"/>
                      <w:szCs w:val="18"/>
                      <w:lang w:val="en-US" w:eastAsia="zh-CN" w:bidi="ar"/>
                    </w:rPr>
                    <w:t>0.1058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997" w:type="dxa"/>
                  <w:vMerge w:val="continue"/>
                  <w:vAlign w:val="center"/>
                </w:tcPr>
                <w:p>
                  <w:pPr>
                    <w:adjustRightInd w:val="0"/>
                    <w:jc w:val="center"/>
                    <w:rPr>
                      <w:color w:val="auto"/>
                      <w:spacing w:val="-2"/>
                      <w:sz w:val="18"/>
                      <w:szCs w:val="18"/>
                    </w:rPr>
                  </w:pPr>
                </w:p>
              </w:tc>
              <w:tc>
                <w:tcPr>
                  <w:tcW w:w="1875" w:type="dxa"/>
                  <w:vAlign w:val="center"/>
                </w:tcPr>
                <w:p>
                  <w:pPr>
                    <w:adjustRightInd w:val="0"/>
                    <w:snapToGrid w:val="0"/>
                    <w:jc w:val="center"/>
                    <w:rPr>
                      <w:color w:val="auto"/>
                      <w:sz w:val="18"/>
                      <w:szCs w:val="18"/>
                    </w:rPr>
                  </w:pPr>
                  <w:r>
                    <w:rPr>
                      <w:rFonts w:hint="eastAsia"/>
                      <w:color w:val="auto"/>
                      <w:sz w:val="18"/>
                      <w:szCs w:val="18"/>
                      <w:lang w:val="en-US" w:eastAsia="zh-CN"/>
                    </w:rPr>
                    <w:t>废活性炭</w:t>
                  </w:r>
                </w:p>
              </w:tc>
              <w:tc>
                <w:tcPr>
                  <w:tcW w:w="1020" w:type="dxa"/>
                  <w:vAlign w:val="center"/>
                </w:tcPr>
                <w:p>
                  <w:pPr>
                    <w:pStyle w:val="40"/>
                    <w:ind w:firstLine="0" w:firstLineChars="0"/>
                    <w:jc w:val="center"/>
                    <w:rPr>
                      <w:rFonts w:eastAsia="宋体" w:cs="Times New Roman"/>
                      <w:color w:val="auto"/>
                      <w:spacing w:val="0"/>
                      <w:sz w:val="18"/>
                      <w:szCs w:val="18"/>
                      <w:lang w:bidi="ar"/>
                    </w:rPr>
                  </w:pPr>
                  <w:r>
                    <w:rPr>
                      <w:rFonts w:eastAsia="宋体" w:cs="Times New Roman"/>
                      <w:color w:val="auto"/>
                      <w:spacing w:val="0"/>
                      <w:sz w:val="18"/>
                      <w:szCs w:val="18"/>
                      <w:lang w:bidi="ar"/>
                    </w:rPr>
                    <w:t>袋装</w:t>
                  </w:r>
                </w:p>
              </w:tc>
              <w:tc>
                <w:tcPr>
                  <w:tcW w:w="960" w:type="dxa"/>
                  <w:vMerge w:val="continue"/>
                  <w:vAlign w:val="center"/>
                </w:tcPr>
                <w:p>
                  <w:pPr>
                    <w:pStyle w:val="40"/>
                    <w:ind w:firstLine="0" w:firstLineChars="0"/>
                    <w:jc w:val="center"/>
                    <w:rPr>
                      <w:rFonts w:eastAsia="宋体" w:cs="Times New Roman"/>
                      <w:color w:val="auto"/>
                      <w:spacing w:val="0"/>
                      <w:sz w:val="18"/>
                      <w:szCs w:val="18"/>
                    </w:rPr>
                  </w:pPr>
                </w:p>
              </w:tc>
              <w:tc>
                <w:tcPr>
                  <w:tcW w:w="1695" w:type="dxa"/>
                  <w:vAlign w:val="center"/>
                </w:tcPr>
                <w:p>
                  <w:pPr>
                    <w:keepNext w:val="0"/>
                    <w:keepLines w:val="0"/>
                    <w:widowControl/>
                    <w:suppressLineNumbers w:val="0"/>
                    <w:jc w:val="center"/>
                    <w:textAlignment w:val="center"/>
                    <w:rPr>
                      <w:rFonts w:hint="default" w:ascii="Times New Roman" w:hAnsi="Times New Roman" w:cs="Times New Roman"/>
                      <w:color w:val="auto"/>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6.7167</w:t>
                  </w:r>
                </w:p>
              </w:tc>
              <w:tc>
                <w:tcPr>
                  <w:tcW w:w="840" w:type="dxa"/>
                  <w:vAlign w:val="center"/>
                </w:tcPr>
                <w:p>
                  <w:pPr>
                    <w:widowControl/>
                    <w:jc w:val="center"/>
                    <w:textAlignment w:val="center"/>
                    <w:rPr>
                      <w:color w:val="auto"/>
                      <w:kern w:val="0"/>
                      <w:sz w:val="18"/>
                      <w:szCs w:val="18"/>
                      <w:lang w:bidi="ar"/>
                    </w:rPr>
                  </w:pPr>
                  <w:r>
                    <w:rPr>
                      <w:color w:val="auto"/>
                      <w:kern w:val="0"/>
                      <w:sz w:val="18"/>
                      <w:szCs w:val="18"/>
                      <w:lang w:bidi="ar"/>
                    </w:rPr>
                    <w:t>50</w:t>
                  </w:r>
                </w:p>
              </w:tc>
              <w:tc>
                <w:tcPr>
                  <w:tcW w:w="992" w:type="dxa"/>
                  <w:vAlign w:val="center"/>
                </w:tcPr>
                <w:p>
                  <w:pPr>
                    <w:widowControl/>
                    <w:jc w:val="center"/>
                    <w:textAlignment w:val="center"/>
                    <w:rPr>
                      <w:rFonts w:hint="default"/>
                      <w:color w:val="auto"/>
                      <w:kern w:val="0"/>
                      <w:sz w:val="18"/>
                      <w:szCs w:val="18"/>
                      <w:lang w:val="en-US" w:eastAsia="zh-CN" w:bidi="ar"/>
                    </w:rPr>
                  </w:pPr>
                  <w:r>
                    <w:rPr>
                      <w:rFonts w:hint="eastAsia"/>
                      <w:color w:val="auto"/>
                      <w:kern w:val="0"/>
                      <w:sz w:val="18"/>
                      <w:szCs w:val="18"/>
                      <w:lang w:val="en-US" w:eastAsia="zh-CN" w:bidi="ar"/>
                    </w:rPr>
                    <w:t>0.1343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997" w:type="dxa"/>
                  <w:vMerge w:val="continue"/>
                  <w:vAlign w:val="center"/>
                </w:tcPr>
                <w:p>
                  <w:pPr>
                    <w:adjustRightInd w:val="0"/>
                    <w:jc w:val="center"/>
                    <w:rPr>
                      <w:color w:val="auto"/>
                      <w:spacing w:val="-2"/>
                      <w:sz w:val="18"/>
                      <w:szCs w:val="18"/>
                    </w:rPr>
                  </w:pPr>
                </w:p>
              </w:tc>
              <w:tc>
                <w:tcPr>
                  <w:tcW w:w="1875" w:type="dxa"/>
                  <w:vAlign w:val="center"/>
                </w:tcPr>
                <w:p>
                  <w:pPr>
                    <w:adjustRightInd w:val="0"/>
                    <w:snapToGrid w:val="0"/>
                    <w:jc w:val="center"/>
                    <w:rPr>
                      <w:color w:val="auto"/>
                      <w:sz w:val="18"/>
                      <w:szCs w:val="18"/>
                    </w:rPr>
                  </w:pPr>
                  <w:r>
                    <w:rPr>
                      <w:rFonts w:hint="eastAsia"/>
                      <w:color w:val="auto"/>
                      <w:sz w:val="18"/>
                      <w:szCs w:val="18"/>
                      <w:lang w:val="en-US" w:eastAsia="zh-CN"/>
                    </w:rPr>
                    <w:t>活性污泥</w:t>
                  </w:r>
                </w:p>
              </w:tc>
              <w:tc>
                <w:tcPr>
                  <w:tcW w:w="1020" w:type="dxa"/>
                  <w:vAlign w:val="center"/>
                </w:tcPr>
                <w:p>
                  <w:pPr>
                    <w:pStyle w:val="40"/>
                    <w:ind w:firstLine="0" w:firstLineChars="0"/>
                    <w:jc w:val="center"/>
                    <w:rPr>
                      <w:rFonts w:eastAsia="宋体" w:cs="Times New Roman"/>
                      <w:color w:val="auto"/>
                      <w:spacing w:val="0"/>
                      <w:sz w:val="18"/>
                      <w:szCs w:val="18"/>
                      <w:lang w:bidi="ar"/>
                    </w:rPr>
                  </w:pPr>
                  <w:r>
                    <w:rPr>
                      <w:rFonts w:eastAsia="宋体" w:cs="Times New Roman"/>
                      <w:color w:val="auto"/>
                      <w:spacing w:val="0"/>
                      <w:sz w:val="18"/>
                      <w:szCs w:val="18"/>
                      <w:lang w:bidi="ar"/>
                    </w:rPr>
                    <w:t>袋装</w:t>
                  </w:r>
                </w:p>
              </w:tc>
              <w:tc>
                <w:tcPr>
                  <w:tcW w:w="960" w:type="dxa"/>
                  <w:vMerge w:val="continue"/>
                  <w:vAlign w:val="center"/>
                </w:tcPr>
                <w:p>
                  <w:pPr>
                    <w:pStyle w:val="40"/>
                    <w:ind w:firstLine="0" w:firstLineChars="0"/>
                    <w:jc w:val="center"/>
                    <w:rPr>
                      <w:rFonts w:eastAsia="宋体" w:cs="Times New Roman"/>
                      <w:color w:val="auto"/>
                      <w:spacing w:val="0"/>
                      <w:sz w:val="18"/>
                      <w:szCs w:val="18"/>
                    </w:rPr>
                  </w:pPr>
                </w:p>
              </w:tc>
              <w:tc>
                <w:tcPr>
                  <w:tcW w:w="1695" w:type="dxa"/>
                  <w:vAlign w:val="center"/>
                </w:tcPr>
                <w:p>
                  <w:pPr>
                    <w:keepNext w:val="0"/>
                    <w:keepLines w:val="0"/>
                    <w:widowControl/>
                    <w:suppressLineNumbers w:val="0"/>
                    <w:jc w:val="center"/>
                    <w:textAlignment w:val="center"/>
                    <w:rPr>
                      <w:rFonts w:hint="default" w:ascii="Times New Roman" w:hAnsi="Times New Roman" w:cs="Times New Roman"/>
                      <w:color w:val="auto"/>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1.0</w:t>
                  </w:r>
                </w:p>
              </w:tc>
              <w:tc>
                <w:tcPr>
                  <w:tcW w:w="840" w:type="dxa"/>
                  <w:vAlign w:val="center"/>
                </w:tcPr>
                <w:p>
                  <w:pPr>
                    <w:widowControl/>
                    <w:jc w:val="center"/>
                    <w:textAlignment w:val="center"/>
                    <w:rPr>
                      <w:rFonts w:hint="default" w:eastAsia="宋体"/>
                      <w:color w:val="auto"/>
                      <w:kern w:val="0"/>
                      <w:sz w:val="18"/>
                      <w:szCs w:val="18"/>
                      <w:lang w:val="en-US" w:eastAsia="zh-CN" w:bidi="ar"/>
                    </w:rPr>
                  </w:pPr>
                  <w:r>
                    <w:rPr>
                      <w:rFonts w:hint="eastAsia"/>
                      <w:color w:val="auto"/>
                      <w:kern w:val="0"/>
                      <w:sz w:val="18"/>
                      <w:szCs w:val="18"/>
                      <w:lang w:val="en-US" w:eastAsia="zh-CN" w:bidi="ar"/>
                    </w:rPr>
                    <w:t>100</w:t>
                  </w:r>
                </w:p>
              </w:tc>
              <w:tc>
                <w:tcPr>
                  <w:tcW w:w="992" w:type="dxa"/>
                  <w:vAlign w:val="center"/>
                </w:tcPr>
                <w:p>
                  <w:pPr>
                    <w:widowControl/>
                    <w:jc w:val="center"/>
                    <w:textAlignment w:val="center"/>
                    <w:rPr>
                      <w:rFonts w:hint="default"/>
                      <w:color w:val="auto"/>
                      <w:kern w:val="0"/>
                      <w:sz w:val="18"/>
                      <w:szCs w:val="18"/>
                      <w:lang w:val="en-US" w:eastAsia="zh-CN" w:bidi="ar"/>
                    </w:rPr>
                  </w:pPr>
                  <w:r>
                    <w:rPr>
                      <w:rFonts w:hint="eastAsia"/>
                      <w:color w:val="auto"/>
                      <w:kern w:val="0"/>
                      <w:sz w:val="18"/>
                      <w:szCs w:val="18"/>
                      <w:lang w:val="en-US" w:eastAsia="zh-CN" w:bidi="ar"/>
                    </w:rPr>
                    <w:t>0.0100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997" w:type="dxa"/>
                  <w:vMerge w:val="continue"/>
                  <w:vAlign w:val="center"/>
                </w:tcPr>
                <w:p>
                  <w:pPr>
                    <w:adjustRightInd w:val="0"/>
                    <w:jc w:val="center"/>
                    <w:rPr>
                      <w:color w:val="auto"/>
                      <w:spacing w:val="-2"/>
                      <w:sz w:val="18"/>
                      <w:szCs w:val="18"/>
                    </w:rPr>
                  </w:pPr>
                </w:p>
              </w:tc>
              <w:tc>
                <w:tcPr>
                  <w:tcW w:w="1875" w:type="dxa"/>
                  <w:vAlign w:val="center"/>
                </w:tcPr>
                <w:p>
                  <w:pPr>
                    <w:adjustRightInd w:val="0"/>
                    <w:snapToGrid w:val="0"/>
                    <w:jc w:val="center"/>
                    <w:rPr>
                      <w:color w:val="auto"/>
                      <w:sz w:val="18"/>
                      <w:szCs w:val="18"/>
                    </w:rPr>
                  </w:pPr>
                  <w:r>
                    <w:rPr>
                      <w:rFonts w:hint="eastAsia"/>
                      <w:color w:val="auto"/>
                      <w:sz w:val="18"/>
                      <w:szCs w:val="18"/>
                      <w:lang w:val="en-US" w:eastAsia="zh-CN"/>
                    </w:rPr>
                    <w:t>废酸</w:t>
                  </w:r>
                </w:p>
              </w:tc>
              <w:tc>
                <w:tcPr>
                  <w:tcW w:w="1020" w:type="dxa"/>
                  <w:vAlign w:val="center"/>
                </w:tcPr>
                <w:p>
                  <w:pPr>
                    <w:pStyle w:val="40"/>
                    <w:ind w:firstLine="0" w:firstLineChars="0"/>
                    <w:jc w:val="center"/>
                    <w:rPr>
                      <w:rFonts w:eastAsia="宋体" w:cs="Times New Roman"/>
                      <w:color w:val="auto"/>
                      <w:spacing w:val="0"/>
                      <w:sz w:val="18"/>
                      <w:szCs w:val="18"/>
                      <w:lang w:bidi="ar"/>
                    </w:rPr>
                  </w:pPr>
                  <w:r>
                    <w:rPr>
                      <w:rFonts w:eastAsia="宋体" w:cs="Times New Roman"/>
                      <w:color w:val="auto"/>
                      <w:spacing w:val="0"/>
                      <w:sz w:val="18"/>
                      <w:szCs w:val="18"/>
                      <w:lang w:bidi="ar"/>
                    </w:rPr>
                    <w:t>桶装</w:t>
                  </w:r>
                </w:p>
              </w:tc>
              <w:tc>
                <w:tcPr>
                  <w:tcW w:w="960" w:type="dxa"/>
                  <w:vMerge w:val="continue"/>
                  <w:vAlign w:val="center"/>
                </w:tcPr>
                <w:p>
                  <w:pPr>
                    <w:pStyle w:val="40"/>
                    <w:ind w:firstLine="0" w:firstLineChars="0"/>
                    <w:jc w:val="center"/>
                    <w:rPr>
                      <w:rFonts w:eastAsia="宋体" w:cs="Times New Roman"/>
                      <w:color w:val="auto"/>
                      <w:spacing w:val="0"/>
                      <w:sz w:val="18"/>
                      <w:szCs w:val="18"/>
                    </w:rPr>
                  </w:pPr>
                </w:p>
              </w:tc>
              <w:tc>
                <w:tcPr>
                  <w:tcW w:w="1695" w:type="dxa"/>
                  <w:vAlign w:val="center"/>
                </w:tcPr>
                <w:p>
                  <w:pPr>
                    <w:keepNext w:val="0"/>
                    <w:keepLines w:val="0"/>
                    <w:widowControl/>
                    <w:suppressLineNumbers w:val="0"/>
                    <w:jc w:val="center"/>
                    <w:textAlignment w:val="center"/>
                    <w:rPr>
                      <w:rFonts w:hint="default" w:ascii="Times New Roman" w:hAnsi="Times New Roman" w:cs="Times New Roman"/>
                      <w:color w:val="auto"/>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0.575</w:t>
                  </w:r>
                </w:p>
              </w:tc>
              <w:tc>
                <w:tcPr>
                  <w:tcW w:w="840" w:type="dxa"/>
                  <w:vAlign w:val="center"/>
                </w:tcPr>
                <w:p>
                  <w:pPr>
                    <w:widowControl/>
                    <w:jc w:val="center"/>
                    <w:textAlignment w:val="center"/>
                    <w:rPr>
                      <w:rFonts w:hint="default" w:eastAsia="宋体"/>
                      <w:color w:val="auto"/>
                      <w:kern w:val="0"/>
                      <w:sz w:val="18"/>
                      <w:szCs w:val="18"/>
                      <w:lang w:val="en-US" w:eastAsia="zh-CN" w:bidi="ar"/>
                    </w:rPr>
                  </w:pPr>
                  <w:r>
                    <w:rPr>
                      <w:rFonts w:hint="eastAsia"/>
                      <w:color w:val="auto"/>
                      <w:kern w:val="0"/>
                      <w:sz w:val="18"/>
                      <w:szCs w:val="18"/>
                      <w:lang w:val="en-US" w:eastAsia="zh-CN" w:bidi="ar"/>
                    </w:rPr>
                    <w:t>100</w:t>
                  </w:r>
                </w:p>
              </w:tc>
              <w:tc>
                <w:tcPr>
                  <w:tcW w:w="992" w:type="dxa"/>
                  <w:vAlign w:val="center"/>
                </w:tcPr>
                <w:p>
                  <w:pPr>
                    <w:widowControl/>
                    <w:jc w:val="center"/>
                    <w:textAlignment w:val="center"/>
                    <w:rPr>
                      <w:rFonts w:hint="default"/>
                      <w:color w:val="auto"/>
                      <w:kern w:val="0"/>
                      <w:sz w:val="18"/>
                      <w:szCs w:val="18"/>
                      <w:lang w:val="en-US" w:eastAsia="zh-CN" w:bidi="ar"/>
                    </w:rPr>
                  </w:pPr>
                  <w:r>
                    <w:rPr>
                      <w:rFonts w:hint="eastAsia"/>
                      <w:color w:val="auto"/>
                      <w:kern w:val="0"/>
                      <w:sz w:val="18"/>
                      <w:szCs w:val="18"/>
                      <w:lang w:val="en-US" w:eastAsia="zh-CN" w:bidi="ar"/>
                    </w:rPr>
                    <w:t>0.0058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997" w:type="dxa"/>
                  <w:vMerge w:val="continue"/>
                  <w:vAlign w:val="center"/>
                </w:tcPr>
                <w:p>
                  <w:pPr>
                    <w:adjustRightInd w:val="0"/>
                    <w:jc w:val="center"/>
                    <w:rPr>
                      <w:color w:val="auto"/>
                      <w:spacing w:val="-2"/>
                      <w:sz w:val="18"/>
                      <w:szCs w:val="18"/>
                    </w:rPr>
                  </w:pPr>
                </w:p>
              </w:tc>
              <w:tc>
                <w:tcPr>
                  <w:tcW w:w="1875" w:type="dxa"/>
                  <w:vAlign w:val="center"/>
                </w:tcPr>
                <w:p>
                  <w:pPr>
                    <w:adjustRightInd w:val="0"/>
                    <w:snapToGrid w:val="0"/>
                    <w:jc w:val="center"/>
                    <w:rPr>
                      <w:color w:val="auto"/>
                      <w:sz w:val="18"/>
                      <w:szCs w:val="18"/>
                    </w:rPr>
                  </w:pPr>
                  <w:r>
                    <w:rPr>
                      <w:rFonts w:hint="eastAsia"/>
                      <w:color w:val="auto"/>
                      <w:sz w:val="18"/>
                      <w:szCs w:val="18"/>
                      <w:lang w:val="en-US" w:eastAsia="zh-CN"/>
                    </w:rPr>
                    <w:t>废盐</w:t>
                  </w:r>
                </w:p>
              </w:tc>
              <w:tc>
                <w:tcPr>
                  <w:tcW w:w="1020" w:type="dxa"/>
                  <w:vAlign w:val="center"/>
                </w:tcPr>
                <w:p>
                  <w:pPr>
                    <w:pStyle w:val="40"/>
                    <w:ind w:firstLine="0" w:firstLineChars="0"/>
                    <w:jc w:val="center"/>
                    <w:rPr>
                      <w:rFonts w:eastAsia="宋体" w:cs="Times New Roman"/>
                      <w:color w:val="auto"/>
                      <w:spacing w:val="0"/>
                      <w:sz w:val="18"/>
                      <w:szCs w:val="18"/>
                      <w:lang w:bidi="ar"/>
                    </w:rPr>
                  </w:pPr>
                  <w:r>
                    <w:rPr>
                      <w:rFonts w:eastAsia="宋体" w:cs="Times New Roman"/>
                      <w:color w:val="auto"/>
                      <w:spacing w:val="0"/>
                      <w:sz w:val="18"/>
                      <w:szCs w:val="18"/>
                      <w:lang w:bidi="ar"/>
                    </w:rPr>
                    <w:t>桶装</w:t>
                  </w:r>
                </w:p>
              </w:tc>
              <w:tc>
                <w:tcPr>
                  <w:tcW w:w="960" w:type="dxa"/>
                  <w:vMerge w:val="continue"/>
                  <w:vAlign w:val="center"/>
                </w:tcPr>
                <w:p>
                  <w:pPr>
                    <w:pStyle w:val="40"/>
                    <w:ind w:firstLine="0" w:firstLineChars="0"/>
                    <w:jc w:val="center"/>
                    <w:rPr>
                      <w:rFonts w:eastAsia="宋体" w:cs="Times New Roman"/>
                      <w:color w:val="auto"/>
                      <w:spacing w:val="0"/>
                      <w:sz w:val="18"/>
                      <w:szCs w:val="18"/>
                    </w:rPr>
                  </w:pPr>
                </w:p>
              </w:tc>
              <w:tc>
                <w:tcPr>
                  <w:tcW w:w="1695" w:type="dxa"/>
                  <w:vAlign w:val="center"/>
                </w:tcPr>
                <w:p>
                  <w:pPr>
                    <w:keepNext w:val="0"/>
                    <w:keepLines w:val="0"/>
                    <w:widowControl/>
                    <w:suppressLineNumbers w:val="0"/>
                    <w:jc w:val="center"/>
                    <w:textAlignment w:val="center"/>
                    <w:rPr>
                      <w:rFonts w:hint="default" w:ascii="Times New Roman" w:hAnsi="Times New Roman" w:cs="Times New Roman"/>
                      <w:color w:val="auto"/>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17.2083</w:t>
                  </w:r>
                </w:p>
              </w:tc>
              <w:tc>
                <w:tcPr>
                  <w:tcW w:w="840" w:type="dxa"/>
                  <w:vAlign w:val="center"/>
                </w:tcPr>
                <w:p>
                  <w:pPr>
                    <w:widowControl/>
                    <w:jc w:val="center"/>
                    <w:textAlignment w:val="center"/>
                    <w:rPr>
                      <w:rFonts w:hint="default" w:eastAsia="宋体"/>
                      <w:color w:val="auto"/>
                      <w:kern w:val="0"/>
                      <w:sz w:val="18"/>
                      <w:szCs w:val="18"/>
                      <w:lang w:val="en-US" w:eastAsia="zh-CN" w:bidi="ar"/>
                    </w:rPr>
                  </w:pPr>
                  <w:r>
                    <w:rPr>
                      <w:rFonts w:hint="eastAsia"/>
                      <w:color w:val="auto"/>
                      <w:kern w:val="0"/>
                      <w:sz w:val="18"/>
                      <w:szCs w:val="18"/>
                      <w:lang w:val="en-US" w:eastAsia="zh-CN" w:bidi="ar"/>
                    </w:rPr>
                    <w:t>100</w:t>
                  </w:r>
                </w:p>
              </w:tc>
              <w:tc>
                <w:tcPr>
                  <w:tcW w:w="992" w:type="dxa"/>
                  <w:vAlign w:val="center"/>
                </w:tcPr>
                <w:p>
                  <w:pPr>
                    <w:widowControl/>
                    <w:jc w:val="center"/>
                    <w:textAlignment w:val="center"/>
                    <w:rPr>
                      <w:rFonts w:hint="default"/>
                      <w:color w:val="auto"/>
                      <w:kern w:val="0"/>
                      <w:sz w:val="18"/>
                      <w:szCs w:val="18"/>
                      <w:lang w:val="en-US" w:eastAsia="zh-CN" w:bidi="ar"/>
                    </w:rPr>
                  </w:pPr>
                  <w:r>
                    <w:rPr>
                      <w:rFonts w:hint="eastAsia"/>
                      <w:color w:val="auto"/>
                      <w:kern w:val="0"/>
                      <w:sz w:val="18"/>
                      <w:szCs w:val="18"/>
                      <w:lang w:val="en-US" w:eastAsia="zh-CN" w:bidi="ar"/>
                    </w:rPr>
                    <w:t>0.1721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997" w:type="dxa"/>
                  <w:vMerge w:val="continue"/>
                  <w:vAlign w:val="center"/>
                </w:tcPr>
                <w:p>
                  <w:pPr>
                    <w:adjustRightInd w:val="0"/>
                    <w:jc w:val="center"/>
                    <w:rPr>
                      <w:color w:val="auto"/>
                      <w:spacing w:val="-2"/>
                      <w:sz w:val="18"/>
                      <w:szCs w:val="18"/>
                    </w:rPr>
                  </w:pPr>
                </w:p>
              </w:tc>
              <w:tc>
                <w:tcPr>
                  <w:tcW w:w="1875" w:type="dxa"/>
                  <w:vAlign w:val="center"/>
                </w:tcPr>
                <w:p>
                  <w:pPr>
                    <w:adjustRightInd w:val="0"/>
                    <w:snapToGrid w:val="0"/>
                    <w:jc w:val="center"/>
                    <w:rPr>
                      <w:color w:val="auto"/>
                      <w:sz w:val="18"/>
                      <w:szCs w:val="18"/>
                    </w:rPr>
                  </w:pPr>
                  <w:r>
                    <w:rPr>
                      <w:rFonts w:hint="eastAsia"/>
                      <w:color w:val="auto"/>
                      <w:sz w:val="18"/>
                      <w:szCs w:val="18"/>
                      <w:lang w:val="en-US" w:eastAsia="zh-CN"/>
                    </w:rPr>
                    <w:t>废水除氟预处理残渣</w:t>
                  </w:r>
                </w:p>
              </w:tc>
              <w:tc>
                <w:tcPr>
                  <w:tcW w:w="1020" w:type="dxa"/>
                  <w:vAlign w:val="center"/>
                </w:tcPr>
                <w:p>
                  <w:pPr>
                    <w:pStyle w:val="40"/>
                    <w:ind w:firstLine="0" w:firstLineChars="0"/>
                    <w:jc w:val="center"/>
                    <w:rPr>
                      <w:rFonts w:eastAsia="宋体" w:cs="Times New Roman"/>
                      <w:color w:val="auto"/>
                      <w:spacing w:val="0"/>
                      <w:sz w:val="18"/>
                      <w:szCs w:val="18"/>
                      <w:lang w:bidi="ar"/>
                    </w:rPr>
                  </w:pPr>
                  <w:r>
                    <w:rPr>
                      <w:rFonts w:eastAsia="宋体" w:cs="Times New Roman"/>
                      <w:color w:val="auto"/>
                      <w:spacing w:val="0"/>
                      <w:sz w:val="18"/>
                      <w:szCs w:val="18"/>
                      <w:lang w:bidi="ar"/>
                    </w:rPr>
                    <w:t>袋装</w:t>
                  </w:r>
                </w:p>
              </w:tc>
              <w:tc>
                <w:tcPr>
                  <w:tcW w:w="960" w:type="dxa"/>
                  <w:vMerge w:val="continue"/>
                  <w:vAlign w:val="center"/>
                </w:tcPr>
                <w:p>
                  <w:pPr>
                    <w:pStyle w:val="40"/>
                    <w:ind w:firstLine="0" w:firstLineChars="0"/>
                    <w:jc w:val="center"/>
                    <w:rPr>
                      <w:rFonts w:eastAsia="宋体" w:cs="Times New Roman"/>
                      <w:color w:val="auto"/>
                      <w:spacing w:val="0"/>
                      <w:sz w:val="18"/>
                      <w:szCs w:val="18"/>
                    </w:rPr>
                  </w:pPr>
                </w:p>
              </w:tc>
              <w:tc>
                <w:tcPr>
                  <w:tcW w:w="1695" w:type="dxa"/>
                  <w:vAlign w:val="center"/>
                </w:tcPr>
                <w:p>
                  <w:pPr>
                    <w:keepNext w:val="0"/>
                    <w:keepLines w:val="0"/>
                    <w:widowControl/>
                    <w:suppressLineNumbers w:val="0"/>
                    <w:jc w:val="center"/>
                    <w:textAlignment w:val="center"/>
                    <w:rPr>
                      <w:rFonts w:hint="default" w:ascii="Times New Roman" w:hAnsi="Times New Roman" w:cs="Times New Roman"/>
                      <w:color w:val="auto"/>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8.3333</w:t>
                  </w:r>
                </w:p>
              </w:tc>
              <w:tc>
                <w:tcPr>
                  <w:tcW w:w="840" w:type="dxa"/>
                  <w:vAlign w:val="center"/>
                </w:tcPr>
                <w:p>
                  <w:pPr>
                    <w:widowControl/>
                    <w:jc w:val="center"/>
                    <w:textAlignment w:val="center"/>
                    <w:rPr>
                      <w:rFonts w:hint="default" w:eastAsia="宋体"/>
                      <w:color w:val="auto"/>
                      <w:kern w:val="0"/>
                      <w:sz w:val="18"/>
                      <w:szCs w:val="18"/>
                      <w:lang w:val="en-US" w:eastAsia="zh-CN" w:bidi="ar"/>
                    </w:rPr>
                  </w:pPr>
                  <w:r>
                    <w:rPr>
                      <w:rFonts w:hint="eastAsia"/>
                      <w:color w:val="auto"/>
                      <w:kern w:val="0"/>
                      <w:sz w:val="18"/>
                      <w:szCs w:val="18"/>
                      <w:lang w:val="en-US" w:eastAsia="zh-CN" w:bidi="ar"/>
                    </w:rPr>
                    <w:t>100</w:t>
                  </w:r>
                </w:p>
              </w:tc>
              <w:tc>
                <w:tcPr>
                  <w:tcW w:w="992" w:type="dxa"/>
                  <w:vAlign w:val="center"/>
                </w:tcPr>
                <w:p>
                  <w:pPr>
                    <w:widowControl/>
                    <w:jc w:val="center"/>
                    <w:textAlignment w:val="center"/>
                    <w:rPr>
                      <w:rFonts w:hint="default"/>
                      <w:color w:val="auto"/>
                      <w:kern w:val="0"/>
                      <w:sz w:val="18"/>
                      <w:szCs w:val="18"/>
                      <w:lang w:val="en-US" w:eastAsia="zh-CN" w:bidi="ar"/>
                    </w:rPr>
                  </w:pPr>
                  <w:r>
                    <w:rPr>
                      <w:rFonts w:hint="eastAsia"/>
                      <w:color w:val="auto"/>
                      <w:kern w:val="0"/>
                      <w:sz w:val="18"/>
                      <w:szCs w:val="18"/>
                      <w:lang w:val="en-US" w:eastAsia="zh-CN" w:bidi="ar"/>
                    </w:rPr>
                    <w:t>0.0833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997" w:type="dxa"/>
                  <w:vMerge w:val="continue"/>
                  <w:vAlign w:val="center"/>
                </w:tcPr>
                <w:p>
                  <w:pPr>
                    <w:adjustRightInd w:val="0"/>
                    <w:jc w:val="center"/>
                    <w:rPr>
                      <w:color w:val="auto"/>
                      <w:spacing w:val="-2"/>
                      <w:sz w:val="18"/>
                      <w:szCs w:val="18"/>
                    </w:rPr>
                  </w:pPr>
                </w:p>
              </w:tc>
              <w:tc>
                <w:tcPr>
                  <w:tcW w:w="1875" w:type="dxa"/>
                  <w:vAlign w:val="center"/>
                </w:tcPr>
                <w:p>
                  <w:pPr>
                    <w:adjustRightInd w:val="0"/>
                    <w:snapToGrid w:val="0"/>
                    <w:jc w:val="center"/>
                    <w:rPr>
                      <w:color w:val="auto"/>
                      <w:sz w:val="18"/>
                      <w:szCs w:val="18"/>
                    </w:rPr>
                  </w:pPr>
                  <w:r>
                    <w:rPr>
                      <w:rFonts w:hint="eastAsia"/>
                      <w:color w:val="auto"/>
                      <w:sz w:val="18"/>
                      <w:szCs w:val="18"/>
                      <w:lang w:val="en-US" w:eastAsia="zh-CN"/>
                    </w:rPr>
                    <w:t>脱羧废渣</w:t>
                  </w:r>
                </w:p>
              </w:tc>
              <w:tc>
                <w:tcPr>
                  <w:tcW w:w="1020" w:type="dxa"/>
                  <w:vAlign w:val="center"/>
                </w:tcPr>
                <w:p>
                  <w:pPr>
                    <w:pStyle w:val="40"/>
                    <w:ind w:firstLine="0" w:firstLineChars="0"/>
                    <w:jc w:val="center"/>
                    <w:rPr>
                      <w:rFonts w:eastAsia="宋体" w:cs="Times New Roman"/>
                      <w:color w:val="auto"/>
                      <w:spacing w:val="0"/>
                      <w:sz w:val="18"/>
                      <w:szCs w:val="18"/>
                      <w:lang w:bidi="ar"/>
                    </w:rPr>
                  </w:pPr>
                  <w:r>
                    <w:rPr>
                      <w:rFonts w:eastAsia="宋体" w:cs="Times New Roman"/>
                      <w:color w:val="auto"/>
                      <w:spacing w:val="0"/>
                      <w:sz w:val="18"/>
                      <w:szCs w:val="18"/>
                      <w:lang w:bidi="ar"/>
                    </w:rPr>
                    <w:t>袋装</w:t>
                  </w:r>
                </w:p>
              </w:tc>
              <w:tc>
                <w:tcPr>
                  <w:tcW w:w="960" w:type="dxa"/>
                  <w:vMerge w:val="continue"/>
                  <w:vAlign w:val="center"/>
                </w:tcPr>
                <w:p>
                  <w:pPr>
                    <w:pStyle w:val="40"/>
                    <w:ind w:firstLine="0" w:firstLineChars="0"/>
                    <w:jc w:val="center"/>
                    <w:rPr>
                      <w:rFonts w:eastAsia="宋体" w:cs="Times New Roman"/>
                      <w:color w:val="auto"/>
                      <w:spacing w:val="0"/>
                      <w:sz w:val="18"/>
                      <w:szCs w:val="18"/>
                    </w:rPr>
                  </w:pPr>
                </w:p>
              </w:tc>
              <w:tc>
                <w:tcPr>
                  <w:tcW w:w="1695" w:type="dxa"/>
                  <w:vAlign w:val="center"/>
                </w:tcPr>
                <w:p>
                  <w:pPr>
                    <w:keepNext w:val="0"/>
                    <w:keepLines w:val="0"/>
                    <w:widowControl/>
                    <w:suppressLineNumbers w:val="0"/>
                    <w:jc w:val="center"/>
                    <w:textAlignment w:val="center"/>
                    <w:rPr>
                      <w:rFonts w:hint="default" w:ascii="Times New Roman" w:hAnsi="Times New Roman" w:cs="Times New Roman"/>
                      <w:color w:val="auto"/>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5.125</w:t>
                  </w:r>
                </w:p>
              </w:tc>
              <w:tc>
                <w:tcPr>
                  <w:tcW w:w="840" w:type="dxa"/>
                  <w:vAlign w:val="center"/>
                </w:tcPr>
                <w:p>
                  <w:pPr>
                    <w:widowControl/>
                    <w:jc w:val="center"/>
                    <w:textAlignment w:val="center"/>
                    <w:rPr>
                      <w:rFonts w:hint="default" w:eastAsia="宋体"/>
                      <w:color w:val="auto"/>
                      <w:kern w:val="0"/>
                      <w:sz w:val="18"/>
                      <w:szCs w:val="18"/>
                      <w:lang w:val="en-US" w:eastAsia="zh-CN" w:bidi="ar"/>
                    </w:rPr>
                  </w:pPr>
                  <w:r>
                    <w:rPr>
                      <w:rFonts w:hint="eastAsia"/>
                      <w:color w:val="auto"/>
                      <w:kern w:val="0"/>
                      <w:sz w:val="18"/>
                      <w:szCs w:val="18"/>
                      <w:lang w:val="en-US" w:eastAsia="zh-CN" w:bidi="ar"/>
                    </w:rPr>
                    <w:t>100</w:t>
                  </w:r>
                </w:p>
              </w:tc>
              <w:tc>
                <w:tcPr>
                  <w:tcW w:w="992" w:type="dxa"/>
                  <w:vAlign w:val="center"/>
                </w:tcPr>
                <w:p>
                  <w:pPr>
                    <w:widowControl/>
                    <w:jc w:val="center"/>
                    <w:textAlignment w:val="center"/>
                    <w:rPr>
                      <w:rFonts w:hint="default"/>
                      <w:color w:val="auto"/>
                      <w:kern w:val="0"/>
                      <w:sz w:val="18"/>
                      <w:szCs w:val="18"/>
                      <w:lang w:val="en-US" w:eastAsia="zh-CN" w:bidi="ar"/>
                    </w:rPr>
                  </w:pPr>
                  <w:r>
                    <w:rPr>
                      <w:rFonts w:hint="eastAsia"/>
                      <w:color w:val="auto"/>
                      <w:kern w:val="0"/>
                      <w:sz w:val="18"/>
                      <w:szCs w:val="18"/>
                      <w:lang w:val="en-US" w:eastAsia="zh-CN" w:bidi="ar"/>
                    </w:rPr>
                    <w:t>0.0513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997" w:type="dxa"/>
                  <w:vMerge w:val="continue"/>
                  <w:vAlign w:val="center"/>
                </w:tcPr>
                <w:p>
                  <w:pPr>
                    <w:adjustRightInd w:val="0"/>
                    <w:jc w:val="center"/>
                    <w:rPr>
                      <w:color w:val="auto"/>
                      <w:spacing w:val="-2"/>
                      <w:sz w:val="18"/>
                      <w:szCs w:val="18"/>
                    </w:rPr>
                  </w:pPr>
                </w:p>
              </w:tc>
              <w:tc>
                <w:tcPr>
                  <w:tcW w:w="1875" w:type="dxa"/>
                  <w:vAlign w:val="center"/>
                </w:tcPr>
                <w:p>
                  <w:pPr>
                    <w:adjustRightInd w:val="0"/>
                    <w:snapToGrid w:val="0"/>
                    <w:jc w:val="center"/>
                    <w:rPr>
                      <w:color w:val="auto"/>
                      <w:sz w:val="18"/>
                      <w:szCs w:val="18"/>
                    </w:rPr>
                  </w:pPr>
                  <w:r>
                    <w:rPr>
                      <w:rFonts w:hint="eastAsia"/>
                      <w:color w:val="auto"/>
                      <w:sz w:val="18"/>
                      <w:szCs w:val="18"/>
                      <w:lang w:val="en-US" w:eastAsia="zh-CN"/>
                    </w:rPr>
                    <w:t>检测废液</w:t>
                  </w:r>
                </w:p>
              </w:tc>
              <w:tc>
                <w:tcPr>
                  <w:tcW w:w="1020" w:type="dxa"/>
                  <w:vAlign w:val="center"/>
                </w:tcPr>
                <w:p>
                  <w:pPr>
                    <w:pStyle w:val="40"/>
                    <w:ind w:firstLine="0" w:firstLineChars="0"/>
                    <w:jc w:val="center"/>
                    <w:rPr>
                      <w:rFonts w:eastAsia="宋体" w:cs="Times New Roman"/>
                      <w:color w:val="auto"/>
                      <w:spacing w:val="0"/>
                      <w:sz w:val="18"/>
                      <w:szCs w:val="18"/>
                      <w:lang w:bidi="ar"/>
                    </w:rPr>
                  </w:pPr>
                  <w:r>
                    <w:rPr>
                      <w:rFonts w:eastAsia="宋体" w:cs="Times New Roman"/>
                      <w:color w:val="auto"/>
                      <w:spacing w:val="0"/>
                      <w:sz w:val="18"/>
                      <w:szCs w:val="18"/>
                      <w:lang w:bidi="ar"/>
                    </w:rPr>
                    <w:t>桶装</w:t>
                  </w:r>
                </w:p>
              </w:tc>
              <w:tc>
                <w:tcPr>
                  <w:tcW w:w="960" w:type="dxa"/>
                  <w:vMerge w:val="continue"/>
                  <w:vAlign w:val="center"/>
                </w:tcPr>
                <w:p>
                  <w:pPr>
                    <w:pStyle w:val="40"/>
                    <w:ind w:firstLine="0" w:firstLineChars="0"/>
                    <w:jc w:val="center"/>
                    <w:rPr>
                      <w:rFonts w:eastAsia="宋体" w:cs="Times New Roman"/>
                      <w:color w:val="auto"/>
                      <w:spacing w:val="0"/>
                      <w:sz w:val="18"/>
                      <w:szCs w:val="18"/>
                    </w:rPr>
                  </w:pPr>
                </w:p>
              </w:tc>
              <w:tc>
                <w:tcPr>
                  <w:tcW w:w="1695" w:type="dxa"/>
                  <w:vAlign w:val="center"/>
                </w:tcPr>
                <w:p>
                  <w:pPr>
                    <w:keepNext w:val="0"/>
                    <w:keepLines w:val="0"/>
                    <w:widowControl/>
                    <w:suppressLineNumbers w:val="0"/>
                    <w:jc w:val="center"/>
                    <w:textAlignment w:val="center"/>
                    <w:rPr>
                      <w:rFonts w:hint="default" w:ascii="Times New Roman" w:hAnsi="Times New Roman" w:cs="Times New Roman"/>
                      <w:color w:val="auto"/>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0.0417</w:t>
                  </w:r>
                </w:p>
              </w:tc>
              <w:tc>
                <w:tcPr>
                  <w:tcW w:w="840" w:type="dxa"/>
                  <w:vAlign w:val="center"/>
                </w:tcPr>
                <w:p>
                  <w:pPr>
                    <w:widowControl/>
                    <w:jc w:val="center"/>
                    <w:textAlignment w:val="center"/>
                    <w:rPr>
                      <w:rFonts w:hint="default" w:eastAsia="宋体"/>
                      <w:color w:val="auto"/>
                      <w:kern w:val="0"/>
                      <w:sz w:val="18"/>
                      <w:szCs w:val="18"/>
                      <w:lang w:val="en-US" w:eastAsia="zh-CN" w:bidi="ar"/>
                    </w:rPr>
                  </w:pPr>
                  <w:r>
                    <w:rPr>
                      <w:rFonts w:hint="eastAsia"/>
                      <w:color w:val="auto"/>
                      <w:kern w:val="0"/>
                      <w:sz w:val="18"/>
                      <w:szCs w:val="18"/>
                      <w:lang w:val="en-US" w:eastAsia="zh-CN" w:bidi="ar"/>
                    </w:rPr>
                    <w:t>100</w:t>
                  </w:r>
                </w:p>
              </w:tc>
              <w:tc>
                <w:tcPr>
                  <w:tcW w:w="992" w:type="dxa"/>
                  <w:vAlign w:val="center"/>
                </w:tcPr>
                <w:p>
                  <w:pPr>
                    <w:widowControl/>
                    <w:jc w:val="center"/>
                    <w:textAlignment w:val="center"/>
                    <w:rPr>
                      <w:rFonts w:hint="default"/>
                      <w:color w:val="auto"/>
                      <w:kern w:val="0"/>
                      <w:sz w:val="18"/>
                      <w:szCs w:val="18"/>
                      <w:lang w:val="en-US" w:eastAsia="zh-CN" w:bidi="ar"/>
                    </w:rPr>
                  </w:pPr>
                  <w:r>
                    <w:rPr>
                      <w:rFonts w:hint="eastAsia"/>
                      <w:color w:val="auto"/>
                      <w:kern w:val="0"/>
                      <w:sz w:val="18"/>
                      <w:szCs w:val="18"/>
                      <w:lang w:val="en-US" w:eastAsia="zh-CN" w:bidi="ar"/>
                    </w:rPr>
                    <w:t>0.0004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997" w:type="dxa"/>
                  <w:vMerge w:val="continue"/>
                  <w:vAlign w:val="center"/>
                </w:tcPr>
                <w:p>
                  <w:pPr>
                    <w:adjustRightInd w:val="0"/>
                    <w:jc w:val="center"/>
                    <w:rPr>
                      <w:color w:val="auto"/>
                      <w:spacing w:val="-2"/>
                      <w:sz w:val="18"/>
                      <w:szCs w:val="18"/>
                    </w:rPr>
                  </w:pPr>
                </w:p>
              </w:tc>
              <w:tc>
                <w:tcPr>
                  <w:tcW w:w="1875" w:type="dxa"/>
                  <w:vAlign w:val="center"/>
                </w:tcPr>
                <w:p>
                  <w:pPr>
                    <w:adjustRightInd w:val="0"/>
                    <w:snapToGrid w:val="0"/>
                    <w:jc w:val="center"/>
                    <w:rPr>
                      <w:color w:val="auto"/>
                      <w:sz w:val="18"/>
                      <w:szCs w:val="18"/>
                    </w:rPr>
                  </w:pPr>
                  <w:r>
                    <w:rPr>
                      <w:rFonts w:hint="eastAsia"/>
                      <w:color w:val="auto"/>
                      <w:sz w:val="18"/>
                      <w:szCs w:val="18"/>
                      <w:lang w:val="en-US" w:eastAsia="zh-CN"/>
                    </w:rPr>
                    <w:t>危化品包装物</w:t>
                  </w:r>
                </w:p>
              </w:tc>
              <w:tc>
                <w:tcPr>
                  <w:tcW w:w="1020" w:type="dxa"/>
                  <w:vAlign w:val="center"/>
                </w:tcPr>
                <w:p>
                  <w:pPr>
                    <w:pStyle w:val="40"/>
                    <w:ind w:firstLine="0" w:firstLineChars="0"/>
                    <w:jc w:val="center"/>
                    <w:rPr>
                      <w:rFonts w:eastAsia="宋体" w:cs="Times New Roman"/>
                      <w:color w:val="auto"/>
                      <w:spacing w:val="0"/>
                      <w:sz w:val="18"/>
                      <w:szCs w:val="18"/>
                      <w:lang w:bidi="ar"/>
                    </w:rPr>
                  </w:pPr>
                  <w:r>
                    <w:rPr>
                      <w:rFonts w:eastAsia="宋体" w:cs="Times New Roman"/>
                      <w:color w:val="auto"/>
                      <w:spacing w:val="0"/>
                      <w:sz w:val="18"/>
                      <w:szCs w:val="18"/>
                      <w:lang w:bidi="ar"/>
                    </w:rPr>
                    <w:t>袋装</w:t>
                  </w:r>
                </w:p>
              </w:tc>
              <w:tc>
                <w:tcPr>
                  <w:tcW w:w="960" w:type="dxa"/>
                  <w:vMerge w:val="continue"/>
                  <w:vAlign w:val="center"/>
                </w:tcPr>
                <w:p>
                  <w:pPr>
                    <w:pStyle w:val="40"/>
                    <w:ind w:firstLine="0" w:firstLineChars="0"/>
                    <w:jc w:val="center"/>
                    <w:rPr>
                      <w:rFonts w:eastAsia="宋体" w:cs="Times New Roman"/>
                      <w:color w:val="auto"/>
                      <w:spacing w:val="0"/>
                      <w:sz w:val="18"/>
                      <w:szCs w:val="18"/>
                    </w:rPr>
                  </w:pPr>
                </w:p>
              </w:tc>
              <w:tc>
                <w:tcPr>
                  <w:tcW w:w="1695" w:type="dxa"/>
                  <w:vAlign w:val="center"/>
                </w:tcPr>
                <w:p>
                  <w:pPr>
                    <w:keepNext w:val="0"/>
                    <w:keepLines w:val="0"/>
                    <w:widowControl/>
                    <w:suppressLineNumbers w:val="0"/>
                    <w:jc w:val="center"/>
                    <w:textAlignment w:val="center"/>
                    <w:rPr>
                      <w:rFonts w:hint="default" w:ascii="Times New Roman" w:hAnsi="Times New Roman" w:cs="Times New Roman"/>
                      <w:color w:val="auto"/>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0.4167</w:t>
                  </w:r>
                </w:p>
              </w:tc>
              <w:tc>
                <w:tcPr>
                  <w:tcW w:w="840" w:type="dxa"/>
                  <w:vAlign w:val="center"/>
                </w:tcPr>
                <w:p>
                  <w:pPr>
                    <w:widowControl/>
                    <w:jc w:val="center"/>
                    <w:textAlignment w:val="center"/>
                    <w:rPr>
                      <w:rFonts w:hint="default" w:eastAsia="宋体"/>
                      <w:color w:val="auto"/>
                      <w:kern w:val="0"/>
                      <w:sz w:val="18"/>
                      <w:szCs w:val="18"/>
                      <w:lang w:val="en-US" w:eastAsia="zh-CN" w:bidi="ar"/>
                    </w:rPr>
                  </w:pPr>
                  <w:r>
                    <w:rPr>
                      <w:rFonts w:hint="eastAsia"/>
                      <w:color w:val="auto"/>
                      <w:kern w:val="0"/>
                      <w:sz w:val="18"/>
                      <w:szCs w:val="18"/>
                      <w:lang w:val="en-US" w:eastAsia="zh-CN" w:bidi="ar"/>
                    </w:rPr>
                    <w:t>50</w:t>
                  </w:r>
                </w:p>
              </w:tc>
              <w:tc>
                <w:tcPr>
                  <w:tcW w:w="992" w:type="dxa"/>
                  <w:vAlign w:val="center"/>
                </w:tcPr>
                <w:p>
                  <w:pPr>
                    <w:widowControl/>
                    <w:jc w:val="center"/>
                    <w:textAlignment w:val="center"/>
                    <w:rPr>
                      <w:rFonts w:hint="default"/>
                      <w:color w:val="auto"/>
                      <w:kern w:val="0"/>
                      <w:sz w:val="18"/>
                      <w:szCs w:val="18"/>
                      <w:lang w:val="en-US" w:eastAsia="zh-CN" w:bidi="ar"/>
                    </w:rPr>
                  </w:pPr>
                  <w:r>
                    <w:rPr>
                      <w:rFonts w:hint="eastAsia"/>
                      <w:color w:val="auto"/>
                      <w:kern w:val="0"/>
                      <w:sz w:val="18"/>
                      <w:szCs w:val="18"/>
                      <w:lang w:val="en-US" w:eastAsia="zh-CN" w:bidi="ar"/>
                    </w:rPr>
                    <w:t>0.0083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7" w:type="dxa"/>
                  <w:gridSpan w:val="6"/>
                  <w:vAlign w:val="center"/>
                </w:tcPr>
                <w:p>
                  <w:pPr>
                    <w:pStyle w:val="40"/>
                    <w:ind w:firstLine="0" w:firstLineChars="0"/>
                    <w:jc w:val="center"/>
                    <w:rPr>
                      <w:rFonts w:eastAsia="宋体" w:cs="Times New Roman"/>
                      <w:color w:val="auto"/>
                      <w:spacing w:val="0"/>
                      <w:sz w:val="18"/>
                      <w:szCs w:val="18"/>
                      <w:lang w:bidi="ar"/>
                    </w:rPr>
                  </w:pPr>
                  <w:r>
                    <w:rPr>
                      <w:rFonts w:eastAsia="宋体" w:cs="Times New Roman"/>
                      <w:color w:val="auto"/>
                      <w:spacing w:val="0"/>
                      <w:sz w:val="18"/>
                      <w:szCs w:val="18"/>
                      <w:lang w:bidi="ar"/>
                    </w:rPr>
                    <w:t>合计</w:t>
                  </w:r>
                </w:p>
              </w:tc>
              <w:tc>
                <w:tcPr>
                  <w:tcW w:w="992" w:type="dxa"/>
                  <w:shd w:val="clear" w:color="auto" w:fill="auto"/>
                  <w:vAlign w:val="center"/>
                </w:tcPr>
                <w:p>
                  <w:pPr>
                    <w:widowControl/>
                    <w:jc w:val="center"/>
                    <w:textAlignment w:val="center"/>
                    <w:rPr>
                      <w:rFonts w:hint="default" w:ascii="宋体" w:hAnsi="宋体" w:eastAsia="宋体" w:cs="宋体"/>
                      <w:i w:val="0"/>
                      <w:iCs w:val="0"/>
                      <w:color w:val="auto"/>
                      <w:kern w:val="2"/>
                      <w:sz w:val="22"/>
                      <w:szCs w:val="22"/>
                      <w:u w:val="none"/>
                      <w:lang w:val="en-US" w:eastAsia="zh-CN" w:bidi="ar-SA"/>
                    </w:rPr>
                  </w:pPr>
                  <w:r>
                    <w:rPr>
                      <w:rFonts w:hint="eastAsia"/>
                      <w:color w:val="auto"/>
                      <w:kern w:val="0"/>
                      <w:sz w:val="18"/>
                      <w:szCs w:val="18"/>
                      <w:lang w:val="en-US" w:eastAsia="zh-CN" w:bidi="ar"/>
                    </w:rPr>
                    <w:t>0.5882</w:t>
                  </w:r>
                </w:p>
              </w:tc>
            </w:tr>
          </w:tbl>
          <w:p>
            <w:pPr>
              <w:pStyle w:val="40"/>
              <w:spacing w:line="360" w:lineRule="auto"/>
              <w:ind w:firstLine="420"/>
              <w:rPr>
                <w:rFonts w:eastAsia="宋体" w:cs="Times New Roman"/>
                <w:color w:val="auto"/>
                <w:spacing w:val="0"/>
                <w:sz w:val="21"/>
                <w:szCs w:val="21"/>
              </w:rPr>
            </w:pPr>
            <w:r>
              <w:rPr>
                <w:rFonts w:eastAsia="宋体" w:cs="Times New Roman"/>
                <w:color w:val="auto"/>
                <w:spacing w:val="0"/>
                <w:sz w:val="21"/>
                <w:szCs w:val="21"/>
              </w:rPr>
              <w:t>根据《建设项目环境风险评价技术导则》（HJ169-2018）附录B中计算危险物质数量与临界量比值（Q），当企业涉及多种化学物质时，将每种物质的总数量与其临界量的比值相加，所得之和即为Q。</w:t>
            </w:r>
          </w:p>
          <w:p>
            <w:pPr>
              <w:pStyle w:val="40"/>
              <w:spacing w:line="360" w:lineRule="auto"/>
              <w:ind w:firstLine="420"/>
              <w:rPr>
                <w:b/>
                <w:color w:val="auto"/>
                <w:szCs w:val="21"/>
              </w:rPr>
            </w:pPr>
            <w:r>
              <w:rPr>
                <w:rFonts w:eastAsia="宋体" w:cs="Times New Roman"/>
                <w:color w:val="auto"/>
                <w:spacing w:val="0"/>
                <w:sz w:val="21"/>
                <w:szCs w:val="21"/>
              </w:rPr>
              <w:t>根据计算结果，</w:t>
            </w:r>
            <w:r>
              <w:rPr>
                <w:rFonts w:hint="eastAsia" w:eastAsia="宋体" w:cs="Times New Roman"/>
                <w:color w:val="auto"/>
                <w:spacing w:val="0"/>
                <w:sz w:val="21"/>
                <w:szCs w:val="21"/>
              </w:rPr>
              <w:t>本次扩建</w:t>
            </w:r>
            <w:r>
              <w:rPr>
                <w:rFonts w:hint="eastAsia" w:eastAsia="宋体" w:cs="Times New Roman"/>
                <w:color w:val="auto"/>
                <w:spacing w:val="0"/>
                <w:sz w:val="21"/>
                <w:szCs w:val="21"/>
                <w:lang w:val="en-US" w:eastAsia="zh-CN"/>
              </w:rPr>
              <w:t>项目</w:t>
            </w:r>
            <w:r>
              <w:rPr>
                <w:rFonts w:eastAsia="宋体" w:cs="Times New Roman"/>
                <w:color w:val="auto"/>
                <w:spacing w:val="0"/>
                <w:sz w:val="21"/>
                <w:szCs w:val="21"/>
              </w:rPr>
              <w:t>Q=</w:t>
            </w:r>
            <w:r>
              <w:rPr>
                <w:rFonts w:hint="eastAsia" w:eastAsia="宋体" w:cs="Times New Roman"/>
                <w:color w:val="auto"/>
                <w:spacing w:val="0"/>
                <w:sz w:val="21"/>
                <w:szCs w:val="21"/>
              </w:rPr>
              <w:t>0.</w:t>
            </w:r>
            <w:r>
              <w:rPr>
                <w:rFonts w:hint="eastAsia" w:eastAsia="宋体" w:cs="Times New Roman"/>
                <w:color w:val="auto"/>
                <w:spacing w:val="0"/>
                <w:sz w:val="21"/>
                <w:szCs w:val="21"/>
                <w:lang w:val="en-US" w:eastAsia="zh-CN"/>
              </w:rPr>
              <w:t>5882</w:t>
            </w:r>
            <w:r>
              <w:rPr>
                <w:rFonts w:eastAsia="宋体" w:cs="Times New Roman"/>
                <w:color w:val="auto"/>
                <w:spacing w:val="0"/>
                <w:sz w:val="21"/>
                <w:szCs w:val="21"/>
              </w:rPr>
              <w:t>＜1，则本项目全厂的环境风险潜势为Ⅰ。</w:t>
            </w:r>
          </w:p>
          <w:p>
            <w:pPr>
              <w:spacing w:line="360" w:lineRule="auto"/>
              <w:ind w:firstLine="420" w:firstLineChars="200"/>
              <w:rPr>
                <w:color w:val="auto"/>
                <w:szCs w:val="21"/>
              </w:rPr>
            </w:pPr>
            <w:r>
              <w:rPr>
                <w:color w:val="auto"/>
                <w:szCs w:val="21"/>
              </w:rPr>
              <w:t>③评价等级确定</w:t>
            </w:r>
          </w:p>
          <w:p>
            <w:pPr>
              <w:spacing w:line="360" w:lineRule="auto"/>
              <w:ind w:firstLine="420" w:firstLineChars="200"/>
              <w:rPr>
                <w:color w:val="auto"/>
                <w:szCs w:val="21"/>
              </w:rPr>
            </w:pPr>
            <w:r>
              <w:rPr>
                <w:color w:val="auto"/>
                <w:szCs w:val="21"/>
              </w:rPr>
              <w:t>根据《建设项目环境风险评价技术导则》（HJ169-2018）附录B确定危险物质的临界量，确定危险物质数量与临界量的比值Q。根据</w:t>
            </w:r>
            <w:r>
              <w:rPr>
                <w:rFonts w:hint="eastAsia"/>
                <w:color w:val="auto"/>
                <w:szCs w:val="21"/>
              </w:rPr>
              <w:t>上</w:t>
            </w:r>
            <w:r>
              <w:rPr>
                <w:color w:val="auto"/>
                <w:szCs w:val="21"/>
              </w:rPr>
              <w:t>表计算，危险物质数量与临界量的比值Q=</w:t>
            </w:r>
            <w:r>
              <w:rPr>
                <w:rFonts w:hint="eastAsia"/>
                <w:color w:val="auto"/>
                <w:szCs w:val="21"/>
              </w:rPr>
              <w:t>0.</w:t>
            </w:r>
            <w:r>
              <w:rPr>
                <w:rFonts w:hint="eastAsia"/>
                <w:color w:val="auto"/>
                <w:szCs w:val="21"/>
                <w:lang w:val="en-US" w:eastAsia="zh-CN"/>
              </w:rPr>
              <w:t>5882</w:t>
            </w:r>
            <w:r>
              <w:rPr>
                <w:color w:val="auto"/>
                <w:szCs w:val="21"/>
              </w:rPr>
              <w:t>＜1。根据《建设项目环境风险评价技术导则》（HJ 169-2018）附录C C.1.1：“当Q＜1时，该项目环境风险潜势为Ⅰ。根据《建设项目环境风险评价技术导则》（HJ169-2018）中《表1评价工作等级划分》的规定，本项目评价工作等级为简单分析。</w:t>
            </w:r>
          </w:p>
          <w:p>
            <w:pPr>
              <w:spacing w:before="194" w:beforeLines="50"/>
              <w:jc w:val="center"/>
              <w:outlineLvl w:val="5"/>
              <w:rPr>
                <w:rFonts w:hint="eastAsia"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表4-38</w:t>
            </w:r>
            <w:r>
              <w:rPr>
                <w:rFonts w:hint="eastAsia" w:cs="Times New Roman"/>
                <w:b/>
                <w:color w:val="auto"/>
                <w:spacing w:val="0"/>
                <w:sz w:val="21"/>
                <w:szCs w:val="21"/>
                <w:lang w:val="en-US" w:eastAsia="zh-CN"/>
              </w:rPr>
              <w:t xml:space="preserve">  </w:t>
            </w:r>
            <w:r>
              <w:rPr>
                <w:rFonts w:hint="eastAsia" w:eastAsia="宋体" w:cs="Times New Roman"/>
                <w:b/>
                <w:color w:val="auto"/>
                <w:spacing w:val="0"/>
                <w:sz w:val="21"/>
                <w:szCs w:val="21"/>
                <w:lang w:val="en-US" w:eastAsia="zh-CN"/>
              </w:rPr>
              <w:t>评价工作等级划分</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8"/>
              <w:gridCol w:w="1435"/>
              <w:gridCol w:w="1601"/>
              <w:gridCol w:w="1735"/>
              <w:gridCol w:w="17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752" w:type="dxa"/>
                  <w:tcBorders>
                    <w:top w:val="single" w:color="auto" w:sz="4" w:space="0"/>
                    <w:left w:val="single" w:color="auto" w:sz="4" w:space="0"/>
                  </w:tcBorders>
                  <w:vAlign w:val="center"/>
                </w:tcPr>
                <w:p>
                  <w:pPr>
                    <w:pStyle w:val="40"/>
                    <w:ind w:firstLine="0" w:firstLineChars="0"/>
                    <w:jc w:val="center"/>
                    <w:rPr>
                      <w:rFonts w:eastAsia="宋体" w:cs="Times New Roman"/>
                      <w:b/>
                      <w:bCs/>
                      <w:color w:val="auto"/>
                      <w:spacing w:val="0"/>
                      <w:sz w:val="18"/>
                      <w:szCs w:val="18"/>
                      <w:lang w:bidi="ar"/>
                    </w:rPr>
                  </w:pPr>
                  <w:r>
                    <w:rPr>
                      <w:rFonts w:eastAsia="宋体" w:cs="Times New Roman"/>
                      <w:b/>
                      <w:bCs/>
                      <w:color w:val="auto"/>
                      <w:spacing w:val="0"/>
                      <w:sz w:val="18"/>
                      <w:szCs w:val="18"/>
                      <w:lang w:bidi="ar"/>
                    </w:rPr>
                    <w:t>环境分析潜势</w:t>
                  </w:r>
                </w:p>
              </w:tc>
              <w:tc>
                <w:tcPr>
                  <w:tcW w:w="1290" w:type="dxa"/>
                  <w:tcBorders>
                    <w:top w:val="single" w:color="auto" w:sz="4" w:space="0"/>
                  </w:tcBorders>
                  <w:vAlign w:val="center"/>
                </w:tcPr>
                <w:p>
                  <w:pPr>
                    <w:pStyle w:val="40"/>
                    <w:ind w:firstLine="0" w:firstLineChars="0"/>
                    <w:jc w:val="center"/>
                    <w:rPr>
                      <w:rFonts w:eastAsia="宋体" w:cs="Times New Roman"/>
                      <w:b/>
                      <w:bCs/>
                      <w:color w:val="auto"/>
                      <w:spacing w:val="0"/>
                      <w:sz w:val="18"/>
                      <w:szCs w:val="18"/>
                      <w:lang w:bidi="ar"/>
                    </w:rPr>
                  </w:pPr>
                  <w:r>
                    <w:rPr>
                      <w:rFonts w:eastAsia="宋体" w:cs="Times New Roman"/>
                      <w:b/>
                      <w:bCs/>
                      <w:color w:val="auto"/>
                      <w:spacing w:val="0"/>
                      <w:sz w:val="18"/>
                      <w:szCs w:val="18"/>
                      <w:lang w:bidi="ar"/>
                    </w:rPr>
                    <w:t>IV、IV+</w:t>
                  </w:r>
                </w:p>
              </w:tc>
              <w:tc>
                <w:tcPr>
                  <w:tcW w:w="1440" w:type="dxa"/>
                  <w:tcBorders>
                    <w:top w:val="single" w:color="auto" w:sz="4" w:space="0"/>
                  </w:tcBorders>
                  <w:vAlign w:val="center"/>
                </w:tcPr>
                <w:p>
                  <w:pPr>
                    <w:pStyle w:val="40"/>
                    <w:ind w:firstLine="0" w:firstLineChars="0"/>
                    <w:jc w:val="center"/>
                    <w:rPr>
                      <w:rFonts w:eastAsia="宋体" w:cs="Times New Roman"/>
                      <w:b/>
                      <w:bCs/>
                      <w:color w:val="auto"/>
                      <w:spacing w:val="0"/>
                      <w:sz w:val="18"/>
                      <w:szCs w:val="18"/>
                      <w:lang w:bidi="ar"/>
                    </w:rPr>
                  </w:pPr>
                  <w:r>
                    <w:rPr>
                      <w:rFonts w:eastAsia="宋体" w:cs="Times New Roman"/>
                      <w:b/>
                      <w:bCs/>
                      <w:color w:val="auto"/>
                      <w:spacing w:val="0"/>
                      <w:sz w:val="18"/>
                      <w:szCs w:val="18"/>
                      <w:lang w:bidi="ar"/>
                    </w:rPr>
                    <w:t>Ⅲ</w:t>
                  </w:r>
                </w:p>
              </w:tc>
              <w:tc>
                <w:tcPr>
                  <w:tcW w:w="1560" w:type="dxa"/>
                  <w:tcBorders>
                    <w:top w:val="single" w:color="auto" w:sz="4" w:space="0"/>
                  </w:tcBorders>
                  <w:vAlign w:val="center"/>
                </w:tcPr>
                <w:p>
                  <w:pPr>
                    <w:pStyle w:val="40"/>
                    <w:ind w:firstLine="0" w:firstLineChars="0"/>
                    <w:jc w:val="center"/>
                    <w:rPr>
                      <w:rFonts w:eastAsia="宋体" w:cs="Times New Roman"/>
                      <w:b/>
                      <w:bCs/>
                      <w:color w:val="auto"/>
                      <w:spacing w:val="0"/>
                      <w:sz w:val="18"/>
                      <w:szCs w:val="18"/>
                      <w:lang w:bidi="ar"/>
                    </w:rPr>
                  </w:pPr>
                  <w:r>
                    <w:rPr>
                      <w:rFonts w:eastAsia="宋体" w:cs="Times New Roman"/>
                      <w:b/>
                      <w:bCs/>
                      <w:color w:val="auto"/>
                      <w:spacing w:val="0"/>
                      <w:sz w:val="18"/>
                      <w:szCs w:val="18"/>
                      <w:lang w:bidi="ar"/>
                    </w:rPr>
                    <w:t>Ⅱ</w:t>
                  </w:r>
                </w:p>
              </w:tc>
              <w:tc>
                <w:tcPr>
                  <w:tcW w:w="1535" w:type="dxa"/>
                  <w:tcBorders>
                    <w:top w:val="single" w:color="auto" w:sz="4" w:space="0"/>
                    <w:right w:val="single" w:color="auto" w:sz="4" w:space="0"/>
                  </w:tcBorders>
                  <w:vAlign w:val="center"/>
                </w:tcPr>
                <w:p>
                  <w:pPr>
                    <w:pStyle w:val="40"/>
                    <w:ind w:firstLine="0" w:firstLineChars="0"/>
                    <w:jc w:val="center"/>
                    <w:rPr>
                      <w:rFonts w:eastAsia="宋体" w:cs="Times New Roman"/>
                      <w:b/>
                      <w:bCs/>
                      <w:color w:val="auto"/>
                      <w:spacing w:val="0"/>
                      <w:sz w:val="18"/>
                      <w:szCs w:val="18"/>
                      <w:lang w:bidi="ar"/>
                    </w:rPr>
                  </w:pPr>
                  <w:r>
                    <w:rPr>
                      <w:rFonts w:eastAsia="宋体" w:cs="Times New Roman"/>
                      <w:b/>
                      <w:bCs/>
                      <w:color w:val="auto"/>
                      <w:spacing w:val="0"/>
                      <w:sz w:val="18"/>
                      <w:szCs w:val="18"/>
                      <w:lang w:bidi="ar"/>
                    </w:rPr>
                    <w:t>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752" w:type="dxa"/>
                  <w:tcBorders>
                    <w:left w:val="single" w:color="auto" w:sz="4" w:space="0"/>
                  </w:tcBorders>
                  <w:vAlign w:val="center"/>
                </w:tcPr>
                <w:p>
                  <w:pPr>
                    <w:pStyle w:val="40"/>
                    <w:ind w:firstLine="0" w:firstLineChars="0"/>
                    <w:jc w:val="center"/>
                    <w:rPr>
                      <w:rFonts w:eastAsia="宋体" w:cs="Times New Roman"/>
                      <w:color w:val="auto"/>
                      <w:spacing w:val="0"/>
                      <w:sz w:val="18"/>
                      <w:szCs w:val="18"/>
                      <w:lang w:bidi="ar"/>
                    </w:rPr>
                  </w:pPr>
                  <w:r>
                    <w:rPr>
                      <w:rFonts w:eastAsia="宋体" w:cs="Times New Roman"/>
                      <w:color w:val="auto"/>
                      <w:spacing w:val="0"/>
                      <w:sz w:val="18"/>
                      <w:szCs w:val="18"/>
                      <w:lang w:bidi="ar"/>
                    </w:rPr>
                    <w:t>评价工作等级</w:t>
                  </w:r>
                </w:p>
              </w:tc>
              <w:tc>
                <w:tcPr>
                  <w:tcW w:w="1290" w:type="dxa"/>
                  <w:vAlign w:val="center"/>
                </w:tcPr>
                <w:p>
                  <w:pPr>
                    <w:pStyle w:val="40"/>
                    <w:ind w:firstLine="0" w:firstLineChars="0"/>
                    <w:jc w:val="center"/>
                    <w:rPr>
                      <w:rFonts w:eastAsia="宋体" w:cs="Times New Roman"/>
                      <w:color w:val="auto"/>
                      <w:spacing w:val="0"/>
                      <w:sz w:val="18"/>
                      <w:szCs w:val="18"/>
                      <w:lang w:bidi="ar"/>
                    </w:rPr>
                  </w:pPr>
                  <w:r>
                    <w:rPr>
                      <w:rFonts w:eastAsia="宋体" w:cs="Times New Roman"/>
                      <w:color w:val="auto"/>
                      <w:spacing w:val="0"/>
                      <w:sz w:val="18"/>
                      <w:szCs w:val="18"/>
                      <w:lang w:bidi="ar"/>
                    </w:rPr>
                    <w:t>一</w:t>
                  </w:r>
                </w:p>
              </w:tc>
              <w:tc>
                <w:tcPr>
                  <w:tcW w:w="1440" w:type="dxa"/>
                  <w:vAlign w:val="center"/>
                </w:tcPr>
                <w:p>
                  <w:pPr>
                    <w:pStyle w:val="40"/>
                    <w:ind w:firstLine="0" w:firstLineChars="0"/>
                    <w:jc w:val="center"/>
                    <w:rPr>
                      <w:rFonts w:eastAsia="宋体" w:cs="Times New Roman"/>
                      <w:color w:val="auto"/>
                      <w:spacing w:val="0"/>
                      <w:sz w:val="18"/>
                      <w:szCs w:val="18"/>
                      <w:lang w:bidi="ar"/>
                    </w:rPr>
                  </w:pPr>
                  <w:r>
                    <w:rPr>
                      <w:rFonts w:eastAsia="宋体" w:cs="Times New Roman"/>
                      <w:color w:val="auto"/>
                      <w:spacing w:val="0"/>
                      <w:sz w:val="18"/>
                      <w:szCs w:val="18"/>
                      <w:lang w:bidi="ar"/>
                    </w:rPr>
                    <w:t>二</w:t>
                  </w:r>
                </w:p>
              </w:tc>
              <w:tc>
                <w:tcPr>
                  <w:tcW w:w="1560" w:type="dxa"/>
                  <w:vAlign w:val="center"/>
                </w:tcPr>
                <w:p>
                  <w:pPr>
                    <w:pStyle w:val="40"/>
                    <w:ind w:firstLine="0" w:firstLineChars="0"/>
                    <w:jc w:val="center"/>
                    <w:rPr>
                      <w:rFonts w:eastAsia="宋体" w:cs="Times New Roman"/>
                      <w:color w:val="auto"/>
                      <w:spacing w:val="0"/>
                      <w:sz w:val="18"/>
                      <w:szCs w:val="18"/>
                      <w:lang w:bidi="ar"/>
                    </w:rPr>
                  </w:pPr>
                  <w:r>
                    <w:rPr>
                      <w:rFonts w:eastAsia="宋体" w:cs="Times New Roman"/>
                      <w:color w:val="auto"/>
                      <w:spacing w:val="0"/>
                      <w:sz w:val="18"/>
                      <w:szCs w:val="18"/>
                      <w:lang w:bidi="ar"/>
                    </w:rPr>
                    <w:t>三</w:t>
                  </w:r>
                </w:p>
              </w:tc>
              <w:tc>
                <w:tcPr>
                  <w:tcW w:w="1535" w:type="dxa"/>
                  <w:tcBorders>
                    <w:right w:val="single" w:color="auto" w:sz="4" w:space="0"/>
                  </w:tcBorders>
                  <w:shd w:val="clear" w:color="auto" w:fill="E7E6E6" w:themeFill="background2"/>
                  <w:vAlign w:val="center"/>
                </w:tcPr>
                <w:p>
                  <w:pPr>
                    <w:pStyle w:val="40"/>
                    <w:ind w:firstLine="0" w:firstLineChars="0"/>
                    <w:jc w:val="center"/>
                    <w:rPr>
                      <w:rFonts w:eastAsia="宋体" w:cs="Times New Roman"/>
                      <w:color w:val="auto"/>
                      <w:spacing w:val="0"/>
                      <w:sz w:val="18"/>
                      <w:szCs w:val="18"/>
                      <w:lang w:bidi="ar"/>
                    </w:rPr>
                  </w:pPr>
                  <w:r>
                    <w:rPr>
                      <w:rFonts w:eastAsia="宋体" w:cs="Times New Roman"/>
                      <w:color w:val="auto"/>
                      <w:spacing w:val="0"/>
                      <w:sz w:val="18"/>
                      <w:szCs w:val="18"/>
                      <w:lang w:bidi="ar"/>
                    </w:rPr>
                    <w:t>简单分析</w:t>
                  </w:r>
                  <w:r>
                    <w:rPr>
                      <w:rFonts w:eastAsia="宋体" w:cs="Times New Roman"/>
                      <w:color w:val="auto"/>
                      <w:spacing w:val="0"/>
                      <w:sz w:val="18"/>
                      <w:szCs w:val="18"/>
                      <w:vertAlign w:val="superscript"/>
                      <w:lang w:bidi="ar"/>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7577" w:type="dxa"/>
                  <w:gridSpan w:val="5"/>
                  <w:tcBorders>
                    <w:left w:val="single" w:color="auto" w:sz="4" w:space="0"/>
                    <w:bottom w:val="single" w:color="auto" w:sz="4" w:space="0"/>
                    <w:right w:val="single" w:color="auto" w:sz="4" w:space="0"/>
                  </w:tcBorders>
                  <w:vAlign w:val="center"/>
                </w:tcPr>
                <w:p>
                  <w:pPr>
                    <w:pStyle w:val="40"/>
                    <w:ind w:firstLine="0" w:firstLineChars="0"/>
                    <w:rPr>
                      <w:rFonts w:eastAsia="宋体" w:cs="Times New Roman"/>
                      <w:color w:val="auto"/>
                      <w:spacing w:val="0"/>
                      <w:sz w:val="18"/>
                      <w:szCs w:val="18"/>
                      <w:lang w:bidi="ar"/>
                    </w:rPr>
                  </w:pPr>
                  <w:r>
                    <w:rPr>
                      <w:rFonts w:eastAsia="宋体" w:cs="Times New Roman"/>
                      <w:color w:val="auto"/>
                      <w:spacing w:val="0"/>
                      <w:sz w:val="18"/>
                      <w:szCs w:val="18"/>
                      <w:lang w:bidi="ar"/>
                    </w:rPr>
                    <w:t>a是相对于详细评价工作内容而言，在描述危险物质、环境影响途径、环境危害后果、风险防范措施等方面给出定性的说明。见附录A。</w:t>
                  </w:r>
                </w:p>
              </w:tc>
            </w:tr>
          </w:tbl>
          <w:p>
            <w:pPr>
              <w:spacing w:line="360" w:lineRule="auto"/>
              <w:ind w:firstLine="420" w:firstLineChars="200"/>
              <w:rPr>
                <w:color w:val="auto"/>
                <w:szCs w:val="21"/>
              </w:rPr>
            </w:pPr>
            <w:r>
              <w:rPr>
                <w:color w:val="auto"/>
                <w:szCs w:val="21"/>
              </w:rPr>
              <w:t>本项目环境风险潜势划分为Ⅰ，因此根据《建设项目环境风险评价技术导则》（HJ169-2018）表1评价工作等级划分，该项目环境风险评价工作等级为简单分析。</w:t>
            </w:r>
          </w:p>
          <w:p>
            <w:pPr>
              <w:spacing w:line="360" w:lineRule="auto"/>
              <w:ind w:firstLine="422" w:firstLineChars="200"/>
              <w:rPr>
                <w:b/>
                <w:bCs/>
                <w:color w:val="auto"/>
                <w:szCs w:val="21"/>
              </w:rPr>
            </w:pPr>
            <w:r>
              <w:rPr>
                <w:b/>
                <w:bCs/>
                <w:color w:val="auto"/>
                <w:szCs w:val="21"/>
              </w:rPr>
              <w:t>（2）环境风险识别</w:t>
            </w:r>
          </w:p>
          <w:p>
            <w:pPr>
              <w:spacing w:line="360" w:lineRule="auto"/>
              <w:ind w:firstLine="420" w:firstLineChars="200"/>
              <w:rPr>
                <w:color w:val="auto"/>
                <w:szCs w:val="21"/>
              </w:rPr>
            </w:pPr>
            <w:r>
              <w:rPr>
                <w:color w:val="auto"/>
                <w:szCs w:val="21"/>
              </w:rPr>
              <w:t>①物质危险性识别</w:t>
            </w:r>
          </w:p>
          <w:p>
            <w:pPr>
              <w:spacing w:line="360" w:lineRule="auto"/>
              <w:ind w:firstLine="420" w:firstLineChars="200"/>
              <w:rPr>
                <w:rFonts w:hint="eastAsia"/>
                <w:color w:val="auto"/>
                <w:szCs w:val="21"/>
              </w:rPr>
            </w:pPr>
            <w:r>
              <w:rPr>
                <w:color w:val="auto"/>
                <w:szCs w:val="21"/>
              </w:rPr>
              <w:t>根据</w:t>
            </w:r>
            <w:r>
              <w:rPr>
                <w:rFonts w:hint="eastAsia"/>
                <w:color w:val="auto"/>
                <w:szCs w:val="21"/>
                <w:lang w:eastAsia="zh-CN"/>
              </w:rPr>
              <w:t>《</w:t>
            </w:r>
            <w:r>
              <w:rPr>
                <w:rFonts w:hint="eastAsia"/>
                <w:color w:val="auto"/>
                <w:szCs w:val="21"/>
              </w:rPr>
              <w:t>建设项目环境风险评价技术导则</w:t>
            </w:r>
            <w:r>
              <w:rPr>
                <w:rFonts w:hint="eastAsia"/>
                <w:color w:val="auto"/>
                <w:szCs w:val="21"/>
                <w:lang w:eastAsia="zh-CN"/>
              </w:rPr>
              <w:t>》（</w:t>
            </w:r>
            <w:r>
              <w:rPr>
                <w:color w:val="auto"/>
                <w:szCs w:val="21"/>
              </w:rPr>
              <w:t>HJ169-2018</w:t>
            </w:r>
            <w:r>
              <w:rPr>
                <w:rFonts w:hint="eastAsia"/>
                <w:color w:val="auto"/>
                <w:szCs w:val="21"/>
                <w:lang w:eastAsia="zh-CN"/>
              </w:rPr>
              <w:t>）</w:t>
            </w:r>
            <w:r>
              <w:rPr>
                <w:color w:val="auto"/>
                <w:szCs w:val="21"/>
              </w:rPr>
              <w:t>附录 B 对项目危险物质进行识别，物质危险性识别范围包括主要原料及辅助材料、燃料、中间产品、副产品、最终产品以及生产过程排放“三废”污染物、火灾和爆炸伴生/次生物等。风险类型根据有毒有害物质放散起因，分为火灾、爆炸和泄漏三种类型。项目主要危险物质及分布情况、可能影响环境的途径见下表</w:t>
            </w:r>
            <w:r>
              <w:rPr>
                <w:rFonts w:hint="eastAsia"/>
                <w:color w:val="auto"/>
                <w:szCs w:val="21"/>
              </w:rPr>
              <w:t>。</w:t>
            </w:r>
          </w:p>
          <w:p>
            <w:pPr>
              <w:spacing w:before="194" w:beforeLines="50"/>
              <w:jc w:val="center"/>
              <w:outlineLvl w:val="5"/>
              <w:rPr>
                <w:rFonts w:hint="eastAsia"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表4-39  物质危险性识别一览表</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5"/>
              <w:gridCol w:w="2476"/>
              <w:gridCol w:w="1738"/>
              <w:gridCol w:w="21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5" w:type="dxa"/>
                  <w:vAlign w:val="center"/>
                </w:tcPr>
                <w:p>
                  <w:pPr>
                    <w:pStyle w:val="35"/>
                    <w:snapToGrid w:val="0"/>
                    <w:spacing w:line="240" w:lineRule="auto"/>
                    <w:ind w:firstLine="0" w:firstLineChars="0"/>
                    <w:jc w:val="center"/>
                    <w:rPr>
                      <w:rFonts w:hint="eastAsia"/>
                      <w:color w:val="auto"/>
                      <w:vertAlign w:val="baseline"/>
                    </w:rPr>
                  </w:pPr>
                  <w:r>
                    <w:rPr>
                      <w:rFonts w:hint="eastAsia" w:ascii="Times New Roman" w:eastAsia="宋体"/>
                      <w:b/>
                      <w:bCs/>
                      <w:color w:val="auto"/>
                      <w:sz w:val="18"/>
                      <w:szCs w:val="18"/>
                      <w:lang w:bidi="ar"/>
                    </w:rPr>
                    <w:t>危险物质名称</w:t>
                  </w:r>
                </w:p>
              </w:tc>
              <w:tc>
                <w:tcPr>
                  <w:tcW w:w="2476" w:type="dxa"/>
                  <w:vAlign w:val="center"/>
                </w:tcPr>
                <w:p>
                  <w:pPr>
                    <w:pStyle w:val="35"/>
                    <w:snapToGrid w:val="0"/>
                    <w:spacing w:line="240" w:lineRule="auto"/>
                    <w:ind w:firstLine="0" w:firstLineChars="0"/>
                    <w:jc w:val="center"/>
                    <w:rPr>
                      <w:rFonts w:hint="eastAsia"/>
                      <w:color w:val="auto"/>
                      <w:vertAlign w:val="baseline"/>
                    </w:rPr>
                  </w:pPr>
                  <w:r>
                    <w:rPr>
                      <w:rFonts w:hint="eastAsia" w:ascii="Times New Roman" w:eastAsia="宋体"/>
                      <w:b/>
                      <w:bCs/>
                      <w:color w:val="auto"/>
                      <w:sz w:val="18"/>
                      <w:szCs w:val="18"/>
                      <w:lang w:bidi="ar"/>
                    </w:rPr>
                    <w:t>危险物质来源</w:t>
                  </w:r>
                </w:p>
              </w:tc>
              <w:tc>
                <w:tcPr>
                  <w:tcW w:w="1738" w:type="dxa"/>
                  <w:vAlign w:val="center"/>
                </w:tcPr>
                <w:p>
                  <w:pPr>
                    <w:pStyle w:val="35"/>
                    <w:snapToGrid w:val="0"/>
                    <w:spacing w:line="240" w:lineRule="auto"/>
                    <w:ind w:firstLine="0" w:firstLineChars="0"/>
                    <w:jc w:val="center"/>
                    <w:rPr>
                      <w:rFonts w:hint="eastAsia"/>
                      <w:color w:val="auto"/>
                      <w:vertAlign w:val="baseline"/>
                    </w:rPr>
                  </w:pPr>
                  <w:r>
                    <w:rPr>
                      <w:rFonts w:hint="eastAsia" w:ascii="Times New Roman" w:eastAsia="宋体"/>
                      <w:b/>
                      <w:bCs/>
                      <w:color w:val="auto"/>
                      <w:sz w:val="18"/>
                      <w:szCs w:val="18"/>
                      <w:lang w:bidi="ar"/>
                    </w:rPr>
                    <w:t>环境风险类别</w:t>
                  </w:r>
                </w:p>
              </w:tc>
              <w:tc>
                <w:tcPr>
                  <w:tcW w:w="2107" w:type="dxa"/>
                  <w:vAlign w:val="center"/>
                </w:tcPr>
                <w:p>
                  <w:pPr>
                    <w:pStyle w:val="35"/>
                    <w:snapToGrid w:val="0"/>
                    <w:spacing w:line="240" w:lineRule="auto"/>
                    <w:ind w:firstLine="0" w:firstLineChars="0"/>
                    <w:jc w:val="center"/>
                    <w:rPr>
                      <w:rFonts w:hint="eastAsia"/>
                      <w:color w:val="auto"/>
                      <w:vertAlign w:val="baseline"/>
                    </w:rPr>
                  </w:pPr>
                  <w:r>
                    <w:rPr>
                      <w:rFonts w:hint="eastAsia" w:ascii="Times New Roman" w:eastAsia="宋体"/>
                      <w:b/>
                      <w:bCs/>
                      <w:color w:val="auto"/>
                      <w:sz w:val="18"/>
                      <w:szCs w:val="18"/>
                      <w:lang w:bidi="ar"/>
                    </w:rPr>
                    <w:t>分布情况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5" w:type="dxa"/>
                  <w:vAlign w:val="center"/>
                </w:tcPr>
                <w:p>
                  <w:pPr>
                    <w:widowControl/>
                    <w:jc w:val="center"/>
                    <w:textAlignment w:val="center"/>
                    <w:rPr>
                      <w:rFonts w:hint="eastAsia"/>
                      <w:color w:val="auto"/>
                      <w:vertAlign w:val="baseline"/>
                    </w:rPr>
                  </w:pPr>
                  <w:r>
                    <w:rPr>
                      <w:color w:val="auto"/>
                      <w:sz w:val="18"/>
                      <w:szCs w:val="18"/>
                    </w:rPr>
                    <w:t>隔膜泵废滤芯</w:t>
                  </w:r>
                </w:p>
              </w:tc>
              <w:tc>
                <w:tcPr>
                  <w:tcW w:w="2476" w:type="dxa"/>
                  <w:vAlign w:val="center"/>
                </w:tcPr>
                <w:p>
                  <w:pPr>
                    <w:adjustRightInd w:val="0"/>
                    <w:snapToGrid w:val="0"/>
                    <w:jc w:val="center"/>
                    <w:rPr>
                      <w:rFonts w:hint="eastAsia"/>
                      <w:color w:val="auto"/>
                      <w:vertAlign w:val="baseline"/>
                    </w:rPr>
                  </w:pPr>
                  <w:r>
                    <w:rPr>
                      <w:rFonts w:hint="eastAsia"/>
                      <w:color w:val="auto"/>
                      <w:spacing w:val="-2"/>
                      <w:sz w:val="18"/>
                      <w:szCs w:val="18"/>
                    </w:rPr>
                    <w:t>浆料进料过程产生</w:t>
                  </w:r>
                </w:p>
              </w:tc>
              <w:tc>
                <w:tcPr>
                  <w:tcW w:w="1738" w:type="dxa"/>
                  <w:vAlign w:val="center"/>
                </w:tcPr>
                <w:p>
                  <w:pPr>
                    <w:pStyle w:val="35"/>
                    <w:snapToGrid w:val="0"/>
                    <w:spacing w:line="240" w:lineRule="auto"/>
                    <w:ind w:firstLine="0" w:firstLineChars="0"/>
                    <w:jc w:val="center"/>
                    <w:rPr>
                      <w:rFonts w:hint="eastAsia"/>
                      <w:color w:val="auto"/>
                      <w:vertAlign w:val="baseline"/>
                    </w:rPr>
                  </w:pPr>
                  <w:r>
                    <w:rPr>
                      <w:rFonts w:hint="eastAsia" w:ascii="Times New Roman" w:eastAsia="宋体"/>
                      <w:color w:val="auto"/>
                      <w:sz w:val="18"/>
                      <w:szCs w:val="18"/>
                      <w:lang w:bidi="ar"/>
                    </w:rPr>
                    <w:t>火灾、爆炸</w:t>
                  </w:r>
                </w:p>
              </w:tc>
              <w:tc>
                <w:tcPr>
                  <w:tcW w:w="2107" w:type="dxa"/>
                  <w:vAlign w:val="center"/>
                </w:tcPr>
                <w:p>
                  <w:pPr>
                    <w:pStyle w:val="35"/>
                    <w:snapToGrid w:val="0"/>
                    <w:spacing w:line="240" w:lineRule="auto"/>
                    <w:ind w:firstLine="0" w:firstLineChars="0"/>
                    <w:jc w:val="center"/>
                    <w:rPr>
                      <w:rFonts w:hint="eastAsia"/>
                      <w:color w:val="auto"/>
                      <w:vertAlign w:val="baseline"/>
                    </w:rPr>
                  </w:pPr>
                  <w:r>
                    <w:rPr>
                      <w:rFonts w:hint="eastAsia" w:ascii="Times New Roman" w:eastAsia="宋体"/>
                      <w:color w:val="auto"/>
                      <w:sz w:val="18"/>
                      <w:szCs w:val="18"/>
                      <w:lang w:bidi="ar"/>
                    </w:rPr>
                    <w:t>危险废物暂存间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5" w:type="dxa"/>
                  <w:vAlign w:val="center"/>
                </w:tcPr>
                <w:p>
                  <w:pPr>
                    <w:widowControl/>
                    <w:jc w:val="center"/>
                    <w:textAlignment w:val="center"/>
                    <w:rPr>
                      <w:rFonts w:hint="eastAsia"/>
                      <w:color w:val="auto"/>
                      <w:vertAlign w:val="baseline"/>
                    </w:rPr>
                  </w:pPr>
                  <w:r>
                    <w:rPr>
                      <w:color w:val="auto"/>
                      <w:kern w:val="0"/>
                      <w:sz w:val="18"/>
                      <w:szCs w:val="18"/>
                      <w:lang w:bidi="ar"/>
                    </w:rPr>
                    <w:t>废活性炭</w:t>
                  </w:r>
                </w:p>
              </w:tc>
              <w:tc>
                <w:tcPr>
                  <w:tcW w:w="2476" w:type="dxa"/>
                  <w:vAlign w:val="center"/>
                </w:tcPr>
                <w:p>
                  <w:pPr>
                    <w:pStyle w:val="35"/>
                    <w:snapToGrid w:val="0"/>
                    <w:spacing w:line="240" w:lineRule="auto"/>
                    <w:ind w:firstLine="0" w:firstLineChars="0"/>
                    <w:jc w:val="center"/>
                    <w:rPr>
                      <w:rFonts w:hint="eastAsia"/>
                      <w:color w:val="auto"/>
                      <w:vertAlign w:val="baseline"/>
                    </w:rPr>
                  </w:pPr>
                  <w:r>
                    <w:rPr>
                      <w:rFonts w:hint="eastAsia" w:cs="Times New Roman"/>
                      <w:color w:val="auto"/>
                      <w:sz w:val="18"/>
                      <w:szCs w:val="18"/>
                      <w:lang w:bidi="ar"/>
                    </w:rPr>
                    <w:t>废气处理产生废活性炭</w:t>
                  </w:r>
                </w:p>
              </w:tc>
              <w:tc>
                <w:tcPr>
                  <w:tcW w:w="1738" w:type="dxa"/>
                  <w:vAlign w:val="center"/>
                </w:tcPr>
                <w:p>
                  <w:pPr>
                    <w:pStyle w:val="35"/>
                    <w:snapToGrid w:val="0"/>
                    <w:spacing w:line="240" w:lineRule="auto"/>
                    <w:ind w:firstLine="0" w:firstLineChars="0"/>
                    <w:jc w:val="center"/>
                    <w:rPr>
                      <w:rFonts w:hint="eastAsia"/>
                      <w:color w:val="auto"/>
                      <w:vertAlign w:val="baseline"/>
                    </w:rPr>
                  </w:pPr>
                  <w:r>
                    <w:rPr>
                      <w:rFonts w:hint="eastAsia" w:ascii="Times New Roman" w:eastAsia="宋体"/>
                      <w:color w:val="auto"/>
                      <w:sz w:val="18"/>
                      <w:szCs w:val="18"/>
                      <w:lang w:bidi="ar"/>
                    </w:rPr>
                    <w:t>火灾、爆炸</w:t>
                  </w:r>
                </w:p>
              </w:tc>
              <w:tc>
                <w:tcPr>
                  <w:tcW w:w="2107" w:type="dxa"/>
                  <w:vAlign w:val="center"/>
                </w:tcPr>
                <w:p>
                  <w:pPr>
                    <w:pStyle w:val="35"/>
                    <w:snapToGrid w:val="0"/>
                    <w:spacing w:line="240" w:lineRule="auto"/>
                    <w:ind w:firstLine="0" w:firstLineChars="0"/>
                    <w:jc w:val="center"/>
                    <w:rPr>
                      <w:rFonts w:hint="eastAsia"/>
                      <w:color w:val="auto"/>
                      <w:vertAlign w:val="baseline"/>
                    </w:rPr>
                  </w:pPr>
                  <w:r>
                    <w:rPr>
                      <w:rFonts w:hint="eastAsia" w:ascii="Times New Roman" w:eastAsia="宋体"/>
                      <w:color w:val="auto"/>
                      <w:sz w:val="18"/>
                      <w:szCs w:val="18"/>
                      <w:lang w:bidi="ar"/>
                    </w:rPr>
                    <w:t>危险废物暂存间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5" w:type="dxa"/>
                  <w:vAlign w:val="center"/>
                </w:tcPr>
                <w:p>
                  <w:pPr>
                    <w:pStyle w:val="35"/>
                    <w:snapToGrid w:val="0"/>
                    <w:spacing w:line="240" w:lineRule="auto"/>
                    <w:ind w:firstLine="0" w:firstLineChars="0"/>
                    <w:jc w:val="center"/>
                    <w:rPr>
                      <w:rFonts w:hint="eastAsia"/>
                      <w:color w:val="auto"/>
                      <w:vertAlign w:val="baseline"/>
                    </w:rPr>
                  </w:pPr>
                  <w:r>
                    <w:rPr>
                      <w:rFonts w:ascii="Times New Roman" w:hAnsi="Times New Roman" w:eastAsia="宋体" w:cs="Times New Roman"/>
                      <w:color w:val="auto"/>
                      <w:sz w:val="18"/>
                      <w:szCs w:val="18"/>
                    </w:rPr>
                    <w:t>精馏釜残</w:t>
                  </w:r>
                </w:p>
              </w:tc>
              <w:tc>
                <w:tcPr>
                  <w:tcW w:w="2476" w:type="dxa"/>
                  <w:vAlign w:val="center"/>
                </w:tcPr>
                <w:p>
                  <w:pPr>
                    <w:pStyle w:val="35"/>
                    <w:snapToGrid w:val="0"/>
                    <w:spacing w:line="240" w:lineRule="auto"/>
                    <w:ind w:firstLine="0" w:firstLineChars="0"/>
                    <w:jc w:val="center"/>
                    <w:rPr>
                      <w:rFonts w:hint="eastAsia"/>
                      <w:color w:val="auto"/>
                      <w:vertAlign w:val="baseline"/>
                    </w:rPr>
                  </w:pPr>
                  <w:r>
                    <w:rPr>
                      <w:rFonts w:hint="eastAsia" w:ascii="Times New Roman" w:eastAsia="宋体"/>
                      <w:color w:val="auto"/>
                      <w:sz w:val="18"/>
                      <w:szCs w:val="18"/>
                      <w:lang w:eastAsia="zh-CN" w:bidi="ar"/>
                    </w:rPr>
                    <w:t>溶剂</w:t>
                  </w:r>
                  <w:r>
                    <w:rPr>
                      <w:rFonts w:hint="eastAsia" w:ascii="Times New Roman" w:eastAsia="宋体"/>
                      <w:color w:val="auto"/>
                      <w:sz w:val="18"/>
                      <w:szCs w:val="18"/>
                      <w:lang w:bidi="ar"/>
                    </w:rPr>
                    <w:t>回收过程产生</w:t>
                  </w:r>
                </w:p>
              </w:tc>
              <w:tc>
                <w:tcPr>
                  <w:tcW w:w="1738" w:type="dxa"/>
                  <w:vAlign w:val="center"/>
                </w:tcPr>
                <w:p>
                  <w:pPr>
                    <w:pStyle w:val="35"/>
                    <w:snapToGrid w:val="0"/>
                    <w:spacing w:line="240" w:lineRule="auto"/>
                    <w:ind w:firstLine="0" w:firstLineChars="0"/>
                    <w:jc w:val="center"/>
                    <w:rPr>
                      <w:rFonts w:hint="eastAsia"/>
                      <w:color w:val="auto"/>
                      <w:vertAlign w:val="baseline"/>
                    </w:rPr>
                  </w:pPr>
                  <w:r>
                    <w:rPr>
                      <w:rFonts w:hint="eastAsia" w:ascii="Times New Roman" w:eastAsia="宋体"/>
                      <w:color w:val="auto"/>
                      <w:sz w:val="18"/>
                      <w:szCs w:val="18"/>
                      <w:lang w:bidi="ar"/>
                    </w:rPr>
                    <w:t>泄漏、火灾、爆炸</w:t>
                  </w:r>
                </w:p>
              </w:tc>
              <w:tc>
                <w:tcPr>
                  <w:tcW w:w="2107" w:type="dxa"/>
                  <w:vAlign w:val="center"/>
                </w:tcPr>
                <w:p>
                  <w:pPr>
                    <w:pStyle w:val="35"/>
                    <w:snapToGrid w:val="0"/>
                    <w:spacing w:line="240" w:lineRule="auto"/>
                    <w:ind w:firstLine="0" w:firstLineChars="0"/>
                    <w:jc w:val="center"/>
                    <w:rPr>
                      <w:rFonts w:hint="eastAsia"/>
                      <w:color w:val="auto"/>
                      <w:vertAlign w:val="baseline"/>
                    </w:rPr>
                  </w:pPr>
                  <w:r>
                    <w:rPr>
                      <w:rFonts w:hint="eastAsia" w:ascii="Times New Roman" w:eastAsia="宋体"/>
                      <w:color w:val="auto"/>
                      <w:sz w:val="18"/>
                      <w:szCs w:val="18"/>
                      <w:lang w:bidi="ar"/>
                    </w:rPr>
                    <w:t>危险废物暂存间</w:t>
                  </w:r>
                </w:p>
              </w:tc>
            </w:tr>
          </w:tbl>
          <w:p>
            <w:pPr>
              <w:spacing w:line="360" w:lineRule="auto"/>
              <w:ind w:firstLine="420" w:firstLineChars="200"/>
              <w:rPr>
                <w:color w:val="auto"/>
                <w:szCs w:val="21"/>
              </w:rPr>
            </w:pPr>
          </w:p>
          <w:p>
            <w:pPr>
              <w:spacing w:line="360" w:lineRule="auto"/>
              <w:ind w:firstLine="420" w:firstLineChars="200"/>
              <w:rPr>
                <w:color w:val="auto"/>
                <w:szCs w:val="21"/>
              </w:rPr>
            </w:pPr>
            <w:r>
              <w:rPr>
                <w:color w:val="auto"/>
                <w:szCs w:val="21"/>
              </w:rPr>
              <w:t>②生产系统风险性识别</w:t>
            </w:r>
          </w:p>
          <w:p>
            <w:pPr>
              <w:widowControl/>
              <w:spacing w:line="360" w:lineRule="auto"/>
              <w:ind w:firstLine="420" w:firstLineChars="200"/>
              <w:rPr>
                <w:color w:val="auto"/>
              </w:rPr>
            </w:pPr>
            <w:r>
              <w:rPr>
                <w:color w:val="auto"/>
                <w:szCs w:val="21"/>
              </w:rPr>
              <w:t>根据《建设项目环境风险评价技术导则》（HJ 169-2018），附录 C 表 C.1 中所列出的行业及生产工艺分值，项目属于“其他”行业，生产工艺危险性</w:t>
            </w:r>
            <w:r>
              <w:rPr>
                <w:rFonts w:hint="eastAsia"/>
                <w:color w:val="auto"/>
                <w:szCs w:val="21"/>
              </w:rPr>
              <w:t>较</w:t>
            </w:r>
            <w:r>
              <w:rPr>
                <w:color w:val="auto"/>
                <w:szCs w:val="21"/>
              </w:rPr>
              <w:t>低。</w:t>
            </w:r>
          </w:p>
          <w:p>
            <w:pPr>
              <w:spacing w:line="360" w:lineRule="auto"/>
              <w:ind w:firstLine="422" w:firstLineChars="200"/>
              <w:rPr>
                <w:b/>
                <w:bCs/>
                <w:color w:val="auto"/>
                <w:szCs w:val="21"/>
              </w:rPr>
            </w:pPr>
            <w:r>
              <w:rPr>
                <w:b/>
                <w:bCs/>
                <w:color w:val="auto"/>
                <w:szCs w:val="21"/>
              </w:rPr>
              <w:t>（3）环境风险影响分析</w:t>
            </w:r>
          </w:p>
          <w:p>
            <w:pPr>
              <w:spacing w:line="360" w:lineRule="auto"/>
              <w:ind w:firstLine="420" w:firstLineChars="200"/>
              <w:rPr>
                <w:color w:val="auto"/>
                <w:szCs w:val="21"/>
              </w:rPr>
            </w:pPr>
            <w:r>
              <w:rPr>
                <w:color w:val="auto"/>
                <w:szCs w:val="21"/>
              </w:rPr>
              <w:t>①危险废物泄漏对周边环境的影响</w:t>
            </w:r>
          </w:p>
          <w:p>
            <w:pPr>
              <w:spacing w:line="360" w:lineRule="auto"/>
              <w:ind w:firstLine="420" w:firstLineChars="200"/>
              <w:rPr>
                <w:color w:val="auto"/>
                <w:szCs w:val="21"/>
              </w:rPr>
            </w:pPr>
            <w:r>
              <w:rPr>
                <w:color w:val="auto"/>
                <w:szCs w:val="21"/>
              </w:rPr>
              <w:t>危险</w:t>
            </w:r>
            <w:r>
              <w:rPr>
                <w:rFonts w:hint="eastAsia"/>
                <w:color w:val="auto"/>
                <w:szCs w:val="21"/>
              </w:rPr>
              <w:t>废物暂存间</w:t>
            </w:r>
            <w:r>
              <w:rPr>
                <w:color w:val="auto"/>
                <w:szCs w:val="21"/>
              </w:rPr>
              <w:t>储存的危险废物泄漏，泄漏物质中挥发分进入大气中，污染大气环境；部分液态物质还可能渗透地表污染土壤环境及地下水环境等。</w:t>
            </w:r>
          </w:p>
          <w:p>
            <w:pPr>
              <w:spacing w:line="360" w:lineRule="auto"/>
              <w:ind w:firstLine="420" w:firstLineChars="200"/>
              <w:rPr>
                <w:color w:val="auto"/>
                <w:szCs w:val="21"/>
              </w:rPr>
            </w:pPr>
            <w:r>
              <w:rPr>
                <w:color w:val="auto"/>
                <w:szCs w:val="21"/>
              </w:rPr>
              <w:t>②火灾及爆炸引发的伴生/次生污染环境影响分析</w:t>
            </w:r>
          </w:p>
          <w:p>
            <w:pPr>
              <w:widowControl/>
              <w:spacing w:line="360" w:lineRule="auto"/>
              <w:ind w:firstLine="420" w:firstLineChars="200"/>
              <w:rPr>
                <w:color w:val="auto"/>
              </w:rPr>
            </w:pPr>
            <w:r>
              <w:rPr>
                <w:color w:val="auto"/>
                <w:szCs w:val="21"/>
              </w:rPr>
              <w:t>易燃物质明火或生产设备电器故障，引发火灾，燃烧将会产生大量的浓烟、CO</w:t>
            </w:r>
            <w:r>
              <w:rPr>
                <w:color w:val="auto"/>
                <w:szCs w:val="21"/>
                <w:vertAlign w:val="subscript"/>
              </w:rPr>
              <w:t>2</w:t>
            </w:r>
            <w:r>
              <w:rPr>
                <w:color w:val="auto"/>
                <w:szCs w:val="21"/>
              </w:rPr>
              <w:t>、CO等，将会对周围大气环境产生一定影响。同时，火灾后的次生污染物消防废水若未得到妥善处置，将对周边地表水环境产生一定的影响。</w:t>
            </w:r>
          </w:p>
          <w:p>
            <w:pPr>
              <w:spacing w:line="360" w:lineRule="auto"/>
              <w:ind w:left="420" w:leftChars="200"/>
              <w:rPr>
                <w:b/>
                <w:bCs/>
                <w:color w:val="auto"/>
                <w:szCs w:val="21"/>
              </w:rPr>
            </w:pPr>
            <w:r>
              <w:rPr>
                <w:b/>
                <w:bCs/>
                <w:color w:val="auto"/>
                <w:szCs w:val="21"/>
              </w:rPr>
              <w:t>（4）环境风险防范措施</w:t>
            </w:r>
          </w:p>
          <w:p>
            <w:pPr>
              <w:spacing w:line="360" w:lineRule="auto"/>
              <w:ind w:firstLine="420" w:firstLineChars="200"/>
              <w:rPr>
                <w:color w:val="auto"/>
                <w:szCs w:val="21"/>
              </w:rPr>
            </w:pPr>
            <w:r>
              <w:rPr>
                <w:color w:val="auto"/>
                <w:szCs w:val="21"/>
              </w:rPr>
              <w:t>项目危险废物存在火灾及泄漏的风险，建设单位应采取有效措施对可能发生的风险进行提前预防，并对日常的生产生活所涉及的风险物质使用、存储等行为进行规范。项目采取的环境风险防范措施如下：</w:t>
            </w:r>
          </w:p>
          <w:p>
            <w:pPr>
              <w:spacing w:line="360" w:lineRule="auto"/>
              <w:ind w:firstLine="420" w:firstLineChars="200"/>
              <w:rPr>
                <w:color w:val="auto"/>
                <w:szCs w:val="21"/>
              </w:rPr>
            </w:pPr>
            <w:r>
              <w:rPr>
                <w:color w:val="auto"/>
                <w:szCs w:val="21"/>
              </w:rPr>
              <w:t>①在总图布置中，考虑了各建筑物的防火间距，安全疏散以及自然条件等方面的问题，确保其符合国家的有关规定。</w:t>
            </w:r>
          </w:p>
          <w:p>
            <w:pPr>
              <w:spacing w:line="360" w:lineRule="auto"/>
              <w:ind w:firstLine="420" w:firstLineChars="200"/>
              <w:rPr>
                <w:color w:val="auto"/>
                <w:szCs w:val="21"/>
              </w:rPr>
            </w:pPr>
            <w:r>
              <w:rPr>
                <w:color w:val="auto"/>
                <w:szCs w:val="21"/>
              </w:rPr>
              <w:t>②对可燃物质应加强储存及运输过程中的防火、防高温措施，防止遇高温、明火引起燃烧</w:t>
            </w:r>
            <w:r>
              <w:rPr>
                <w:rFonts w:hint="eastAsia"/>
                <w:color w:val="auto"/>
                <w:szCs w:val="21"/>
                <w:lang w:eastAsia="zh-CN"/>
              </w:rPr>
              <w:t>，甚至</w:t>
            </w:r>
            <w:r>
              <w:rPr>
                <w:color w:val="auto"/>
                <w:szCs w:val="21"/>
              </w:rPr>
              <w:t>爆炸，要制定严格的制度，强化管理，并提高有关人员对其危险性的认识。</w:t>
            </w:r>
          </w:p>
          <w:p>
            <w:pPr>
              <w:spacing w:line="360" w:lineRule="auto"/>
              <w:ind w:firstLine="420" w:firstLineChars="200"/>
              <w:rPr>
                <w:color w:val="auto"/>
                <w:szCs w:val="21"/>
              </w:rPr>
            </w:pPr>
            <w:r>
              <w:rPr>
                <w:color w:val="auto"/>
                <w:szCs w:val="21"/>
              </w:rPr>
              <w:t>③企业领导应该提高对突发性事故的警觉和认识，做到</w:t>
            </w:r>
            <w:r>
              <w:rPr>
                <w:rFonts w:hint="eastAsia"/>
                <w:color w:val="auto"/>
                <w:szCs w:val="21"/>
                <w:lang w:eastAsia="zh-CN"/>
              </w:rPr>
              <w:t>警钟长鸣</w:t>
            </w:r>
            <w:r>
              <w:rPr>
                <w:color w:val="auto"/>
                <w:szCs w:val="21"/>
              </w:rPr>
              <w:t>。建议企业建立安全应急机构，并由企业领导直接领导，全权负责，主要负责检查和监督全厂的安全生产和环保设施的正常运转情况，对安全和环保应建立严格的防范措施，制定严格的管理规章制度，严格执行设备检验和报废制度。</w:t>
            </w:r>
          </w:p>
          <w:p>
            <w:pPr>
              <w:spacing w:line="360" w:lineRule="auto"/>
              <w:ind w:firstLine="420" w:firstLineChars="200"/>
              <w:rPr>
                <w:color w:val="auto"/>
                <w:szCs w:val="21"/>
              </w:rPr>
            </w:pPr>
            <w:r>
              <w:rPr>
                <w:color w:val="auto"/>
                <w:szCs w:val="21"/>
              </w:rPr>
              <w:t>④职工安全生产的经验不足，一定程度上会增加事故发生的概率，因此企业对生产操作工人必须进行上岗前专业技术培训，严格管理，</w:t>
            </w:r>
            <w:r>
              <w:rPr>
                <w:rFonts w:hint="eastAsia"/>
                <w:color w:val="auto"/>
                <w:szCs w:val="21"/>
                <w:lang w:eastAsia="zh-CN"/>
              </w:rPr>
              <w:t>增强</w:t>
            </w:r>
            <w:r>
              <w:rPr>
                <w:color w:val="auto"/>
                <w:szCs w:val="21"/>
              </w:rPr>
              <w:t>职工安全环保意识。</w:t>
            </w:r>
          </w:p>
          <w:p>
            <w:pPr>
              <w:spacing w:line="360" w:lineRule="auto"/>
              <w:ind w:firstLine="420" w:firstLineChars="200"/>
              <w:rPr>
                <w:color w:val="auto"/>
                <w:szCs w:val="21"/>
              </w:rPr>
            </w:pPr>
            <w:r>
              <w:rPr>
                <w:color w:val="auto"/>
                <w:szCs w:val="21"/>
              </w:rPr>
              <w:t>⑤定期检查生产线、废气、废水处理设施，加强设备管理及维护，发现异常情况应及时抢修；加强设备、仪表的维修、保养，定期检查各种设备，杜绝事故隐患，降低事故发生概率，杜绝由于设备劳损、拆旧带来的事故隐患。</w:t>
            </w:r>
          </w:p>
          <w:p>
            <w:pPr>
              <w:spacing w:line="360" w:lineRule="auto"/>
              <w:ind w:firstLine="420" w:firstLineChars="200"/>
              <w:rPr>
                <w:color w:val="auto"/>
                <w:szCs w:val="21"/>
              </w:rPr>
            </w:pPr>
            <w:r>
              <w:rPr>
                <w:color w:val="auto"/>
                <w:szCs w:val="21"/>
              </w:rPr>
              <w:t>⑥定期检查生产线、废气、废水处理设施，加强设备管理及维护，发现异常情况应及时抢修；加强设备、仪表的维修、保养，定期检查各种设备，杜绝事故隐患，降低事故发生概率，杜绝由于设备劳损、拆旧带来的事故隐患。</w:t>
            </w:r>
          </w:p>
          <w:p>
            <w:pPr>
              <w:spacing w:line="360" w:lineRule="auto"/>
              <w:ind w:firstLine="420" w:firstLineChars="200"/>
              <w:rPr>
                <w:color w:val="auto"/>
                <w:szCs w:val="21"/>
              </w:rPr>
            </w:pPr>
            <w:r>
              <w:rPr>
                <w:color w:val="auto"/>
                <w:szCs w:val="21"/>
              </w:rPr>
              <w:fldChar w:fldCharType="begin"/>
            </w:r>
            <w:r>
              <w:rPr>
                <w:color w:val="auto"/>
                <w:szCs w:val="21"/>
              </w:rPr>
              <w:instrText xml:space="preserve"> = 7 \* GB3 </w:instrText>
            </w:r>
            <w:r>
              <w:rPr>
                <w:color w:val="auto"/>
                <w:szCs w:val="21"/>
              </w:rPr>
              <w:fldChar w:fldCharType="separate"/>
            </w:r>
            <w:r>
              <w:rPr>
                <w:color w:val="auto"/>
                <w:szCs w:val="21"/>
              </w:rPr>
              <w:t>⑦</w:t>
            </w:r>
            <w:r>
              <w:rPr>
                <w:color w:val="auto"/>
                <w:szCs w:val="21"/>
              </w:rPr>
              <w:fldChar w:fldCharType="end"/>
            </w:r>
            <w:r>
              <w:rPr>
                <w:color w:val="auto"/>
                <w:szCs w:val="21"/>
              </w:rPr>
              <w:t>物品储存、使用时，应遵守下列规定：</w:t>
            </w:r>
          </w:p>
          <w:p>
            <w:pPr>
              <w:spacing w:line="360" w:lineRule="auto"/>
              <w:ind w:firstLine="420" w:firstLineChars="200"/>
              <w:rPr>
                <w:color w:val="auto"/>
                <w:szCs w:val="21"/>
              </w:rPr>
            </w:pPr>
            <w:r>
              <w:rPr>
                <w:color w:val="auto"/>
                <w:szCs w:val="21"/>
              </w:rPr>
              <w:t>1.临时存放物品时，应分类管理，放置整齐，留出通道。堆放垛高不宜过高。</w:t>
            </w:r>
          </w:p>
          <w:p>
            <w:pPr>
              <w:spacing w:line="360" w:lineRule="auto"/>
              <w:ind w:firstLine="420" w:firstLineChars="200"/>
              <w:rPr>
                <w:color w:val="auto"/>
                <w:szCs w:val="21"/>
              </w:rPr>
            </w:pPr>
            <w:r>
              <w:rPr>
                <w:color w:val="auto"/>
                <w:szCs w:val="21"/>
              </w:rPr>
              <w:t>2.严禁明火和其他热源，仓库内应通风、干燥，避免阳光直射。</w:t>
            </w:r>
          </w:p>
          <w:p>
            <w:pPr>
              <w:spacing w:line="360" w:lineRule="auto"/>
              <w:ind w:firstLine="420" w:firstLineChars="200"/>
              <w:rPr>
                <w:color w:val="auto"/>
                <w:szCs w:val="21"/>
              </w:rPr>
            </w:pPr>
            <w:r>
              <w:rPr>
                <w:color w:val="auto"/>
                <w:szCs w:val="21"/>
              </w:rPr>
              <w:t>3.车间区域附近注意防火，禁止吸烟。</w:t>
            </w:r>
          </w:p>
          <w:p>
            <w:pPr>
              <w:spacing w:line="360" w:lineRule="auto"/>
              <w:ind w:firstLine="420" w:firstLineChars="200"/>
              <w:rPr>
                <w:color w:val="auto"/>
                <w:szCs w:val="21"/>
              </w:rPr>
            </w:pPr>
            <w:r>
              <w:rPr>
                <w:color w:val="auto"/>
                <w:szCs w:val="21"/>
              </w:rPr>
              <w:fldChar w:fldCharType="begin"/>
            </w:r>
            <w:r>
              <w:rPr>
                <w:color w:val="auto"/>
                <w:szCs w:val="21"/>
              </w:rPr>
              <w:instrText xml:space="preserve"> = 8 \* GB3 </w:instrText>
            </w:r>
            <w:r>
              <w:rPr>
                <w:color w:val="auto"/>
                <w:szCs w:val="21"/>
              </w:rPr>
              <w:fldChar w:fldCharType="separate"/>
            </w:r>
            <w:r>
              <w:rPr>
                <w:color w:val="auto"/>
                <w:szCs w:val="21"/>
              </w:rPr>
              <w:t>⑧</w:t>
            </w:r>
            <w:r>
              <w:rPr>
                <w:color w:val="auto"/>
                <w:szCs w:val="21"/>
              </w:rPr>
              <w:fldChar w:fldCharType="end"/>
            </w:r>
            <w:r>
              <w:rPr>
                <w:color w:val="auto"/>
                <w:szCs w:val="21"/>
              </w:rPr>
              <w:t>化学品、危险废物泄漏应急措施</w:t>
            </w:r>
          </w:p>
          <w:p>
            <w:pPr>
              <w:spacing w:line="360" w:lineRule="auto"/>
              <w:ind w:firstLine="420" w:firstLineChars="200"/>
              <w:rPr>
                <w:color w:val="auto"/>
                <w:szCs w:val="21"/>
              </w:rPr>
            </w:pPr>
            <w:r>
              <w:rPr>
                <w:color w:val="auto"/>
                <w:szCs w:val="21"/>
              </w:rPr>
              <w:t>1.泄漏发现者立即通知危废管理人员；</w:t>
            </w:r>
          </w:p>
          <w:p>
            <w:pPr>
              <w:spacing w:line="360" w:lineRule="auto"/>
              <w:ind w:firstLine="420" w:firstLineChars="200"/>
              <w:rPr>
                <w:color w:val="auto"/>
                <w:szCs w:val="21"/>
              </w:rPr>
            </w:pPr>
            <w:r>
              <w:rPr>
                <w:color w:val="auto"/>
                <w:szCs w:val="21"/>
              </w:rPr>
              <w:t>2.若化学品、危险废物泄漏，相关管理人员立即对泄漏的容器进行堵漏，可采取在泄漏处放置托盘、将泄漏桶剩余的化学品、危险废物倒入处理装置或更换储存容器等措施进行处置；</w:t>
            </w:r>
          </w:p>
          <w:p>
            <w:pPr>
              <w:spacing w:line="360" w:lineRule="auto"/>
              <w:ind w:firstLine="420" w:firstLineChars="200"/>
              <w:rPr>
                <w:color w:val="auto"/>
                <w:szCs w:val="21"/>
              </w:rPr>
            </w:pPr>
            <w:r>
              <w:rPr>
                <w:color w:val="auto"/>
                <w:szCs w:val="21"/>
              </w:rPr>
              <w:t>3.少量泄漏时用吸油毡，吸附泄漏出的化学品及危废，严禁直接将泄漏出化学品及危险废物直接向污水管道排放；大量泄漏时采用围堵的方式将泄漏的化学品及危废尽快收集，防止进入下水道、排洪沟等；</w:t>
            </w:r>
          </w:p>
          <w:p>
            <w:pPr>
              <w:spacing w:line="360" w:lineRule="auto"/>
              <w:ind w:firstLine="420" w:firstLineChars="200"/>
              <w:rPr>
                <w:color w:val="auto"/>
                <w:szCs w:val="21"/>
              </w:rPr>
            </w:pPr>
            <w:r>
              <w:rPr>
                <w:color w:val="auto"/>
                <w:szCs w:val="21"/>
              </w:rPr>
              <w:t>4.确认泄漏已经完全得到控制，解除警戒；</w:t>
            </w:r>
          </w:p>
          <w:p>
            <w:pPr>
              <w:spacing w:line="360" w:lineRule="auto"/>
              <w:ind w:firstLine="420" w:firstLineChars="200"/>
              <w:rPr>
                <w:color w:val="auto"/>
                <w:szCs w:val="21"/>
              </w:rPr>
            </w:pPr>
            <w:r>
              <w:rPr>
                <w:color w:val="auto"/>
                <w:szCs w:val="21"/>
              </w:rPr>
              <w:t>5.分析泄漏的原因并采取改进措施。</w:t>
            </w:r>
          </w:p>
          <w:p>
            <w:pPr>
              <w:spacing w:line="360" w:lineRule="auto"/>
              <w:ind w:firstLine="420" w:firstLineChars="200"/>
              <w:rPr>
                <w:color w:val="auto"/>
                <w:szCs w:val="21"/>
              </w:rPr>
            </w:pPr>
            <w:r>
              <w:rPr>
                <w:color w:val="auto"/>
                <w:szCs w:val="21"/>
              </w:rPr>
              <w:t>经过妥善的风险防范措施，风险事故发生概率很低，本项目环境风险在可接受的范围内。</w:t>
            </w:r>
          </w:p>
          <w:p>
            <w:pPr>
              <w:spacing w:line="360" w:lineRule="auto"/>
              <w:ind w:firstLine="420" w:firstLineChars="200"/>
              <w:rPr>
                <w:color w:val="auto"/>
                <w:szCs w:val="21"/>
              </w:rPr>
            </w:pPr>
            <w:r>
              <w:rPr>
                <w:color w:val="auto"/>
              </w:rPr>
              <w:t>⑨应急池设置</w:t>
            </w:r>
          </w:p>
          <w:p>
            <w:pPr>
              <w:spacing w:line="360" w:lineRule="auto"/>
              <w:ind w:firstLine="420" w:firstLineChars="200"/>
              <w:rPr>
                <w:color w:val="auto"/>
                <w:szCs w:val="21"/>
              </w:rPr>
            </w:pPr>
            <w:r>
              <w:rPr>
                <w:color w:val="auto"/>
                <w:szCs w:val="21"/>
              </w:rPr>
              <w:t>项目事故池的设计容量主要考虑消防废水量。根据</w:t>
            </w:r>
            <w:r>
              <w:rPr>
                <w:rFonts w:hint="eastAsia"/>
                <w:color w:val="auto"/>
                <w:szCs w:val="21"/>
              </w:rPr>
              <w:t>《事故状态下水体污染的预防和控制规范（QSY08190-2019）》</w:t>
            </w:r>
            <w:r>
              <w:rPr>
                <w:color w:val="auto"/>
                <w:szCs w:val="21"/>
              </w:rPr>
              <w:t>，厂区事故排水储存设施事故池的有效容积计算如下：</w:t>
            </w:r>
          </w:p>
          <w:p>
            <w:pPr>
              <w:spacing w:line="360" w:lineRule="auto"/>
              <w:ind w:firstLine="420" w:firstLineChars="200"/>
              <w:rPr>
                <w:color w:val="auto"/>
                <w:szCs w:val="21"/>
              </w:rPr>
            </w:pPr>
            <w:r>
              <w:rPr>
                <w:color w:val="auto"/>
                <w:szCs w:val="21"/>
              </w:rPr>
              <w:t>V总=（V1+V2-V3）</w:t>
            </w:r>
            <w:r>
              <w:rPr>
                <w:color w:val="auto"/>
                <w:szCs w:val="21"/>
                <w:vertAlign w:val="subscript"/>
              </w:rPr>
              <w:t>max</w:t>
            </w:r>
            <w:r>
              <w:rPr>
                <w:color w:val="auto"/>
                <w:szCs w:val="21"/>
              </w:rPr>
              <w:t>+V4+V5</w:t>
            </w:r>
          </w:p>
          <w:p>
            <w:pPr>
              <w:spacing w:line="360" w:lineRule="auto"/>
              <w:ind w:firstLine="420" w:firstLineChars="200"/>
              <w:rPr>
                <w:color w:val="auto"/>
                <w:szCs w:val="21"/>
              </w:rPr>
            </w:pPr>
            <w:r>
              <w:rPr>
                <w:color w:val="auto"/>
                <w:szCs w:val="21"/>
              </w:rPr>
              <w:t>注：（V1+V2-V3）</w:t>
            </w:r>
            <w:r>
              <w:rPr>
                <w:color w:val="auto"/>
                <w:szCs w:val="21"/>
                <w:vertAlign w:val="subscript"/>
              </w:rPr>
              <w:t>max</w:t>
            </w:r>
            <w:r>
              <w:rPr>
                <w:color w:val="auto"/>
                <w:szCs w:val="21"/>
              </w:rPr>
              <w:t>是指对收集系统范围内不同罐组或装置分别计算V1+V2-V3，取其中最大值；</w:t>
            </w:r>
          </w:p>
          <w:p>
            <w:pPr>
              <w:spacing w:line="360" w:lineRule="auto"/>
              <w:ind w:firstLine="420" w:firstLineChars="200"/>
              <w:rPr>
                <w:color w:val="auto"/>
                <w:szCs w:val="21"/>
              </w:rPr>
            </w:pPr>
            <w:r>
              <w:rPr>
                <w:color w:val="auto"/>
                <w:szCs w:val="21"/>
              </w:rPr>
              <w:t>V</w:t>
            </w:r>
            <w:r>
              <w:rPr>
                <w:color w:val="auto"/>
                <w:szCs w:val="21"/>
                <w:vertAlign w:val="subscript"/>
              </w:rPr>
              <w:t>1</w:t>
            </w:r>
            <w:r>
              <w:rPr>
                <w:color w:val="auto"/>
                <w:szCs w:val="21"/>
              </w:rPr>
              <w:t>——收集系统范围内发生事故的一个罐组或一套装置的物料量（注：储存相同物料的罐组按一个最大储罐计，装置物料量按存留最大物料量的一台反应器或中间储罐计），本项目按</w:t>
            </w:r>
            <w:r>
              <w:rPr>
                <w:rFonts w:hint="eastAsia"/>
                <w:color w:val="auto"/>
                <w:szCs w:val="21"/>
                <w:lang w:val="en-US" w:eastAsia="zh-CN"/>
              </w:rPr>
              <w:t>1台</w:t>
            </w:r>
            <w:r>
              <w:rPr>
                <w:rFonts w:hint="eastAsia"/>
                <w:color w:val="auto"/>
                <w:szCs w:val="21"/>
              </w:rPr>
              <w:t>消泡釜</w:t>
            </w:r>
            <w:r>
              <w:rPr>
                <w:color w:val="auto"/>
                <w:szCs w:val="21"/>
              </w:rPr>
              <w:t>容积计算，因此V</w:t>
            </w:r>
            <w:r>
              <w:rPr>
                <w:color w:val="auto"/>
                <w:szCs w:val="21"/>
                <w:vertAlign w:val="subscript"/>
              </w:rPr>
              <w:t>1</w:t>
            </w:r>
            <w:r>
              <w:rPr>
                <w:color w:val="auto"/>
                <w:szCs w:val="21"/>
              </w:rPr>
              <w:t>=</w:t>
            </w:r>
            <w:r>
              <w:rPr>
                <w:rFonts w:hint="eastAsia"/>
                <w:color w:val="auto"/>
                <w:szCs w:val="21"/>
              </w:rPr>
              <w:t>2</w:t>
            </w:r>
            <w:r>
              <w:rPr>
                <w:color w:val="auto"/>
                <w:szCs w:val="21"/>
              </w:rPr>
              <w:t>m</w:t>
            </w:r>
            <w:r>
              <w:rPr>
                <w:color w:val="auto"/>
                <w:szCs w:val="21"/>
                <w:vertAlign w:val="superscript"/>
              </w:rPr>
              <w:t>3</w:t>
            </w:r>
            <w:r>
              <w:rPr>
                <w:color w:val="auto"/>
                <w:szCs w:val="21"/>
              </w:rPr>
              <w:t>；</w:t>
            </w:r>
          </w:p>
          <w:p>
            <w:pPr>
              <w:spacing w:line="360" w:lineRule="auto"/>
              <w:ind w:firstLine="420" w:firstLineChars="200"/>
              <w:rPr>
                <w:color w:val="auto"/>
                <w:szCs w:val="21"/>
              </w:rPr>
            </w:pPr>
            <w:r>
              <w:rPr>
                <w:color w:val="auto"/>
                <w:szCs w:val="21"/>
              </w:rPr>
              <w:t>V</w:t>
            </w:r>
            <w:r>
              <w:rPr>
                <w:color w:val="auto"/>
                <w:szCs w:val="21"/>
                <w:vertAlign w:val="subscript"/>
              </w:rPr>
              <w:t>2</w:t>
            </w:r>
            <w:r>
              <w:rPr>
                <w:color w:val="auto"/>
                <w:szCs w:val="21"/>
              </w:rPr>
              <w:t>——发生事故储罐或装置的消防水量，m</w:t>
            </w:r>
            <w:r>
              <w:rPr>
                <w:color w:val="auto"/>
                <w:szCs w:val="21"/>
                <w:vertAlign w:val="superscript"/>
              </w:rPr>
              <w:t>3</w:t>
            </w:r>
            <w:r>
              <w:rPr>
                <w:color w:val="auto"/>
                <w:szCs w:val="21"/>
              </w:rPr>
              <w:t>；</w:t>
            </w:r>
            <w:r>
              <w:rPr>
                <w:color w:val="auto"/>
                <w:kern w:val="0"/>
              </w:rPr>
              <w:t>V</w:t>
            </w:r>
            <w:r>
              <w:rPr>
                <w:color w:val="auto"/>
                <w:kern w:val="0"/>
                <w:vertAlign w:val="subscript"/>
              </w:rPr>
              <w:t>2</w:t>
            </w:r>
            <w:r>
              <w:rPr>
                <w:color w:val="auto"/>
                <w:kern w:val="0"/>
              </w:rPr>
              <w:t>=Σ</w:t>
            </w:r>
            <w:r>
              <w:rPr>
                <w:i/>
                <w:color w:val="auto"/>
                <w:kern w:val="0"/>
              </w:rPr>
              <w:t>Q</w:t>
            </w:r>
            <w:r>
              <w:rPr>
                <w:color w:val="auto"/>
                <w:kern w:val="0"/>
                <w:vertAlign w:val="subscript"/>
              </w:rPr>
              <w:t>消</w:t>
            </w:r>
            <w:r>
              <w:rPr>
                <w:color w:val="auto"/>
                <w:kern w:val="0"/>
              </w:rPr>
              <w:t>×</w:t>
            </w:r>
            <w:r>
              <w:rPr>
                <w:i/>
                <w:color w:val="auto"/>
                <w:kern w:val="0"/>
              </w:rPr>
              <w:t>t</w:t>
            </w:r>
            <w:r>
              <w:rPr>
                <w:color w:val="auto"/>
                <w:kern w:val="0"/>
                <w:vertAlign w:val="subscript"/>
              </w:rPr>
              <w:t>消</w:t>
            </w:r>
            <w:r>
              <w:rPr>
                <w:color w:val="auto"/>
                <w:szCs w:val="21"/>
              </w:rPr>
              <w:t>。</w:t>
            </w:r>
          </w:p>
          <w:p>
            <w:pPr>
              <w:spacing w:line="360" w:lineRule="auto"/>
              <w:ind w:firstLine="420" w:firstLineChars="200"/>
              <w:rPr>
                <w:color w:val="auto"/>
                <w:szCs w:val="21"/>
              </w:rPr>
            </w:pPr>
            <w:r>
              <w:rPr>
                <w:color w:val="auto"/>
              </w:rPr>
              <w:t>Q</w:t>
            </w:r>
            <w:r>
              <w:rPr>
                <w:color w:val="auto"/>
                <w:vertAlign w:val="subscript"/>
              </w:rPr>
              <w:t>消</w:t>
            </w:r>
            <w:r>
              <w:rPr>
                <w:color w:val="auto"/>
                <w:szCs w:val="21"/>
              </w:rPr>
              <w:t>——发生事故的储罐、装置同时使用的消防设施给水流量，m</w:t>
            </w:r>
            <w:r>
              <w:rPr>
                <w:color w:val="auto"/>
                <w:szCs w:val="21"/>
                <w:vertAlign w:val="superscript"/>
              </w:rPr>
              <w:t>3</w:t>
            </w:r>
            <w:r>
              <w:rPr>
                <w:color w:val="auto"/>
                <w:szCs w:val="21"/>
              </w:rPr>
              <w:t>/h；根据项目设计资料和《建筑设计防火规范》</w:t>
            </w:r>
            <w:r>
              <w:rPr>
                <w:rFonts w:hint="eastAsia"/>
                <w:color w:val="auto"/>
                <w:szCs w:val="21"/>
                <w:lang w:eastAsia="zh-CN"/>
              </w:rPr>
              <w:t>（</w:t>
            </w:r>
            <w:r>
              <w:rPr>
                <w:rFonts w:hint="eastAsia"/>
                <w:color w:val="auto"/>
                <w:szCs w:val="21"/>
                <w:lang w:val="en-US" w:eastAsia="zh-CN"/>
              </w:rPr>
              <w:t>GB50016-2014(2018更新版)</w:t>
            </w:r>
            <w:r>
              <w:rPr>
                <w:rFonts w:hint="eastAsia"/>
                <w:color w:val="auto"/>
                <w:szCs w:val="21"/>
                <w:lang w:eastAsia="zh-CN"/>
              </w:rPr>
              <w:t>）</w:t>
            </w:r>
            <w:r>
              <w:rPr>
                <w:color w:val="auto"/>
                <w:szCs w:val="21"/>
              </w:rPr>
              <w:t>、《消防给水及消火栓系统技术规范》</w:t>
            </w:r>
            <w:r>
              <w:rPr>
                <w:rFonts w:hint="eastAsia"/>
                <w:color w:val="auto"/>
                <w:szCs w:val="21"/>
                <w:lang w:eastAsia="zh-CN"/>
              </w:rPr>
              <w:t>（</w:t>
            </w:r>
            <w:r>
              <w:rPr>
                <w:rFonts w:hint="eastAsia"/>
                <w:color w:val="auto"/>
                <w:szCs w:val="21"/>
                <w:lang w:val="en-US" w:eastAsia="zh-CN"/>
              </w:rPr>
              <w:t>GB50974-2014</w:t>
            </w:r>
            <w:r>
              <w:rPr>
                <w:rFonts w:hint="eastAsia"/>
                <w:color w:val="auto"/>
                <w:szCs w:val="21"/>
                <w:lang w:eastAsia="zh-CN"/>
              </w:rPr>
              <w:t>）</w:t>
            </w:r>
            <w:r>
              <w:rPr>
                <w:color w:val="auto"/>
                <w:szCs w:val="21"/>
              </w:rPr>
              <w:t>，按本项目</w:t>
            </w:r>
            <w:r>
              <w:rPr>
                <w:rFonts w:hint="eastAsia"/>
                <w:color w:val="auto"/>
                <w:szCs w:val="21"/>
                <w:lang w:eastAsia="zh-CN"/>
              </w:rPr>
              <w:t>车间X1</w:t>
            </w:r>
            <w:r>
              <w:rPr>
                <w:color w:val="auto"/>
                <w:szCs w:val="21"/>
              </w:rPr>
              <w:t>同一时间内火灾次数1次</w:t>
            </w:r>
            <w:r>
              <w:rPr>
                <w:rFonts w:hint="eastAsia"/>
                <w:color w:val="auto"/>
                <w:szCs w:val="21"/>
              </w:rPr>
              <w:t>。</w:t>
            </w:r>
            <w:r>
              <w:rPr>
                <w:rFonts w:hint="eastAsia"/>
                <w:color w:val="auto"/>
                <w:szCs w:val="21"/>
                <w:lang w:eastAsia="zh-CN"/>
              </w:rPr>
              <w:t>车间X1</w:t>
            </w:r>
            <w:r>
              <w:rPr>
                <w:color w:val="auto"/>
                <w:szCs w:val="21"/>
              </w:rPr>
              <w:t>为</w:t>
            </w:r>
            <w:r>
              <w:rPr>
                <w:rFonts w:hint="eastAsia"/>
                <w:color w:val="auto"/>
                <w:szCs w:val="21"/>
              </w:rPr>
              <w:t>二级耐火等级丙类厂房，</w:t>
            </w:r>
            <w:r>
              <w:rPr>
                <w:color w:val="auto"/>
                <w:szCs w:val="21"/>
              </w:rPr>
              <w:t>室外消防用水量</w:t>
            </w:r>
            <w:r>
              <w:rPr>
                <w:rFonts w:hint="eastAsia"/>
                <w:color w:val="auto"/>
                <w:szCs w:val="21"/>
              </w:rPr>
              <w:t>25</w:t>
            </w:r>
            <w:r>
              <w:rPr>
                <w:color w:val="auto"/>
                <w:szCs w:val="21"/>
              </w:rPr>
              <w:t>L/s、室内消防用水量</w:t>
            </w:r>
            <w:r>
              <w:rPr>
                <w:rFonts w:hint="eastAsia"/>
                <w:color w:val="auto"/>
                <w:szCs w:val="21"/>
              </w:rPr>
              <w:t>20</w:t>
            </w:r>
            <w:r>
              <w:rPr>
                <w:color w:val="auto"/>
                <w:szCs w:val="21"/>
              </w:rPr>
              <w:t>L/s</w:t>
            </w:r>
            <w:r>
              <w:rPr>
                <w:rFonts w:hint="eastAsia"/>
                <w:color w:val="auto"/>
                <w:szCs w:val="21"/>
              </w:rPr>
              <w:t>。</w:t>
            </w:r>
          </w:p>
          <w:p>
            <w:pPr>
              <w:spacing w:line="360" w:lineRule="auto"/>
              <w:ind w:firstLine="420" w:firstLineChars="200"/>
              <w:rPr>
                <w:color w:val="auto"/>
                <w:szCs w:val="21"/>
              </w:rPr>
            </w:pPr>
            <w:r>
              <w:rPr>
                <w:i/>
                <w:color w:val="auto"/>
                <w:kern w:val="0"/>
              </w:rPr>
              <w:t>t</w:t>
            </w:r>
            <w:r>
              <w:rPr>
                <w:color w:val="auto"/>
                <w:kern w:val="0"/>
                <w:vertAlign w:val="subscript"/>
              </w:rPr>
              <w:t>消</w:t>
            </w:r>
            <w:r>
              <w:rPr>
                <w:color w:val="auto"/>
                <w:szCs w:val="21"/>
              </w:rPr>
              <w:t>——消防设施对应的设计消防历时，h；一旦发生火灾事故时，首先使用灭火器材来控制火情，同时迅速将着火点附近的其他物料进行转移，并采取隔离措施，可有效防止火情进一步扩大</w:t>
            </w:r>
            <w:r>
              <w:rPr>
                <w:rFonts w:hint="eastAsia"/>
                <w:color w:val="auto"/>
                <w:szCs w:val="21"/>
                <w:lang w:eastAsia="zh-CN"/>
              </w:rPr>
              <w:t>。</w:t>
            </w:r>
            <w:r>
              <w:rPr>
                <w:rFonts w:hint="eastAsia"/>
                <w:color w:val="auto"/>
                <w:szCs w:val="21"/>
                <w:lang w:val="en-US" w:eastAsia="zh-CN"/>
              </w:rPr>
              <w:t>本项目为丙类厂房，根据</w:t>
            </w:r>
            <w:r>
              <w:rPr>
                <w:color w:val="auto"/>
                <w:szCs w:val="21"/>
              </w:rPr>
              <w:t>《消防给水及消火栓系统技术规范》</w:t>
            </w:r>
            <w:r>
              <w:rPr>
                <w:rFonts w:hint="eastAsia"/>
                <w:color w:val="auto"/>
                <w:szCs w:val="21"/>
                <w:lang w:eastAsia="zh-CN"/>
              </w:rPr>
              <w:t>（</w:t>
            </w:r>
            <w:r>
              <w:rPr>
                <w:rFonts w:hint="eastAsia"/>
                <w:color w:val="auto"/>
                <w:szCs w:val="21"/>
                <w:lang w:val="en-US" w:eastAsia="zh-CN"/>
              </w:rPr>
              <w:t>GB50974-2014</w:t>
            </w:r>
            <w:r>
              <w:rPr>
                <w:rFonts w:hint="eastAsia"/>
                <w:color w:val="auto"/>
                <w:szCs w:val="21"/>
                <w:lang w:eastAsia="zh-CN"/>
              </w:rPr>
              <w:t>）</w:t>
            </w:r>
            <w:r>
              <w:rPr>
                <w:rFonts w:hint="eastAsia"/>
                <w:color w:val="auto"/>
                <w:szCs w:val="21"/>
                <w:lang w:val="en-US" w:eastAsia="zh-CN"/>
              </w:rPr>
              <w:t>火灾延续时间取3h</w:t>
            </w:r>
            <w:r>
              <w:rPr>
                <w:color w:val="auto"/>
                <w:szCs w:val="21"/>
              </w:rPr>
              <w:t>。消防用水量为V</w:t>
            </w:r>
            <w:r>
              <w:rPr>
                <w:color w:val="auto"/>
                <w:szCs w:val="21"/>
                <w:vertAlign w:val="subscript"/>
              </w:rPr>
              <w:t>2</w:t>
            </w:r>
            <w:r>
              <w:rPr>
                <w:color w:val="auto"/>
                <w:szCs w:val="21"/>
              </w:rPr>
              <w:t>=（</w:t>
            </w:r>
            <w:r>
              <w:rPr>
                <w:color w:val="auto"/>
              </w:rPr>
              <w:t>Q</w:t>
            </w:r>
            <w:r>
              <w:rPr>
                <w:color w:val="auto"/>
                <w:vertAlign w:val="subscript"/>
              </w:rPr>
              <w:t>消1</w:t>
            </w:r>
            <w:r>
              <w:rPr>
                <w:color w:val="auto"/>
              </w:rPr>
              <w:t>+Q</w:t>
            </w:r>
            <w:r>
              <w:rPr>
                <w:color w:val="auto"/>
                <w:vertAlign w:val="subscript"/>
              </w:rPr>
              <w:t>消2</w:t>
            </w:r>
            <w:r>
              <w:rPr>
                <w:color w:val="auto"/>
                <w:szCs w:val="21"/>
              </w:rPr>
              <w:t>）×</w:t>
            </w:r>
            <w:r>
              <w:rPr>
                <w:i/>
                <w:color w:val="auto"/>
                <w:kern w:val="0"/>
              </w:rPr>
              <w:t>t</w:t>
            </w:r>
            <w:r>
              <w:rPr>
                <w:color w:val="auto"/>
                <w:kern w:val="0"/>
                <w:vertAlign w:val="subscript"/>
              </w:rPr>
              <w:t>消</w:t>
            </w:r>
            <w:r>
              <w:rPr>
                <w:color w:val="auto"/>
                <w:szCs w:val="21"/>
              </w:rPr>
              <w:t>=（</w:t>
            </w:r>
            <w:r>
              <w:rPr>
                <w:rFonts w:hint="eastAsia"/>
                <w:color w:val="auto"/>
                <w:szCs w:val="21"/>
              </w:rPr>
              <w:t>25</w:t>
            </w:r>
            <w:r>
              <w:rPr>
                <w:color w:val="auto"/>
                <w:szCs w:val="21"/>
              </w:rPr>
              <w:t>L/s+</w:t>
            </w:r>
            <w:r>
              <w:rPr>
                <w:rFonts w:hint="eastAsia"/>
                <w:color w:val="auto"/>
                <w:szCs w:val="21"/>
              </w:rPr>
              <w:t>2</w:t>
            </w:r>
            <w:r>
              <w:rPr>
                <w:color w:val="auto"/>
                <w:szCs w:val="21"/>
              </w:rPr>
              <w:t>0L/s）×3×3600s=</w:t>
            </w:r>
            <w:r>
              <w:rPr>
                <w:rFonts w:hint="eastAsia"/>
                <w:color w:val="auto"/>
                <w:szCs w:val="21"/>
              </w:rPr>
              <w:t>486</w:t>
            </w:r>
            <w:r>
              <w:rPr>
                <w:color w:val="auto"/>
                <w:szCs w:val="21"/>
              </w:rPr>
              <w:t>m</w:t>
            </w:r>
            <w:r>
              <w:rPr>
                <w:color w:val="auto"/>
                <w:szCs w:val="21"/>
                <w:vertAlign w:val="superscript"/>
              </w:rPr>
              <w:t>3</w:t>
            </w:r>
            <w:r>
              <w:rPr>
                <w:color w:val="auto"/>
                <w:szCs w:val="21"/>
              </w:rPr>
              <w:t>。</w:t>
            </w:r>
          </w:p>
          <w:p>
            <w:pPr>
              <w:spacing w:line="360" w:lineRule="auto"/>
              <w:ind w:firstLine="420" w:firstLineChars="200"/>
              <w:rPr>
                <w:color w:val="auto"/>
                <w:szCs w:val="21"/>
              </w:rPr>
            </w:pPr>
            <w:r>
              <w:rPr>
                <w:color w:val="auto"/>
                <w:szCs w:val="21"/>
              </w:rPr>
              <w:t>V</w:t>
            </w:r>
            <w:r>
              <w:rPr>
                <w:color w:val="auto"/>
                <w:szCs w:val="21"/>
                <w:vertAlign w:val="subscript"/>
              </w:rPr>
              <w:t>3</w:t>
            </w:r>
            <w:r>
              <w:rPr>
                <w:color w:val="auto"/>
                <w:szCs w:val="21"/>
              </w:rPr>
              <w:t>——发生事故时可以转输到其他储存或处理设施的物料量，m</w:t>
            </w:r>
            <w:r>
              <w:rPr>
                <w:color w:val="auto"/>
                <w:szCs w:val="21"/>
                <w:vertAlign w:val="superscript"/>
              </w:rPr>
              <w:t>3</w:t>
            </w:r>
            <w:r>
              <w:rPr>
                <w:color w:val="auto"/>
                <w:szCs w:val="21"/>
              </w:rPr>
              <w:t>；V</w:t>
            </w:r>
            <w:r>
              <w:rPr>
                <w:color w:val="auto"/>
                <w:szCs w:val="21"/>
                <w:vertAlign w:val="subscript"/>
              </w:rPr>
              <w:t>3</w:t>
            </w:r>
            <w:r>
              <w:rPr>
                <w:color w:val="auto"/>
                <w:szCs w:val="21"/>
              </w:rPr>
              <w:t>=0m</w:t>
            </w:r>
            <w:r>
              <w:rPr>
                <w:color w:val="auto"/>
                <w:szCs w:val="21"/>
                <w:vertAlign w:val="superscript"/>
              </w:rPr>
              <w:t>3</w:t>
            </w:r>
            <w:r>
              <w:rPr>
                <w:color w:val="auto"/>
                <w:szCs w:val="21"/>
              </w:rPr>
              <w:t>；</w:t>
            </w:r>
          </w:p>
          <w:p>
            <w:pPr>
              <w:spacing w:line="360" w:lineRule="auto"/>
              <w:ind w:firstLine="420" w:firstLineChars="200"/>
              <w:rPr>
                <w:color w:val="auto"/>
                <w:szCs w:val="21"/>
              </w:rPr>
            </w:pPr>
            <w:r>
              <w:rPr>
                <w:color w:val="auto"/>
                <w:szCs w:val="21"/>
              </w:rPr>
              <w:t>V</w:t>
            </w:r>
            <w:r>
              <w:rPr>
                <w:color w:val="auto"/>
                <w:szCs w:val="21"/>
                <w:vertAlign w:val="subscript"/>
              </w:rPr>
              <w:t>4</w:t>
            </w:r>
            <w:r>
              <w:rPr>
                <w:color w:val="auto"/>
                <w:szCs w:val="21"/>
              </w:rPr>
              <w:t>——发生事故时仍必须进入该收集系统的生产废水量，m</w:t>
            </w:r>
            <w:r>
              <w:rPr>
                <w:color w:val="auto"/>
                <w:szCs w:val="21"/>
                <w:vertAlign w:val="superscript"/>
              </w:rPr>
              <w:t>3</w:t>
            </w:r>
            <w:r>
              <w:rPr>
                <w:color w:val="auto"/>
                <w:szCs w:val="21"/>
              </w:rPr>
              <w:t>，取0m</w:t>
            </w:r>
            <w:r>
              <w:rPr>
                <w:color w:val="auto"/>
                <w:szCs w:val="21"/>
                <w:vertAlign w:val="superscript"/>
              </w:rPr>
              <w:t>3</w:t>
            </w:r>
            <w:r>
              <w:rPr>
                <w:rFonts w:hint="eastAsia"/>
                <w:color w:val="auto"/>
                <w:szCs w:val="21"/>
              </w:rPr>
              <w:t>，一厂建设有处理规模为100m</w:t>
            </w:r>
            <w:r>
              <w:rPr>
                <w:rFonts w:hint="eastAsia"/>
                <w:color w:val="auto"/>
                <w:szCs w:val="21"/>
                <w:vertAlign w:val="superscript"/>
              </w:rPr>
              <w:t>3</w:t>
            </w:r>
            <w:r>
              <w:rPr>
                <w:rFonts w:hint="eastAsia"/>
                <w:color w:val="auto"/>
                <w:szCs w:val="21"/>
              </w:rPr>
              <w:t>/d的污水处理站，生产废水可进入污水处理站收集，因此发生事故时没有生产废水需进入该收集系统）</w:t>
            </w:r>
          </w:p>
          <w:p>
            <w:pPr>
              <w:widowControl/>
              <w:spacing w:line="360" w:lineRule="auto"/>
              <w:ind w:firstLine="420" w:firstLineChars="200"/>
              <w:rPr>
                <w:color w:val="auto"/>
                <w:szCs w:val="21"/>
              </w:rPr>
            </w:pPr>
            <w:r>
              <w:rPr>
                <w:color w:val="auto"/>
                <w:szCs w:val="21"/>
              </w:rPr>
              <w:t>V</w:t>
            </w:r>
            <w:r>
              <w:rPr>
                <w:color w:val="auto"/>
                <w:szCs w:val="21"/>
                <w:vertAlign w:val="subscript"/>
              </w:rPr>
              <w:t>5</w:t>
            </w:r>
            <w:r>
              <w:rPr>
                <w:color w:val="auto"/>
                <w:szCs w:val="21"/>
              </w:rPr>
              <w:t>——发生事故时可能进入该收集系统的降雨量，m</w:t>
            </w:r>
            <w:r>
              <w:rPr>
                <w:color w:val="auto"/>
                <w:szCs w:val="21"/>
                <w:vertAlign w:val="superscript"/>
              </w:rPr>
              <w:t>3</w:t>
            </w:r>
            <w:r>
              <w:rPr>
                <w:color w:val="auto"/>
                <w:szCs w:val="21"/>
              </w:rPr>
              <w:t>，V</w:t>
            </w:r>
            <w:r>
              <w:rPr>
                <w:color w:val="auto"/>
                <w:szCs w:val="21"/>
                <w:vertAlign w:val="subscript"/>
              </w:rPr>
              <w:t>5</w:t>
            </w:r>
            <w:r>
              <w:rPr>
                <w:color w:val="auto"/>
                <w:szCs w:val="21"/>
              </w:rPr>
              <w:t>=10q×f</w:t>
            </w:r>
            <w:r>
              <w:rPr>
                <w:rFonts w:hint="eastAsia"/>
                <w:color w:val="auto"/>
                <w:szCs w:val="21"/>
              </w:rPr>
              <w:t>，</w:t>
            </w:r>
            <w:r>
              <w:rPr>
                <w:color w:val="auto"/>
                <w:szCs w:val="21"/>
              </w:rPr>
              <w:t>q=qa/n。</w:t>
            </w:r>
            <w:r>
              <w:rPr>
                <w:rFonts w:hint="eastAsia"/>
                <w:color w:val="auto"/>
                <w:szCs w:val="21"/>
              </w:rPr>
              <w:t>明溪县年均降水量qa=1800mm，年降水天数n=178d，平均日降水量q约为10.1mm，汇水面积按</w:t>
            </w:r>
            <w:r>
              <w:rPr>
                <w:rFonts w:hint="eastAsia"/>
                <w:color w:val="auto"/>
                <w:szCs w:val="21"/>
                <w:lang w:val="en-US" w:eastAsia="zh-CN"/>
              </w:rPr>
              <w:t>车间X1</w:t>
            </w:r>
            <w:r>
              <w:rPr>
                <w:rFonts w:hint="eastAsia"/>
                <w:color w:val="auto"/>
                <w:szCs w:val="21"/>
              </w:rPr>
              <w:t>占地即</w:t>
            </w:r>
            <w:r>
              <w:rPr>
                <w:rFonts w:hint="eastAsia"/>
                <w:color w:val="auto"/>
                <w:szCs w:val="21"/>
                <w:lang w:val="en-US" w:eastAsia="zh-CN"/>
              </w:rPr>
              <w:t>0.1464</w:t>
            </w:r>
            <w:r>
              <w:rPr>
                <w:rFonts w:hint="eastAsia"/>
                <w:color w:val="auto"/>
                <w:szCs w:val="21"/>
              </w:rPr>
              <w:t>ha，则V</w:t>
            </w:r>
            <w:r>
              <w:rPr>
                <w:rFonts w:hint="eastAsia"/>
                <w:color w:val="auto"/>
                <w:szCs w:val="21"/>
                <w:vertAlign w:val="subscript"/>
              </w:rPr>
              <w:t>5</w:t>
            </w:r>
            <w:r>
              <w:rPr>
                <w:rFonts w:hint="eastAsia"/>
                <w:color w:val="auto"/>
                <w:szCs w:val="21"/>
              </w:rPr>
              <w:t>=14.8m</w:t>
            </w:r>
            <w:r>
              <w:rPr>
                <w:rFonts w:hint="eastAsia"/>
                <w:color w:val="auto"/>
                <w:szCs w:val="21"/>
                <w:vertAlign w:val="superscript"/>
              </w:rPr>
              <w:t>3</w:t>
            </w:r>
            <w:r>
              <w:rPr>
                <w:rFonts w:hint="eastAsia"/>
                <w:color w:val="auto"/>
                <w:szCs w:val="21"/>
              </w:rPr>
              <w:t>。</w:t>
            </w:r>
          </w:p>
          <w:p>
            <w:pPr>
              <w:widowControl/>
              <w:spacing w:line="360" w:lineRule="auto"/>
              <w:ind w:firstLine="420" w:firstLineChars="200"/>
              <w:rPr>
                <w:color w:val="auto"/>
                <w:szCs w:val="21"/>
                <w:highlight w:val="none"/>
              </w:rPr>
            </w:pPr>
            <w:r>
              <w:rPr>
                <w:rFonts w:hint="eastAsia"/>
                <w:color w:val="auto"/>
                <w:szCs w:val="21"/>
                <w:highlight w:val="none"/>
              </w:rPr>
              <w:t>综上，</w:t>
            </w:r>
            <w:r>
              <w:rPr>
                <w:color w:val="auto"/>
                <w:szCs w:val="21"/>
                <w:highlight w:val="none"/>
              </w:rPr>
              <w:t>V</w:t>
            </w:r>
            <w:r>
              <w:rPr>
                <w:color w:val="auto"/>
                <w:szCs w:val="21"/>
                <w:highlight w:val="none"/>
                <w:vertAlign w:val="subscript"/>
              </w:rPr>
              <w:t>总</w:t>
            </w:r>
            <w:r>
              <w:rPr>
                <w:rFonts w:hint="eastAsia"/>
                <w:color w:val="auto"/>
                <w:szCs w:val="21"/>
                <w:highlight w:val="none"/>
              </w:rPr>
              <w:t>=2+486+14.8=502.8m</w:t>
            </w:r>
            <w:r>
              <w:rPr>
                <w:rFonts w:hint="eastAsia"/>
                <w:color w:val="auto"/>
                <w:szCs w:val="21"/>
                <w:highlight w:val="none"/>
                <w:vertAlign w:val="superscript"/>
              </w:rPr>
              <w:t>3</w:t>
            </w:r>
            <w:r>
              <w:rPr>
                <w:rFonts w:hint="eastAsia"/>
                <w:color w:val="auto"/>
                <w:szCs w:val="21"/>
                <w:highlight w:val="none"/>
              </w:rPr>
              <w:t>。一厂现有一600m</w:t>
            </w:r>
            <w:r>
              <w:rPr>
                <w:rFonts w:hint="eastAsia"/>
                <w:color w:val="auto"/>
                <w:szCs w:val="21"/>
                <w:highlight w:val="none"/>
                <w:vertAlign w:val="superscript"/>
              </w:rPr>
              <w:t>3</w:t>
            </w:r>
            <w:r>
              <w:rPr>
                <w:rFonts w:hint="eastAsia"/>
                <w:color w:val="auto"/>
                <w:szCs w:val="21"/>
                <w:highlight w:val="none"/>
              </w:rPr>
              <w:t>事故应急池，可满足本次扩建项目的应急要求。</w:t>
            </w:r>
          </w:p>
          <w:p>
            <w:pPr>
              <w:spacing w:line="360" w:lineRule="auto"/>
              <w:ind w:left="420" w:leftChars="200"/>
              <w:rPr>
                <w:b/>
                <w:bCs/>
                <w:color w:val="auto"/>
                <w:szCs w:val="21"/>
              </w:rPr>
            </w:pPr>
            <w:r>
              <w:rPr>
                <w:b/>
                <w:bCs/>
                <w:color w:val="auto"/>
                <w:szCs w:val="21"/>
              </w:rPr>
              <w:t>（6）应急</w:t>
            </w:r>
            <w:r>
              <w:rPr>
                <w:rFonts w:hint="eastAsia"/>
                <w:b/>
                <w:bCs/>
                <w:color w:val="auto"/>
                <w:szCs w:val="21"/>
              </w:rPr>
              <w:t>要求</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color w:val="auto"/>
                <w:szCs w:val="21"/>
              </w:rPr>
            </w:pPr>
            <w:r>
              <w:rPr>
                <w:color w:val="auto"/>
                <w:szCs w:val="21"/>
              </w:rPr>
              <w:t>1.成立环境应急处理领导小组，由总负责人任组长，主要负责环保工作的建设、决策、研究和协调；组员由生产管理、环保管理及环境事故易发生部门的负责人组成，负责环境事故处理的指挥和调度工作。</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color w:val="auto"/>
                <w:szCs w:val="21"/>
              </w:rPr>
            </w:pPr>
            <w:r>
              <w:rPr>
                <w:color w:val="auto"/>
                <w:szCs w:val="21"/>
              </w:rPr>
              <w:t>2.环境事故易发生部门成立应急队伍，由负责人负责，工艺、技术、维修、操作岗位人员参加。</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color w:val="auto"/>
                <w:szCs w:val="21"/>
              </w:rPr>
            </w:pPr>
            <w:r>
              <w:rPr>
                <w:color w:val="auto"/>
                <w:szCs w:val="21"/>
              </w:rPr>
              <w:t>3.对人员进行有关法律、法规、规章和安全知识、专业技术、职业卫生防护和应急救援知识的培训，并经考核合格，方可上岗作业。</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color w:val="auto"/>
                <w:szCs w:val="21"/>
              </w:rPr>
            </w:pPr>
            <w:r>
              <w:rPr>
                <w:color w:val="auto"/>
                <w:szCs w:val="21"/>
              </w:rPr>
              <w:t>4.应急队伍必须配备应急器具及劳保用品，应急器具及劳保用品在指定地点存放。</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color w:val="auto"/>
                <w:szCs w:val="21"/>
              </w:rPr>
            </w:pPr>
            <w:r>
              <w:rPr>
                <w:color w:val="auto"/>
                <w:szCs w:val="21"/>
              </w:rPr>
              <w:t>5.公司对应急队员每季进行一次应急培训，使其具备处理环境事故的能力。</w:t>
            </w:r>
          </w:p>
          <w:p>
            <w:pPr>
              <w:keepNext w:val="0"/>
              <w:keepLines w:val="0"/>
              <w:pageBreakBefore w:val="0"/>
              <w:widowControl w:val="0"/>
              <w:kinsoku/>
              <w:wordWrap/>
              <w:overflowPunct/>
              <w:topLinePunct w:val="0"/>
              <w:autoSpaceDE/>
              <w:autoSpaceDN/>
              <w:bidi w:val="0"/>
              <w:adjustRightInd/>
              <w:snapToGrid/>
              <w:spacing w:line="312" w:lineRule="auto"/>
              <w:ind w:left="420" w:leftChars="200"/>
              <w:textAlignment w:val="auto"/>
              <w:rPr>
                <w:b/>
                <w:bCs/>
                <w:color w:val="auto"/>
                <w:szCs w:val="21"/>
              </w:rPr>
            </w:pPr>
            <w:r>
              <w:rPr>
                <w:b/>
                <w:bCs/>
                <w:color w:val="auto"/>
                <w:szCs w:val="21"/>
              </w:rPr>
              <w:t>（</w:t>
            </w:r>
            <w:r>
              <w:rPr>
                <w:rFonts w:hint="eastAsia"/>
                <w:b/>
                <w:bCs/>
                <w:color w:val="auto"/>
                <w:szCs w:val="21"/>
              </w:rPr>
              <w:t>7</w:t>
            </w:r>
            <w:r>
              <w:rPr>
                <w:b/>
                <w:bCs/>
                <w:color w:val="auto"/>
                <w:szCs w:val="21"/>
              </w:rPr>
              <w:t>）评价结论与建议</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color w:val="auto"/>
                <w:szCs w:val="21"/>
              </w:rPr>
            </w:pPr>
            <w:r>
              <w:rPr>
                <w:color w:val="auto"/>
                <w:szCs w:val="21"/>
                <w:lang w:val="en-GB"/>
              </w:rPr>
              <w:t>本项目</w:t>
            </w:r>
            <w:r>
              <w:rPr>
                <w:rFonts w:hint="eastAsia"/>
                <w:color w:val="auto"/>
                <w:szCs w:val="21"/>
              </w:rPr>
              <w:t>风险物质主要分布在危险废物贮存间</w:t>
            </w:r>
            <w:r>
              <w:rPr>
                <w:color w:val="auto"/>
                <w:szCs w:val="21"/>
                <w:lang w:val="en-GB"/>
              </w:rPr>
              <w:t>。</w:t>
            </w:r>
            <w:r>
              <w:rPr>
                <w:rFonts w:hint="eastAsia"/>
                <w:color w:val="auto"/>
                <w:szCs w:val="21"/>
                <w:lang w:val="en-GB"/>
              </w:rPr>
              <w:t>可能发生的环境风险包括物质泄漏和火灾</w:t>
            </w:r>
            <w:r>
              <w:rPr>
                <w:rFonts w:hint="eastAsia"/>
                <w:color w:val="auto"/>
                <w:szCs w:val="21"/>
              </w:rPr>
              <w:t>引</w:t>
            </w:r>
            <w:r>
              <w:rPr>
                <w:rFonts w:hint="eastAsia"/>
                <w:color w:val="auto"/>
                <w:szCs w:val="21"/>
                <w:lang w:val="en-GB"/>
              </w:rPr>
              <w:t>发的次生/伴生污染。项目具有潜在的火灾危险性，因此项目的规划设计、施工和运营等必须进行科学规划、合理布置、严格执行国家的防火安全设计规范，特别是</w:t>
            </w:r>
            <w:r>
              <w:rPr>
                <w:rFonts w:hint="eastAsia"/>
                <w:color w:val="auto"/>
                <w:szCs w:val="21"/>
              </w:rPr>
              <w:t>危险废物贮存仓库、</w:t>
            </w:r>
            <w:r>
              <w:rPr>
                <w:rFonts w:hint="eastAsia"/>
                <w:color w:val="auto"/>
                <w:szCs w:val="21"/>
                <w:lang w:val="en-GB"/>
              </w:rPr>
              <w:t>生产车间（</w:t>
            </w:r>
            <w:r>
              <w:rPr>
                <w:rFonts w:hint="eastAsia"/>
                <w:color w:val="auto"/>
                <w:szCs w:val="21"/>
              </w:rPr>
              <w:t>生产区及原辅料储存区</w:t>
            </w:r>
            <w:r>
              <w:rPr>
                <w:rFonts w:hint="eastAsia"/>
                <w:color w:val="auto"/>
                <w:szCs w:val="21"/>
                <w:lang w:val="en-GB"/>
              </w:rPr>
              <w:t>），应保证施工质量，严格安全生产管理制度，提高操作人员的素质和水平。</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color w:val="auto"/>
                <w:szCs w:val="21"/>
              </w:rPr>
            </w:pPr>
            <w:r>
              <w:rPr>
                <w:rFonts w:hint="eastAsia"/>
                <w:color w:val="auto"/>
                <w:szCs w:val="21"/>
              </w:rPr>
              <w:t>建设单位</w:t>
            </w:r>
            <w:r>
              <w:rPr>
                <w:color w:val="auto"/>
                <w:szCs w:val="21"/>
              </w:rPr>
              <w:t>需严格执行风险防范措施，建立环境风险管理制度，杜绝事故的发生，同时编制应急预案，并向当地环境保护行政主管部门备案，定期进行应急演习。</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color w:val="auto"/>
                <w:szCs w:val="21"/>
              </w:rPr>
            </w:pPr>
            <w:r>
              <w:rPr>
                <w:color w:val="auto"/>
                <w:szCs w:val="21"/>
              </w:rPr>
              <w:t>综上所述，项目在做好风险防控措施的前提下，可能产生的环境风险是可以防控的。</w:t>
            </w:r>
          </w:p>
          <w:p>
            <w:pPr>
              <w:spacing w:before="194" w:beforeLines="50"/>
              <w:jc w:val="center"/>
              <w:outlineLvl w:val="5"/>
              <w:rPr>
                <w:rFonts w:hint="eastAsia" w:eastAsia="宋体" w:cs="Times New Roman"/>
                <w:b/>
                <w:color w:val="auto"/>
                <w:spacing w:val="0"/>
                <w:sz w:val="21"/>
                <w:szCs w:val="21"/>
                <w:lang w:val="en-US" w:eastAsia="zh-CN"/>
              </w:rPr>
            </w:pPr>
          </w:p>
          <w:p>
            <w:pPr>
              <w:spacing w:before="194" w:beforeLines="50"/>
              <w:jc w:val="center"/>
              <w:outlineLvl w:val="5"/>
              <w:rPr>
                <w:rFonts w:hint="eastAsia"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表4-40建设项目环境风险简单分析内容表</w:t>
            </w:r>
          </w:p>
          <w:tbl>
            <w:tblPr>
              <w:tblStyle w:val="19"/>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43"/>
              <w:gridCol w:w="1673"/>
              <w:gridCol w:w="1101"/>
              <w:gridCol w:w="901"/>
              <w:gridCol w:w="1103"/>
              <w:gridCol w:w="1778"/>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343" w:type="dxa"/>
                  <w:tcBorders>
                    <w:top w:val="single" w:color="auto" w:sz="4" w:space="0"/>
                    <w:left w:val="single" w:color="auto" w:sz="4" w:space="0"/>
                  </w:tcBorders>
                </w:tcPr>
                <w:p>
                  <w:pPr>
                    <w:jc w:val="center"/>
                    <w:rPr>
                      <w:color w:val="auto"/>
                      <w:kern w:val="0"/>
                      <w:sz w:val="18"/>
                      <w:szCs w:val="18"/>
                      <w:lang w:val="en-GB"/>
                    </w:rPr>
                  </w:pPr>
                  <w:r>
                    <w:rPr>
                      <w:color w:val="auto"/>
                      <w:kern w:val="0"/>
                      <w:sz w:val="18"/>
                      <w:szCs w:val="18"/>
                      <w:lang w:val="en-GB"/>
                    </w:rPr>
                    <w:t>建设项目名称</w:t>
                  </w:r>
                </w:p>
              </w:tc>
              <w:tc>
                <w:tcPr>
                  <w:tcW w:w="6556" w:type="dxa"/>
                  <w:gridSpan w:val="5"/>
                  <w:tcBorders>
                    <w:top w:val="single" w:color="auto" w:sz="4" w:space="0"/>
                    <w:right w:val="single" w:color="auto" w:sz="4" w:space="0"/>
                  </w:tcBorders>
                </w:tcPr>
                <w:p>
                  <w:pPr>
                    <w:jc w:val="center"/>
                    <w:rPr>
                      <w:color w:val="auto"/>
                      <w:kern w:val="0"/>
                      <w:sz w:val="18"/>
                      <w:szCs w:val="18"/>
                      <w:lang w:val="en-GB"/>
                    </w:rPr>
                  </w:pPr>
                  <w:r>
                    <w:rPr>
                      <w:rFonts w:hint="eastAsia"/>
                      <w:color w:val="auto"/>
                      <w:kern w:val="0"/>
                      <w:sz w:val="18"/>
                      <w:szCs w:val="18"/>
                    </w:rPr>
                    <w:t>明溪县</w:t>
                  </w:r>
                  <w:r>
                    <w:rPr>
                      <w:color w:val="auto"/>
                      <w:kern w:val="0"/>
                      <w:sz w:val="18"/>
                      <w:szCs w:val="18"/>
                      <w:lang w:val="en-GB"/>
                    </w:rPr>
                    <w:t>年产50吨功能性氟材料建设项目</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1343" w:type="dxa"/>
                  <w:tcBorders>
                    <w:left w:val="single" w:color="auto" w:sz="4" w:space="0"/>
                  </w:tcBorders>
                </w:tcPr>
                <w:p>
                  <w:pPr>
                    <w:jc w:val="center"/>
                    <w:rPr>
                      <w:color w:val="auto"/>
                      <w:kern w:val="0"/>
                      <w:sz w:val="18"/>
                      <w:szCs w:val="18"/>
                      <w:lang w:val="en-GB"/>
                    </w:rPr>
                  </w:pPr>
                  <w:r>
                    <w:rPr>
                      <w:color w:val="auto"/>
                      <w:kern w:val="0"/>
                      <w:sz w:val="18"/>
                      <w:szCs w:val="18"/>
                      <w:lang w:val="en-GB"/>
                    </w:rPr>
                    <w:t>建设地点</w:t>
                  </w:r>
                </w:p>
              </w:tc>
              <w:tc>
                <w:tcPr>
                  <w:tcW w:w="6556" w:type="dxa"/>
                  <w:gridSpan w:val="5"/>
                  <w:tcBorders>
                    <w:right w:val="single" w:color="auto" w:sz="4" w:space="0"/>
                  </w:tcBorders>
                </w:tcPr>
                <w:p>
                  <w:pPr>
                    <w:jc w:val="center"/>
                    <w:rPr>
                      <w:color w:val="auto"/>
                      <w:kern w:val="0"/>
                      <w:sz w:val="18"/>
                      <w:szCs w:val="18"/>
                      <w:lang w:val="en-GB"/>
                    </w:rPr>
                  </w:pPr>
                  <w:r>
                    <w:rPr>
                      <w:color w:val="auto"/>
                      <w:kern w:val="0"/>
                      <w:sz w:val="18"/>
                      <w:szCs w:val="18"/>
                      <w:lang w:val="en-GB"/>
                    </w:rPr>
                    <w:t>福建省三明市明溪县经济开发区D区1号</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1343" w:type="dxa"/>
                  <w:tcBorders>
                    <w:left w:val="single" w:color="auto" w:sz="4" w:space="0"/>
                  </w:tcBorders>
                </w:tcPr>
                <w:p>
                  <w:pPr>
                    <w:jc w:val="center"/>
                    <w:rPr>
                      <w:color w:val="auto"/>
                      <w:kern w:val="0"/>
                      <w:sz w:val="18"/>
                      <w:szCs w:val="18"/>
                      <w:lang w:val="en-GB"/>
                    </w:rPr>
                  </w:pPr>
                  <w:r>
                    <w:rPr>
                      <w:color w:val="auto"/>
                      <w:kern w:val="0"/>
                      <w:sz w:val="18"/>
                      <w:szCs w:val="18"/>
                      <w:lang w:val="en-GB"/>
                    </w:rPr>
                    <w:t>地理坐标</w:t>
                  </w:r>
                </w:p>
              </w:tc>
              <w:tc>
                <w:tcPr>
                  <w:tcW w:w="1673" w:type="dxa"/>
                </w:tcPr>
                <w:p>
                  <w:pPr>
                    <w:jc w:val="center"/>
                    <w:rPr>
                      <w:color w:val="auto"/>
                      <w:kern w:val="0"/>
                      <w:sz w:val="18"/>
                      <w:szCs w:val="18"/>
                      <w:lang w:val="en-GB"/>
                    </w:rPr>
                  </w:pPr>
                  <w:r>
                    <w:rPr>
                      <w:color w:val="auto"/>
                      <w:kern w:val="0"/>
                      <w:sz w:val="18"/>
                      <w:szCs w:val="18"/>
                      <w:lang w:val="en-GB"/>
                    </w:rPr>
                    <w:t>经度</w:t>
                  </w:r>
                </w:p>
              </w:tc>
              <w:tc>
                <w:tcPr>
                  <w:tcW w:w="2002" w:type="dxa"/>
                  <w:gridSpan w:val="2"/>
                </w:tcPr>
                <w:p>
                  <w:pPr>
                    <w:jc w:val="center"/>
                    <w:rPr>
                      <w:color w:val="auto"/>
                      <w:kern w:val="0"/>
                      <w:sz w:val="18"/>
                      <w:szCs w:val="18"/>
                      <w:lang w:val="en-GB"/>
                    </w:rPr>
                  </w:pPr>
                  <w:r>
                    <w:rPr>
                      <w:color w:val="auto"/>
                      <w:kern w:val="0"/>
                      <w:sz w:val="18"/>
                      <w:szCs w:val="18"/>
                      <w:lang w:val="en-GB"/>
                    </w:rPr>
                    <w:t>117.243084°</w:t>
                  </w:r>
                </w:p>
              </w:tc>
              <w:tc>
                <w:tcPr>
                  <w:tcW w:w="1103" w:type="dxa"/>
                </w:tcPr>
                <w:p>
                  <w:pPr>
                    <w:jc w:val="center"/>
                    <w:rPr>
                      <w:color w:val="auto"/>
                      <w:kern w:val="0"/>
                      <w:sz w:val="18"/>
                      <w:szCs w:val="18"/>
                      <w:lang w:val="en-GB"/>
                    </w:rPr>
                  </w:pPr>
                  <w:r>
                    <w:rPr>
                      <w:color w:val="auto"/>
                      <w:kern w:val="0"/>
                      <w:sz w:val="18"/>
                      <w:szCs w:val="18"/>
                      <w:lang w:val="en-GB"/>
                    </w:rPr>
                    <w:t>纬度</w:t>
                  </w:r>
                </w:p>
              </w:tc>
              <w:tc>
                <w:tcPr>
                  <w:tcW w:w="1778" w:type="dxa"/>
                  <w:tcBorders>
                    <w:right w:val="single" w:color="auto" w:sz="4" w:space="0"/>
                  </w:tcBorders>
                </w:tcPr>
                <w:p>
                  <w:pPr>
                    <w:jc w:val="center"/>
                    <w:rPr>
                      <w:color w:val="auto"/>
                      <w:kern w:val="0"/>
                      <w:sz w:val="18"/>
                      <w:szCs w:val="18"/>
                      <w:lang w:val="en-GB"/>
                    </w:rPr>
                  </w:pPr>
                  <w:r>
                    <w:rPr>
                      <w:color w:val="auto"/>
                      <w:kern w:val="0"/>
                      <w:sz w:val="18"/>
                      <w:szCs w:val="18"/>
                      <w:lang w:val="en-GB"/>
                    </w:rPr>
                    <w:t>26.343425°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343" w:type="dxa"/>
                  <w:tcBorders>
                    <w:left w:val="single" w:color="auto" w:sz="4" w:space="0"/>
                  </w:tcBorders>
                </w:tcPr>
                <w:p>
                  <w:pPr>
                    <w:jc w:val="center"/>
                    <w:rPr>
                      <w:color w:val="auto"/>
                      <w:kern w:val="0"/>
                      <w:sz w:val="18"/>
                      <w:szCs w:val="18"/>
                      <w:lang w:val="en-GB"/>
                    </w:rPr>
                  </w:pPr>
                  <w:r>
                    <w:rPr>
                      <w:color w:val="auto"/>
                      <w:kern w:val="0"/>
                      <w:sz w:val="18"/>
                      <w:szCs w:val="18"/>
                      <w:lang w:val="en-GB"/>
                    </w:rPr>
                    <w:t>主要危险物质及分布</w:t>
                  </w:r>
                </w:p>
              </w:tc>
              <w:tc>
                <w:tcPr>
                  <w:tcW w:w="2774" w:type="dxa"/>
                  <w:gridSpan w:val="2"/>
                  <w:vAlign w:val="center"/>
                </w:tcPr>
                <w:p>
                  <w:pPr>
                    <w:jc w:val="center"/>
                    <w:rPr>
                      <w:color w:val="auto"/>
                      <w:kern w:val="0"/>
                      <w:sz w:val="18"/>
                      <w:szCs w:val="18"/>
                      <w:lang w:val="en-GB"/>
                    </w:rPr>
                  </w:pPr>
                  <w:r>
                    <w:rPr>
                      <w:color w:val="auto"/>
                      <w:kern w:val="0"/>
                      <w:sz w:val="18"/>
                      <w:szCs w:val="18"/>
                    </w:rPr>
                    <w:t>危险废物</w:t>
                  </w:r>
                  <w:r>
                    <w:rPr>
                      <w:rFonts w:hint="eastAsia"/>
                      <w:color w:val="auto"/>
                      <w:kern w:val="0"/>
                      <w:sz w:val="18"/>
                      <w:szCs w:val="18"/>
                    </w:rPr>
                    <w:t>暂存间</w:t>
                  </w:r>
                </w:p>
              </w:tc>
              <w:tc>
                <w:tcPr>
                  <w:tcW w:w="3782" w:type="dxa"/>
                  <w:gridSpan w:val="3"/>
                  <w:tcBorders>
                    <w:right w:val="single" w:color="auto" w:sz="4" w:space="0"/>
                  </w:tcBorders>
                  <w:vAlign w:val="center"/>
                </w:tcPr>
                <w:p>
                  <w:pPr>
                    <w:jc w:val="center"/>
                    <w:rPr>
                      <w:rFonts w:eastAsiaTheme="minorEastAsia"/>
                      <w:color w:val="auto"/>
                      <w:kern w:val="0"/>
                      <w:sz w:val="18"/>
                      <w:szCs w:val="18"/>
                    </w:rPr>
                  </w:pPr>
                  <w:r>
                    <w:rPr>
                      <w:color w:val="auto"/>
                      <w:sz w:val="18"/>
                      <w:szCs w:val="18"/>
                    </w:rPr>
                    <w:t>废活性炭</w:t>
                  </w:r>
                  <w:r>
                    <w:rPr>
                      <w:rFonts w:hint="eastAsia"/>
                      <w:color w:val="auto"/>
                      <w:sz w:val="18"/>
                      <w:szCs w:val="18"/>
                    </w:rPr>
                    <w:t>、隔膜泵废滤芯、精馏釜残</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1343" w:type="dxa"/>
                  <w:tcBorders>
                    <w:left w:val="single" w:color="auto" w:sz="4" w:space="0"/>
                  </w:tcBorders>
                  <w:vAlign w:val="center"/>
                </w:tcPr>
                <w:p>
                  <w:pPr>
                    <w:jc w:val="center"/>
                    <w:rPr>
                      <w:color w:val="auto"/>
                      <w:kern w:val="0"/>
                      <w:sz w:val="18"/>
                      <w:szCs w:val="18"/>
                      <w:lang w:val="en-GB"/>
                    </w:rPr>
                  </w:pPr>
                  <w:r>
                    <w:rPr>
                      <w:color w:val="auto"/>
                      <w:kern w:val="0"/>
                      <w:sz w:val="18"/>
                      <w:szCs w:val="18"/>
                      <w:lang w:val="en-GB"/>
                    </w:rPr>
                    <w:t>环境影响途径及危害后果（大气、地表水、地下水等）</w:t>
                  </w:r>
                </w:p>
              </w:tc>
              <w:tc>
                <w:tcPr>
                  <w:tcW w:w="6556" w:type="dxa"/>
                  <w:gridSpan w:val="5"/>
                  <w:tcBorders>
                    <w:right w:val="single" w:color="auto" w:sz="4" w:space="0"/>
                  </w:tcBorders>
                </w:tcPr>
                <w:p>
                  <w:pPr>
                    <w:keepNext w:val="0"/>
                    <w:keepLines w:val="0"/>
                    <w:pageBreakBefore w:val="0"/>
                    <w:widowControl w:val="0"/>
                    <w:kinsoku/>
                    <w:wordWrap/>
                    <w:overflowPunct/>
                    <w:topLinePunct w:val="0"/>
                    <w:autoSpaceDE/>
                    <w:autoSpaceDN/>
                    <w:bidi w:val="0"/>
                    <w:adjustRightInd/>
                    <w:snapToGrid/>
                    <w:ind w:firstLine="360" w:firstLineChars="200"/>
                    <w:textAlignment w:val="auto"/>
                    <w:rPr>
                      <w:color w:val="auto"/>
                      <w:kern w:val="0"/>
                      <w:sz w:val="18"/>
                      <w:szCs w:val="18"/>
                    </w:rPr>
                  </w:pPr>
                  <w:r>
                    <w:rPr>
                      <w:color w:val="auto"/>
                      <w:kern w:val="0"/>
                      <w:sz w:val="18"/>
                      <w:szCs w:val="18"/>
                    </w:rPr>
                    <w:t>项目发生火灾产生的次生污染，燃烧将会产生大量的浓烟、CO</w:t>
                  </w:r>
                  <w:r>
                    <w:rPr>
                      <w:color w:val="auto"/>
                      <w:kern w:val="0"/>
                      <w:sz w:val="18"/>
                      <w:szCs w:val="18"/>
                      <w:vertAlign w:val="subscript"/>
                    </w:rPr>
                    <w:t>2</w:t>
                  </w:r>
                  <w:r>
                    <w:rPr>
                      <w:color w:val="auto"/>
                      <w:kern w:val="0"/>
                      <w:sz w:val="18"/>
                      <w:szCs w:val="18"/>
                    </w:rPr>
                    <w:t>、CO等，将会对周围大气环境产生一定影响。</w:t>
                  </w:r>
                </w:p>
                <w:p>
                  <w:pPr>
                    <w:keepNext w:val="0"/>
                    <w:keepLines w:val="0"/>
                    <w:pageBreakBefore w:val="0"/>
                    <w:widowControl w:val="0"/>
                    <w:kinsoku/>
                    <w:wordWrap/>
                    <w:overflowPunct/>
                    <w:topLinePunct w:val="0"/>
                    <w:autoSpaceDE/>
                    <w:autoSpaceDN/>
                    <w:bidi w:val="0"/>
                    <w:adjustRightInd/>
                    <w:snapToGrid/>
                    <w:ind w:firstLine="360" w:firstLineChars="200"/>
                    <w:textAlignment w:val="auto"/>
                    <w:rPr>
                      <w:color w:val="auto"/>
                      <w:kern w:val="0"/>
                      <w:sz w:val="18"/>
                      <w:szCs w:val="18"/>
                    </w:rPr>
                  </w:pPr>
                  <w:r>
                    <w:rPr>
                      <w:color w:val="auto"/>
                      <w:kern w:val="0"/>
                      <w:sz w:val="18"/>
                      <w:szCs w:val="18"/>
                    </w:rPr>
                    <w:t>项目发生物质泄漏或火灾事故废水排放时，在对事故废水采取转移、截留和控制措施的前提下，项目对于地表水环境产生的风险是可控的。</w:t>
                  </w:r>
                </w:p>
                <w:p>
                  <w:pPr>
                    <w:keepNext w:val="0"/>
                    <w:keepLines w:val="0"/>
                    <w:pageBreakBefore w:val="0"/>
                    <w:widowControl w:val="0"/>
                    <w:kinsoku/>
                    <w:wordWrap/>
                    <w:overflowPunct/>
                    <w:topLinePunct w:val="0"/>
                    <w:autoSpaceDE/>
                    <w:autoSpaceDN/>
                    <w:bidi w:val="0"/>
                    <w:adjustRightInd/>
                    <w:snapToGrid/>
                    <w:ind w:firstLine="360" w:firstLineChars="200"/>
                    <w:textAlignment w:val="auto"/>
                    <w:rPr>
                      <w:color w:val="auto"/>
                      <w:kern w:val="0"/>
                      <w:sz w:val="18"/>
                      <w:szCs w:val="18"/>
                      <w:lang w:val="en-GB"/>
                    </w:rPr>
                  </w:pPr>
                  <w:r>
                    <w:rPr>
                      <w:color w:val="auto"/>
                      <w:kern w:val="0"/>
                      <w:sz w:val="18"/>
                      <w:szCs w:val="18"/>
                    </w:rPr>
                    <w:t>项目采取防腐防渗措施，有毒有害物质泄漏一般不会对地下水环境造成影响</w:t>
                  </w:r>
                  <w:r>
                    <w:rPr>
                      <w:color w:val="auto"/>
                      <w:kern w:val="0"/>
                      <w:sz w:val="18"/>
                      <w:szCs w:val="18"/>
                      <w:lang w:val="en-GB"/>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343" w:type="dxa"/>
                  <w:tcBorders>
                    <w:left w:val="single" w:color="auto" w:sz="4" w:space="0"/>
                    <w:bottom w:val="single" w:color="auto" w:sz="4" w:space="0"/>
                  </w:tcBorders>
                </w:tcPr>
                <w:p>
                  <w:pPr>
                    <w:jc w:val="center"/>
                    <w:rPr>
                      <w:color w:val="auto"/>
                      <w:kern w:val="0"/>
                      <w:sz w:val="18"/>
                      <w:szCs w:val="18"/>
                      <w:lang w:val="en-GB"/>
                    </w:rPr>
                  </w:pPr>
                  <w:r>
                    <w:rPr>
                      <w:color w:val="auto"/>
                      <w:kern w:val="0"/>
                      <w:sz w:val="18"/>
                      <w:szCs w:val="18"/>
                      <w:lang w:val="en-GB"/>
                    </w:rPr>
                    <w:t>风险防范措施要求</w:t>
                  </w:r>
                </w:p>
              </w:tc>
              <w:tc>
                <w:tcPr>
                  <w:tcW w:w="6556" w:type="dxa"/>
                  <w:gridSpan w:val="5"/>
                  <w:tcBorders>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ind w:firstLine="360" w:firstLineChars="200"/>
                    <w:textAlignment w:val="auto"/>
                    <w:rPr>
                      <w:color w:val="auto"/>
                      <w:kern w:val="0"/>
                      <w:sz w:val="18"/>
                      <w:szCs w:val="18"/>
                      <w:lang w:val="en-GB"/>
                    </w:rPr>
                  </w:pPr>
                  <w:r>
                    <w:rPr>
                      <w:color w:val="auto"/>
                      <w:kern w:val="0"/>
                      <w:sz w:val="18"/>
                      <w:szCs w:val="18"/>
                    </w:rPr>
                    <w:t>建立环境风险管理制度，严格按照环境风险防控章节提出的措施要求开展环境风险防控工作。</w:t>
                  </w:r>
                </w:p>
              </w:tc>
            </w:tr>
          </w:tbl>
          <w:p>
            <w:pPr>
              <w:widowControl/>
              <w:adjustRightInd w:val="0"/>
              <w:snapToGrid w:val="0"/>
              <w:spacing w:before="156" w:beforeLines="50" w:line="360" w:lineRule="auto"/>
              <w:outlineLvl w:val="2"/>
              <w:rPr>
                <w:b/>
                <w:color w:val="auto"/>
                <w:szCs w:val="21"/>
              </w:rPr>
            </w:pPr>
            <w:r>
              <w:rPr>
                <w:b/>
                <w:color w:val="auto"/>
                <w:szCs w:val="21"/>
              </w:rPr>
              <w:t>4.2.</w:t>
            </w:r>
            <w:r>
              <w:rPr>
                <w:rFonts w:hint="eastAsia"/>
                <w:b/>
                <w:color w:val="auto"/>
                <w:szCs w:val="21"/>
              </w:rPr>
              <w:t>7电磁辐射分析</w:t>
            </w:r>
          </w:p>
          <w:p>
            <w:pPr>
              <w:keepNext w:val="0"/>
              <w:keepLines w:val="0"/>
              <w:pageBreakBefore w:val="0"/>
              <w:widowControl/>
              <w:kinsoku/>
              <w:wordWrap/>
              <w:overflowPunct/>
              <w:topLinePunct w:val="0"/>
              <w:autoSpaceDE/>
              <w:autoSpaceDN/>
              <w:bidi w:val="0"/>
              <w:spacing w:line="312" w:lineRule="auto"/>
              <w:ind w:firstLine="420" w:firstLineChars="200"/>
              <w:textAlignment w:val="auto"/>
              <w:rPr>
                <w:color w:val="auto"/>
                <w:szCs w:val="21"/>
              </w:rPr>
            </w:pPr>
            <w:r>
              <w:rPr>
                <w:rFonts w:hint="eastAsia"/>
                <w:color w:val="auto"/>
                <w:szCs w:val="21"/>
              </w:rPr>
              <w:t>根据《建设项目环境影响报告表编制技术指南（污染影响类）（试行）》，本项目不涉及广播电台、差转台、电视塔台、卫星地球上行站、雷达等电磁辐射类项目，因此不进行电磁辐射分析。</w:t>
            </w:r>
          </w:p>
          <w:p>
            <w:pPr>
              <w:keepNext w:val="0"/>
              <w:keepLines w:val="0"/>
              <w:pageBreakBefore w:val="0"/>
              <w:widowControl/>
              <w:kinsoku/>
              <w:wordWrap/>
              <w:overflowPunct/>
              <w:topLinePunct w:val="0"/>
              <w:autoSpaceDE/>
              <w:autoSpaceDN/>
              <w:bidi w:val="0"/>
              <w:adjustRightInd w:val="0"/>
              <w:snapToGrid w:val="0"/>
              <w:spacing w:before="156" w:beforeLines="50" w:line="312" w:lineRule="auto"/>
              <w:textAlignment w:val="auto"/>
              <w:outlineLvl w:val="2"/>
              <w:rPr>
                <w:b/>
                <w:color w:val="auto"/>
                <w:szCs w:val="21"/>
              </w:rPr>
            </w:pPr>
            <w:r>
              <w:rPr>
                <w:b/>
                <w:color w:val="auto"/>
                <w:szCs w:val="21"/>
              </w:rPr>
              <w:t>4.2.</w:t>
            </w:r>
            <w:r>
              <w:rPr>
                <w:rFonts w:hint="eastAsia"/>
                <w:b/>
                <w:color w:val="auto"/>
                <w:szCs w:val="21"/>
              </w:rPr>
              <w:t>8环保投资估算</w:t>
            </w:r>
          </w:p>
          <w:p>
            <w:pPr>
              <w:keepNext w:val="0"/>
              <w:keepLines w:val="0"/>
              <w:pageBreakBefore w:val="0"/>
              <w:widowControl/>
              <w:kinsoku/>
              <w:wordWrap/>
              <w:overflowPunct/>
              <w:topLinePunct w:val="0"/>
              <w:autoSpaceDE/>
              <w:autoSpaceDN/>
              <w:bidi w:val="0"/>
              <w:spacing w:line="312" w:lineRule="auto"/>
              <w:ind w:firstLine="420" w:firstLineChars="200"/>
              <w:textAlignment w:val="auto"/>
              <w:rPr>
                <w:color w:val="auto"/>
                <w:szCs w:val="21"/>
              </w:rPr>
            </w:pPr>
            <w:r>
              <w:rPr>
                <w:rFonts w:hint="eastAsia"/>
                <w:color w:val="auto"/>
                <w:szCs w:val="21"/>
              </w:rPr>
              <w:t>本项目环保措施及投资详见下表。</w:t>
            </w:r>
          </w:p>
          <w:p>
            <w:pPr>
              <w:spacing w:before="194" w:beforeLines="50"/>
              <w:jc w:val="center"/>
              <w:outlineLvl w:val="5"/>
              <w:rPr>
                <w:rFonts w:hint="eastAsia"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表4-41项目环保措施及投资一览表</w:t>
            </w:r>
          </w:p>
          <w:tbl>
            <w:tblPr>
              <w:tblStyle w:val="1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497"/>
              <w:gridCol w:w="706"/>
              <w:gridCol w:w="6024"/>
              <w:gridCol w:w="11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blHeader/>
                <w:jc w:val="center"/>
              </w:trPr>
              <w:tc>
                <w:tcPr>
                  <w:tcW w:w="295" w:type="pct"/>
                  <w:vAlign w:val="center"/>
                </w:tcPr>
                <w:p>
                  <w:pPr>
                    <w:pStyle w:val="31"/>
                    <w:adjustRightInd w:val="0"/>
                    <w:snapToGrid w:val="0"/>
                    <w:ind w:left="0" w:leftChars="0" w:right="0" w:rightChars="0"/>
                    <w:textAlignment w:val="center"/>
                    <w:rPr>
                      <w:b/>
                      <w:color w:val="auto"/>
                      <w:sz w:val="18"/>
                      <w:szCs w:val="18"/>
                    </w:rPr>
                  </w:pPr>
                  <w:r>
                    <w:rPr>
                      <w:b/>
                      <w:color w:val="auto"/>
                      <w:sz w:val="18"/>
                      <w:szCs w:val="18"/>
                    </w:rPr>
                    <w:t>序号</w:t>
                  </w:r>
                </w:p>
              </w:tc>
              <w:tc>
                <w:tcPr>
                  <w:tcW w:w="419" w:type="pct"/>
                  <w:vAlign w:val="center"/>
                </w:tcPr>
                <w:p>
                  <w:pPr>
                    <w:pStyle w:val="31"/>
                    <w:adjustRightInd w:val="0"/>
                    <w:snapToGrid w:val="0"/>
                    <w:ind w:left="0" w:leftChars="0" w:right="0" w:rightChars="0"/>
                    <w:textAlignment w:val="center"/>
                    <w:rPr>
                      <w:b/>
                      <w:color w:val="auto"/>
                      <w:sz w:val="18"/>
                      <w:szCs w:val="18"/>
                    </w:rPr>
                  </w:pPr>
                  <w:r>
                    <w:rPr>
                      <w:rFonts w:hint="eastAsia"/>
                      <w:b/>
                      <w:color w:val="auto"/>
                      <w:sz w:val="18"/>
                      <w:szCs w:val="18"/>
                    </w:rPr>
                    <w:t>类别</w:t>
                  </w:r>
                </w:p>
              </w:tc>
              <w:tc>
                <w:tcPr>
                  <w:tcW w:w="3574" w:type="pct"/>
                  <w:vAlign w:val="center"/>
                </w:tcPr>
                <w:p>
                  <w:pPr>
                    <w:pStyle w:val="31"/>
                    <w:adjustRightInd w:val="0"/>
                    <w:snapToGrid w:val="0"/>
                    <w:ind w:left="0" w:leftChars="0" w:right="0" w:rightChars="0"/>
                    <w:textAlignment w:val="center"/>
                    <w:rPr>
                      <w:b/>
                      <w:color w:val="auto"/>
                      <w:sz w:val="18"/>
                      <w:szCs w:val="18"/>
                    </w:rPr>
                  </w:pPr>
                  <w:r>
                    <w:rPr>
                      <w:b/>
                      <w:color w:val="auto"/>
                      <w:sz w:val="18"/>
                      <w:szCs w:val="18"/>
                    </w:rPr>
                    <w:t>防治措施</w:t>
                  </w:r>
                </w:p>
              </w:tc>
              <w:tc>
                <w:tcPr>
                  <w:tcW w:w="710" w:type="pct"/>
                  <w:vAlign w:val="center"/>
                </w:tcPr>
                <w:p>
                  <w:pPr>
                    <w:pStyle w:val="31"/>
                    <w:adjustRightInd w:val="0"/>
                    <w:snapToGrid w:val="0"/>
                    <w:ind w:left="0" w:leftChars="0" w:right="0" w:rightChars="0"/>
                    <w:textAlignment w:val="center"/>
                    <w:rPr>
                      <w:b/>
                      <w:color w:val="auto"/>
                      <w:sz w:val="18"/>
                      <w:szCs w:val="18"/>
                    </w:rPr>
                  </w:pPr>
                  <w:r>
                    <w:rPr>
                      <w:b/>
                      <w:color w:val="auto"/>
                      <w:sz w:val="18"/>
                      <w:szCs w:val="18"/>
                    </w:rPr>
                    <w:t>投资估算</w:t>
                  </w:r>
                </w:p>
                <w:p>
                  <w:pPr>
                    <w:pStyle w:val="31"/>
                    <w:adjustRightInd w:val="0"/>
                    <w:snapToGrid w:val="0"/>
                    <w:ind w:left="0" w:leftChars="0" w:right="0" w:rightChars="0"/>
                    <w:textAlignment w:val="center"/>
                    <w:rPr>
                      <w:b/>
                      <w:color w:val="auto"/>
                      <w:sz w:val="18"/>
                      <w:szCs w:val="18"/>
                    </w:rPr>
                  </w:pPr>
                  <w:r>
                    <w:rPr>
                      <w:b/>
                      <w:color w:val="auto"/>
                      <w:sz w:val="18"/>
                      <w:szCs w:val="18"/>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295" w:type="pct"/>
                  <w:vAlign w:val="center"/>
                </w:tcPr>
                <w:p>
                  <w:pPr>
                    <w:pStyle w:val="31"/>
                    <w:adjustRightInd w:val="0"/>
                    <w:snapToGrid w:val="0"/>
                    <w:ind w:left="0" w:leftChars="0" w:right="0" w:rightChars="0"/>
                    <w:textAlignment w:val="center"/>
                    <w:rPr>
                      <w:color w:val="auto"/>
                      <w:sz w:val="18"/>
                      <w:szCs w:val="18"/>
                    </w:rPr>
                  </w:pPr>
                  <w:r>
                    <w:rPr>
                      <w:rFonts w:hint="eastAsia"/>
                      <w:color w:val="auto"/>
                      <w:sz w:val="18"/>
                      <w:szCs w:val="18"/>
                    </w:rPr>
                    <w:t>1</w:t>
                  </w:r>
                </w:p>
              </w:tc>
              <w:tc>
                <w:tcPr>
                  <w:tcW w:w="419" w:type="pct"/>
                  <w:vAlign w:val="center"/>
                </w:tcPr>
                <w:p>
                  <w:pPr>
                    <w:adjustRightInd w:val="0"/>
                    <w:snapToGrid w:val="0"/>
                    <w:jc w:val="center"/>
                    <w:textAlignment w:val="center"/>
                    <w:rPr>
                      <w:color w:val="auto"/>
                      <w:sz w:val="18"/>
                      <w:szCs w:val="18"/>
                    </w:rPr>
                  </w:pPr>
                  <w:r>
                    <w:rPr>
                      <w:rFonts w:hint="eastAsia"/>
                      <w:color w:val="auto"/>
                      <w:sz w:val="18"/>
                      <w:szCs w:val="18"/>
                    </w:rPr>
                    <w:t>废气治理</w:t>
                  </w:r>
                </w:p>
              </w:tc>
              <w:tc>
                <w:tcPr>
                  <w:tcW w:w="3574" w:type="pct"/>
                  <w:vAlign w:val="center"/>
                </w:tcPr>
                <w:p>
                  <w:pPr>
                    <w:adjustRightInd w:val="0"/>
                    <w:snapToGrid w:val="0"/>
                    <w:jc w:val="center"/>
                    <w:rPr>
                      <w:color w:val="auto"/>
                      <w:sz w:val="18"/>
                      <w:szCs w:val="18"/>
                    </w:rPr>
                  </w:pPr>
                  <w:r>
                    <w:rPr>
                      <w:rFonts w:hint="eastAsia"/>
                      <w:color w:val="auto"/>
                      <w:sz w:val="18"/>
                      <w:szCs w:val="18"/>
                    </w:rPr>
                    <w:t>二级冷凝（1套）+一级循环水喷淋（1套）+活性炭吸附+</w:t>
                  </w:r>
                  <w:r>
                    <w:rPr>
                      <w:color w:val="auto"/>
                      <w:sz w:val="18"/>
                      <w:szCs w:val="18"/>
                    </w:rPr>
                    <w:t>15</w:t>
                  </w:r>
                  <w:r>
                    <w:rPr>
                      <w:rFonts w:hint="eastAsia"/>
                      <w:color w:val="auto"/>
                      <w:sz w:val="18"/>
                      <w:szCs w:val="18"/>
                    </w:rPr>
                    <w:t>m高排气筒（</w:t>
                  </w:r>
                  <w:r>
                    <w:rPr>
                      <w:rFonts w:hint="eastAsia"/>
                      <w:color w:val="auto"/>
                      <w:sz w:val="18"/>
                      <w:szCs w:val="18"/>
                      <w:lang w:val="en-US" w:eastAsia="zh-CN"/>
                    </w:rPr>
                    <w:t>DA013</w:t>
                  </w:r>
                  <w:r>
                    <w:rPr>
                      <w:rFonts w:hint="eastAsia"/>
                      <w:color w:val="auto"/>
                      <w:sz w:val="18"/>
                      <w:szCs w:val="18"/>
                    </w:rPr>
                    <w:t>）</w:t>
                  </w:r>
                </w:p>
              </w:tc>
              <w:tc>
                <w:tcPr>
                  <w:tcW w:w="710" w:type="pct"/>
                  <w:vAlign w:val="center"/>
                </w:tcPr>
                <w:p>
                  <w:pPr>
                    <w:pStyle w:val="10"/>
                    <w:adjustRightInd w:val="0"/>
                    <w:snapToGrid w:val="0"/>
                    <w:jc w:val="center"/>
                    <w:textAlignment w:val="center"/>
                    <w:rPr>
                      <w:rFonts w:ascii="Times New Roman" w:hAnsi="Times New Roman"/>
                      <w:color w:val="auto"/>
                      <w:sz w:val="18"/>
                      <w:szCs w:val="18"/>
                    </w:rPr>
                  </w:pPr>
                  <w:r>
                    <w:rPr>
                      <w:rFonts w:hint="eastAsia" w:ascii="Times New Roman" w:hAnsi="Times New Roman"/>
                      <w:color w:val="auto"/>
                      <w:sz w:val="18"/>
                      <w:szCs w:val="18"/>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295" w:type="pct"/>
                  <w:vAlign w:val="center"/>
                </w:tcPr>
                <w:p>
                  <w:pPr>
                    <w:pStyle w:val="31"/>
                    <w:adjustRightInd w:val="0"/>
                    <w:snapToGrid w:val="0"/>
                    <w:ind w:left="0" w:leftChars="0" w:right="0" w:rightChars="0"/>
                    <w:textAlignment w:val="center"/>
                    <w:rPr>
                      <w:color w:val="auto"/>
                      <w:sz w:val="18"/>
                      <w:szCs w:val="18"/>
                    </w:rPr>
                  </w:pPr>
                  <w:r>
                    <w:rPr>
                      <w:rFonts w:hint="eastAsia"/>
                      <w:color w:val="auto"/>
                      <w:sz w:val="18"/>
                      <w:szCs w:val="18"/>
                    </w:rPr>
                    <w:t>2</w:t>
                  </w:r>
                </w:p>
              </w:tc>
              <w:tc>
                <w:tcPr>
                  <w:tcW w:w="419" w:type="pct"/>
                  <w:shd w:val="clear" w:color="auto" w:fill="auto"/>
                  <w:vAlign w:val="center"/>
                </w:tcPr>
                <w:p>
                  <w:pPr>
                    <w:adjustRightInd w:val="0"/>
                    <w:snapToGrid w:val="0"/>
                    <w:jc w:val="center"/>
                    <w:textAlignment w:val="center"/>
                    <w:rPr>
                      <w:color w:val="auto"/>
                      <w:kern w:val="0"/>
                      <w:sz w:val="18"/>
                      <w:szCs w:val="18"/>
                    </w:rPr>
                  </w:pPr>
                  <w:r>
                    <w:rPr>
                      <w:color w:val="auto"/>
                      <w:sz w:val="18"/>
                      <w:szCs w:val="18"/>
                    </w:rPr>
                    <w:t>噪声</w:t>
                  </w:r>
                  <w:r>
                    <w:rPr>
                      <w:rFonts w:hint="eastAsia"/>
                      <w:color w:val="auto"/>
                      <w:sz w:val="18"/>
                      <w:szCs w:val="18"/>
                    </w:rPr>
                    <w:t>控制</w:t>
                  </w:r>
                </w:p>
              </w:tc>
              <w:tc>
                <w:tcPr>
                  <w:tcW w:w="3574" w:type="pct"/>
                  <w:shd w:val="clear" w:color="auto" w:fill="auto"/>
                  <w:vAlign w:val="center"/>
                </w:tcPr>
                <w:p>
                  <w:pPr>
                    <w:adjustRightInd w:val="0"/>
                    <w:snapToGrid w:val="0"/>
                    <w:jc w:val="center"/>
                    <w:rPr>
                      <w:color w:val="auto"/>
                      <w:kern w:val="0"/>
                      <w:sz w:val="18"/>
                      <w:szCs w:val="18"/>
                    </w:rPr>
                  </w:pPr>
                  <w:r>
                    <w:rPr>
                      <w:color w:val="auto"/>
                      <w:kern w:val="0"/>
                      <w:sz w:val="18"/>
                      <w:szCs w:val="18"/>
                    </w:rPr>
                    <w:t>消声器、隔声、减振</w:t>
                  </w:r>
                </w:p>
              </w:tc>
              <w:tc>
                <w:tcPr>
                  <w:tcW w:w="710" w:type="pct"/>
                  <w:shd w:val="clear" w:color="auto" w:fill="auto"/>
                  <w:vAlign w:val="center"/>
                </w:tcPr>
                <w:p>
                  <w:pPr>
                    <w:pStyle w:val="10"/>
                    <w:adjustRightInd w:val="0"/>
                    <w:snapToGrid w:val="0"/>
                    <w:jc w:val="center"/>
                    <w:textAlignment w:val="center"/>
                    <w:rPr>
                      <w:rFonts w:ascii="Times New Roman" w:hAnsi="Times New Roman"/>
                      <w:color w:val="auto"/>
                      <w:sz w:val="18"/>
                      <w:szCs w:val="18"/>
                    </w:rPr>
                  </w:pPr>
                  <w:r>
                    <w:rPr>
                      <w:rFonts w:hint="eastAsia" w:ascii="Times New Roman" w:hAnsi="Times New Roman"/>
                      <w:color w:val="auto"/>
                      <w:sz w:val="18"/>
                      <w:szCs w:val="1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295" w:type="pct"/>
                  <w:vAlign w:val="center"/>
                </w:tcPr>
                <w:p>
                  <w:pPr>
                    <w:pStyle w:val="31"/>
                    <w:adjustRightInd w:val="0"/>
                    <w:snapToGrid w:val="0"/>
                    <w:ind w:left="0" w:leftChars="0" w:right="0" w:rightChars="0"/>
                    <w:textAlignment w:val="center"/>
                    <w:rPr>
                      <w:color w:val="auto"/>
                      <w:sz w:val="18"/>
                      <w:szCs w:val="18"/>
                    </w:rPr>
                  </w:pPr>
                  <w:r>
                    <w:rPr>
                      <w:rFonts w:hint="eastAsia"/>
                      <w:color w:val="auto"/>
                      <w:sz w:val="18"/>
                      <w:szCs w:val="18"/>
                    </w:rPr>
                    <w:t>3</w:t>
                  </w:r>
                </w:p>
              </w:tc>
              <w:tc>
                <w:tcPr>
                  <w:tcW w:w="419" w:type="pct"/>
                  <w:shd w:val="clear" w:color="auto" w:fill="auto"/>
                  <w:vAlign w:val="center"/>
                </w:tcPr>
                <w:p>
                  <w:pPr>
                    <w:pStyle w:val="27"/>
                    <w:snapToGrid w:val="0"/>
                    <w:spacing w:line="240" w:lineRule="auto"/>
                    <w:rPr>
                      <w:color w:val="auto"/>
                      <w:sz w:val="18"/>
                      <w:szCs w:val="18"/>
                    </w:rPr>
                  </w:pPr>
                  <w:r>
                    <w:rPr>
                      <w:color w:val="auto"/>
                      <w:sz w:val="18"/>
                      <w:szCs w:val="18"/>
                    </w:rPr>
                    <w:t>环境风险</w:t>
                  </w:r>
                </w:p>
              </w:tc>
              <w:tc>
                <w:tcPr>
                  <w:tcW w:w="3574" w:type="pct"/>
                  <w:shd w:val="clear" w:color="auto" w:fill="auto"/>
                  <w:vAlign w:val="center"/>
                </w:tcPr>
                <w:p>
                  <w:pPr>
                    <w:pStyle w:val="27"/>
                    <w:snapToGrid w:val="0"/>
                    <w:spacing w:line="240" w:lineRule="auto"/>
                    <w:rPr>
                      <w:color w:val="auto"/>
                      <w:sz w:val="18"/>
                      <w:szCs w:val="18"/>
                    </w:rPr>
                  </w:pPr>
                  <w:r>
                    <w:rPr>
                      <w:rFonts w:hint="eastAsia"/>
                      <w:color w:val="auto"/>
                      <w:sz w:val="18"/>
                      <w:szCs w:val="18"/>
                    </w:rPr>
                    <w:t>事故池（依托现有），配备灭火器，健全安全管理制度</w:t>
                  </w:r>
                </w:p>
              </w:tc>
              <w:tc>
                <w:tcPr>
                  <w:tcW w:w="710" w:type="pct"/>
                  <w:shd w:val="clear" w:color="auto" w:fill="auto"/>
                  <w:vAlign w:val="center"/>
                </w:tcPr>
                <w:p>
                  <w:pPr>
                    <w:pStyle w:val="27"/>
                    <w:snapToGrid w:val="0"/>
                    <w:spacing w:line="240" w:lineRule="auto"/>
                    <w:rPr>
                      <w:color w:val="auto"/>
                      <w:sz w:val="18"/>
                      <w:szCs w:val="18"/>
                    </w:rPr>
                  </w:pPr>
                  <w:r>
                    <w:rPr>
                      <w:rFonts w:hint="eastAsia"/>
                      <w:color w:val="auto"/>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295" w:type="pct"/>
                  <w:vAlign w:val="center"/>
                </w:tcPr>
                <w:p>
                  <w:pPr>
                    <w:pStyle w:val="31"/>
                    <w:adjustRightInd w:val="0"/>
                    <w:snapToGrid w:val="0"/>
                    <w:ind w:left="0" w:leftChars="0" w:right="0" w:rightChars="0"/>
                    <w:textAlignment w:val="center"/>
                    <w:rPr>
                      <w:color w:val="auto"/>
                      <w:sz w:val="18"/>
                      <w:szCs w:val="18"/>
                    </w:rPr>
                  </w:pPr>
                  <w:r>
                    <w:rPr>
                      <w:rFonts w:hint="eastAsia"/>
                      <w:color w:val="auto"/>
                      <w:sz w:val="18"/>
                      <w:szCs w:val="18"/>
                    </w:rPr>
                    <w:t>4</w:t>
                  </w:r>
                </w:p>
              </w:tc>
              <w:tc>
                <w:tcPr>
                  <w:tcW w:w="419" w:type="pct"/>
                  <w:shd w:val="clear" w:color="auto" w:fill="auto"/>
                  <w:vAlign w:val="center"/>
                </w:tcPr>
                <w:p>
                  <w:pPr>
                    <w:adjustRightInd w:val="0"/>
                    <w:snapToGrid w:val="0"/>
                    <w:jc w:val="center"/>
                    <w:rPr>
                      <w:color w:val="auto"/>
                      <w:sz w:val="18"/>
                      <w:szCs w:val="18"/>
                    </w:rPr>
                  </w:pPr>
                  <w:r>
                    <w:rPr>
                      <w:rFonts w:hint="eastAsia"/>
                      <w:color w:val="auto"/>
                      <w:sz w:val="18"/>
                      <w:szCs w:val="18"/>
                    </w:rPr>
                    <w:t>其他</w:t>
                  </w:r>
                </w:p>
              </w:tc>
              <w:tc>
                <w:tcPr>
                  <w:tcW w:w="3574" w:type="pct"/>
                  <w:shd w:val="clear" w:color="auto" w:fill="auto"/>
                  <w:vAlign w:val="center"/>
                </w:tcPr>
                <w:p>
                  <w:pPr>
                    <w:adjustRightInd w:val="0"/>
                    <w:snapToGrid w:val="0"/>
                    <w:jc w:val="center"/>
                    <w:rPr>
                      <w:color w:val="auto"/>
                      <w:sz w:val="18"/>
                      <w:szCs w:val="18"/>
                    </w:rPr>
                  </w:pPr>
                  <w:r>
                    <w:rPr>
                      <w:rFonts w:hint="eastAsia"/>
                      <w:color w:val="auto"/>
                      <w:sz w:val="18"/>
                      <w:szCs w:val="18"/>
                    </w:rPr>
                    <w:t>排污口规范化建设、</w:t>
                  </w:r>
                  <w:r>
                    <w:rPr>
                      <w:color w:val="auto"/>
                      <w:sz w:val="18"/>
                      <w:szCs w:val="18"/>
                    </w:rPr>
                    <w:t>环境监测、验收等</w:t>
                  </w:r>
                </w:p>
              </w:tc>
              <w:tc>
                <w:tcPr>
                  <w:tcW w:w="710" w:type="pct"/>
                  <w:shd w:val="clear" w:color="auto" w:fill="auto"/>
                  <w:vAlign w:val="center"/>
                </w:tcPr>
                <w:p>
                  <w:pPr>
                    <w:pStyle w:val="10"/>
                    <w:adjustRightInd w:val="0"/>
                    <w:snapToGrid w:val="0"/>
                    <w:jc w:val="center"/>
                    <w:textAlignment w:val="center"/>
                    <w:rPr>
                      <w:rFonts w:ascii="Times New Roman" w:hAnsi="Times New Roman"/>
                      <w:color w:val="auto"/>
                      <w:sz w:val="18"/>
                      <w:szCs w:val="18"/>
                    </w:rPr>
                  </w:pPr>
                  <w:r>
                    <w:rPr>
                      <w:rFonts w:ascii="Times New Roman" w:hAnsi="Times New Roman"/>
                      <w:color w:val="auto"/>
                      <w:sz w:val="18"/>
                      <w:szCs w:val="1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4289" w:type="pct"/>
                  <w:gridSpan w:val="3"/>
                  <w:vAlign w:val="center"/>
                </w:tcPr>
                <w:p>
                  <w:pPr>
                    <w:pStyle w:val="31"/>
                    <w:adjustRightInd w:val="0"/>
                    <w:snapToGrid w:val="0"/>
                    <w:ind w:left="0" w:leftChars="0" w:right="0" w:rightChars="0"/>
                    <w:textAlignment w:val="center"/>
                    <w:rPr>
                      <w:b/>
                      <w:color w:val="auto"/>
                      <w:sz w:val="18"/>
                      <w:szCs w:val="18"/>
                    </w:rPr>
                  </w:pPr>
                  <w:r>
                    <w:rPr>
                      <w:b/>
                      <w:color w:val="auto"/>
                      <w:sz w:val="18"/>
                      <w:szCs w:val="18"/>
                    </w:rPr>
                    <w:t>合计</w:t>
                  </w:r>
                </w:p>
              </w:tc>
              <w:tc>
                <w:tcPr>
                  <w:tcW w:w="710" w:type="pct"/>
                  <w:vAlign w:val="center"/>
                </w:tcPr>
                <w:p>
                  <w:pPr>
                    <w:pStyle w:val="31"/>
                    <w:adjustRightInd w:val="0"/>
                    <w:snapToGrid w:val="0"/>
                    <w:ind w:left="0" w:leftChars="0" w:right="0" w:rightChars="0"/>
                    <w:textAlignment w:val="center"/>
                    <w:rPr>
                      <w:b/>
                      <w:color w:val="auto"/>
                      <w:sz w:val="18"/>
                      <w:szCs w:val="18"/>
                    </w:rPr>
                  </w:pPr>
                  <w:r>
                    <w:rPr>
                      <w:rFonts w:hint="eastAsia"/>
                      <w:b/>
                      <w:color w:val="auto"/>
                      <w:sz w:val="18"/>
                      <w:szCs w:val="18"/>
                    </w:rPr>
                    <w:t>71</w:t>
                  </w:r>
                </w:p>
              </w:tc>
            </w:tr>
          </w:tbl>
          <w:p>
            <w:pPr>
              <w:keepNext w:val="0"/>
              <w:keepLines w:val="0"/>
              <w:pageBreakBefore w:val="0"/>
              <w:widowControl/>
              <w:kinsoku/>
              <w:wordWrap/>
              <w:overflowPunct/>
              <w:topLinePunct w:val="0"/>
              <w:autoSpaceDE/>
              <w:autoSpaceDN/>
              <w:bidi w:val="0"/>
              <w:adjustRightInd w:val="0"/>
              <w:snapToGrid w:val="0"/>
              <w:spacing w:before="156" w:beforeLines="50" w:line="312" w:lineRule="auto"/>
              <w:textAlignment w:val="auto"/>
              <w:outlineLvl w:val="2"/>
              <w:rPr>
                <w:rFonts w:hint="eastAsia"/>
                <w:b/>
                <w:color w:val="auto"/>
                <w:szCs w:val="21"/>
                <w:lang w:val="en-US" w:eastAsia="zh-CN"/>
              </w:rPr>
            </w:pPr>
            <w:r>
              <w:rPr>
                <w:b/>
                <w:color w:val="auto"/>
                <w:szCs w:val="21"/>
              </w:rPr>
              <w:t>4.2.</w:t>
            </w:r>
            <w:r>
              <w:rPr>
                <w:rFonts w:hint="eastAsia"/>
                <w:b/>
                <w:color w:val="auto"/>
                <w:szCs w:val="21"/>
                <w:lang w:val="en-US" w:eastAsia="zh-CN"/>
              </w:rPr>
              <w:t>9本次扩建工程污染源汇总</w:t>
            </w:r>
          </w:p>
          <w:p>
            <w:pPr>
              <w:keepNext w:val="0"/>
              <w:keepLines w:val="0"/>
              <w:pageBreakBefore w:val="0"/>
              <w:widowControl/>
              <w:kinsoku/>
              <w:wordWrap/>
              <w:overflowPunct/>
              <w:topLinePunct w:val="0"/>
              <w:autoSpaceDE/>
              <w:autoSpaceDN/>
              <w:bidi w:val="0"/>
              <w:spacing w:line="312" w:lineRule="auto"/>
              <w:ind w:firstLine="420" w:firstLineChars="200"/>
              <w:textAlignment w:val="auto"/>
              <w:rPr>
                <w:color w:val="auto"/>
                <w:szCs w:val="21"/>
              </w:rPr>
            </w:pPr>
            <w:r>
              <w:rPr>
                <w:rFonts w:hint="eastAsia"/>
                <w:color w:val="auto"/>
                <w:szCs w:val="21"/>
                <w:lang w:val="en-US" w:eastAsia="zh-CN"/>
              </w:rPr>
              <w:t>本次扩建工程污染源汇总</w:t>
            </w:r>
            <w:r>
              <w:rPr>
                <w:rFonts w:hint="eastAsia"/>
                <w:color w:val="auto"/>
                <w:szCs w:val="21"/>
              </w:rPr>
              <w:t>详见下表。</w:t>
            </w:r>
          </w:p>
          <w:p>
            <w:pPr>
              <w:spacing w:before="194" w:beforeLines="50"/>
              <w:jc w:val="center"/>
              <w:outlineLvl w:val="5"/>
              <w:rPr>
                <w:rFonts w:hint="default"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表4-42本次扩建工程污染源汇总表</w:t>
            </w:r>
          </w:p>
          <w:tbl>
            <w:tblPr>
              <w:tblStyle w:val="2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8"/>
              <w:gridCol w:w="1446"/>
              <w:gridCol w:w="2873"/>
              <w:gridCol w:w="1972"/>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314" w:type="pct"/>
                  <w:gridSpan w:val="2"/>
                  <w:tcBorders>
                    <w:tl2br w:val="single" w:color="auto" w:sz="4" w:space="0"/>
                  </w:tcBorders>
                  <w:vAlign w:val="center"/>
                </w:tcPr>
                <w:p>
                  <w:pPr>
                    <w:pStyle w:val="44"/>
                    <w:spacing w:beforeLines="0" w:afterLines="0" w:line="240" w:lineRule="auto"/>
                    <w:jc w:val="right"/>
                    <w:rPr>
                      <w:rFonts w:ascii="Times New Roman"/>
                      <w:b/>
                      <w:bCs/>
                      <w:snapToGrid w:val="0"/>
                      <w:color w:val="auto"/>
                      <w:kern w:val="21"/>
                      <w:sz w:val="18"/>
                      <w:szCs w:val="18"/>
                    </w:rPr>
                  </w:pPr>
                  <w:r>
                    <w:rPr>
                      <w:rFonts w:ascii="Times New Roman"/>
                      <w:b/>
                      <w:bCs/>
                      <w:snapToGrid w:val="0"/>
                      <w:color w:val="auto"/>
                      <w:kern w:val="21"/>
                      <w:sz w:val="18"/>
                      <w:szCs w:val="18"/>
                    </w:rPr>
                    <w:t>项目</w:t>
                  </w:r>
                </w:p>
                <w:p>
                  <w:pPr>
                    <w:pStyle w:val="44"/>
                    <w:spacing w:beforeLines="0" w:afterLines="0" w:line="240" w:lineRule="auto"/>
                    <w:jc w:val="left"/>
                    <w:rPr>
                      <w:rFonts w:hint="eastAsia" w:eastAsia="宋体"/>
                      <w:b/>
                      <w:bCs/>
                      <w:color w:val="auto"/>
                      <w:sz w:val="18"/>
                      <w:szCs w:val="18"/>
                      <w:vertAlign w:val="baseline"/>
                      <w:lang w:val="en-US" w:eastAsia="zh-CN"/>
                    </w:rPr>
                  </w:pPr>
                  <w:r>
                    <w:rPr>
                      <w:rFonts w:ascii="Times New Roman"/>
                      <w:b/>
                      <w:bCs/>
                      <w:snapToGrid w:val="0"/>
                      <w:color w:val="auto"/>
                      <w:kern w:val="21"/>
                      <w:sz w:val="18"/>
                      <w:szCs w:val="18"/>
                    </w:rPr>
                    <w:t>分类</w:t>
                  </w:r>
                </w:p>
              </w:tc>
              <w:tc>
                <w:tcPr>
                  <w:tcW w:w="1705" w:type="pct"/>
                  <w:vAlign w:val="center"/>
                </w:tcPr>
                <w:p>
                  <w:pPr>
                    <w:pStyle w:val="44"/>
                    <w:spacing w:beforeLines="0" w:afterLines="0" w:line="240" w:lineRule="auto"/>
                    <w:jc w:val="center"/>
                    <w:rPr>
                      <w:b/>
                      <w:bCs/>
                      <w:color w:val="auto"/>
                      <w:sz w:val="18"/>
                      <w:szCs w:val="18"/>
                      <w:vertAlign w:val="baseline"/>
                    </w:rPr>
                  </w:pPr>
                  <w:r>
                    <w:rPr>
                      <w:rFonts w:ascii="Times New Roman"/>
                      <w:b/>
                      <w:bCs/>
                      <w:snapToGrid w:val="0"/>
                      <w:color w:val="auto"/>
                      <w:kern w:val="21"/>
                      <w:sz w:val="18"/>
                      <w:szCs w:val="18"/>
                    </w:rPr>
                    <w:t>污染物名称</w:t>
                  </w:r>
                </w:p>
              </w:tc>
              <w:tc>
                <w:tcPr>
                  <w:tcW w:w="1979" w:type="pct"/>
                  <w:gridSpan w:val="2"/>
                  <w:vAlign w:val="center"/>
                </w:tcPr>
                <w:p>
                  <w:pPr>
                    <w:jc w:val="center"/>
                    <w:rPr>
                      <w:rFonts w:hint="default" w:eastAsia="宋体"/>
                      <w:b/>
                      <w:bCs/>
                      <w:color w:val="auto"/>
                      <w:sz w:val="18"/>
                      <w:szCs w:val="18"/>
                      <w:vertAlign w:val="baseline"/>
                      <w:lang w:val="en-US" w:eastAsia="zh-CN"/>
                    </w:rPr>
                  </w:pPr>
                  <w:r>
                    <w:rPr>
                      <w:rFonts w:hint="eastAsia"/>
                      <w:b/>
                      <w:bCs/>
                      <w:color w:val="auto"/>
                      <w:sz w:val="18"/>
                      <w:szCs w:val="18"/>
                      <w:vertAlign w:val="baseline"/>
                      <w:lang w:val="en-US" w:eastAsia="zh-CN"/>
                    </w:rPr>
                    <w:t>本次扩建工程排放量（t/a）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1314" w:type="pct"/>
                  <w:gridSpan w:val="2"/>
                  <w:vMerge w:val="restart"/>
                  <w:vAlign w:val="center"/>
                </w:tcPr>
                <w:p>
                  <w:pPr>
                    <w:jc w:val="center"/>
                    <w:rPr>
                      <w:rFonts w:hint="eastAsia" w:eastAsia="宋体"/>
                      <w:b/>
                      <w:bCs/>
                      <w:color w:val="auto"/>
                      <w:sz w:val="18"/>
                      <w:szCs w:val="18"/>
                      <w:vertAlign w:val="baseline"/>
                      <w:lang w:val="en-US" w:eastAsia="zh-CN"/>
                    </w:rPr>
                  </w:pPr>
                  <w:r>
                    <w:rPr>
                      <w:rFonts w:hint="eastAsia"/>
                      <w:b/>
                      <w:bCs/>
                      <w:color w:val="auto"/>
                      <w:sz w:val="18"/>
                      <w:szCs w:val="18"/>
                      <w:vertAlign w:val="baseline"/>
                      <w:lang w:val="en-US" w:eastAsia="zh-CN"/>
                    </w:rPr>
                    <w:t>废气</w:t>
                  </w:r>
                </w:p>
              </w:tc>
              <w:tc>
                <w:tcPr>
                  <w:tcW w:w="1705" w:type="pct"/>
                  <w:vMerge w:val="restart"/>
                  <w:vAlign w:val="center"/>
                </w:tcPr>
                <w:p>
                  <w:pPr>
                    <w:jc w:val="center"/>
                    <w:rPr>
                      <w:rFonts w:hint="eastAsia" w:eastAsia="宋体"/>
                      <w:color w:val="auto"/>
                      <w:sz w:val="18"/>
                      <w:szCs w:val="18"/>
                      <w:vertAlign w:val="baseline"/>
                      <w:lang w:val="en-US" w:eastAsia="zh-CN"/>
                    </w:rPr>
                  </w:pPr>
                  <w:r>
                    <w:rPr>
                      <w:rFonts w:hint="eastAsia"/>
                      <w:color w:val="auto"/>
                      <w:sz w:val="18"/>
                      <w:szCs w:val="18"/>
                      <w:vertAlign w:val="baseline"/>
                      <w:lang w:val="en-US" w:eastAsia="zh-CN"/>
                    </w:rPr>
                    <w:t>非甲烷总烃</w:t>
                  </w:r>
                </w:p>
              </w:tc>
              <w:tc>
                <w:tcPr>
                  <w:tcW w:w="1170" w:type="pct"/>
                  <w:vAlign w:val="center"/>
                </w:tcPr>
                <w:p>
                  <w:pPr>
                    <w:jc w:val="center"/>
                    <w:rPr>
                      <w:rFonts w:hint="default" w:eastAsia="宋体"/>
                      <w:color w:val="auto"/>
                      <w:sz w:val="18"/>
                      <w:szCs w:val="18"/>
                      <w:vertAlign w:val="baseline"/>
                      <w:lang w:val="en-US" w:eastAsia="zh-CN"/>
                    </w:rPr>
                  </w:pPr>
                  <w:r>
                    <w:rPr>
                      <w:rFonts w:hint="eastAsia"/>
                      <w:color w:val="auto"/>
                      <w:sz w:val="18"/>
                      <w:szCs w:val="18"/>
                      <w:vertAlign w:val="baseline"/>
                      <w:lang w:val="en-US" w:eastAsia="zh-CN"/>
                    </w:rPr>
                    <w:t>有组织</w:t>
                  </w:r>
                </w:p>
              </w:tc>
              <w:tc>
                <w:tcPr>
                  <w:tcW w:w="809" w:type="pct"/>
                  <w:vAlign w:val="center"/>
                </w:tcPr>
                <w:p>
                  <w:pPr>
                    <w:jc w:val="center"/>
                    <w:rPr>
                      <w:rFonts w:hint="eastAsia" w:eastAsia="宋体"/>
                      <w:color w:val="auto"/>
                      <w:sz w:val="18"/>
                      <w:szCs w:val="18"/>
                      <w:vertAlign w:val="baseline"/>
                      <w:lang w:eastAsia="zh-CN"/>
                    </w:rPr>
                  </w:pPr>
                  <w:r>
                    <w:rPr>
                      <w:rFonts w:hint="eastAsia"/>
                      <w:color w:val="auto"/>
                      <w:sz w:val="18"/>
                      <w:szCs w:val="18"/>
                    </w:rPr>
                    <w:t>1.9</w:t>
                  </w:r>
                  <w:r>
                    <w:rPr>
                      <w:rFonts w:hint="eastAsia"/>
                      <w:color w:val="auto"/>
                      <w:sz w:val="18"/>
                      <w:szCs w:val="18"/>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1314" w:type="pct"/>
                  <w:gridSpan w:val="2"/>
                  <w:vMerge w:val="continue"/>
                  <w:vAlign w:val="center"/>
                </w:tcPr>
                <w:p>
                  <w:pPr>
                    <w:jc w:val="center"/>
                    <w:rPr>
                      <w:b/>
                      <w:bCs/>
                      <w:color w:val="auto"/>
                      <w:sz w:val="18"/>
                      <w:szCs w:val="18"/>
                    </w:rPr>
                  </w:pPr>
                </w:p>
              </w:tc>
              <w:tc>
                <w:tcPr>
                  <w:tcW w:w="1705" w:type="pct"/>
                  <w:vMerge w:val="continue"/>
                  <w:vAlign w:val="center"/>
                </w:tcPr>
                <w:p>
                  <w:pPr>
                    <w:jc w:val="center"/>
                    <w:rPr>
                      <w:color w:val="auto"/>
                      <w:sz w:val="18"/>
                      <w:szCs w:val="18"/>
                    </w:rPr>
                  </w:pPr>
                </w:p>
              </w:tc>
              <w:tc>
                <w:tcPr>
                  <w:tcW w:w="1170" w:type="pct"/>
                  <w:vAlign w:val="center"/>
                </w:tcPr>
                <w:p>
                  <w:pPr>
                    <w:jc w:val="center"/>
                    <w:rPr>
                      <w:rFonts w:hint="eastAsia" w:eastAsia="宋体"/>
                      <w:color w:val="auto"/>
                      <w:sz w:val="18"/>
                      <w:szCs w:val="18"/>
                      <w:lang w:val="en-US" w:eastAsia="zh-CN"/>
                    </w:rPr>
                  </w:pPr>
                  <w:r>
                    <w:rPr>
                      <w:rFonts w:hint="eastAsia"/>
                      <w:color w:val="auto"/>
                      <w:sz w:val="18"/>
                      <w:szCs w:val="18"/>
                      <w:lang w:val="en-US" w:eastAsia="zh-CN"/>
                    </w:rPr>
                    <w:t>无组织</w:t>
                  </w:r>
                </w:p>
              </w:tc>
              <w:tc>
                <w:tcPr>
                  <w:tcW w:w="809" w:type="pct"/>
                  <w:vAlign w:val="center"/>
                </w:tcPr>
                <w:p>
                  <w:pPr>
                    <w:jc w:val="center"/>
                    <w:rPr>
                      <w:color w:val="auto"/>
                      <w:sz w:val="18"/>
                      <w:szCs w:val="18"/>
                    </w:rPr>
                  </w:pPr>
                  <w:r>
                    <w:rPr>
                      <w:rFonts w:hint="eastAsia"/>
                      <w:color w:val="auto"/>
                      <w:sz w:val="18"/>
                      <w:szCs w:val="18"/>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14" w:type="pct"/>
                  <w:gridSpan w:val="2"/>
                  <w:vMerge w:val="continue"/>
                  <w:vAlign w:val="center"/>
                </w:tcPr>
                <w:p>
                  <w:pPr>
                    <w:jc w:val="center"/>
                    <w:rPr>
                      <w:b/>
                      <w:bCs/>
                      <w:color w:val="auto"/>
                      <w:sz w:val="18"/>
                      <w:szCs w:val="18"/>
                    </w:rPr>
                  </w:pPr>
                </w:p>
              </w:tc>
              <w:tc>
                <w:tcPr>
                  <w:tcW w:w="1705" w:type="pct"/>
                  <w:vMerge w:val="continue"/>
                  <w:vAlign w:val="center"/>
                </w:tcPr>
                <w:p>
                  <w:pPr>
                    <w:jc w:val="center"/>
                    <w:rPr>
                      <w:color w:val="auto"/>
                      <w:sz w:val="18"/>
                      <w:szCs w:val="18"/>
                    </w:rPr>
                  </w:pPr>
                </w:p>
              </w:tc>
              <w:tc>
                <w:tcPr>
                  <w:tcW w:w="1170" w:type="pct"/>
                  <w:vAlign w:val="center"/>
                </w:tcPr>
                <w:p>
                  <w:pPr>
                    <w:jc w:val="center"/>
                    <w:rPr>
                      <w:rFonts w:hint="eastAsia" w:eastAsia="宋体"/>
                      <w:color w:val="auto"/>
                      <w:sz w:val="18"/>
                      <w:szCs w:val="18"/>
                      <w:lang w:val="en-US" w:eastAsia="zh-CN"/>
                    </w:rPr>
                  </w:pPr>
                  <w:r>
                    <w:rPr>
                      <w:rFonts w:hint="eastAsia"/>
                      <w:color w:val="auto"/>
                      <w:sz w:val="18"/>
                      <w:szCs w:val="18"/>
                      <w:lang w:val="en-US" w:eastAsia="zh-CN"/>
                    </w:rPr>
                    <w:t>合计</w:t>
                  </w:r>
                </w:p>
              </w:tc>
              <w:tc>
                <w:tcPr>
                  <w:tcW w:w="809" w:type="pct"/>
                  <w:vAlign w:val="center"/>
                </w:tcPr>
                <w:p>
                  <w:pPr>
                    <w:jc w:val="center"/>
                    <w:rPr>
                      <w:rFonts w:hint="eastAsia" w:eastAsia="宋体"/>
                      <w:color w:val="auto"/>
                      <w:sz w:val="18"/>
                      <w:szCs w:val="18"/>
                      <w:lang w:eastAsia="zh-CN"/>
                    </w:rPr>
                  </w:pPr>
                  <w:r>
                    <w:rPr>
                      <w:rFonts w:hint="eastAsia"/>
                      <w:color w:val="auto"/>
                      <w:sz w:val="18"/>
                      <w:szCs w:val="18"/>
                    </w:rPr>
                    <w:t>7.5</w:t>
                  </w:r>
                  <w:r>
                    <w:rPr>
                      <w:rFonts w:hint="eastAsia"/>
                      <w:color w:val="auto"/>
                      <w:sz w:val="18"/>
                      <w:szCs w:val="18"/>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pct"/>
                  <w:gridSpan w:val="2"/>
                  <w:vMerge w:val="restart"/>
                  <w:vAlign w:val="center"/>
                </w:tcPr>
                <w:p>
                  <w:pPr>
                    <w:jc w:val="center"/>
                    <w:rPr>
                      <w:rFonts w:hint="eastAsia" w:eastAsia="宋体"/>
                      <w:b/>
                      <w:bCs/>
                      <w:color w:val="auto"/>
                      <w:sz w:val="18"/>
                      <w:szCs w:val="18"/>
                      <w:vertAlign w:val="baseline"/>
                      <w:lang w:val="en-US" w:eastAsia="zh-CN"/>
                    </w:rPr>
                  </w:pPr>
                  <w:r>
                    <w:rPr>
                      <w:rFonts w:hint="eastAsia"/>
                      <w:b/>
                      <w:bCs/>
                      <w:color w:val="auto"/>
                      <w:sz w:val="18"/>
                      <w:szCs w:val="18"/>
                      <w:vertAlign w:val="baseline"/>
                      <w:lang w:val="en-US" w:eastAsia="zh-CN"/>
                    </w:rPr>
                    <w:t>废水</w:t>
                  </w:r>
                </w:p>
              </w:tc>
              <w:tc>
                <w:tcPr>
                  <w:tcW w:w="1705" w:type="pct"/>
                  <w:vAlign w:val="center"/>
                </w:tcPr>
                <w:p>
                  <w:pPr>
                    <w:keepNext/>
                    <w:widowControl/>
                    <w:snapToGrid w:val="0"/>
                    <w:jc w:val="center"/>
                    <w:textAlignment w:val="center"/>
                    <w:rPr>
                      <w:color w:val="auto"/>
                      <w:sz w:val="18"/>
                      <w:szCs w:val="18"/>
                      <w:vertAlign w:val="baseline"/>
                    </w:rPr>
                  </w:pPr>
                  <w:r>
                    <w:rPr>
                      <w:rFonts w:hint="eastAsia" w:hAnsi="宋体" w:cs="宋体"/>
                      <w:color w:val="auto"/>
                      <w:kern w:val="0"/>
                      <w:sz w:val="18"/>
                      <w:szCs w:val="18"/>
                      <w:lang w:bidi="ar"/>
                    </w:rPr>
                    <w:t>废水量</w:t>
                  </w:r>
                </w:p>
              </w:tc>
              <w:tc>
                <w:tcPr>
                  <w:tcW w:w="1979" w:type="pct"/>
                  <w:gridSpan w:val="2"/>
                  <w:vAlign w:val="center"/>
                </w:tcPr>
                <w:p>
                  <w:pPr>
                    <w:keepNext w:val="0"/>
                    <w:keepLines w:val="0"/>
                    <w:widowControl/>
                    <w:suppressLineNumbers w:val="0"/>
                    <w:jc w:val="center"/>
                    <w:textAlignment w:val="center"/>
                    <w:rPr>
                      <w:color w:val="auto"/>
                      <w:sz w:val="18"/>
                      <w:szCs w:val="18"/>
                      <w:vertAlign w:val="baseline"/>
                    </w:rPr>
                  </w:pPr>
                  <w:r>
                    <w:rPr>
                      <w:rFonts w:hint="eastAsia" w:cs="Times New Roman"/>
                      <w:i w:val="0"/>
                      <w:iCs w:val="0"/>
                      <w:color w:val="auto"/>
                      <w:kern w:val="0"/>
                      <w:sz w:val="18"/>
                      <w:szCs w:val="18"/>
                      <w:u w:val="none"/>
                      <w:lang w:val="en-US" w:eastAsia="zh-CN" w:bidi="ar"/>
                    </w:rPr>
                    <w:t>293.97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pct"/>
                  <w:gridSpan w:val="2"/>
                  <w:vMerge w:val="continue"/>
                  <w:vAlign w:val="center"/>
                </w:tcPr>
                <w:p>
                  <w:pPr>
                    <w:jc w:val="center"/>
                    <w:rPr>
                      <w:rFonts w:hint="eastAsia"/>
                      <w:b/>
                      <w:bCs/>
                      <w:color w:val="auto"/>
                      <w:sz w:val="18"/>
                      <w:szCs w:val="18"/>
                      <w:vertAlign w:val="baseline"/>
                      <w:lang w:val="en-US" w:eastAsia="zh-CN"/>
                    </w:rPr>
                  </w:pPr>
                </w:p>
              </w:tc>
              <w:tc>
                <w:tcPr>
                  <w:tcW w:w="1705" w:type="pct"/>
                  <w:vAlign w:val="center"/>
                </w:tcPr>
                <w:p>
                  <w:pPr>
                    <w:keepNext/>
                    <w:widowControl/>
                    <w:snapToGrid w:val="0"/>
                    <w:jc w:val="center"/>
                    <w:textAlignment w:val="center"/>
                    <w:rPr>
                      <w:color w:val="auto"/>
                      <w:sz w:val="18"/>
                      <w:szCs w:val="18"/>
                      <w:vertAlign w:val="baseline"/>
                    </w:rPr>
                  </w:pPr>
                  <w:r>
                    <w:rPr>
                      <w:color w:val="auto"/>
                      <w:kern w:val="0"/>
                      <w:sz w:val="18"/>
                      <w:szCs w:val="18"/>
                      <w:lang w:bidi="ar"/>
                    </w:rPr>
                    <w:t>COD</w:t>
                  </w:r>
                </w:p>
              </w:tc>
              <w:tc>
                <w:tcPr>
                  <w:tcW w:w="1979" w:type="pct"/>
                  <w:gridSpan w:val="2"/>
                  <w:vAlign w:val="center"/>
                </w:tcPr>
                <w:p>
                  <w:pPr>
                    <w:keepNext w:val="0"/>
                    <w:keepLines w:val="0"/>
                    <w:widowControl/>
                    <w:suppressLineNumbers w:val="0"/>
                    <w:jc w:val="center"/>
                    <w:textAlignment w:val="center"/>
                    <w:rPr>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0.0147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pct"/>
                  <w:gridSpan w:val="2"/>
                  <w:vMerge w:val="continue"/>
                  <w:vAlign w:val="center"/>
                </w:tcPr>
                <w:p>
                  <w:pPr>
                    <w:jc w:val="center"/>
                    <w:rPr>
                      <w:rFonts w:hint="eastAsia"/>
                      <w:b/>
                      <w:bCs/>
                      <w:color w:val="auto"/>
                      <w:sz w:val="18"/>
                      <w:szCs w:val="18"/>
                      <w:vertAlign w:val="baseline"/>
                      <w:lang w:val="en-US" w:eastAsia="zh-CN"/>
                    </w:rPr>
                  </w:pPr>
                </w:p>
              </w:tc>
              <w:tc>
                <w:tcPr>
                  <w:tcW w:w="1705" w:type="pct"/>
                  <w:vAlign w:val="center"/>
                </w:tcPr>
                <w:p>
                  <w:pPr>
                    <w:keepNext/>
                    <w:widowControl/>
                    <w:snapToGrid w:val="0"/>
                    <w:jc w:val="center"/>
                    <w:textAlignment w:val="center"/>
                    <w:rPr>
                      <w:color w:val="auto"/>
                      <w:sz w:val="18"/>
                      <w:szCs w:val="18"/>
                      <w:vertAlign w:val="baseline"/>
                    </w:rPr>
                  </w:pPr>
                  <w:r>
                    <w:rPr>
                      <w:color w:val="auto"/>
                      <w:kern w:val="0"/>
                      <w:sz w:val="18"/>
                      <w:szCs w:val="18"/>
                      <w:lang w:bidi="ar"/>
                    </w:rPr>
                    <w:t>BOD</w:t>
                  </w:r>
                  <w:r>
                    <w:rPr>
                      <w:rStyle w:val="53"/>
                      <w:color w:val="auto"/>
                      <w:sz w:val="18"/>
                      <w:szCs w:val="18"/>
                      <w:lang w:bidi="ar"/>
                    </w:rPr>
                    <w:t>5</w:t>
                  </w:r>
                </w:p>
              </w:tc>
              <w:tc>
                <w:tcPr>
                  <w:tcW w:w="1979" w:type="pct"/>
                  <w:gridSpan w:val="2"/>
                  <w:vAlign w:val="center"/>
                </w:tcPr>
                <w:p>
                  <w:pPr>
                    <w:keepNext w:val="0"/>
                    <w:keepLines w:val="0"/>
                    <w:widowControl/>
                    <w:suppressLineNumbers w:val="0"/>
                    <w:jc w:val="center"/>
                    <w:textAlignment w:val="center"/>
                    <w:rPr>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0.0029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pct"/>
                  <w:gridSpan w:val="2"/>
                  <w:vMerge w:val="continue"/>
                  <w:vAlign w:val="center"/>
                </w:tcPr>
                <w:p>
                  <w:pPr>
                    <w:jc w:val="center"/>
                    <w:rPr>
                      <w:rFonts w:hint="eastAsia"/>
                      <w:b/>
                      <w:bCs/>
                      <w:color w:val="auto"/>
                      <w:sz w:val="18"/>
                      <w:szCs w:val="18"/>
                      <w:vertAlign w:val="baseline"/>
                      <w:lang w:val="en-US" w:eastAsia="zh-CN"/>
                    </w:rPr>
                  </w:pPr>
                </w:p>
              </w:tc>
              <w:tc>
                <w:tcPr>
                  <w:tcW w:w="1705" w:type="pct"/>
                  <w:vAlign w:val="center"/>
                </w:tcPr>
                <w:p>
                  <w:pPr>
                    <w:keepNext/>
                    <w:widowControl/>
                    <w:snapToGrid w:val="0"/>
                    <w:jc w:val="center"/>
                    <w:textAlignment w:val="center"/>
                    <w:rPr>
                      <w:color w:val="auto"/>
                      <w:sz w:val="18"/>
                      <w:szCs w:val="18"/>
                      <w:vertAlign w:val="baseline"/>
                    </w:rPr>
                  </w:pPr>
                  <w:r>
                    <w:rPr>
                      <w:color w:val="auto"/>
                      <w:kern w:val="0"/>
                      <w:sz w:val="18"/>
                      <w:szCs w:val="18"/>
                      <w:lang w:bidi="ar"/>
                    </w:rPr>
                    <w:t>SS</w:t>
                  </w:r>
                </w:p>
              </w:tc>
              <w:tc>
                <w:tcPr>
                  <w:tcW w:w="1979" w:type="pct"/>
                  <w:gridSpan w:val="2"/>
                  <w:vAlign w:val="center"/>
                </w:tcPr>
                <w:p>
                  <w:pPr>
                    <w:keepNext w:val="0"/>
                    <w:keepLines w:val="0"/>
                    <w:widowControl/>
                    <w:suppressLineNumbers w:val="0"/>
                    <w:jc w:val="center"/>
                    <w:textAlignment w:val="center"/>
                    <w:rPr>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0.0029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pct"/>
                  <w:gridSpan w:val="2"/>
                  <w:vMerge w:val="continue"/>
                  <w:vAlign w:val="center"/>
                </w:tcPr>
                <w:p>
                  <w:pPr>
                    <w:jc w:val="center"/>
                    <w:rPr>
                      <w:rFonts w:hint="eastAsia"/>
                      <w:b/>
                      <w:bCs/>
                      <w:color w:val="auto"/>
                      <w:sz w:val="18"/>
                      <w:szCs w:val="18"/>
                      <w:vertAlign w:val="baseline"/>
                      <w:lang w:val="en-US" w:eastAsia="zh-CN"/>
                    </w:rPr>
                  </w:pPr>
                </w:p>
              </w:tc>
              <w:tc>
                <w:tcPr>
                  <w:tcW w:w="1705" w:type="pct"/>
                  <w:vAlign w:val="center"/>
                </w:tcPr>
                <w:p>
                  <w:pPr>
                    <w:keepNext/>
                    <w:widowControl/>
                    <w:snapToGrid w:val="0"/>
                    <w:jc w:val="center"/>
                    <w:textAlignment w:val="center"/>
                    <w:rPr>
                      <w:color w:val="auto"/>
                      <w:sz w:val="18"/>
                      <w:szCs w:val="18"/>
                      <w:vertAlign w:val="baseline"/>
                    </w:rPr>
                  </w:pPr>
                  <w:r>
                    <w:rPr>
                      <w:rFonts w:hint="eastAsia" w:hAnsi="宋体" w:cs="宋体"/>
                      <w:color w:val="auto"/>
                      <w:kern w:val="0"/>
                      <w:sz w:val="18"/>
                      <w:szCs w:val="18"/>
                      <w:lang w:bidi="ar"/>
                    </w:rPr>
                    <w:t>氨氮</w:t>
                  </w:r>
                </w:p>
              </w:tc>
              <w:tc>
                <w:tcPr>
                  <w:tcW w:w="1979" w:type="pct"/>
                  <w:gridSpan w:val="2"/>
                  <w:vAlign w:val="center"/>
                </w:tcPr>
                <w:p>
                  <w:pPr>
                    <w:keepNext w:val="0"/>
                    <w:keepLines w:val="0"/>
                    <w:widowControl/>
                    <w:suppressLineNumbers w:val="0"/>
                    <w:jc w:val="center"/>
                    <w:textAlignment w:val="center"/>
                    <w:rPr>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0.0044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pct"/>
                  <w:vMerge w:val="restart"/>
                  <w:vAlign w:val="center"/>
                </w:tcPr>
                <w:p>
                  <w:pPr>
                    <w:jc w:val="center"/>
                    <w:rPr>
                      <w:rFonts w:hint="eastAsia" w:eastAsia="宋体"/>
                      <w:b/>
                      <w:bCs/>
                      <w:color w:val="auto"/>
                      <w:sz w:val="18"/>
                      <w:szCs w:val="18"/>
                      <w:vertAlign w:val="baseline"/>
                      <w:lang w:val="en-US" w:eastAsia="zh-CN"/>
                    </w:rPr>
                  </w:pPr>
                  <w:r>
                    <w:rPr>
                      <w:rFonts w:hint="eastAsia"/>
                      <w:b/>
                      <w:bCs/>
                      <w:color w:val="auto"/>
                      <w:sz w:val="18"/>
                      <w:szCs w:val="18"/>
                      <w:vertAlign w:val="baseline"/>
                      <w:lang w:val="en-US" w:eastAsia="zh-CN"/>
                    </w:rPr>
                    <w:t>固废</w:t>
                  </w:r>
                </w:p>
              </w:tc>
              <w:tc>
                <w:tcPr>
                  <w:tcW w:w="858" w:type="pct"/>
                  <w:vAlign w:val="center"/>
                </w:tcPr>
                <w:p>
                  <w:pPr>
                    <w:jc w:val="center"/>
                    <w:rPr>
                      <w:rFonts w:hint="default"/>
                      <w:b/>
                      <w:bCs/>
                      <w:color w:val="auto"/>
                      <w:sz w:val="18"/>
                      <w:szCs w:val="18"/>
                      <w:vertAlign w:val="baseline"/>
                      <w:lang w:val="en-US" w:eastAsia="zh-CN"/>
                    </w:rPr>
                  </w:pPr>
                  <w:r>
                    <w:rPr>
                      <w:rFonts w:hint="eastAsia"/>
                      <w:b/>
                      <w:bCs/>
                      <w:color w:val="auto"/>
                      <w:sz w:val="18"/>
                      <w:szCs w:val="18"/>
                      <w:vertAlign w:val="baseline"/>
                      <w:lang w:val="en-US" w:eastAsia="zh-CN"/>
                    </w:rPr>
                    <w:t>生活垃圾</w:t>
                  </w:r>
                </w:p>
              </w:tc>
              <w:tc>
                <w:tcPr>
                  <w:tcW w:w="1705" w:type="pct"/>
                  <w:vAlign w:val="center"/>
                </w:tcPr>
                <w:p>
                  <w:pPr>
                    <w:jc w:val="center"/>
                    <w:rPr>
                      <w:color w:val="auto"/>
                      <w:sz w:val="18"/>
                      <w:szCs w:val="18"/>
                      <w:vertAlign w:val="baseline"/>
                    </w:rPr>
                  </w:pPr>
                  <w:r>
                    <w:rPr>
                      <w:rFonts w:hint="eastAsia"/>
                      <w:color w:val="auto"/>
                      <w:sz w:val="18"/>
                      <w:szCs w:val="18"/>
                      <w:vertAlign w:val="baseline"/>
                      <w:lang w:val="en-US" w:eastAsia="zh-CN"/>
                    </w:rPr>
                    <w:t>生活垃圾</w:t>
                  </w:r>
                </w:p>
              </w:tc>
              <w:tc>
                <w:tcPr>
                  <w:tcW w:w="1979" w:type="pct"/>
                  <w:gridSpan w:val="2"/>
                  <w:vAlign w:val="center"/>
                </w:tcPr>
                <w:p>
                  <w:pPr>
                    <w:adjustRightInd w:val="0"/>
                    <w:snapToGrid w:val="0"/>
                    <w:spacing w:line="240" w:lineRule="exact"/>
                    <w:jc w:val="center"/>
                    <w:rPr>
                      <w:color w:val="auto"/>
                      <w:sz w:val="18"/>
                      <w:szCs w:val="18"/>
                      <w:vertAlign w:val="baseline"/>
                    </w:rPr>
                  </w:pPr>
                  <w:r>
                    <w:rPr>
                      <w:rFonts w:hint="eastAsia"/>
                      <w:color w:val="auto"/>
                      <w:sz w:val="18"/>
                      <w:szCs w:val="18"/>
                    </w:rPr>
                    <w:t>0.54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pct"/>
                  <w:vMerge w:val="continue"/>
                  <w:vAlign w:val="center"/>
                </w:tcPr>
                <w:p>
                  <w:pPr>
                    <w:jc w:val="center"/>
                    <w:rPr>
                      <w:rFonts w:hint="eastAsia"/>
                      <w:b/>
                      <w:bCs/>
                      <w:color w:val="auto"/>
                      <w:sz w:val="18"/>
                      <w:szCs w:val="18"/>
                      <w:vertAlign w:val="baseline"/>
                      <w:lang w:val="en-US" w:eastAsia="zh-CN"/>
                    </w:rPr>
                  </w:pPr>
                </w:p>
              </w:tc>
              <w:tc>
                <w:tcPr>
                  <w:tcW w:w="858" w:type="pct"/>
                  <w:vAlign w:val="center"/>
                </w:tcPr>
                <w:p>
                  <w:pPr>
                    <w:jc w:val="center"/>
                    <w:rPr>
                      <w:rFonts w:hint="default"/>
                      <w:b/>
                      <w:bCs/>
                      <w:color w:val="auto"/>
                      <w:sz w:val="18"/>
                      <w:szCs w:val="18"/>
                      <w:vertAlign w:val="baseline"/>
                      <w:lang w:val="en-US" w:eastAsia="zh-CN"/>
                    </w:rPr>
                  </w:pPr>
                  <w:r>
                    <w:rPr>
                      <w:rFonts w:hint="eastAsia"/>
                      <w:b/>
                      <w:bCs/>
                      <w:color w:val="auto"/>
                      <w:sz w:val="18"/>
                      <w:szCs w:val="18"/>
                      <w:vertAlign w:val="baseline"/>
                      <w:lang w:val="en-US" w:eastAsia="zh-CN"/>
                    </w:rPr>
                    <w:t>一般工业固废</w:t>
                  </w:r>
                </w:p>
              </w:tc>
              <w:tc>
                <w:tcPr>
                  <w:tcW w:w="1705" w:type="pct"/>
                  <w:vAlign w:val="center"/>
                </w:tcPr>
                <w:p>
                  <w:pPr>
                    <w:jc w:val="center"/>
                    <w:rPr>
                      <w:color w:val="auto"/>
                      <w:sz w:val="18"/>
                      <w:szCs w:val="18"/>
                      <w:vertAlign w:val="baseline"/>
                    </w:rPr>
                  </w:pPr>
                  <w:r>
                    <w:rPr>
                      <w:rFonts w:hint="eastAsia"/>
                      <w:color w:val="auto"/>
                      <w:sz w:val="18"/>
                      <w:szCs w:val="18"/>
                    </w:rPr>
                    <w:t>检验废料、废边角料</w:t>
                  </w:r>
                </w:p>
              </w:tc>
              <w:tc>
                <w:tcPr>
                  <w:tcW w:w="1979" w:type="pct"/>
                  <w:gridSpan w:val="2"/>
                  <w:vAlign w:val="center"/>
                </w:tcPr>
                <w:p>
                  <w:pPr>
                    <w:adjustRightInd w:val="0"/>
                    <w:snapToGrid w:val="0"/>
                    <w:spacing w:line="240" w:lineRule="exact"/>
                    <w:jc w:val="center"/>
                    <w:rPr>
                      <w:color w:val="auto"/>
                      <w:sz w:val="18"/>
                      <w:szCs w:val="18"/>
                      <w:vertAlign w:val="baseline"/>
                    </w:rPr>
                  </w:pPr>
                  <w:r>
                    <w:rPr>
                      <w:rFonts w:hint="eastAsia"/>
                      <w:color w:val="auto"/>
                      <w:sz w:val="18"/>
                      <w:szCs w:val="18"/>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pct"/>
                  <w:vMerge w:val="continue"/>
                  <w:vAlign w:val="center"/>
                </w:tcPr>
                <w:p>
                  <w:pPr>
                    <w:jc w:val="center"/>
                    <w:rPr>
                      <w:rFonts w:hint="eastAsia"/>
                      <w:b/>
                      <w:bCs/>
                      <w:color w:val="auto"/>
                      <w:sz w:val="18"/>
                      <w:szCs w:val="18"/>
                      <w:vertAlign w:val="baseline"/>
                      <w:lang w:val="en-US" w:eastAsia="zh-CN"/>
                    </w:rPr>
                  </w:pPr>
                </w:p>
              </w:tc>
              <w:tc>
                <w:tcPr>
                  <w:tcW w:w="858" w:type="pct"/>
                  <w:vMerge w:val="restart"/>
                  <w:vAlign w:val="center"/>
                </w:tcPr>
                <w:p>
                  <w:pPr>
                    <w:jc w:val="center"/>
                    <w:rPr>
                      <w:rFonts w:hint="default"/>
                      <w:b/>
                      <w:bCs/>
                      <w:color w:val="auto"/>
                      <w:sz w:val="18"/>
                      <w:szCs w:val="18"/>
                      <w:vertAlign w:val="baseline"/>
                      <w:lang w:val="en-US" w:eastAsia="zh-CN"/>
                    </w:rPr>
                  </w:pPr>
                  <w:r>
                    <w:rPr>
                      <w:rFonts w:hint="eastAsia"/>
                      <w:b/>
                      <w:bCs/>
                      <w:color w:val="auto"/>
                      <w:sz w:val="18"/>
                      <w:szCs w:val="18"/>
                      <w:vertAlign w:val="baseline"/>
                      <w:lang w:val="en-US" w:eastAsia="zh-CN"/>
                    </w:rPr>
                    <w:t>危险废物</w:t>
                  </w:r>
                </w:p>
              </w:tc>
              <w:tc>
                <w:tcPr>
                  <w:tcW w:w="1705" w:type="pct"/>
                  <w:vAlign w:val="center"/>
                </w:tcPr>
                <w:p>
                  <w:pPr>
                    <w:adjustRightInd w:val="0"/>
                    <w:snapToGrid w:val="0"/>
                    <w:spacing w:line="240" w:lineRule="exact"/>
                    <w:jc w:val="center"/>
                    <w:rPr>
                      <w:color w:val="auto"/>
                      <w:sz w:val="18"/>
                      <w:szCs w:val="18"/>
                      <w:vertAlign w:val="baseline"/>
                    </w:rPr>
                  </w:pPr>
                  <w:r>
                    <w:rPr>
                      <w:rFonts w:hint="eastAsia"/>
                      <w:color w:val="auto"/>
                      <w:sz w:val="18"/>
                      <w:szCs w:val="18"/>
                    </w:rPr>
                    <w:t>隔膜泵废滤芯</w:t>
                  </w:r>
                </w:p>
              </w:tc>
              <w:tc>
                <w:tcPr>
                  <w:tcW w:w="1979" w:type="pct"/>
                  <w:gridSpan w:val="2"/>
                  <w:vAlign w:val="center"/>
                </w:tcPr>
                <w:p>
                  <w:pPr>
                    <w:adjustRightInd w:val="0"/>
                    <w:snapToGrid w:val="0"/>
                    <w:spacing w:line="240" w:lineRule="exact"/>
                    <w:jc w:val="center"/>
                    <w:rPr>
                      <w:color w:val="auto"/>
                      <w:sz w:val="18"/>
                      <w:szCs w:val="18"/>
                      <w:vertAlign w:val="baseline"/>
                    </w:rPr>
                  </w:pPr>
                  <w:r>
                    <w:rPr>
                      <w:rFonts w:hint="eastAsia"/>
                      <w:color w:val="auto"/>
                      <w:sz w:val="18"/>
                      <w:szCs w:val="18"/>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pct"/>
                  <w:vMerge w:val="continue"/>
                  <w:vAlign w:val="center"/>
                </w:tcPr>
                <w:p>
                  <w:pPr>
                    <w:jc w:val="center"/>
                    <w:rPr>
                      <w:rFonts w:hint="eastAsia"/>
                      <w:color w:val="auto"/>
                      <w:sz w:val="18"/>
                      <w:szCs w:val="18"/>
                      <w:vertAlign w:val="baseline"/>
                      <w:lang w:val="en-US" w:eastAsia="zh-CN"/>
                    </w:rPr>
                  </w:pPr>
                </w:p>
              </w:tc>
              <w:tc>
                <w:tcPr>
                  <w:tcW w:w="858" w:type="pct"/>
                  <w:vMerge w:val="continue"/>
                  <w:vAlign w:val="center"/>
                </w:tcPr>
                <w:p>
                  <w:pPr>
                    <w:jc w:val="center"/>
                    <w:rPr>
                      <w:rFonts w:hint="default"/>
                      <w:color w:val="auto"/>
                      <w:sz w:val="18"/>
                      <w:szCs w:val="18"/>
                      <w:vertAlign w:val="baseline"/>
                      <w:lang w:val="en-US" w:eastAsia="zh-CN"/>
                    </w:rPr>
                  </w:pPr>
                </w:p>
              </w:tc>
              <w:tc>
                <w:tcPr>
                  <w:tcW w:w="1705" w:type="pct"/>
                  <w:vAlign w:val="center"/>
                </w:tcPr>
                <w:p>
                  <w:pPr>
                    <w:adjustRightInd w:val="0"/>
                    <w:snapToGrid w:val="0"/>
                    <w:spacing w:line="240" w:lineRule="exact"/>
                    <w:jc w:val="center"/>
                    <w:rPr>
                      <w:color w:val="auto"/>
                      <w:sz w:val="18"/>
                      <w:szCs w:val="18"/>
                      <w:vertAlign w:val="baseline"/>
                    </w:rPr>
                  </w:pPr>
                  <w:r>
                    <w:rPr>
                      <w:rFonts w:hint="eastAsia"/>
                      <w:color w:val="auto"/>
                      <w:sz w:val="18"/>
                      <w:szCs w:val="18"/>
                    </w:rPr>
                    <w:t>废活性炭</w:t>
                  </w:r>
                </w:p>
              </w:tc>
              <w:tc>
                <w:tcPr>
                  <w:tcW w:w="1979" w:type="pct"/>
                  <w:gridSpan w:val="2"/>
                  <w:vAlign w:val="center"/>
                </w:tcPr>
                <w:p>
                  <w:pPr>
                    <w:adjustRightInd w:val="0"/>
                    <w:snapToGrid w:val="0"/>
                    <w:spacing w:line="240" w:lineRule="exact"/>
                    <w:jc w:val="center"/>
                    <w:rPr>
                      <w:color w:val="auto"/>
                      <w:sz w:val="18"/>
                      <w:szCs w:val="18"/>
                      <w:vertAlign w:val="baseline"/>
                    </w:rPr>
                  </w:pPr>
                  <w:r>
                    <w:rPr>
                      <w:rFonts w:hint="eastAsia"/>
                      <w:color w:val="auto"/>
                      <w:sz w:val="18"/>
                      <w:szCs w:val="18"/>
                    </w:rPr>
                    <w:t>3.57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pct"/>
                  <w:vMerge w:val="continue"/>
                  <w:vAlign w:val="center"/>
                </w:tcPr>
                <w:p>
                  <w:pPr>
                    <w:jc w:val="center"/>
                    <w:rPr>
                      <w:rFonts w:hint="eastAsia"/>
                      <w:color w:val="auto"/>
                      <w:sz w:val="18"/>
                      <w:szCs w:val="18"/>
                      <w:vertAlign w:val="baseline"/>
                      <w:lang w:val="en-US" w:eastAsia="zh-CN"/>
                    </w:rPr>
                  </w:pPr>
                </w:p>
              </w:tc>
              <w:tc>
                <w:tcPr>
                  <w:tcW w:w="858" w:type="pct"/>
                  <w:vMerge w:val="continue"/>
                  <w:vAlign w:val="center"/>
                </w:tcPr>
                <w:p>
                  <w:pPr>
                    <w:jc w:val="center"/>
                    <w:rPr>
                      <w:rFonts w:hint="eastAsia"/>
                      <w:color w:val="auto"/>
                      <w:sz w:val="18"/>
                      <w:szCs w:val="18"/>
                      <w:vertAlign w:val="baseline"/>
                      <w:lang w:val="en-US" w:eastAsia="zh-CN"/>
                    </w:rPr>
                  </w:pPr>
                </w:p>
              </w:tc>
              <w:tc>
                <w:tcPr>
                  <w:tcW w:w="1705" w:type="pct"/>
                  <w:vAlign w:val="center"/>
                </w:tcPr>
                <w:p>
                  <w:pPr>
                    <w:adjustRightInd w:val="0"/>
                    <w:snapToGrid w:val="0"/>
                    <w:spacing w:line="240" w:lineRule="exact"/>
                    <w:jc w:val="center"/>
                    <w:rPr>
                      <w:color w:val="auto"/>
                      <w:sz w:val="18"/>
                      <w:szCs w:val="18"/>
                      <w:vertAlign w:val="baseline"/>
                    </w:rPr>
                  </w:pPr>
                  <w:r>
                    <w:rPr>
                      <w:rFonts w:hint="eastAsia"/>
                      <w:color w:val="auto"/>
                      <w:sz w:val="18"/>
                      <w:szCs w:val="18"/>
                    </w:rPr>
                    <w:t>精馏釜残</w:t>
                  </w:r>
                </w:p>
              </w:tc>
              <w:tc>
                <w:tcPr>
                  <w:tcW w:w="1979" w:type="pct"/>
                  <w:gridSpan w:val="2"/>
                  <w:vAlign w:val="center"/>
                </w:tcPr>
                <w:p>
                  <w:pPr>
                    <w:adjustRightInd w:val="0"/>
                    <w:snapToGrid w:val="0"/>
                    <w:spacing w:line="240" w:lineRule="exact"/>
                    <w:jc w:val="center"/>
                    <w:rPr>
                      <w:color w:val="auto"/>
                      <w:sz w:val="18"/>
                      <w:szCs w:val="18"/>
                      <w:vertAlign w:val="baseline"/>
                    </w:rPr>
                  </w:pPr>
                  <w:r>
                    <w:rPr>
                      <w:rFonts w:hint="eastAsia"/>
                      <w:color w:val="auto"/>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pct"/>
                  <w:vMerge w:val="continue"/>
                  <w:vAlign w:val="center"/>
                </w:tcPr>
                <w:p>
                  <w:pPr>
                    <w:jc w:val="center"/>
                    <w:rPr>
                      <w:rFonts w:hint="eastAsia"/>
                      <w:color w:val="auto"/>
                      <w:sz w:val="18"/>
                      <w:szCs w:val="18"/>
                      <w:vertAlign w:val="baseline"/>
                      <w:lang w:val="en-US" w:eastAsia="zh-CN"/>
                    </w:rPr>
                  </w:pPr>
                </w:p>
              </w:tc>
              <w:tc>
                <w:tcPr>
                  <w:tcW w:w="858" w:type="pct"/>
                  <w:vMerge w:val="continue"/>
                  <w:vAlign w:val="center"/>
                </w:tcPr>
                <w:p>
                  <w:pPr>
                    <w:jc w:val="center"/>
                    <w:rPr>
                      <w:rFonts w:hint="eastAsia"/>
                      <w:color w:val="auto"/>
                      <w:sz w:val="18"/>
                      <w:szCs w:val="18"/>
                      <w:vertAlign w:val="baseline"/>
                      <w:lang w:val="en-US" w:eastAsia="zh-CN"/>
                    </w:rPr>
                  </w:pPr>
                </w:p>
              </w:tc>
              <w:tc>
                <w:tcPr>
                  <w:tcW w:w="1705" w:type="pct"/>
                  <w:vAlign w:val="center"/>
                </w:tcPr>
                <w:p>
                  <w:pPr>
                    <w:adjustRightInd w:val="0"/>
                    <w:snapToGrid w:val="0"/>
                    <w:spacing w:line="240" w:lineRule="exact"/>
                    <w:jc w:val="center"/>
                    <w:rPr>
                      <w:rFonts w:hint="eastAsia" w:eastAsia="宋体"/>
                      <w:color w:val="auto"/>
                      <w:sz w:val="18"/>
                      <w:szCs w:val="18"/>
                      <w:lang w:val="en-US" w:eastAsia="zh-CN"/>
                    </w:rPr>
                  </w:pPr>
                  <w:r>
                    <w:rPr>
                      <w:rFonts w:hint="eastAsia"/>
                      <w:color w:val="auto"/>
                      <w:sz w:val="18"/>
                      <w:szCs w:val="18"/>
                      <w:lang w:val="en-US" w:eastAsia="zh-CN"/>
                    </w:rPr>
                    <w:t>合计</w:t>
                  </w:r>
                </w:p>
              </w:tc>
              <w:tc>
                <w:tcPr>
                  <w:tcW w:w="1979" w:type="pct"/>
                  <w:gridSpan w:val="2"/>
                  <w:vAlign w:val="center"/>
                </w:tcPr>
                <w:p>
                  <w:pPr>
                    <w:adjustRightInd w:val="0"/>
                    <w:snapToGrid w:val="0"/>
                    <w:spacing w:line="240" w:lineRule="exact"/>
                    <w:jc w:val="center"/>
                    <w:rPr>
                      <w:rFonts w:hint="default" w:eastAsia="宋体"/>
                      <w:color w:val="auto"/>
                      <w:sz w:val="18"/>
                      <w:szCs w:val="18"/>
                      <w:lang w:val="en-US" w:eastAsia="zh-CN"/>
                    </w:rPr>
                  </w:pPr>
                  <w:r>
                    <w:rPr>
                      <w:rFonts w:hint="eastAsia"/>
                      <w:color w:val="auto"/>
                      <w:sz w:val="18"/>
                      <w:szCs w:val="18"/>
                      <w:lang w:val="en-US" w:eastAsia="zh-CN"/>
                    </w:rPr>
                    <w:t>7.07</w:t>
                  </w:r>
                </w:p>
              </w:tc>
            </w:tr>
          </w:tbl>
          <w:p>
            <w:pPr>
              <w:rPr>
                <w:color w:val="auto"/>
              </w:rPr>
            </w:pPr>
          </w:p>
          <w:p>
            <w:pPr>
              <w:pStyle w:val="15"/>
              <w:adjustRightInd w:val="0"/>
              <w:snapToGrid w:val="0"/>
              <w:jc w:val="center"/>
              <w:outlineLvl w:val="0"/>
              <w:rPr>
                <w:rFonts w:ascii="Times New Roman" w:hAnsi="Times New Roman" w:eastAsia="黑体"/>
                <w:snapToGrid w:val="0"/>
                <w:color w:val="auto"/>
                <w:sz w:val="30"/>
                <w:szCs w:val="30"/>
                <w:vertAlign w:val="baseline"/>
              </w:rPr>
            </w:pPr>
          </w:p>
        </w:tc>
      </w:tr>
    </w:tbl>
    <w:p>
      <w:pPr>
        <w:pStyle w:val="15"/>
        <w:adjustRightInd w:val="0"/>
        <w:snapToGrid w:val="0"/>
        <w:jc w:val="center"/>
        <w:outlineLvl w:val="0"/>
        <w:rPr>
          <w:rFonts w:ascii="Times New Roman" w:hAnsi="Times New Roman" w:eastAsia="黑体"/>
          <w:snapToGrid w:val="0"/>
          <w:sz w:val="30"/>
          <w:szCs w:val="30"/>
        </w:rPr>
        <w:sectPr>
          <w:pgSz w:w="11906" w:h="16838"/>
          <w:pgMar w:top="1247" w:right="1531" w:bottom="1247" w:left="1531"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15"/>
        <w:adjustRightInd w:val="0"/>
        <w:snapToGrid w:val="0"/>
        <w:jc w:val="center"/>
        <w:outlineLvl w:val="0"/>
        <w:rPr>
          <w:rFonts w:ascii="Times New Roman" w:hAnsi="Times New Roman" w:eastAsia="黑体"/>
          <w:snapToGrid w:val="0"/>
          <w:sz w:val="30"/>
          <w:szCs w:val="30"/>
        </w:rPr>
      </w:pPr>
      <w:bookmarkStart w:id="63" w:name="_Toc18393"/>
      <w:r>
        <w:rPr>
          <w:rFonts w:ascii="Times New Roman" w:hAnsi="Times New Roman" w:eastAsia="黑体"/>
          <w:snapToGrid w:val="0"/>
          <w:sz w:val="30"/>
          <w:szCs w:val="30"/>
        </w:rPr>
        <w:t>五、</w:t>
      </w:r>
      <w:bookmarkStart w:id="64" w:name="_Hlk54167917"/>
      <w:r>
        <w:rPr>
          <w:rFonts w:ascii="Times New Roman" w:hAnsi="Times New Roman" w:eastAsia="黑体"/>
          <w:snapToGrid w:val="0"/>
          <w:sz w:val="30"/>
          <w:szCs w:val="30"/>
        </w:rPr>
        <w:t>环境保护措施监督检查清单</w:t>
      </w:r>
      <w:bookmarkEnd w:id="62"/>
      <w:bookmarkEnd w:id="63"/>
      <w:bookmarkEnd w:id="64"/>
    </w:p>
    <w:tbl>
      <w:tblPr>
        <w:tblStyle w:val="19"/>
        <w:tblW w:w="880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214"/>
        <w:gridCol w:w="1500"/>
        <w:gridCol w:w="1311"/>
        <w:gridCol w:w="1916"/>
        <w:gridCol w:w="285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214" w:type="dxa"/>
            <w:tcBorders>
              <w:tl2br w:val="single" w:color="auto" w:sz="4" w:space="0"/>
            </w:tcBorders>
          </w:tcPr>
          <w:p>
            <w:pPr>
              <w:adjustRightInd w:val="0"/>
              <w:snapToGrid w:val="0"/>
              <w:ind w:firstLine="420" w:firstLineChars="200"/>
              <w:rPr>
                <w:color w:val="auto"/>
                <w:szCs w:val="21"/>
              </w:rPr>
            </w:pPr>
            <w:r>
              <w:rPr>
                <w:color w:val="auto"/>
                <w:szCs w:val="21"/>
              </w:rPr>
              <w:t>内容</w:t>
            </w:r>
          </w:p>
          <w:p>
            <w:pPr>
              <w:adjustRightInd w:val="0"/>
              <w:snapToGrid w:val="0"/>
              <w:rPr>
                <w:color w:val="auto"/>
                <w:szCs w:val="21"/>
              </w:rPr>
            </w:pPr>
          </w:p>
          <w:p>
            <w:pPr>
              <w:adjustRightInd w:val="0"/>
              <w:snapToGrid w:val="0"/>
              <w:rPr>
                <w:color w:val="auto"/>
                <w:szCs w:val="21"/>
              </w:rPr>
            </w:pPr>
            <w:r>
              <w:rPr>
                <w:color w:val="auto"/>
                <w:szCs w:val="21"/>
              </w:rPr>
              <w:t>要素</w:t>
            </w:r>
          </w:p>
        </w:tc>
        <w:tc>
          <w:tcPr>
            <w:tcW w:w="1500" w:type="dxa"/>
            <w:vAlign w:val="center"/>
          </w:tcPr>
          <w:p>
            <w:pPr>
              <w:adjustRightInd w:val="0"/>
              <w:snapToGrid w:val="0"/>
              <w:jc w:val="center"/>
              <w:rPr>
                <w:color w:val="auto"/>
                <w:szCs w:val="21"/>
              </w:rPr>
            </w:pPr>
            <w:r>
              <w:rPr>
                <w:color w:val="auto"/>
                <w:szCs w:val="21"/>
              </w:rPr>
              <w:t>排放口(编号、名称)/污染源</w:t>
            </w:r>
          </w:p>
        </w:tc>
        <w:tc>
          <w:tcPr>
            <w:tcW w:w="1311" w:type="dxa"/>
            <w:vAlign w:val="center"/>
          </w:tcPr>
          <w:p>
            <w:pPr>
              <w:adjustRightInd w:val="0"/>
              <w:snapToGrid w:val="0"/>
              <w:jc w:val="center"/>
              <w:rPr>
                <w:color w:val="auto"/>
                <w:szCs w:val="21"/>
              </w:rPr>
            </w:pPr>
            <w:r>
              <w:rPr>
                <w:color w:val="auto"/>
                <w:szCs w:val="21"/>
              </w:rPr>
              <w:t>污染物项目</w:t>
            </w:r>
          </w:p>
        </w:tc>
        <w:tc>
          <w:tcPr>
            <w:tcW w:w="1916" w:type="dxa"/>
            <w:vAlign w:val="center"/>
          </w:tcPr>
          <w:p>
            <w:pPr>
              <w:adjustRightInd w:val="0"/>
              <w:snapToGrid w:val="0"/>
              <w:jc w:val="center"/>
              <w:rPr>
                <w:color w:val="auto"/>
                <w:szCs w:val="21"/>
              </w:rPr>
            </w:pPr>
            <w:r>
              <w:rPr>
                <w:color w:val="auto"/>
                <w:szCs w:val="21"/>
              </w:rPr>
              <w:t>环境保护措施</w:t>
            </w:r>
          </w:p>
        </w:tc>
        <w:tc>
          <w:tcPr>
            <w:tcW w:w="2859" w:type="dxa"/>
            <w:vAlign w:val="center"/>
          </w:tcPr>
          <w:p>
            <w:pPr>
              <w:adjustRightInd w:val="0"/>
              <w:snapToGrid w:val="0"/>
              <w:jc w:val="center"/>
              <w:rPr>
                <w:color w:val="auto"/>
                <w:szCs w:val="21"/>
              </w:rPr>
            </w:pPr>
            <w:r>
              <w:rPr>
                <w:color w:val="auto"/>
                <w:szCs w:val="21"/>
              </w:rPr>
              <w:t>执行标准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1214" w:type="dxa"/>
            <w:vMerge w:val="restart"/>
            <w:vAlign w:val="center"/>
          </w:tcPr>
          <w:p>
            <w:pPr>
              <w:adjustRightInd w:val="0"/>
              <w:snapToGrid w:val="0"/>
              <w:jc w:val="center"/>
              <w:rPr>
                <w:color w:val="auto"/>
                <w:szCs w:val="21"/>
              </w:rPr>
            </w:pPr>
            <w:r>
              <w:rPr>
                <w:color w:val="auto"/>
                <w:szCs w:val="21"/>
              </w:rPr>
              <w:t>大气环境</w:t>
            </w:r>
          </w:p>
        </w:tc>
        <w:tc>
          <w:tcPr>
            <w:tcW w:w="1500" w:type="dxa"/>
            <w:vAlign w:val="center"/>
          </w:tcPr>
          <w:p>
            <w:pPr>
              <w:pStyle w:val="18"/>
              <w:ind w:left="0" w:leftChars="0" w:firstLine="0"/>
              <w:jc w:val="center"/>
              <w:rPr>
                <w:rFonts w:hint="eastAsia"/>
                <w:color w:val="auto"/>
                <w:szCs w:val="21"/>
                <w:lang w:val="en-US" w:eastAsia="zh-CN"/>
              </w:rPr>
            </w:pPr>
            <w:r>
              <w:rPr>
                <w:rFonts w:hint="eastAsia"/>
                <w:color w:val="auto"/>
                <w:szCs w:val="21"/>
                <w:lang w:val="en-US" w:eastAsia="zh-CN"/>
              </w:rPr>
              <w:t>DA013</w:t>
            </w:r>
          </w:p>
          <w:p>
            <w:pPr>
              <w:pStyle w:val="18"/>
              <w:ind w:left="0" w:leftChars="0" w:firstLine="0"/>
              <w:jc w:val="center"/>
              <w:rPr>
                <w:rFonts w:hint="default" w:eastAsia="宋体"/>
                <w:color w:val="auto"/>
                <w:szCs w:val="21"/>
                <w:lang w:val="en-US" w:eastAsia="zh-CN"/>
              </w:rPr>
            </w:pPr>
            <w:r>
              <w:rPr>
                <w:rFonts w:hint="eastAsia"/>
                <w:color w:val="auto"/>
                <w:szCs w:val="21"/>
                <w:lang w:val="en-US" w:eastAsia="zh-CN"/>
              </w:rPr>
              <w:t>（新增）</w:t>
            </w:r>
          </w:p>
        </w:tc>
        <w:tc>
          <w:tcPr>
            <w:tcW w:w="1311" w:type="dxa"/>
            <w:vAlign w:val="center"/>
          </w:tcPr>
          <w:p>
            <w:pPr>
              <w:pStyle w:val="44"/>
              <w:spacing w:before="31" w:after="31" w:line="240" w:lineRule="auto"/>
              <w:rPr>
                <w:color w:val="auto"/>
                <w:szCs w:val="21"/>
              </w:rPr>
            </w:pPr>
            <w:r>
              <w:rPr>
                <w:rFonts w:hint="eastAsia"/>
                <w:color w:val="auto"/>
                <w:szCs w:val="21"/>
              </w:rPr>
              <w:t>非甲烷总烃</w:t>
            </w:r>
          </w:p>
        </w:tc>
        <w:tc>
          <w:tcPr>
            <w:tcW w:w="1916" w:type="dxa"/>
            <w:vAlign w:val="center"/>
          </w:tcPr>
          <w:p>
            <w:pPr>
              <w:adjustRightInd w:val="0"/>
              <w:snapToGrid w:val="0"/>
              <w:jc w:val="center"/>
              <w:rPr>
                <w:color w:val="auto"/>
                <w:szCs w:val="21"/>
              </w:rPr>
            </w:pPr>
            <w:r>
              <w:rPr>
                <w:rFonts w:hint="eastAsia"/>
                <w:color w:val="auto"/>
                <w:szCs w:val="21"/>
              </w:rPr>
              <w:t>二级冷凝+一级循环水喷淋+活性炭吸附+15m高排气筒（</w:t>
            </w:r>
            <w:r>
              <w:rPr>
                <w:rFonts w:hint="eastAsia"/>
                <w:color w:val="auto"/>
                <w:szCs w:val="21"/>
                <w:lang w:val="en-US" w:eastAsia="zh-CN"/>
              </w:rPr>
              <w:t>DA013</w:t>
            </w:r>
            <w:r>
              <w:rPr>
                <w:rFonts w:hint="eastAsia"/>
                <w:color w:val="auto"/>
                <w:szCs w:val="21"/>
              </w:rPr>
              <w:t>）</w:t>
            </w:r>
          </w:p>
        </w:tc>
        <w:tc>
          <w:tcPr>
            <w:tcW w:w="2859" w:type="dxa"/>
            <w:vAlign w:val="center"/>
          </w:tcPr>
          <w:p>
            <w:pPr>
              <w:adjustRightInd w:val="0"/>
              <w:snapToGrid w:val="0"/>
              <w:jc w:val="center"/>
              <w:rPr>
                <w:color w:val="auto"/>
                <w:szCs w:val="21"/>
              </w:rPr>
            </w:pPr>
            <w:r>
              <w:rPr>
                <w:rFonts w:hint="eastAsia"/>
                <w:color w:val="auto"/>
                <w:szCs w:val="21"/>
              </w:rPr>
              <w:t>《工业企业挥发性有机物排放标准》（DB35/1782-2018）表1中其他行业标准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214" w:type="dxa"/>
            <w:vMerge w:val="continue"/>
            <w:vAlign w:val="center"/>
          </w:tcPr>
          <w:p>
            <w:pPr>
              <w:adjustRightInd w:val="0"/>
              <w:snapToGrid w:val="0"/>
              <w:jc w:val="center"/>
              <w:rPr>
                <w:color w:val="auto"/>
                <w:szCs w:val="21"/>
              </w:rPr>
            </w:pPr>
          </w:p>
        </w:tc>
        <w:tc>
          <w:tcPr>
            <w:tcW w:w="1500" w:type="dxa"/>
            <w:vAlign w:val="center"/>
          </w:tcPr>
          <w:p>
            <w:pPr>
              <w:adjustRightInd w:val="0"/>
              <w:snapToGrid w:val="0"/>
              <w:jc w:val="center"/>
              <w:rPr>
                <w:rFonts w:hint="eastAsia"/>
                <w:color w:val="auto"/>
                <w:szCs w:val="21"/>
                <w:lang w:val="en-US" w:eastAsia="zh-CN"/>
              </w:rPr>
            </w:pPr>
            <w:r>
              <w:rPr>
                <w:rFonts w:hint="eastAsia"/>
                <w:color w:val="auto"/>
                <w:szCs w:val="21"/>
                <w:lang w:val="en-US" w:eastAsia="zh-CN"/>
              </w:rPr>
              <w:t>DA002</w:t>
            </w:r>
          </w:p>
          <w:p>
            <w:pPr>
              <w:adjustRightInd w:val="0"/>
              <w:snapToGrid w:val="0"/>
              <w:jc w:val="center"/>
              <w:rPr>
                <w:rFonts w:hint="default" w:eastAsia="宋体"/>
                <w:color w:val="auto"/>
                <w:szCs w:val="21"/>
                <w:lang w:val="en-US" w:eastAsia="zh-CN"/>
              </w:rPr>
            </w:pPr>
            <w:r>
              <w:rPr>
                <w:rFonts w:hint="eastAsia"/>
                <w:color w:val="auto"/>
                <w:szCs w:val="21"/>
                <w:lang w:val="en-US" w:eastAsia="zh-CN"/>
              </w:rPr>
              <w:t>（依托已建）</w:t>
            </w:r>
          </w:p>
        </w:tc>
        <w:tc>
          <w:tcPr>
            <w:tcW w:w="1311" w:type="dxa"/>
            <w:vAlign w:val="center"/>
          </w:tcPr>
          <w:p>
            <w:pPr>
              <w:pStyle w:val="44"/>
              <w:spacing w:before="31" w:after="31" w:line="240" w:lineRule="auto"/>
              <w:rPr>
                <w:color w:val="auto"/>
                <w:szCs w:val="21"/>
              </w:rPr>
            </w:pPr>
            <w:r>
              <w:rPr>
                <w:rFonts w:hint="eastAsia"/>
                <w:color w:val="auto"/>
                <w:szCs w:val="21"/>
              </w:rPr>
              <w:t>非甲烷总烃</w:t>
            </w:r>
          </w:p>
        </w:tc>
        <w:tc>
          <w:tcPr>
            <w:tcW w:w="1916" w:type="dxa"/>
            <w:vAlign w:val="center"/>
          </w:tcPr>
          <w:p>
            <w:pPr>
              <w:adjustRightInd w:val="0"/>
              <w:snapToGrid w:val="0"/>
              <w:jc w:val="center"/>
              <w:rPr>
                <w:color w:val="auto"/>
                <w:szCs w:val="21"/>
              </w:rPr>
            </w:pPr>
            <w:r>
              <w:rPr>
                <w:rFonts w:hint="eastAsia"/>
                <w:color w:val="auto"/>
                <w:szCs w:val="21"/>
              </w:rPr>
              <w:t>依托生产车间二一级水洗系统+15m高排气筒（</w:t>
            </w:r>
            <w:r>
              <w:rPr>
                <w:rFonts w:hint="eastAsia"/>
                <w:color w:val="auto"/>
                <w:szCs w:val="21"/>
                <w:lang w:val="en-US" w:eastAsia="zh-CN"/>
              </w:rPr>
              <w:t>DA</w:t>
            </w:r>
            <w:r>
              <w:rPr>
                <w:rFonts w:hint="eastAsia"/>
                <w:color w:val="auto"/>
                <w:szCs w:val="21"/>
              </w:rPr>
              <w:t>002）</w:t>
            </w:r>
          </w:p>
        </w:tc>
        <w:tc>
          <w:tcPr>
            <w:tcW w:w="2859" w:type="dxa"/>
            <w:vAlign w:val="center"/>
          </w:tcPr>
          <w:p>
            <w:pPr>
              <w:adjustRightInd w:val="0"/>
              <w:snapToGrid w:val="0"/>
              <w:jc w:val="center"/>
              <w:rPr>
                <w:color w:val="auto"/>
                <w:szCs w:val="21"/>
              </w:rPr>
            </w:pPr>
            <w:r>
              <w:rPr>
                <w:rFonts w:hint="eastAsia"/>
                <w:color w:val="auto"/>
                <w:szCs w:val="21"/>
              </w:rPr>
              <w:t>《工业企业挥发性有机物排放标准》（DB35/1782-2018）表1中其他行业标准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214" w:type="dxa"/>
            <w:vMerge w:val="continue"/>
            <w:vAlign w:val="center"/>
          </w:tcPr>
          <w:p>
            <w:pPr>
              <w:adjustRightInd w:val="0"/>
              <w:snapToGrid w:val="0"/>
              <w:jc w:val="center"/>
              <w:rPr>
                <w:color w:val="auto"/>
                <w:szCs w:val="21"/>
              </w:rPr>
            </w:pPr>
          </w:p>
        </w:tc>
        <w:tc>
          <w:tcPr>
            <w:tcW w:w="1500" w:type="dxa"/>
            <w:vAlign w:val="center"/>
          </w:tcPr>
          <w:p>
            <w:pPr>
              <w:adjustRightInd w:val="0"/>
              <w:snapToGrid w:val="0"/>
              <w:jc w:val="center"/>
              <w:rPr>
                <w:color w:val="auto"/>
                <w:szCs w:val="21"/>
              </w:rPr>
            </w:pPr>
            <w:r>
              <w:rPr>
                <w:rFonts w:hint="eastAsia"/>
                <w:color w:val="auto"/>
                <w:szCs w:val="21"/>
              </w:rPr>
              <w:t>无组织</w:t>
            </w:r>
          </w:p>
        </w:tc>
        <w:tc>
          <w:tcPr>
            <w:tcW w:w="1311" w:type="dxa"/>
            <w:vAlign w:val="center"/>
          </w:tcPr>
          <w:p>
            <w:pPr>
              <w:pStyle w:val="44"/>
              <w:spacing w:before="31" w:after="31" w:line="240" w:lineRule="auto"/>
              <w:rPr>
                <w:rFonts w:ascii="Times New Roman"/>
                <w:color w:val="auto"/>
                <w:szCs w:val="21"/>
              </w:rPr>
            </w:pPr>
            <w:r>
              <w:rPr>
                <w:rFonts w:hint="eastAsia"/>
                <w:color w:val="auto"/>
                <w:szCs w:val="21"/>
              </w:rPr>
              <w:t>非甲烷总烃</w:t>
            </w:r>
          </w:p>
        </w:tc>
        <w:tc>
          <w:tcPr>
            <w:tcW w:w="1916" w:type="dxa"/>
            <w:vAlign w:val="center"/>
          </w:tcPr>
          <w:p>
            <w:pPr>
              <w:adjustRightInd w:val="0"/>
              <w:snapToGrid w:val="0"/>
              <w:jc w:val="center"/>
              <w:rPr>
                <w:color w:val="auto"/>
                <w:szCs w:val="21"/>
              </w:rPr>
            </w:pPr>
            <w:r>
              <w:rPr>
                <w:rFonts w:hint="eastAsia"/>
                <w:color w:val="auto"/>
                <w:szCs w:val="21"/>
              </w:rPr>
              <w:t>经车间阻隔及车间通风</w:t>
            </w:r>
          </w:p>
        </w:tc>
        <w:tc>
          <w:tcPr>
            <w:tcW w:w="2859" w:type="dxa"/>
            <w:vAlign w:val="center"/>
          </w:tcPr>
          <w:p>
            <w:pPr>
              <w:adjustRightInd w:val="0"/>
              <w:snapToGrid w:val="0"/>
              <w:jc w:val="left"/>
              <w:rPr>
                <w:color w:val="auto"/>
                <w:szCs w:val="21"/>
              </w:rPr>
            </w:pPr>
            <w:r>
              <w:rPr>
                <w:color w:val="auto"/>
                <w:szCs w:val="21"/>
              </w:rPr>
              <w:t>①厂房外监控点处任意一次浓度值执行《挥发性有机物无组织排放控制标准》（GB 37822—2019）表A.1限值；</w:t>
            </w:r>
          </w:p>
          <w:p>
            <w:pPr>
              <w:adjustRightInd w:val="0"/>
              <w:snapToGrid w:val="0"/>
              <w:jc w:val="left"/>
              <w:rPr>
                <w:color w:val="auto"/>
                <w:szCs w:val="21"/>
              </w:rPr>
            </w:pPr>
            <w:r>
              <w:rPr>
                <w:color w:val="auto"/>
                <w:szCs w:val="21"/>
              </w:rPr>
              <w:t>②厂区内监控点浓度限值执行《工业企业挥发性有机物排放标准》（DB35/1782-2018）表2限值；</w:t>
            </w:r>
          </w:p>
          <w:p>
            <w:pPr>
              <w:adjustRightInd w:val="0"/>
              <w:snapToGrid w:val="0"/>
              <w:jc w:val="left"/>
              <w:rPr>
                <w:rFonts w:ascii="宋体" w:hAnsi="宋体" w:cs="宋体"/>
                <w:color w:val="auto"/>
                <w:szCs w:val="21"/>
              </w:rPr>
            </w:pPr>
            <w:r>
              <w:rPr>
                <w:color w:val="auto"/>
                <w:szCs w:val="21"/>
              </w:rPr>
              <w:t>③企业边界监控点浓度限值执行《工业企业挥发性有机物排放标准》（DB35/1782-2018）表3限值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214" w:type="dxa"/>
            <w:vAlign w:val="center"/>
          </w:tcPr>
          <w:p>
            <w:pPr>
              <w:adjustRightInd w:val="0"/>
              <w:snapToGrid w:val="0"/>
              <w:jc w:val="center"/>
              <w:rPr>
                <w:color w:val="auto"/>
                <w:szCs w:val="21"/>
              </w:rPr>
            </w:pPr>
            <w:r>
              <w:rPr>
                <w:color w:val="auto"/>
                <w:szCs w:val="21"/>
              </w:rPr>
              <w:t>地表水环境</w:t>
            </w:r>
          </w:p>
        </w:tc>
        <w:tc>
          <w:tcPr>
            <w:tcW w:w="1500" w:type="dxa"/>
            <w:vAlign w:val="center"/>
          </w:tcPr>
          <w:p>
            <w:pPr>
              <w:adjustRightInd w:val="0"/>
              <w:snapToGrid w:val="0"/>
              <w:jc w:val="center"/>
              <w:rPr>
                <w:color w:val="auto"/>
                <w:szCs w:val="21"/>
              </w:rPr>
            </w:pPr>
            <w:r>
              <w:rPr>
                <w:color w:val="auto"/>
                <w:szCs w:val="21"/>
              </w:rPr>
              <w:t>生活污水</w:t>
            </w:r>
            <w:r>
              <w:rPr>
                <w:rFonts w:hint="eastAsia"/>
                <w:color w:val="auto"/>
                <w:szCs w:val="21"/>
              </w:rPr>
              <w:t>+生产废水（DW001）</w:t>
            </w:r>
          </w:p>
        </w:tc>
        <w:tc>
          <w:tcPr>
            <w:tcW w:w="1311" w:type="dxa"/>
            <w:vAlign w:val="center"/>
          </w:tcPr>
          <w:p>
            <w:pPr>
              <w:adjustRightInd w:val="0"/>
              <w:snapToGrid w:val="0"/>
              <w:jc w:val="center"/>
              <w:rPr>
                <w:color w:val="auto"/>
                <w:szCs w:val="21"/>
              </w:rPr>
            </w:pPr>
            <w:r>
              <w:rPr>
                <w:rFonts w:hint="eastAsia"/>
                <w:color w:val="auto"/>
                <w:szCs w:val="21"/>
              </w:rPr>
              <w:t>COD、BOD</w:t>
            </w:r>
            <w:r>
              <w:rPr>
                <w:rFonts w:hint="eastAsia"/>
                <w:color w:val="auto"/>
                <w:szCs w:val="21"/>
                <w:vertAlign w:val="subscript"/>
              </w:rPr>
              <w:t>5</w:t>
            </w:r>
            <w:r>
              <w:rPr>
                <w:rFonts w:hint="eastAsia"/>
                <w:color w:val="auto"/>
                <w:szCs w:val="21"/>
              </w:rPr>
              <w:t>、SS、氨氮</w:t>
            </w:r>
          </w:p>
        </w:tc>
        <w:tc>
          <w:tcPr>
            <w:tcW w:w="1916" w:type="dxa"/>
            <w:vAlign w:val="center"/>
          </w:tcPr>
          <w:p>
            <w:pPr>
              <w:adjustRightInd w:val="0"/>
              <w:snapToGrid w:val="0"/>
              <w:jc w:val="center"/>
              <w:rPr>
                <w:color w:val="auto"/>
                <w:szCs w:val="21"/>
              </w:rPr>
            </w:pPr>
            <w:r>
              <w:rPr>
                <w:rFonts w:hint="eastAsia"/>
                <w:color w:val="auto"/>
                <w:szCs w:val="21"/>
              </w:rPr>
              <w:t>生活污水依托一厂现有化粪池处理后和生产废水进入一厂污水站进一步处理，处理后进入园区污水厂深度处理</w:t>
            </w:r>
          </w:p>
        </w:tc>
        <w:tc>
          <w:tcPr>
            <w:tcW w:w="2859" w:type="dxa"/>
            <w:vAlign w:val="center"/>
          </w:tcPr>
          <w:p>
            <w:pPr>
              <w:adjustRightInd w:val="0"/>
              <w:snapToGrid w:val="0"/>
              <w:jc w:val="center"/>
              <w:rPr>
                <w:color w:val="auto"/>
                <w:szCs w:val="21"/>
              </w:rPr>
            </w:pPr>
            <w:r>
              <w:rPr>
                <w:rFonts w:hint="eastAsia"/>
                <w:color w:val="auto"/>
                <w:szCs w:val="21"/>
              </w:rPr>
              <w:t>COD、BOD</w:t>
            </w:r>
            <w:r>
              <w:rPr>
                <w:rFonts w:hint="eastAsia"/>
                <w:color w:val="auto"/>
                <w:szCs w:val="21"/>
                <w:vertAlign w:val="subscript"/>
              </w:rPr>
              <w:t>5</w:t>
            </w:r>
            <w:r>
              <w:rPr>
                <w:rFonts w:hint="eastAsia"/>
                <w:color w:val="auto"/>
                <w:szCs w:val="21"/>
              </w:rPr>
              <w:t>、SS执行《污水综合排放标准》(GB8978-1996)中表4三级标准，NH3-N执行</w:t>
            </w:r>
            <w:r>
              <w:rPr>
                <w:rFonts w:hint="eastAsia"/>
                <w:color w:val="auto"/>
                <w:szCs w:val="21"/>
                <w:lang w:eastAsia="zh-CN"/>
              </w:rPr>
              <w:t>明溪经济开发区工业污水处理厂</w:t>
            </w:r>
            <w:r>
              <w:rPr>
                <w:rFonts w:hint="eastAsia"/>
                <w:color w:val="auto"/>
                <w:szCs w:val="21"/>
              </w:rPr>
              <w:t>接管水质标准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214" w:type="dxa"/>
            <w:vAlign w:val="center"/>
          </w:tcPr>
          <w:p>
            <w:pPr>
              <w:adjustRightInd w:val="0"/>
              <w:snapToGrid w:val="0"/>
              <w:jc w:val="center"/>
              <w:rPr>
                <w:color w:val="auto"/>
                <w:szCs w:val="21"/>
              </w:rPr>
            </w:pPr>
            <w:r>
              <w:rPr>
                <w:color w:val="auto"/>
                <w:szCs w:val="21"/>
              </w:rPr>
              <w:t>声环境</w:t>
            </w:r>
          </w:p>
        </w:tc>
        <w:tc>
          <w:tcPr>
            <w:tcW w:w="1500" w:type="dxa"/>
            <w:vAlign w:val="center"/>
          </w:tcPr>
          <w:p>
            <w:pPr>
              <w:adjustRightInd w:val="0"/>
              <w:snapToGrid w:val="0"/>
              <w:jc w:val="center"/>
              <w:rPr>
                <w:color w:val="auto"/>
                <w:szCs w:val="21"/>
              </w:rPr>
            </w:pPr>
            <w:r>
              <w:rPr>
                <w:rFonts w:hint="eastAsia"/>
                <w:color w:val="auto"/>
                <w:szCs w:val="21"/>
                <w:lang w:eastAsia="zh-CN"/>
              </w:rPr>
              <w:t>车间X1</w:t>
            </w:r>
            <w:r>
              <w:rPr>
                <w:rFonts w:hint="eastAsia"/>
                <w:color w:val="auto"/>
                <w:szCs w:val="21"/>
              </w:rPr>
              <w:t>、精馏塔</w:t>
            </w:r>
          </w:p>
        </w:tc>
        <w:tc>
          <w:tcPr>
            <w:tcW w:w="1311" w:type="dxa"/>
            <w:vAlign w:val="center"/>
          </w:tcPr>
          <w:p>
            <w:pPr>
              <w:adjustRightInd w:val="0"/>
              <w:snapToGrid w:val="0"/>
              <w:jc w:val="center"/>
              <w:rPr>
                <w:color w:val="auto"/>
                <w:szCs w:val="21"/>
              </w:rPr>
            </w:pPr>
            <w:r>
              <w:rPr>
                <w:color w:val="auto"/>
                <w:szCs w:val="21"/>
              </w:rPr>
              <w:t>等效连续</w:t>
            </w:r>
          </w:p>
        </w:tc>
        <w:tc>
          <w:tcPr>
            <w:tcW w:w="1916" w:type="dxa"/>
            <w:vAlign w:val="center"/>
          </w:tcPr>
          <w:p>
            <w:pPr>
              <w:adjustRightInd w:val="0"/>
              <w:snapToGrid w:val="0"/>
              <w:jc w:val="center"/>
              <w:rPr>
                <w:color w:val="auto"/>
                <w:szCs w:val="21"/>
              </w:rPr>
            </w:pPr>
            <w:r>
              <w:rPr>
                <w:color w:val="auto"/>
                <w:szCs w:val="21"/>
              </w:rPr>
              <w:t>减振、厂房隔声</w:t>
            </w:r>
          </w:p>
        </w:tc>
        <w:tc>
          <w:tcPr>
            <w:tcW w:w="2859" w:type="dxa"/>
            <w:vAlign w:val="center"/>
          </w:tcPr>
          <w:p>
            <w:pPr>
              <w:adjustRightInd w:val="0"/>
              <w:snapToGrid w:val="0"/>
              <w:jc w:val="center"/>
              <w:rPr>
                <w:color w:val="auto"/>
                <w:szCs w:val="21"/>
              </w:rPr>
            </w:pPr>
            <w:r>
              <w:rPr>
                <w:color w:val="auto"/>
                <w:szCs w:val="21"/>
              </w:rPr>
              <w:t>厂界执行《工业企业厂界环境噪声排放标准》(GB12348-</w:t>
            </w:r>
          </w:p>
          <w:p>
            <w:pPr>
              <w:adjustRightInd w:val="0"/>
              <w:snapToGrid w:val="0"/>
              <w:jc w:val="center"/>
              <w:rPr>
                <w:color w:val="auto"/>
                <w:szCs w:val="21"/>
              </w:rPr>
            </w:pPr>
            <w:r>
              <w:rPr>
                <w:color w:val="auto"/>
                <w:szCs w:val="21"/>
              </w:rPr>
              <w:t>2008)表1中3类标准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214" w:type="dxa"/>
            <w:vAlign w:val="center"/>
          </w:tcPr>
          <w:p>
            <w:pPr>
              <w:adjustRightInd w:val="0"/>
              <w:snapToGrid w:val="0"/>
              <w:jc w:val="center"/>
              <w:rPr>
                <w:color w:val="auto"/>
                <w:szCs w:val="21"/>
              </w:rPr>
            </w:pPr>
            <w:r>
              <w:rPr>
                <w:color w:val="auto"/>
                <w:szCs w:val="21"/>
              </w:rPr>
              <w:t>电磁辐射</w:t>
            </w:r>
          </w:p>
        </w:tc>
        <w:tc>
          <w:tcPr>
            <w:tcW w:w="1500" w:type="dxa"/>
            <w:vAlign w:val="center"/>
          </w:tcPr>
          <w:p>
            <w:pPr>
              <w:adjustRightInd w:val="0"/>
              <w:snapToGrid w:val="0"/>
              <w:jc w:val="center"/>
              <w:rPr>
                <w:color w:val="auto"/>
                <w:szCs w:val="21"/>
              </w:rPr>
            </w:pPr>
            <w:r>
              <w:rPr>
                <w:color w:val="auto"/>
                <w:szCs w:val="21"/>
              </w:rPr>
              <w:t>/</w:t>
            </w:r>
          </w:p>
        </w:tc>
        <w:tc>
          <w:tcPr>
            <w:tcW w:w="1311" w:type="dxa"/>
            <w:vAlign w:val="center"/>
          </w:tcPr>
          <w:p>
            <w:pPr>
              <w:adjustRightInd w:val="0"/>
              <w:snapToGrid w:val="0"/>
              <w:jc w:val="center"/>
              <w:rPr>
                <w:color w:val="auto"/>
                <w:szCs w:val="21"/>
              </w:rPr>
            </w:pPr>
            <w:r>
              <w:rPr>
                <w:color w:val="auto"/>
                <w:szCs w:val="21"/>
              </w:rPr>
              <w:t>/</w:t>
            </w:r>
          </w:p>
        </w:tc>
        <w:tc>
          <w:tcPr>
            <w:tcW w:w="1916" w:type="dxa"/>
            <w:vAlign w:val="center"/>
          </w:tcPr>
          <w:p>
            <w:pPr>
              <w:adjustRightInd w:val="0"/>
              <w:snapToGrid w:val="0"/>
              <w:jc w:val="center"/>
              <w:rPr>
                <w:color w:val="auto"/>
                <w:szCs w:val="21"/>
              </w:rPr>
            </w:pPr>
            <w:r>
              <w:rPr>
                <w:color w:val="auto"/>
                <w:szCs w:val="21"/>
              </w:rPr>
              <w:t>/</w:t>
            </w:r>
          </w:p>
        </w:tc>
        <w:tc>
          <w:tcPr>
            <w:tcW w:w="2859" w:type="dxa"/>
            <w:vAlign w:val="center"/>
          </w:tcPr>
          <w:p>
            <w:pPr>
              <w:adjustRightInd w:val="0"/>
              <w:snapToGrid w:val="0"/>
              <w:jc w:val="center"/>
              <w:rPr>
                <w:color w:val="auto"/>
                <w:szCs w:val="21"/>
              </w:rPr>
            </w:pPr>
            <w:r>
              <w:rPr>
                <w:color w:val="auto"/>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214" w:type="dxa"/>
            <w:vAlign w:val="center"/>
          </w:tcPr>
          <w:p>
            <w:pPr>
              <w:adjustRightInd w:val="0"/>
              <w:snapToGrid w:val="0"/>
              <w:jc w:val="center"/>
              <w:rPr>
                <w:color w:val="auto"/>
                <w:szCs w:val="21"/>
              </w:rPr>
            </w:pPr>
            <w:r>
              <w:rPr>
                <w:color w:val="auto"/>
                <w:szCs w:val="21"/>
              </w:rPr>
              <w:t>固体废物</w:t>
            </w:r>
          </w:p>
        </w:tc>
        <w:tc>
          <w:tcPr>
            <w:tcW w:w="7586" w:type="dxa"/>
            <w:gridSpan w:val="4"/>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color w:val="auto"/>
                <w:szCs w:val="21"/>
              </w:rPr>
            </w:pPr>
            <w:r>
              <w:rPr>
                <w:rFonts w:hint="eastAsia" w:ascii="宋体" w:hAnsi="宋体" w:cs="宋体"/>
                <w:color w:val="auto"/>
                <w:kern w:val="0"/>
                <w:szCs w:val="21"/>
              </w:rPr>
              <w:t>①</w:t>
            </w:r>
            <w:r>
              <w:rPr>
                <w:color w:val="auto"/>
                <w:kern w:val="0"/>
                <w:szCs w:val="21"/>
              </w:rPr>
              <w:t>一般工业固废分类收集，可回收利用的外售给相应单位综合利用，不可回收利用的与生活垃圾一同处置；</w:t>
            </w:r>
            <w:r>
              <w:rPr>
                <w:rFonts w:hint="eastAsia" w:ascii="宋体" w:hAnsi="宋体" w:cs="宋体"/>
                <w:color w:val="auto"/>
                <w:kern w:val="0"/>
                <w:szCs w:val="21"/>
              </w:rPr>
              <w:t>②</w:t>
            </w:r>
            <w:r>
              <w:rPr>
                <w:color w:val="auto"/>
                <w:kern w:val="0"/>
                <w:szCs w:val="21"/>
              </w:rPr>
              <w:t>固废暂存堆放场：一般工业固废堆场地面作硬化处理，并建设顶棚及围墙，做好防风、防雨、防晒、防渗处理；</w:t>
            </w:r>
            <w:r>
              <w:rPr>
                <w:rFonts w:hint="eastAsia" w:ascii="宋体" w:hAnsi="宋体" w:cs="宋体"/>
                <w:color w:val="auto"/>
                <w:kern w:val="0"/>
                <w:szCs w:val="21"/>
              </w:rPr>
              <w:t>③</w:t>
            </w:r>
            <w:r>
              <w:rPr>
                <w:color w:val="auto"/>
                <w:kern w:val="0"/>
                <w:szCs w:val="21"/>
              </w:rPr>
              <w:t>危险废物分类收集后</w:t>
            </w:r>
            <w:r>
              <w:rPr>
                <w:rFonts w:hint="eastAsia"/>
                <w:color w:val="auto"/>
                <w:kern w:val="0"/>
                <w:szCs w:val="21"/>
              </w:rPr>
              <w:t>贮存</w:t>
            </w:r>
            <w:r>
              <w:rPr>
                <w:color w:val="auto"/>
                <w:kern w:val="0"/>
                <w:szCs w:val="21"/>
              </w:rPr>
              <w:t>于</w:t>
            </w:r>
            <w:r>
              <w:rPr>
                <w:rFonts w:hint="eastAsia"/>
                <w:color w:val="auto"/>
                <w:kern w:val="0"/>
                <w:szCs w:val="21"/>
                <w:lang w:val="en-US" w:eastAsia="zh-CN"/>
              </w:rPr>
              <w:t>二厂</w:t>
            </w:r>
            <w:r>
              <w:rPr>
                <w:rFonts w:hint="eastAsia"/>
                <w:color w:val="auto"/>
                <w:kern w:val="0"/>
                <w:szCs w:val="21"/>
              </w:rPr>
              <w:t>危险废物贮存区</w:t>
            </w:r>
            <w:r>
              <w:rPr>
                <w:color w:val="auto"/>
                <w:kern w:val="0"/>
                <w:szCs w:val="21"/>
              </w:rPr>
              <w:t>，</w:t>
            </w:r>
            <w:r>
              <w:rPr>
                <w:rFonts w:hint="eastAsia"/>
                <w:color w:val="auto"/>
                <w:kern w:val="0"/>
                <w:szCs w:val="21"/>
              </w:rPr>
              <w:t>危险废物贮存区</w:t>
            </w:r>
            <w:r>
              <w:rPr>
                <w:color w:val="auto"/>
                <w:kern w:val="0"/>
                <w:szCs w:val="21"/>
              </w:rPr>
              <w:t>的设置符合《危险废物贮存污染控制标准》</w:t>
            </w:r>
            <w:r>
              <w:rPr>
                <w:rFonts w:hint="eastAsia"/>
                <w:color w:val="auto"/>
                <w:kern w:val="0"/>
                <w:szCs w:val="21"/>
              </w:rPr>
              <w:t>(</w:t>
            </w:r>
            <w:r>
              <w:rPr>
                <w:color w:val="auto"/>
                <w:szCs w:val="21"/>
              </w:rPr>
              <w:t>GB18597-20</w:t>
            </w:r>
            <w:r>
              <w:rPr>
                <w:rFonts w:hint="eastAsia"/>
                <w:color w:val="auto"/>
                <w:szCs w:val="21"/>
              </w:rPr>
              <w:t>23</w:t>
            </w:r>
            <w:r>
              <w:rPr>
                <w:rFonts w:hint="eastAsia"/>
                <w:color w:val="auto"/>
                <w:kern w:val="0"/>
                <w:szCs w:val="21"/>
              </w:rPr>
              <w:t>)</w:t>
            </w:r>
            <w:r>
              <w:rPr>
                <w:color w:val="auto"/>
                <w:kern w:val="0"/>
                <w:szCs w:val="21"/>
              </w:rPr>
              <w:t>相关要</w:t>
            </w:r>
            <w:r>
              <w:rPr>
                <w:rFonts w:hint="eastAsia"/>
                <w:color w:val="auto"/>
                <w:kern w:val="0"/>
                <w:szCs w:val="21"/>
              </w:rPr>
              <w:t>求</w:t>
            </w:r>
            <w:r>
              <w:rPr>
                <w:color w:val="auto"/>
                <w:kern w:val="0"/>
                <w:szCs w:val="21"/>
              </w:rPr>
              <w:t>；</w:t>
            </w:r>
            <w:r>
              <w:rPr>
                <w:rFonts w:hint="eastAsia" w:ascii="宋体" w:hAnsi="宋体" w:cs="宋体"/>
                <w:color w:val="auto"/>
                <w:kern w:val="0"/>
                <w:szCs w:val="21"/>
              </w:rPr>
              <w:t>④</w:t>
            </w:r>
            <w:r>
              <w:rPr>
                <w:color w:val="auto"/>
                <w:kern w:val="0"/>
                <w:szCs w:val="21"/>
              </w:rPr>
              <w:t>建立固体废物处置和综合利用的台帐记录。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214" w:type="dxa"/>
            <w:vAlign w:val="center"/>
          </w:tcPr>
          <w:p>
            <w:pPr>
              <w:adjustRightInd w:val="0"/>
              <w:snapToGrid w:val="0"/>
              <w:jc w:val="center"/>
              <w:rPr>
                <w:color w:val="auto"/>
                <w:szCs w:val="21"/>
              </w:rPr>
            </w:pPr>
            <w:r>
              <w:rPr>
                <w:color w:val="auto"/>
                <w:szCs w:val="21"/>
              </w:rPr>
              <w:t>土壤及地下水污染防治措施</w:t>
            </w:r>
          </w:p>
        </w:tc>
        <w:tc>
          <w:tcPr>
            <w:tcW w:w="7586" w:type="dxa"/>
            <w:gridSpan w:val="4"/>
            <w:vAlign w:val="center"/>
          </w:tcPr>
          <w:p>
            <w:pPr>
              <w:adjustRightInd w:val="0"/>
              <w:snapToGrid w:val="0"/>
              <w:ind w:firstLine="420" w:firstLineChars="200"/>
              <w:rPr>
                <w:color w:val="auto"/>
                <w:szCs w:val="21"/>
              </w:rPr>
            </w:pPr>
            <w:r>
              <w:rPr>
                <w:rFonts w:hint="eastAsia"/>
                <w:color w:val="auto"/>
                <w:szCs w:val="21"/>
              </w:rPr>
              <w:t>生产车间二外新增的精馏塔区</w:t>
            </w:r>
            <w:r>
              <w:rPr>
                <w:rFonts w:hint="eastAsia"/>
                <w:color w:val="auto"/>
                <w:szCs w:val="21"/>
                <w:lang w:eastAsia="zh-CN"/>
              </w:rPr>
              <w:t>、车间X1</w:t>
            </w:r>
            <w:r>
              <w:rPr>
                <w:color w:val="auto"/>
                <w:szCs w:val="21"/>
              </w:rPr>
              <w:t>为一般污染防治区，防渗性能不应低于1.5m厚渗透系数为1×10</w:t>
            </w:r>
            <w:r>
              <w:rPr>
                <w:color w:val="auto"/>
                <w:szCs w:val="21"/>
                <w:vertAlign w:val="superscript"/>
              </w:rPr>
              <w:t>-7</w:t>
            </w:r>
            <w:r>
              <w:rPr>
                <w:color w:val="auto"/>
                <w:szCs w:val="21"/>
              </w:rPr>
              <w:t>cm/s的黏土层的防渗性能。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214" w:type="dxa"/>
            <w:vAlign w:val="center"/>
          </w:tcPr>
          <w:p>
            <w:pPr>
              <w:adjustRightInd w:val="0"/>
              <w:snapToGrid w:val="0"/>
              <w:jc w:val="center"/>
              <w:rPr>
                <w:color w:val="auto"/>
                <w:szCs w:val="21"/>
              </w:rPr>
            </w:pPr>
            <w:r>
              <w:rPr>
                <w:color w:val="auto"/>
                <w:szCs w:val="21"/>
              </w:rPr>
              <w:t>生态保护措施</w:t>
            </w:r>
          </w:p>
        </w:tc>
        <w:tc>
          <w:tcPr>
            <w:tcW w:w="7586" w:type="dxa"/>
            <w:gridSpan w:val="4"/>
            <w:vAlign w:val="center"/>
          </w:tcPr>
          <w:p>
            <w:pPr>
              <w:adjustRightInd w:val="0"/>
              <w:snapToGrid w:val="0"/>
              <w:jc w:val="center"/>
              <w:rPr>
                <w:color w:val="auto"/>
                <w:szCs w:val="21"/>
              </w:rPr>
            </w:pPr>
            <w:r>
              <w:rPr>
                <w:color w:val="auto"/>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214" w:type="dxa"/>
            <w:vAlign w:val="center"/>
          </w:tcPr>
          <w:p>
            <w:pPr>
              <w:adjustRightInd w:val="0"/>
              <w:snapToGrid w:val="0"/>
              <w:jc w:val="center"/>
              <w:rPr>
                <w:color w:val="auto"/>
                <w:spacing w:val="-8"/>
                <w:szCs w:val="21"/>
              </w:rPr>
            </w:pPr>
            <w:r>
              <w:rPr>
                <w:color w:val="auto"/>
                <w:spacing w:val="-8"/>
                <w:szCs w:val="21"/>
              </w:rPr>
              <w:t>环境风险</w:t>
            </w:r>
          </w:p>
          <w:p>
            <w:pPr>
              <w:adjustRightInd w:val="0"/>
              <w:snapToGrid w:val="0"/>
              <w:jc w:val="center"/>
              <w:rPr>
                <w:color w:val="auto"/>
                <w:spacing w:val="-8"/>
                <w:szCs w:val="21"/>
              </w:rPr>
            </w:pPr>
            <w:r>
              <w:rPr>
                <w:color w:val="auto"/>
                <w:spacing w:val="-8"/>
                <w:szCs w:val="21"/>
              </w:rPr>
              <w:t>防范措施</w:t>
            </w:r>
          </w:p>
        </w:tc>
        <w:tc>
          <w:tcPr>
            <w:tcW w:w="7586" w:type="dxa"/>
            <w:gridSpan w:val="4"/>
            <w:vAlign w:val="center"/>
          </w:tcPr>
          <w:p>
            <w:pPr>
              <w:adjustRightInd w:val="0"/>
              <w:snapToGrid w:val="0"/>
              <w:rPr>
                <w:color w:val="auto"/>
                <w:szCs w:val="21"/>
              </w:rPr>
            </w:pPr>
            <w:r>
              <w:rPr>
                <w:color w:val="auto"/>
                <w:szCs w:val="21"/>
              </w:rPr>
              <w:t>加强生产管理、原料贮运管理；设置完善的消防系统</w:t>
            </w:r>
            <w:r>
              <w:rPr>
                <w:rFonts w:hint="eastAsia"/>
                <w:color w:val="auto"/>
                <w:szCs w:val="21"/>
              </w:rPr>
              <w:t>；</w:t>
            </w:r>
            <w:r>
              <w:rPr>
                <w:color w:val="auto"/>
                <w:szCs w:val="21"/>
              </w:rPr>
              <w:t>开展员工上岗、安全培训等；加强危险废物</w:t>
            </w:r>
            <w:r>
              <w:rPr>
                <w:rFonts w:hint="eastAsia"/>
                <w:color w:val="auto"/>
                <w:szCs w:val="21"/>
              </w:rPr>
              <w:t>贮存</w:t>
            </w:r>
            <w:r>
              <w:rPr>
                <w:color w:val="auto"/>
                <w:szCs w:val="21"/>
              </w:rPr>
              <w:t>管理，按规范要求进行防渗处理</w:t>
            </w:r>
            <w:r>
              <w:rPr>
                <w:rFonts w:hint="eastAsia"/>
                <w:color w:val="auto"/>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80" w:hRule="atLeast"/>
        </w:trPr>
        <w:tc>
          <w:tcPr>
            <w:tcW w:w="1214" w:type="dxa"/>
            <w:vAlign w:val="center"/>
          </w:tcPr>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r>
              <w:rPr>
                <w:color w:val="auto"/>
                <w:spacing w:val="-8"/>
                <w:szCs w:val="21"/>
              </w:rPr>
              <w:t>其他环境</w:t>
            </w:r>
          </w:p>
          <w:p>
            <w:pPr>
              <w:adjustRightInd w:val="0"/>
              <w:snapToGrid w:val="0"/>
              <w:jc w:val="center"/>
              <w:rPr>
                <w:color w:val="auto"/>
                <w:spacing w:val="-8"/>
                <w:szCs w:val="21"/>
              </w:rPr>
            </w:pPr>
            <w:r>
              <w:rPr>
                <w:color w:val="auto"/>
                <w:spacing w:val="-8"/>
                <w:szCs w:val="21"/>
              </w:rPr>
              <w:t>管理要求</w:t>
            </w: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r>
              <w:rPr>
                <w:color w:val="auto"/>
                <w:spacing w:val="-8"/>
                <w:szCs w:val="21"/>
              </w:rPr>
              <w:t>其他环境</w:t>
            </w:r>
          </w:p>
          <w:p>
            <w:pPr>
              <w:adjustRightInd w:val="0"/>
              <w:snapToGrid w:val="0"/>
              <w:jc w:val="center"/>
              <w:rPr>
                <w:color w:val="auto"/>
                <w:spacing w:val="-8"/>
                <w:szCs w:val="21"/>
              </w:rPr>
            </w:pPr>
            <w:r>
              <w:rPr>
                <w:color w:val="auto"/>
                <w:spacing w:val="-8"/>
                <w:szCs w:val="21"/>
              </w:rPr>
              <w:t>管理要求</w:t>
            </w: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r>
              <w:rPr>
                <w:color w:val="auto"/>
                <w:spacing w:val="-8"/>
                <w:szCs w:val="21"/>
              </w:rPr>
              <w:t>其他环境</w:t>
            </w:r>
          </w:p>
          <w:p>
            <w:pPr>
              <w:adjustRightInd w:val="0"/>
              <w:snapToGrid w:val="0"/>
              <w:jc w:val="center"/>
              <w:rPr>
                <w:color w:val="auto"/>
                <w:spacing w:val="-8"/>
                <w:szCs w:val="21"/>
              </w:rPr>
            </w:pPr>
            <w:r>
              <w:rPr>
                <w:color w:val="auto"/>
                <w:spacing w:val="-8"/>
                <w:szCs w:val="21"/>
              </w:rPr>
              <w:t>管理要求</w:t>
            </w: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p>
            <w:pPr>
              <w:adjustRightInd w:val="0"/>
              <w:snapToGrid w:val="0"/>
              <w:jc w:val="center"/>
              <w:rPr>
                <w:color w:val="auto"/>
                <w:spacing w:val="-8"/>
                <w:szCs w:val="21"/>
              </w:rPr>
            </w:pPr>
          </w:p>
        </w:tc>
        <w:tc>
          <w:tcPr>
            <w:tcW w:w="7586" w:type="dxa"/>
            <w:gridSpan w:val="4"/>
            <w:vAlign w:val="center"/>
          </w:tcPr>
          <w:p>
            <w:pPr>
              <w:adjustRightInd w:val="0"/>
              <w:snapToGrid w:val="0"/>
              <w:spacing w:line="360" w:lineRule="auto"/>
              <w:rPr>
                <w:b/>
                <w:bCs/>
                <w:color w:val="auto"/>
                <w:szCs w:val="21"/>
              </w:rPr>
            </w:pPr>
            <w:r>
              <w:rPr>
                <w:rFonts w:hint="eastAsia"/>
                <w:b/>
                <w:bCs/>
                <w:color w:val="auto"/>
                <w:szCs w:val="21"/>
              </w:rPr>
              <w:t>1.环境管理</w:t>
            </w:r>
          </w:p>
          <w:p>
            <w:pPr>
              <w:adjustRightInd w:val="0"/>
              <w:snapToGrid w:val="0"/>
              <w:spacing w:line="360" w:lineRule="auto"/>
              <w:ind w:firstLine="420" w:firstLineChars="200"/>
              <w:rPr>
                <w:color w:val="auto"/>
                <w:szCs w:val="21"/>
              </w:rPr>
            </w:pPr>
            <w:r>
              <w:rPr>
                <w:rFonts w:hint="eastAsia"/>
                <w:color w:val="auto"/>
                <w:szCs w:val="21"/>
              </w:rPr>
              <w:t>环境管理是企业管理工作的重要组成部分，其主要目的是通过环境管理工作的开展，落实各项环保措施，制定出详尽的项目环境管理监控</w:t>
            </w:r>
            <w:r>
              <w:rPr>
                <w:color w:val="auto"/>
                <w:szCs w:val="21"/>
              </w:rPr>
              <w:t>(</w:t>
            </w:r>
            <w:r>
              <w:rPr>
                <w:rFonts w:hint="eastAsia"/>
                <w:color w:val="auto"/>
                <w:szCs w:val="21"/>
              </w:rPr>
              <w:t>管</w:t>
            </w:r>
            <w:r>
              <w:rPr>
                <w:color w:val="auto"/>
                <w:szCs w:val="21"/>
              </w:rPr>
              <w:t>)</w:t>
            </w:r>
            <w:r>
              <w:rPr>
                <w:rFonts w:hint="eastAsia"/>
                <w:color w:val="auto"/>
                <w:szCs w:val="21"/>
              </w:rPr>
              <w:t>计划并广泛的实施，避免因管理不善而可能产生的各种环境事故和风险，确保污染源稳定达标排放。为此，企业应加强管理，建立健全环境管理体系，设立专门的环保机构和专职负责人，配备环保人员，确定相应的职责和工作计划，负责全厂的环境管理工作。</w:t>
            </w:r>
          </w:p>
          <w:p>
            <w:pPr>
              <w:adjustRightInd w:val="0"/>
              <w:snapToGrid w:val="0"/>
              <w:spacing w:line="360" w:lineRule="auto"/>
              <w:rPr>
                <w:b/>
                <w:bCs/>
                <w:color w:val="auto"/>
                <w:szCs w:val="21"/>
              </w:rPr>
            </w:pPr>
            <w:r>
              <w:rPr>
                <w:rFonts w:hint="eastAsia"/>
                <w:b/>
                <w:bCs/>
                <w:color w:val="auto"/>
                <w:szCs w:val="21"/>
              </w:rPr>
              <w:t>2.环境监测计划</w:t>
            </w:r>
          </w:p>
          <w:p>
            <w:pPr>
              <w:adjustRightInd w:val="0"/>
              <w:snapToGrid w:val="0"/>
              <w:spacing w:line="360" w:lineRule="auto"/>
              <w:ind w:firstLine="420" w:firstLineChars="200"/>
              <w:rPr>
                <w:color w:val="auto"/>
                <w:szCs w:val="21"/>
              </w:rPr>
            </w:pPr>
            <w:r>
              <w:rPr>
                <w:rFonts w:hint="eastAsia"/>
                <w:color w:val="auto"/>
                <w:szCs w:val="21"/>
              </w:rPr>
              <w:t>为切实控制本工程治理设施的有效地运行和污染物达标排放，落实排放总量控制制度，根据《建设项目环境保护管理条例》第八条的规定，本环评对建设项目提出环境监测计划建议。</w:t>
            </w:r>
          </w:p>
          <w:p>
            <w:pPr>
              <w:adjustRightInd w:val="0"/>
              <w:snapToGrid w:val="0"/>
              <w:spacing w:line="360" w:lineRule="auto"/>
              <w:ind w:firstLine="420" w:firstLineChars="200"/>
              <w:rPr>
                <w:color w:val="auto"/>
                <w:szCs w:val="21"/>
              </w:rPr>
            </w:pPr>
            <w:r>
              <w:rPr>
                <w:rFonts w:hint="eastAsia"/>
                <w:color w:val="auto"/>
                <w:szCs w:val="21"/>
              </w:rPr>
              <w:t>监测方法：</w:t>
            </w:r>
            <w:r>
              <w:rPr>
                <w:color w:val="auto"/>
                <w:szCs w:val="21"/>
              </w:rPr>
              <w:t>环境监测方法应参考《环境监测技术规范》规定的方法</w:t>
            </w:r>
            <w:r>
              <w:rPr>
                <w:rFonts w:hint="eastAsia"/>
                <w:color w:val="auto"/>
                <w:szCs w:val="21"/>
              </w:rPr>
              <w:t>。</w:t>
            </w:r>
          </w:p>
          <w:p>
            <w:pPr>
              <w:adjustRightInd w:val="0"/>
              <w:snapToGrid w:val="0"/>
              <w:spacing w:line="360" w:lineRule="auto"/>
              <w:ind w:firstLine="420" w:firstLineChars="200"/>
              <w:rPr>
                <w:color w:val="auto"/>
                <w:szCs w:val="21"/>
              </w:rPr>
            </w:pPr>
            <w:r>
              <w:rPr>
                <w:rFonts w:hint="eastAsia"/>
                <w:color w:val="auto"/>
                <w:szCs w:val="21"/>
              </w:rPr>
              <w:t>本环评根据《排污单位自行监测技术指南  总则》（HJ819-2017）、《排污许可证申请与核发技术规范 橡胶和塑料制品工业》（HJ1122-2020）</w:t>
            </w:r>
            <w:r>
              <w:rPr>
                <w:rFonts w:hint="eastAsia"/>
                <w:color w:val="auto"/>
                <w:szCs w:val="21"/>
                <w:lang w:eastAsia="zh-CN"/>
              </w:rPr>
              <w:t>、《排污单位自行监测技术指南 橡胶和塑料制品》（</w:t>
            </w:r>
            <w:r>
              <w:rPr>
                <w:rFonts w:hint="eastAsia"/>
                <w:color w:val="auto"/>
                <w:szCs w:val="21"/>
                <w:lang w:val="en-US" w:eastAsia="zh-CN"/>
              </w:rPr>
              <w:t>HJ1207-2021</w:t>
            </w:r>
            <w:r>
              <w:rPr>
                <w:rFonts w:hint="eastAsia"/>
                <w:color w:val="auto"/>
                <w:szCs w:val="21"/>
                <w:lang w:eastAsia="zh-CN"/>
              </w:rPr>
              <w:t>）</w:t>
            </w:r>
            <w:r>
              <w:rPr>
                <w:rFonts w:hint="eastAsia"/>
                <w:color w:val="auto"/>
                <w:szCs w:val="21"/>
              </w:rPr>
              <w:t>，对建设项目污染源提出环境监测计划建议，见下表。</w:t>
            </w:r>
          </w:p>
          <w:p>
            <w:pPr>
              <w:spacing w:before="194" w:beforeLines="50"/>
              <w:jc w:val="center"/>
              <w:outlineLvl w:val="5"/>
              <w:rPr>
                <w:rFonts w:hint="eastAsia"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表5-1项目运营期污染源监测计划汇总一览表</w:t>
            </w:r>
          </w:p>
          <w:tbl>
            <w:tblPr>
              <w:tblStyle w:val="1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0"/>
              <w:gridCol w:w="1714"/>
              <w:gridCol w:w="3552"/>
              <w:gridCol w:w="11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 w:hRule="atLeast"/>
                <w:jc w:val="center"/>
              </w:trPr>
              <w:tc>
                <w:tcPr>
                  <w:tcW w:w="659" w:type="pct"/>
                  <w:tcMar>
                    <w:left w:w="28" w:type="dxa"/>
                    <w:right w:w="28" w:type="dxa"/>
                  </w:tcMar>
                  <w:vAlign w:val="center"/>
                </w:tcPr>
                <w:p>
                  <w:pPr>
                    <w:pStyle w:val="31"/>
                    <w:adjustRightInd w:val="0"/>
                    <w:snapToGrid w:val="0"/>
                    <w:ind w:left="-63" w:right="-63"/>
                    <w:rPr>
                      <w:color w:val="auto"/>
                      <w:sz w:val="18"/>
                      <w:szCs w:val="18"/>
                    </w:rPr>
                  </w:pPr>
                  <w:r>
                    <w:rPr>
                      <w:color w:val="auto"/>
                      <w:sz w:val="18"/>
                      <w:szCs w:val="18"/>
                    </w:rPr>
                    <w:t>项目</w:t>
                  </w:r>
                </w:p>
              </w:tc>
              <w:tc>
                <w:tcPr>
                  <w:tcW w:w="1165" w:type="pct"/>
                  <w:tcMar>
                    <w:left w:w="28" w:type="dxa"/>
                    <w:right w:w="28" w:type="dxa"/>
                  </w:tcMar>
                  <w:vAlign w:val="center"/>
                </w:tcPr>
                <w:p>
                  <w:pPr>
                    <w:pStyle w:val="31"/>
                    <w:adjustRightInd w:val="0"/>
                    <w:snapToGrid w:val="0"/>
                    <w:ind w:left="-63" w:right="-63"/>
                    <w:rPr>
                      <w:color w:val="auto"/>
                      <w:sz w:val="18"/>
                      <w:szCs w:val="18"/>
                    </w:rPr>
                  </w:pPr>
                  <w:r>
                    <w:rPr>
                      <w:color w:val="auto"/>
                      <w:sz w:val="18"/>
                      <w:szCs w:val="18"/>
                    </w:rPr>
                    <w:t>监测点</w:t>
                  </w:r>
                </w:p>
              </w:tc>
              <w:tc>
                <w:tcPr>
                  <w:tcW w:w="2414" w:type="pct"/>
                  <w:tcMar>
                    <w:left w:w="28" w:type="dxa"/>
                    <w:right w:w="28" w:type="dxa"/>
                  </w:tcMar>
                  <w:vAlign w:val="center"/>
                </w:tcPr>
                <w:p>
                  <w:pPr>
                    <w:pStyle w:val="31"/>
                    <w:adjustRightInd w:val="0"/>
                    <w:snapToGrid w:val="0"/>
                    <w:ind w:left="-63" w:right="-63"/>
                    <w:rPr>
                      <w:color w:val="auto"/>
                      <w:sz w:val="18"/>
                      <w:szCs w:val="18"/>
                    </w:rPr>
                  </w:pPr>
                  <w:r>
                    <w:rPr>
                      <w:color w:val="auto"/>
                      <w:sz w:val="18"/>
                      <w:szCs w:val="18"/>
                    </w:rPr>
                    <w:t>监测因子</w:t>
                  </w:r>
                </w:p>
              </w:tc>
              <w:tc>
                <w:tcPr>
                  <w:tcW w:w="761" w:type="pct"/>
                  <w:tcMar>
                    <w:left w:w="28" w:type="dxa"/>
                    <w:right w:w="28" w:type="dxa"/>
                  </w:tcMar>
                  <w:vAlign w:val="center"/>
                </w:tcPr>
                <w:p>
                  <w:pPr>
                    <w:pStyle w:val="31"/>
                    <w:adjustRightInd w:val="0"/>
                    <w:snapToGrid w:val="0"/>
                    <w:ind w:left="-63" w:right="-63"/>
                    <w:rPr>
                      <w:color w:val="auto"/>
                      <w:sz w:val="18"/>
                      <w:szCs w:val="18"/>
                    </w:rPr>
                  </w:pPr>
                  <w:r>
                    <w:rPr>
                      <w:color w:val="auto"/>
                      <w:sz w:val="18"/>
                      <w:szCs w:val="18"/>
                    </w:rPr>
                    <w:t>监测频率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 w:hRule="atLeast"/>
                <w:jc w:val="center"/>
              </w:trPr>
              <w:tc>
                <w:tcPr>
                  <w:tcW w:w="659" w:type="pct"/>
                  <w:vMerge w:val="restart"/>
                  <w:tcMar>
                    <w:left w:w="28" w:type="dxa"/>
                    <w:right w:w="28" w:type="dxa"/>
                  </w:tcMar>
                  <w:vAlign w:val="center"/>
                </w:tcPr>
                <w:p>
                  <w:pPr>
                    <w:pStyle w:val="31"/>
                    <w:adjustRightInd w:val="0"/>
                    <w:snapToGrid w:val="0"/>
                    <w:ind w:left="-63" w:right="-63"/>
                    <w:rPr>
                      <w:color w:val="auto"/>
                      <w:sz w:val="18"/>
                      <w:szCs w:val="18"/>
                    </w:rPr>
                  </w:pPr>
                  <w:r>
                    <w:rPr>
                      <w:color w:val="auto"/>
                      <w:sz w:val="18"/>
                      <w:szCs w:val="18"/>
                    </w:rPr>
                    <w:t>废气</w:t>
                  </w:r>
                </w:p>
              </w:tc>
              <w:tc>
                <w:tcPr>
                  <w:tcW w:w="1165" w:type="pct"/>
                  <w:tcMar>
                    <w:left w:w="28" w:type="dxa"/>
                    <w:right w:w="28" w:type="dxa"/>
                  </w:tcMar>
                  <w:vAlign w:val="center"/>
                </w:tcPr>
                <w:p>
                  <w:pPr>
                    <w:pStyle w:val="31"/>
                    <w:adjustRightInd w:val="0"/>
                    <w:snapToGrid w:val="0"/>
                    <w:ind w:left="-63" w:right="-63"/>
                    <w:rPr>
                      <w:rFonts w:hint="default" w:eastAsia="宋体"/>
                      <w:color w:val="auto"/>
                      <w:sz w:val="18"/>
                      <w:szCs w:val="18"/>
                      <w:lang w:val="en-US" w:eastAsia="zh-CN"/>
                    </w:rPr>
                  </w:pPr>
                  <w:r>
                    <w:rPr>
                      <w:rFonts w:hint="eastAsia"/>
                      <w:color w:val="auto"/>
                      <w:sz w:val="18"/>
                      <w:szCs w:val="18"/>
                      <w:lang w:val="en-US" w:eastAsia="zh-CN"/>
                    </w:rPr>
                    <w:t>DA013</w:t>
                  </w:r>
                </w:p>
              </w:tc>
              <w:tc>
                <w:tcPr>
                  <w:tcW w:w="2414" w:type="pct"/>
                  <w:tcMar>
                    <w:left w:w="28" w:type="dxa"/>
                    <w:right w:w="28" w:type="dxa"/>
                  </w:tcMar>
                  <w:vAlign w:val="center"/>
                </w:tcPr>
                <w:p>
                  <w:pPr>
                    <w:pStyle w:val="31"/>
                    <w:adjustRightInd w:val="0"/>
                    <w:snapToGrid w:val="0"/>
                    <w:ind w:left="-63" w:right="-63"/>
                    <w:rPr>
                      <w:color w:val="auto"/>
                      <w:sz w:val="18"/>
                      <w:szCs w:val="18"/>
                    </w:rPr>
                  </w:pPr>
                  <w:r>
                    <w:rPr>
                      <w:rFonts w:hint="eastAsia"/>
                      <w:color w:val="auto"/>
                      <w:sz w:val="18"/>
                      <w:szCs w:val="18"/>
                    </w:rPr>
                    <w:t>非甲烷总烃</w:t>
                  </w:r>
                </w:p>
              </w:tc>
              <w:tc>
                <w:tcPr>
                  <w:tcW w:w="761" w:type="pct"/>
                  <w:tcMar>
                    <w:left w:w="28" w:type="dxa"/>
                    <w:right w:w="28" w:type="dxa"/>
                  </w:tcMar>
                  <w:vAlign w:val="center"/>
                </w:tcPr>
                <w:p>
                  <w:pPr>
                    <w:jc w:val="center"/>
                    <w:rPr>
                      <w:color w:val="auto"/>
                      <w:sz w:val="18"/>
                      <w:szCs w:val="18"/>
                    </w:rPr>
                  </w:pPr>
                  <w:r>
                    <w:rPr>
                      <w:color w:val="auto"/>
                      <w:sz w:val="18"/>
                      <w:szCs w:val="18"/>
                    </w:rPr>
                    <w:t>1次/</w:t>
                  </w:r>
                  <w:r>
                    <w:rPr>
                      <w:rFonts w:hint="eastAsia"/>
                      <w:color w:val="auto"/>
                      <w:sz w:val="18"/>
                      <w:szCs w:val="18"/>
                    </w:rPr>
                    <w:t>季度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 w:hRule="atLeast"/>
                <w:jc w:val="center"/>
              </w:trPr>
              <w:tc>
                <w:tcPr>
                  <w:tcW w:w="659" w:type="pct"/>
                  <w:vMerge w:val="continue"/>
                  <w:tcMar>
                    <w:left w:w="28" w:type="dxa"/>
                    <w:right w:w="28" w:type="dxa"/>
                  </w:tcMar>
                  <w:vAlign w:val="center"/>
                </w:tcPr>
                <w:p>
                  <w:pPr>
                    <w:pStyle w:val="31"/>
                    <w:adjustRightInd w:val="0"/>
                    <w:snapToGrid w:val="0"/>
                    <w:ind w:left="-63" w:right="-63"/>
                    <w:rPr>
                      <w:color w:val="auto"/>
                      <w:sz w:val="18"/>
                      <w:szCs w:val="18"/>
                    </w:rPr>
                  </w:pPr>
                </w:p>
              </w:tc>
              <w:tc>
                <w:tcPr>
                  <w:tcW w:w="1165" w:type="pct"/>
                  <w:tcMar>
                    <w:left w:w="28" w:type="dxa"/>
                    <w:right w:w="28" w:type="dxa"/>
                  </w:tcMar>
                  <w:vAlign w:val="center"/>
                </w:tcPr>
                <w:p>
                  <w:pPr>
                    <w:pStyle w:val="31"/>
                    <w:adjustRightInd w:val="0"/>
                    <w:snapToGrid w:val="0"/>
                    <w:ind w:left="-63" w:right="-63"/>
                    <w:rPr>
                      <w:rFonts w:hint="default" w:eastAsia="宋体"/>
                      <w:color w:val="auto"/>
                      <w:sz w:val="18"/>
                      <w:szCs w:val="18"/>
                      <w:lang w:val="en-US" w:eastAsia="zh-CN"/>
                    </w:rPr>
                  </w:pPr>
                  <w:r>
                    <w:rPr>
                      <w:rFonts w:hint="eastAsia"/>
                      <w:color w:val="auto"/>
                      <w:sz w:val="18"/>
                      <w:szCs w:val="18"/>
                      <w:lang w:val="en-US" w:eastAsia="zh-CN"/>
                    </w:rPr>
                    <w:t>DA002</w:t>
                  </w:r>
                </w:p>
              </w:tc>
              <w:tc>
                <w:tcPr>
                  <w:tcW w:w="2414" w:type="pct"/>
                  <w:tcMar>
                    <w:left w:w="28" w:type="dxa"/>
                    <w:right w:w="28" w:type="dxa"/>
                  </w:tcMar>
                  <w:vAlign w:val="center"/>
                </w:tcPr>
                <w:p>
                  <w:pPr>
                    <w:pStyle w:val="31"/>
                    <w:adjustRightInd w:val="0"/>
                    <w:snapToGrid w:val="0"/>
                    <w:ind w:left="-63" w:right="-63"/>
                    <w:rPr>
                      <w:color w:val="auto"/>
                      <w:sz w:val="18"/>
                      <w:szCs w:val="18"/>
                    </w:rPr>
                  </w:pPr>
                  <w:r>
                    <w:rPr>
                      <w:rFonts w:hint="eastAsia"/>
                      <w:color w:val="auto"/>
                      <w:sz w:val="18"/>
                      <w:szCs w:val="18"/>
                    </w:rPr>
                    <w:t>非甲烷总烃</w:t>
                  </w:r>
                </w:p>
              </w:tc>
              <w:tc>
                <w:tcPr>
                  <w:tcW w:w="761" w:type="pct"/>
                  <w:tcMar>
                    <w:left w:w="28" w:type="dxa"/>
                    <w:right w:w="28" w:type="dxa"/>
                  </w:tcMar>
                  <w:vAlign w:val="center"/>
                </w:tcPr>
                <w:p>
                  <w:pPr>
                    <w:jc w:val="center"/>
                    <w:rPr>
                      <w:color w:val="auto"/>
                      <w:sz w:val="18"/>
                      <w:szCs w:val="18"/>
                    </w:rPr>
                  </w:pPr>
                  <w:r>
                    <w:rPr>
                      <w:color w:val="auto"/>
                      <w:sz w:val="18"/>
                      <w:szCs w:val="18"/>
                    </w:rPr>
                    <w:t>1次/</w:t>
                  </w:r>
                  <w:r>
                    <w:rPr>
                      <w:rFonts w:hint="eastAsia"/>
                      <w:color w:val="auto"/>
                      <w:sz w:val="18"/>
                      <w:szCs w:val="18"/>
                    </w:rPr>
                    <w:t>季度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 w:hRule="atLeast"/>
                <w:jc w:val="center"/>
              </w:trPr>
              <w:tc>
                <w:tcPr>
                  <w:tcW w:w="659" w:type="pct"/>
                  <w:vMerge w:val="continue"/>
                  <w:tcMar>
                    <w:left w:w="28" w:type="dxa"/>
                    <w:right w:w="28" w:type="dxa"/>
                  </w:tcMar>
                  <w:vAlign w:val="center"/>
                </w:tcPr>
                <w:p>
                  <w:pPr>
                    <w:pStyle w:val="31"/>
                    <w:adjustRightInd w:val="0"/>
                    <w:snapToGrid w:val="0"/>
                    <w:ind w:left="-63" w:right="-63"/>
                    <w:rPr>
                      <w:color w:val="auto"/>
                      <w:sz w:val="18"/>
                      <w:szCs w:val="18"/>
                    </w:rPr>
                  </w:pPr>
                </w:p>
              </w:tc>
              <w:tc>
                <w:tcPr>
                  <w:tcW w:w="1165" w:type="pct"/>
                  <w:tcMar>
                    <w:left w:w="28" w:type="dxa"/>
                    <w:right w:w="28" w:type="dxa"/>
                  </w:tcMar>
                  <w:vAlign w:val="center"/>
                </w:tcPr>
                <w:p>
                  <w:pPr>
                    <w:pStyle w:val="31"/>
                    <w:adjustRightInd w:val="0"/>
                    <w:snapToGrid w:val="0"/>
                    <w:ind w:left="-63" w:right="-63"/>
                    <w:rPr>
                      <w:color w:val="auto"/>
                      <w:sz w:val="18"/>
                      <w:szCs w:val="18"/>
                    </w:rPr>
                  </w:pPr>
                  <w:r>
                    <w:rPr>
                      <w:color w:val="auto"/>
                      <w:sz w:val="18"/>
                      <w:szCs w:val="18"/>
                    </w:rPr>
                    <w:t>厂界</w:t>
                  </w:r>
                </w:p>
              </w:tc>
              <w:tc>
                <w:tcPr>
                  <w:tcW w:w="2414" w:type="pct"/>
                  <w:tcMar>
                    <w:left w:w="28" w:type="dxa"/>
                    <w:right w:w="28" w:type="dxa"/>
                  </w:tcMar>
                  <w:vAlign w:val="center"/>
                </w:tcPr>
                <w:p>
                  <w:pPr>
                    <w:pStyle w:val="31"/>
                    <w:adjustRightInd w:val="0"/>
                    <w:snapToGrid w:val="0"/>
                    <w:ind w:left="-63" w:right="-63"/>
                    <w:rPr>
                      <w:color w:val="auto"/>
                      <w:sz w:val="18"/>
                      <w:szCs w:val="18"/>
                    </w:rPr>
                  </w:pPr>
                  <w:r>
                    <w:rPr>
                      <w:rFonts w:hint="eastAsia"/>
                      <w:color w:val="auto"/>
                      <w:sz w:val="18"/>
                      <w:szCs w:val="18"/>
                    </w:rPr>
                    <w:t>非甲烷总烃</w:t>
                  </w:r>
                </w:p>
              </w:tc>
              <w:tc>
                <w:tcPr>
                  <w:tcW w:w="761" w:type="pct"/>
                  <w:tcMar>
                    <w:left w:w="28" w:type="dxa"/>
                    <w:right w:w="28" w:type="dxa"/>
                  </w:tcMar>
                  <w:vAlign w:val="center"/>
                </w:tcPr>
                <w:p>
                  <w:pPr>
                    <w:pStyle w:val="31"/>
                    <w:adjustRightInd w:val="0"/>
                    <w:snapToGrid w:val="0"/>
                    <w:ind w:left="-63" w:right="-63"/>
                    <w:rPr>
                      <w:color w:val="auto"/>
                      <w:sz w:val="18"/>
                      <w:szCs w:val="18"/>
                    </w:rPr>
                  </w:pPr>
                  <w:r>
                    <w:rPr>
                      <w:color w:val="auto"/>
                      <w:sz w:val="18"/>
                      <w:szCs w:val="18"/>
                    </w:rPr>
                    <w:t>1次/半年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659" w:type="pct"/>
                  <w:tcMar>
                    <w:left w:w="28" w:type="dxa"/>
                    <w:right w:w="28" w:type="dxa"/>
                  </w:tcMar>
                  <w:vAlign w:val="center"/>
                </w:tcPr>
                <w:p>
                  <w:pPr>
                    <w:pStyle w:val="31"/>
                    <w:adjustRightInd w:val="0"/>
                    <w:snapToGrid w:val="0"/>
                    <w:ind w:left="-63" w:right="-63"/>
                    <w:rPr>
                      <w:color w:val="auto"/>
                      <w:sz w:val="18"/>
                      <w:szCs w:val="18"/>
                    </w:rPr>
                  </w:pPr>
                  <w:r>
                    <w:rPr>
                      <w:color w:val="auto"/>
                      <w:sz w:val="18"/>
                      <w:szCs w:val="18"/>
                    </w:rPr>
                    <w:t>废水</w:t>
                  </w:r>
                </w:p>
              </w:tc>
              <w:tc>
                <w:tcPr>
                  <w:tcW w:w="1165" w:type="pct"/>
                  <w:tcMar>
                    <w:left w:w="28" w:type="dxa"/>
                    <w:right w:w="28" w:type="dxa"/>
                  </w:tcMar>
                  <w:vAlign w:val="center"/>
                </w:tcPr>
                <w:p>
                  <w:pPr>
                    <w:pStyle w:val="31"/>
                    <w:adjustRightInd w:val="0"/>
                    <w:snapToGrid w:val="0"/>
                    <w:ind w:left="-63" w:right="-63"/>
                    <w:rPr>
                      <w:color w:val="auto"/>
                      <w:sz w:val="18"/>
                      <w:szCs w:val="18"/>
                    </w:rPr>
                  </w:pPr>
                  <w:r>
                    <w:rPr>
                      <w:color w:val="auto"/>
                      <w:sz w:val="18"/>
                      <w:szCs w:val="18"/>
                    </w:rPr>
                    <w:t>废水排放口</w:t>
                  </w:r>
                  <w:r>
                    <w:rPr>
                      <w:rFonts w:hint="eastAsia"/>
                      <w:color w:val="auto"/>
                      <w:sz w:val="18"/>
                      <w:szCs w:val="18"/>
                    </w:rPr>
                    <w:t>DW001</w:t>
                  </w:r>
                </w:p>
              </w:tc>
              <w:tc>
                <w:tcPr>
                  <w:tcW w:w="2414" w:type="pct"/>
                  <w:tcMar>
                    <w:left w:w="28" w:type="dxa"/>
                    <w:right w:w="28" w:type="dxa"/>
                  </w:tcMar>
                  <w:vAlign w:val="center"/>
                </w:tcPr>
                <w:p>
                  <w:pPr>
                    <w:pStyle w:val="31"/>
                    <w:adjustRightInd w:val="0"/>
                    <w:snapToGrid w:val="0"/>
                    <w:ind w:left="-63" w:right="-63"/>
                    <w:rPr>
                      <w:color w:val="auto"/>
                      <w:sz w:val="18"/>
                      <w:szCs w:val="18"/>
                    </w:rPr>
                  </w:pPr>
                  <w:r>
                    <w:rPr>
                      <w:rFonts w:hint="eastAsia"/>
                      <w:color w:val="auto"/>
                      <w:sz w:val="18"/>
                      <w:szCs w:val="18"/>
                    </w:rPr>
                    <w:t>COD、BOD</w:t>
                  </w:r>
                  <w:r>
                    <w:rPr>
                      <w:rFonts w:hint="eastAsia"/>
                      <w:color w:val="auto"/>
                      <w:sz w:val="18"/>
                      <w:szCs w:val="18"/>
                      <w:vertAlign w:val="subscript"/>
                    </w:rPr>
                    <w:t>5</w:t>
                  </w:r>
                  <w:r>
                    <w:rPr>
                      <w:rFonts w:hint="eastAsia"/>
                      <w:color w:val="auto"/>
                      <w:sz w:val="18"/>
                      <w:szCs w:val="18"/>
                    </w:rPr>
                    <w:t>、SS、氨氮</w:t>
                  </w:r>
                </w:p>
              </w:tc>
              <w:tc>
                <w:tcPr>
                  <w:tcW w:w="761" w:type="pct"/>
                  <w:tcMar>
                    <w:left w:w="28" w:type="dxa"/>
                    <w:right w:w="28" w:type="dxa"/>
                  </w:tcMar>
                  <w:vAlign w:val="center"/>
                </w:tcPr>
                <w:p>
                  <w:pPr>
                    <w:pStyle w:val="31"/>
                    <w:adjustRightInd w:val="0"/>
                    <w:snapToGrid w:val="0"/>
                    <w:ind w:left="-63" w:right="-63"/>
                    <w:rPr>
                      <w:color w:val="auto"/>
                      <w:sz w:val="18"/>
                      <w:szCs w:val="18"/>
                    </w:rPr>
                  </w:pPr>
                  <w:r>
                    <w:rPr>
                      <w:color w:val="auto"/>
                      <w:sz w:val="18"/>
                      <w:szCs w:val="18"/>
                    </w:rPr>
                    <w:t>1次/</w:t>
                  </w:r>
                  <w:r>
                    <w:rPr>
                      <w:rFonts w:hint="eastAsia"/>
                      <w:color w:val="auto"/>
                      <w:sz w:val="18"/>
                      <w:szCs w:val="18"/>
                    </w:rPr>
                    <w:t>半年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 w:hRule="atLeast"/>
                <w:jc w:val="center"/>
              </w:trPr>
              <w:tc>
                <w:tcPr>
                  <w:tcW w:w="659" w:type="pct"/>
                  <w:tcMar>
                    <w:left w:w="28" w:type="dxa"/>
                    <w:right w:w="28" w:type="dxa"/>
                  </w:tcMar>
                  <w:vAlign w:val="center"/>
                </w:tcPr>
                <w:p>
                  <w:pPr>
                    <w:pStyle w:val="31"/>
                    <w:adjustRightInd w:val="0"/>
                    <w:snapToGrid w:val="0"/>
                    <w:ind w:left="-63" w:right="-63"/>
                    <w:rPr>
                      <w:color w:val="auto"/>
                      <w:sz w:val="18"/>
                      <w:szCs w:val="18"/>
                    </w:rPr>
                  </w:pPr>
                  <w:r>
                    <w:rPr>
                      <w:color w:val="auto"/>
                      <w:sz w:val="18"/>
                      <w:szCs w:val="18"/>
                    </w:rPr>
                    <w:t>噪声</w:t>
                  </w:r>
                </w:p>
              </w:tc>
              <w:tc>
                <w:tcPr>
                  <w:tcW w:w="1165" w:type="pct"/>
                  <w:tcMar>
                    <w:left w:w="28" w:type="dxa"/>
                    <w:right w:w="28" w:type="dxa"/>
                  </w:tcMar>
                  <w:vAlign w:val="center"/>
                </w:tcPr>
                <w:p>
                  <w:pPr>
                    <w:pStyle w:val="31"/>
                    <w:adjustRightInd w:val="0"/>
                    <w:snapToGrid w:val="0"/>
                    <w:ind w:left="-63" w:right="-63"/>
                    <w:rPr>
                      <w:color w:val="auto"/>
                      <w:sz w:val="18"/>
                      <w:szCs w:val="18"/>
                    </w:rPr>
                  </w:pPr>
                  <w:r>
                    <w:rPr>
                      <w:rFonts w:hint="eastAsia"/>
                      <w:color w:val="auto"/>
                      <w:sz w:val="18"/>
                      <w:szCs w:val="18"/>
                    </w:rPr>
                    <w:t>四周厂界</w:t>
                  </w:r>
                </w:p>
              </w:tc>
              <w:tc>
                <w:tcPr>
                  <w:tcW w:w="2414" w:type="pct"/>
                  <w:tcMar>
                    <w:left w:w="28" w:type="dxa"/>
                    <w:right w:w="28" w:type="dxa"/>
                  </w:tcMar>
                  <w:vAlign w:val="center"/>
                </w:tcPr>
                <w:p>
                  <w:pPr>
                    <w:pStyle w:val="31"/>
                    <w:adjustRightInd w:val="0"/>
                    <w:snapToGrid w:val="0"/>
                    <w:ind w:left="-63" w:right="-63"/>
                    <w:rPr>
                      <w:color w:val="auto"/>
                      <w:sz w:val="18"/>
                      <w:szCs w:val="18"/>
                    </w:rPr>
                  </w:pPr>
                  <w:r>
                    <w:rPr>
                      <w:color w:val="auto"/>
                      <w:sz w:val="18"/>
                      <w:szCs w:val="18"/>
                    </w:rPr>
                    <w:t>等效连续A声级</w:t>
                  </w:r>
                </w:p>
              </w:tc>
              <w:tc>
                <w:tcPr>
                  <w:tcW w:w="761" w:type="pct"/>
                  <w:tcMar>
                    <w:left w:w="28" w:type="dxa"/>
                    <w:right w:w="28" w:type="dxa"/>
                  </w:tcMar>
                  <w:vAlign w:val="center"/>
                </w:tcPr>
                <w:p>
                  <w:pPr>
                    <w:pStyle w:val="31"/>
                    <w:adjustRightInd w:val="0"/>
                    <w:snapToGrid w:val="0"/>
                    <w:ind w:left="-63" w:right="-63"/>
                    <w:rPr>
                      <w:color w:val="auto"/>
                      <w:sz w:val="18"/>
                      <w:szCs w:val="18"/>
                    </w:rPr>
                  </w:pPr>
                  <w:r>
                    <w:rPr>
                      <w:color w:val="auto"/>
                      <w:sz w:val="18"/>
                      <w:szCs w:val="18"/>
                    </w:rPr>
                    <w:t>1次/</w:t>
                  </w:r>
                  <w:r>
                    <w:rPr>
                      <w:rFonts w:hint="eastAsia"/>
                      <w:color w:val="auto"/>
                      <w:sz w:val="18"/>
                      <w:szCs w:val="18"/>
                    </w:rPr>
                    <w:t>季度</w:t>
                  </w:r>
                </w:p>
              </w:tc>
            </w:tr>
          </w:tbl>
          <w:p>
            <w:pPr>
              <w:adjustRightInd w:val="0"/>
              <w:snapToGrid w:val="0"/>
              <w:spacing w:before="156" w:beforeLines="50" w:line="360" w:lineRule="auto"/>
              <w:rPr>
                <w:b/>
                <w:bCs/>
                <w:color w:val="auto"/>
                <w:szCs w:val="21"/>
              </w:rPr>
            </w:pPr>
            <w:r>
              <w:rPr>
                <w:rFonts w:hint="eastAsia"/>
                <w:b/>
                <w:bCs/>
                <w:color w:val="auto"/>
                <w:szCs w:val="21"/>
              </w:rPr>
              <w:t>3.</w:t>
            </w:r>
            <w:r>
              <w:rPr>
                <w:b/>
                <w:bCs/>
                <w:color w:val="auto"/>
                <w:szCs w:val="21"/>
              </w:rPr>
              <w:t>排污口规范化管理</w:t>
            </w:r>
          </w:p>
          <w:p>
            <w:pPr>
              <w:adjustRightInd w:val="0"/>
              <w:snapToGrid w:val="0"/>
              <w:spacing w:line="360" w:lineRule="auto"/>
              <w:ind w:firstLine="420" w:firstLineChars="200"/>
              <w:rPr>
                <w:color w:val="auto"/>
                <w:szCs w:val="21"/>
              </w:rPr>
            </w:pPr>
            <w:r>
              <w:rPr>
                <w:rFonts w:hint="eastAsia"/>
                <w:color w:val="auto"/>
                <w:szCs w:val="21"/>
              </w:rPr>
              <w:t>建设单位应如实填写《中华人民共和国规范化排污口标志登记证》的有关内容，由环保主管部门签发登记证。建设单位应把排污口情况如排污口的性质、编号、排污口的位置以及主要排放的污染物的各类、数量、浓度、排放规律、排放去向以及污染治理实施的运行情况建档管理，并报送生态环境主管部门备案。</w:t>
            </w:r>
          </w:p>
          <w:p>
            <w:pPr>
              <w:spacing w:before="194" w:beforeLines="50"/>
              <w:jc w:val="center"/>
              <w:outlineLvl w:val="5"/>
              <w:rPr>
                <w:rFonts w:hint="eastAsia"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表5-2各排污口（源）标志牌设置示意图</w:t>
            </w:r>
          </w:p>
          <w:tbl>
            <w:tblPr>
              <w:tblStyle w:val="19"/>
              <w:tblW w:w="7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2"/>
              <w:gridCol w:w="1460"/>
              <w:gridCol w:w="1539"/>
              <w:gridCol w:w="1419"/>
              <w:gridCol w:w="1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jc w:val="center"/>
              </w:trPr>
              <w:tc>
                <w:tcPr>
                  <w:tcW w:w="763" w:type="pct"/>
                  <w:vAlign w:val="center"/>
                </w:tcPr>
                <w:p>
                  <w:pPr>
                    <w:adjustRightInd w:val="0"/>
                    <w:snapToGrid w:val="0"/>
                    <w:jc w:val="center"/>
                    <w:rPr>
                      <w:b/>
                      <w:bCs/>
                      <w:color w:val="auto"/>
                      <w:sz w:val="18"/>
                      <w:szCs w:val="18"/>
                    </w:rPr>
                  </w:pPr>
                  <w:r>
                    <w:rPr>
                      <w:b/>
                      <w:bCs/>
                      <w:color w:val="auto"/>
                      <w:sz w:val="18"/>
                      <w:szCs w:val="18"/>
                    </w:rPr>
                    <w:t>名称</w:t>
                  </w:r>
                </w:p>
              </w:tc>
              <w:tc>
                <w:tcPr>
                  <w:tcW w:w="1038" w:type="pct"/>
                  <w:vAlign w:val="center"/>
                </w:tcPr>
                <w:p>
                  <w:pPr>
                    <w:adjustRightInd w:val="0"/>
                    <w:snapToGrid w:val="0"/>
                    <w:jc w:val="center"/>
                    <w:rPr>
                      <w:b/>
                      <w:bCs/>
                      <w:color w:val="auto"/>
                      <w:sz w:val="18"/>
                      <w:szCs w:val="18"/>
                    </w:rPr>
                  </w:pPr>
                  <w:r>
                    <w:rPr>
                      <w:b/>
                      <w:bCs/>
                      <w:color w:val="auto"/>
                      <w:sz w:val="18"/>
                      <w:szCs w:val="18"/>
                    </w:rPr>
                    <w:t>污水排放口</w:t>
                  </w:r>
                </w:p>
              </w:tc>
              <w:tc>
                <w:tcPr>
                  <w:tcW w:w="1094" w:type="pct"/>
                  <w:vAlign w:val="center"/>
                </w:tcPr>
                <w:p>
                  <w:pPr>
                    <w:adjustRightInd w:val="0"/>
                    <w:snapToGrid w:val="0"/>
                    <w:jc w:val="center"/>
                    <w:rPr>
                      <w:b/>
                      <w:bCs/>
                      <w:color w:val="auto"/>
                      <w:sz w:val="18"/>
                      <w:szCs w:val="18"/>
                    </w:rPr>
                  </w:pPr>
                  <w:r>
                    <w:rPr>
                      <w:b/>
                      <w:bCs/>
                      <w:color w:val="auto"/>
                      <w:sz w:val="18"/>
                      <w:szCs w:val="18"/>
                    </w:rPr>
                    <w:t>噪声排放源</w:t>
                  </w:r>
                </w:p>
              </w:tc>
              <w:tc>
                <w:tcPr>
                  <w:tcW w:w="1009" w:type="pct"/>
                  <w:vAlign w:val="center"/>
                </w:tcPr>
                <w:p>
                  <w:pPr>
                    <w:adjustRightInd w:val="0"/>
                    <w:snapToGrid w:val="0"/>
                    <w:jc w:val="center"/>
                    <w:rPr>
                      <w:b/>
                      <w:bCs/>
                      <w:color w:val="auto"/>
                      <w:sz w:val="18"/>
                      <w:szCs w:val="18"/>
                    </w:rPr>
                  </w:pPr>
                  <w:r>
                    <w:rPr>
                      <w:b/>
                      <w:bCs/>
                      <w:color w:val="auto"/>
                      <w:sz w:val="18"/>
                      <w:szCs w:val="18"/>
                    </w:rPr>
                    <w:t>废气排放口</w:t>
                  </w:r>
                </w:p>
              </w:tc>
              <w:tc>
                <w:tcPr>
                  <w:tcW w:w="1093" w:type="pct"/>
                  <w:vAlign w:val="center"/>
                </w:tcPr>
                <w:p>
                  <w:pPr>
                    <w:adjustRightInd w:val="0"/>
                    <w:snapToGrid w:val="0"/>
                    <w:jc w:val="center"/>
                    <w:rPr>
                      <w:b/>
                      <w:bCs/>
                      <w:color w:val="auto"/>
                      <w:sz w:val="18"/>
                      <w:szCs w:val="18"/>
                    </w:rPr>
                  </w:pPr>
                  <w:r>
                    <w:rPr>
                      <w:b/>
                      <w:bCs/>
                      <w:color w:val="auto"/>
                      <w:sz w:val="18"/>
                      <w:szCs w:val="18"/>
                    </w:rPr>
                    <w:t>危险固体废物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763" w:type="pct"/>
                  <w:vAlign w:val="center"/>
                </w:tcPr>
                <w:p>
                  <w:pPr>
                    <w:adjustRightInd w:val="0"/>
                    <w:snapToGrid w:val="0"/>
                    <w:jc w:val="center"/>
                    <w:rPr>
                      <w:color w:val="auto"/>
                      <w:sz w:val="18"/>
                      <w:szCs w:val="18"/>
                    </w:rPr>
                  </w:pPr>
                  <w:r>
                    <w:rPr>
                      <w:color w:val="auto"/>
                      <w:sz w:val="18"/>
                      <w:szCs w:val="18"/>
                    </w:rPr>
                    <w:t>提示图形符号</w:t>
                  </w:r>
                </w:p>
              </w:tc>
              <w:tc>
                <w:tcPr>
                  <w:tcW w:w="1038" w:type="pct"/>
                  <w:vAlign w:val="center"/>
                </w:tcPr>
                <w:p>
                  <w:pPr>
                    <w:adjustRightInd w:val="0"/>
                    <w:snapToGrid w:val="0"/>
                    <w:jc w:val="center"/>
                    <w:rPr>
                      <w:color w:val="auto"/>
                      <w:sz w:val="18"/>
                      <w:szCs w:val="18"/>
                    </w:rPr>
                  </w:pPr>
                  <w:r>
                    <w:rPr>
                      <w:color w:val="auto"/>
                      <w:sz w:val="18"/>
                      <w:szCs w:val="18"/>
                    </w:rPr>
                    <w:drawing>
                      <wp:inline distT="0" distB="0" distL="114300" distR="114300">
                        <wp:extent cx="601980" cy="599440"/>
                        <wp:effectExtent l="0" t="0" r="7620" b="1016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19"/>
                                <a:stretch>
                                  <a:fillRect/>
                                </a:stretch>
                              </pic:blipFill>
                              <pic:spPr>
                                <a:xfrm>
                                  <a:off x="0" y="0"/>
                                  <a:ext cx="601980" cy="599440"/>
                                </a:xfrm>
                                <a:prstGeom prst="rect">
                                  <a:avLst/>
                                </a:prstGeom>
                                <a:noFill/>
                                <a:ln>
                                  <a:noFill/>
                                </a:ln>
                              </pic:spPr>
                            </pic:pic>
                          </a:graphicData>
                        </a:graphic>
                      </wp:inline>
                    </w:drawing>
                  </w:r>
                </w:p>
              </w:tc>
              <w:tc>
                <w:tcPr>
                  <w:tcW w:w="1094" w:type="pct"/>
                  <w:vAlign w:val="center"/>
                </w:tcPr>
                <w:p>
                  <w:pPr>
                    <w:adjustRightInd w:val="0"/>
                    <w:snapToGrid w:val="0"/>
                    <w:jc w:val="center"/>
                    <w:rPr>
                      <w:color w:val="auto"/>
                      <w:sz w:val="18"/>
                      <w:szCs w:val="18"/>
                    </w:rPr>
                  </w:pPr>
                  <w:r>
                    <w:rPr>
                      <w:color w:val="auto"/>
                      <w:sz w:val="18"/>
                      <w:szCs w:val="18"/>
                    </w:rPr>
                    <w:drawing>
                      <wp:inline distT="0" distB="0" distL="114300" distR="114300">
                        <wp:extent cx="618490" cy="596265"/>
                        <wp:effectExtent l="0" t="0" r="10160" b="1333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0"/>
                                <a:stretch>
                                  <a:fillRect/>
                                </a:stretch>
                              </pic:blipFill>
                              <pic:spPr>
                                <a:xfrm>
                                  <a:off x="0" y="0"/>
                                  <a:ext cx="618490" cy="596265"/>
                                </a:xfrm>
                                <a:prstGeom prst="rect">
                                  <a:avLst/>
                                </a:prstGeom>
                                <a:noFill/>
                                <a:ln>
                                  <a:noFill/>
                                </a:ln>
                              </pic:spPr>
                            </pic:pic>
                          </a:graphicData>
                        </a:graphic>
                      </wp:inline>
                    </w:drawing>
                  </w:r>
                </w:p>
              </w:tc>
              <w:tc>
                <w:tcPr>
                  <w:tcW w:w="1009" w:type="pct"/>
                  <w:vAlign w:val="center"/>
                </w:tcPr>
                <w:p>
                  <w:pPr>
                    <w:adjustRightInd w:val="0"/>
                    <w:snapToGrid w:val="0"/>
                    <w:jc w:val="center"/>
                    <w:rPr>
                      <w:color w:val="auto"/>
                      <w:sz w:val="18"/>
                      <w:szCs w:val="18"/>
                    </w:rPr>
                  </w:pPr>
                  <w:r>
                    <w:rPr>
                      <w:color w:val="auto"/>
                      <w:sz w:val="18"/>
                      <w:szCs w:val="18"/>
                    </w:rPr>
                    <w:drawing>
                      <wp:inline distT="0" distB="0" distL="114300" distR="114300">
                        <wp:extent cx="610870" cy="622300"/>
                        <wp:effectExtent l="0" t="0" r="17780" b="635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21"/>
                                <a:stretch>
                                  <a:fillRect/>
                                </a:stretch>
                              </pic:blipFill>
                              <pic:spPr>
                                <a:xfrm>
                                  <a:off x="0" y="0"/>
                                  <a:ext cx="610870" cy="622300"/>
                                </a:xfrm>
                                <a:prstGeom prst="rect">
                                  <a:avLst/>
                                </a:prstGeom>
                                <a:noFill/>
                                <a:ln>
                                  <a:noFill/>
                                </a:ln>
                              </pic:spPr>
                            </pic:pic>
                          </a:graphicData>
                        </a:graphic>
                      </wp:inline>
                    </w:drawing>
                  </w:r>
                </w:p>
              </w:tc>
              <w:tc>
                <w:tcPr>
                  <w:tcW w:w="1093" w:type="pct"/>
                  <w:vAlign w:val="center"/>
                </w:tcPr>
                <w:p>
                  <w:pPr>
                    <w:adjustRightInd w:val="0"/>
                    <w:snapToGrid w:val="0"/>
                    <w:jc w:val="center"/>
                    <w:rPr>
                      <w:color w:val="auto"/>
                      <w:sz w:val="18"/>
                      <w:szCs w:val="18"/>
                    </w:rPr>
                  </w:pPr>
                  <w:r>
                    <w:rPr>
                      <w:rFonts w:hint="eastAsia"/>
                      <w:color w:val="auto"/>
                      <w:sz w:val="18"/>
                      <w:szCs w:val="18"/>
                    </w:rPr>
                    <w:drawing>
                      <wp:inline distT="0" distB="0" distL="114300" distR="114300">
                        <wp:extent cx="841375" cy="531495"/>
                        <wp:effectExtent l="0" t="0" r="15875" b="1905"/>
                        <wp:docPr id="38" name="图片 38" descr="1720751298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1720751298074"/>
                                <pic:cNvPicPr>
                                  <a:picLocks noChangeAspect="1"/>
                                </pic:cNvPicPr>
                              </pic:nvPicPr>
                              <pic:blipFill>
                                <a:blip r:embed="rId22"/>
                                <a:stretch>
                                  <a:fillRect/>
                                </a:stretch>
                              </pic:blipFill>
                              <pic:spPr>
                                <a:xfrm>
                                  <a:off x="0" y="0"/>
                                  <a:ext cx="841375" cy="53149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763" w:type="pct"/>
                  <w:vAlign w:val="center"/>
                </w:tcPr>
                <w:p>
                  <w:pPr>
                    <w:adjustRightInd w:val="0"/>
                    <w:snapToGrid w:val="0"/>
                    <w:jc w:val="center"/>
                    <w:rPr>
                      <w:color w:val="auto"/>
                      <w:sz w:val="18"/>
                      <w:szCs w:val="18"/>
                    </w:rPr>
                  </w:pPr>
                  <w:r>
                    <w:rPr>
                      <w:color w:val="auto"/>
                      <w:sz w:val="18"/>
                      <w:szCs w:val="18"/>
                    </w:rPr>
                    <w:t>功能</w:t>
                  </w:r>
                </w:p>
              </w:tc>
              <w:tc>
                <w:tcPr>
                  <w:tcW w:w="1038" w:type="pct"/>
                  <w:vAlign w:val="center"/>
                </w:tcPr>
                <w:p>
                  <w:pPr>
                    <w:adjustRightInd w:val="0"/>
                    <w:snapToGrid w:val="0"/>
                    <w:jc w:val="center"/>
                    <w:rPr>
                      <w:color w:val="auto"/>
                      <w:sz w:val="18"/>
                      <w:szCs w:val="18"/>
                    </w:rPr>
                  </w:pPr>
                  <w:r>
                    <w:rPr>
                      <w:color w:val="auto"/>
                      <w:sz w:val="18"/>
                      <w:szCs w:val="18"/>
                    </w:rPr>
                    <w:t>表示污水向水体排放</w:t>
                  </w:r>
                </w:p>
              </w:tc>
              <w:tc>
                <w:tcPr>
                  <w:tcW w:w="1094" w:type="pct"/>
                  <w:vAlign w:val="center"/>
                </w:tcPr>
                <w:p>
                  <w:pPr>
                    <w:adjustRightInd w:val="0"/>
                    <w:snapToGrid w:val="0"/>
                    <w:jc w:val="center"/>
                    <w:rPr>
                      <w:color w:val="auto"/>
                      <w:sz w:val="18"/>
                      <w:szCs w:val="18"/>
                    </w:rPr>
                  </w:pPr>
                  <w:r>
                    <w:rPr>
                      <w:color w:val="auto"/>
                      <w:sz w:val="18"/>
                      <w:szCs w:val="18"/>
                    </w:rPr>
                    <w:t>表示噪声向外环境排放</w:t>
                  </w:r>
                </w:p>
              </w:tc>
              <w:tc>
                <w:tcPr>
                  <w:tcW w:w="1009" w:type="pct"/>
                  <w:vAlign w:val="center"/>
                </w:tcPr>
                <w:p>
                  <w:pPr>
                    <w:adjustRightInd w:val="0"/>
                    <w:snapToGrid w:val="0"/>
                    <w:jc w:val="center"/>
                    <w:rPr>
                      <w:color w:val="auto"/>
                      <w:sz w:val="18"/>
                      <w:szCs w:val="18"/>
                    </w:rPr>
                  </w:pPr>
                  <w:r>
                    <w:rPr>
                      <w:color w:val="auto"/>
                      <w:sz w:val="18"/>
                      <w:szCs w:val="18"/>
                    </w:rPr>
                    <w:t>表示废气向大气环境排放</w:t>
                  </w:r>
                </w:p>
              </w:tc>
              <w:tc>
                <w:tcPr>
                  <w:tcW w:w="1093" w:type="pct"/>
                  <w:vAlign w:val="center"/>
                </w:tcPr>
                <w:p>
                  <w:pPr>
                    <w:adjustRightInd w:val="0"/>
                    <w:snapToGrid w:val="0"/>
                    <w:jc w:val="center"/>
                    <w:rPr>
                      <w:color w:val="auto"/>
                      <w:sz w:val="18"/>
                      <w:szCs w:val="18"/>
                    </w:rPr>
                  </w:pPr>
                  <w:r>
                    <w:rPr>
                      <w:color w:val="auto"/>
                      <w:sz w:val="18"/>
                      <w:szCs w:val="18"/>
                    </w:rPr>
                    <w:t>表示危险固体废物贮存</w:t>
                  </w:r>
                </w:p>
              </w:tc>
            </w:tr>
          </w:tbl>
          <w:p>
            <w:pPr>
              <w:adjustRightInd w:val="0"/>
              <w:snapToGrid w:val="0"/>
              <w:spacing w:before="156" w:beforeLines="50" w:line="360" w:lineRule="auto"/>
              <w:rPr>
                <w:rFonts w:hint="eastAsia"/>
                <w:b/>
                <w:bCs/>
                <w:color w:val="auto"/>
                <w:szCs w:val="21"/>
              </w:rPr>
            </w:pPr>
          </w:p>
          <w:p>
            <w:pPr>
              <w:adjustRightInd w:val="0"/>
              <w:snapToGrid w:val="0"/>
              <w:spacing w:before="156" w:beforeLines="50" w:line="360" w:lineRule="auto"/>
              <w:rPr>
                <w:b/>
                <w:bCs/>
                <w:color w:val="auto"/>
                <w:szCs w:val="21"/>
              </w:rPr>
            </w:pPr>
            <w:r>
              <w:rPr>
                <w:rFonts w:hint="eastAsia"/>
                <w:b/>
                <w:bCs/>
                <w:color w:val="auto"/>
                <w:szCs w:val="21"/>
              </w:rPr>
              <w:t>4.排污许可证申报</w:t>
            </w:r>
          </w:p>
          <w:p>
            <w:pPr>
              <w:spacing w:line="360" w:lineRule="auto"/>
              <w:ind w:firstLine="420" w:firstLineChars="200"/>
              <w:rPr>
                <w:color w:val="auto"/>
                <w:szCs w:val="21"/>
              </w:rPr>
            </w:pPr>
            <w:r>
              <w:rPr>
                <w:rFonts w:hint="eastAsia"/>
                <w:color w:val="auto"/>
                <w:szCs w:val="21"/>
              </w:rPr>
              <w:t>根据《固定污染源排污许可分类管理名录》（2019年版），该项目属“二十四、橡胶和塑料制品业29：62、塑料制品业291，其他”类别，实行排污许可“登记管理”。</w:t>
            </w:r>
          </w:p>
          <w:p>
            <w:pPr>
              <w:spacing w:line="360" w:lineRule="auto"/>
              <w:ind w:firstLine="420" w:firstLineChars="200"/>
              <w:rPr>
                <w:color w:val="auto"/>
                <w:szCs w:val="21"/>
              </w:rPr>
            </w:pPr>
            <w:r>
              <w:rPr>
                <w:rFonts w:hint="eastAsia"/>
                <w:color w:val="auto"/>
                <w:szCs w:val="21"/>
              </w:rPr>
              <w:t>本项目应在发生实际排污行为之前变更现有排污许可证，补充该项目登记内容，登记基本信息、污染物排放去向、执行的污染物排放标准以及采取的污染防治措施等信息。</w:t>
            </w:r>
          </w:p>
          <w:p>
            <w:pPr>
              <w:adjustRightInd w:val="0"/>
              <w:snapToGrid w:val="0"/>
              <w:spacing w:before="156" w:beforeLines="50" w:line="360" w:lineRule="auto"/>
              <w:rPr>
                <w:b/>
                <w:bCs/>
                <w:color w:val="auto"/>
                <w:szCs w:val="21"/>
              </w:rPr>
            </w:pPr>
            <w:r>
              <w:rPr>
                <w:rFonts w:hint="eastAsia"/>
                <w:b/>
                <w:bCs/>
                <w:color w:val="auto"/>
                <w:szCs w:val="21"/>
              </w:rPr>
              <w:t>5</w:t>
            </w:r>
            <w:r>
              <w:rPr>
                <w:b/>
                <w:bCs/>
                <w:color w:val="auto"/>
                <w:szCs w:val="21"/>
              </w:rPr>
              <w:t>.</w:t>
            </w:r>
            <w:r>
              <w:rPr>
                <w:rFonts w:hint="eastAsia"/>
                <w:b/>
                <w:bCs/>
                <w:color w:val="auto"/>
                <w:szCs w:val="21"/>
              </w:rPr>
              <w:t>建设项目竣工环境保护验收管理要求</w:t>
            </w:r>
          </w:p>
          <w:p>
            <w:pPr>
              <w:spacing w:line="360" w:lineRule="auto"/>
              <w:ind w:firstLine="420" w:firstLineChars="200"/>
              <w:rPr>
                <w:color w:val="auto"/>
                <w:szCs w:val="21"/>
              </w:rPr>
            </w:pPr>
            <w:r>
              <w:rPr>
                <w:rFonts w:hint="eastAsia"/>
                <w:color w:val="auto"/>
                <w:szCs w:val="21"/>
              </w:rPr>
              <w:t>根据《建设项目环境保护管理条例》（国务院令第682 号）、《建设项目竣工环境保护验收暂行办法》（国环规环评[2017]4 号），以及《建设项目竣工环境保护验收技术指南 污染影响类》（生态环境部公告2018 年第9 号）等规定要求，建设单位应强化环境保护主体责任，落实建设项目环境保护“三同时”制度，本项目竣工后的验收程序、验收自查、验收监测方案和报告编制、验收监测技术均应按照技术指南的要求进行。项目竣工环境保护验收一览表详见下表。</w:t>
            </w:r>
          </w:p>
          <w:p>
            <w:pPr>
              <w:spacing w:line="360" w:lineRule="auto"/>
              <w:ind w:firstLine="420" w:firstLineChars="200"/>
              <w:rPr>
                <w:color w:val="auto"/>
                <w:szCs w:val="21"/>
              </w:rPr>
            </w:pPr>
            <w:r>
              <w:rPr>
                <w:rFonts w:hint="eastAsia"/>
                <w:color w:val="auto"/>
                <w:szCs w:val="21"/>
              </w:rPr>
              <w:t>验收报告编制人员对其编制的验收报告结论终身负责，不得弄虚作假。</w:t>
            </w:r>
          </w:p>
          <w:p>
            <w:pPr>
              <w:spacing w:line="360" w:lineRule="auto"/>
              <w:ind w:firstLine="420" w:firstLineChars="200"/>
              <w:rPr>
                <w:color w:val="auto"/>
                <w:szCs w:val="21"/>
              </w:rPr>
            </w:pPr>
            <w:r>
              <w:rPr>
                <w:rFonts w:hint="eastAsia"/>
                <w:color w:val="auto"/>
                <w:szCs w:val="21"/>
              </w:rPr>
              <w:t>建设单位应当通过其网站或其他便于公众知晓的方式，向社会公开下列信息：（一）建设项目配套建设的环境保护设施竣工后，公开竣工日期；（二）对建设项目配套建设的环境保护设施进行调试前，公开调试的起止日期；（三）验收报告编制完成后5个工作日内，公开验收报告，公示的期限不得少于20个工作日。</w:t>
            </w:r>
          </w:p>
          <w:p>
            <w:pPr>
              <w:spacing w:before="194" w:beforeLines="50"/>
              <w:jc w:val="center"/>
              <w:outlineLvl w:val="5"/>
              <w:rPr>
                <w:rFonts w:hint="eastAsia" w:eastAsia="宋体" w:cs="Times New Roman"/>
                <w:b/>
                <w:color w:val="auto"/>
                <w:spacing w:val="0"/>
                <w:sz w:val="21"/>
                <w:szCs w:val="21"/>
                <w:lang w:val="en-US" w:eastAsia="zh-CN"/>
              </w:rPr>
            </w:pPr>
            <w:r>
              <w:rPr>
                <w:rFonts w:hint="eastAsia" w:eastAsia="宋体" w:cs="Times New Roman"/>
                <w:b/>
                <w:color w:val="auto"/>
                <w:spacing w:val="0"/>
                <w:sz w:val="21"/>
                <w:szCs w:val="21"/>
                <w:lang w:val="en-US" w:eastAsia="zh-CN"/>
              </w:rPr>
              <w:t>表5-3项目竣工环境保护验收一览表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1301"/>
              <w:gridCol w:w="1239"/>
              <w:gridCol w:w="1778"/>
              <w:gridCol w:w="23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7" w:type="dxa"/>
                  <w:gridSpan w:val="2"/>
                  <w:vAlign w:val="center"/>
                </w:tcPr>
                <w:p>
                  <w:pPr>
                    <w:jc w:val="center"/>
                    <w:rPr>
                      <w:color w:val="auto"/>
                      <w:szCs w:val="21"/>
                    </w:rPr>
                  </w:pPr>
                  <w:r>
                    <w:rPr>
                      <w:rFonts w:hint="eastAsia"/>
                      <w:color w:val="auto"/>
                      <w:szCs w:val="21"/>
                    </w:rPr>
                    <w:t>类别</w:t>
                  </w:r>
                </w:p>
              </w:tc>
              <w:tc>
                <w:tcPr>
                  <w:tcW w:w="3118" w:type="dxa"/>
                  <w:gridSpan w:val="2"/>
                  <w:vAlign w:val="center"/>
                </w:tcPr>
                <w:p>
                  <w:pPr>
                    <w:jc w:val="center"/>
                    <w:rPr>
                      <w:color w:val="auto"/>
                      <w:szCs w:val="21"/>
                    </w:rPr>
                  </w:pPr>
                  <w:r>
                    <w:rPr>
                      <w:rFonts w:hint="eastAsia"/>
                      <w:color w:val="auto"/>
                      <w:szCs w:val="21"/>
                    </w:rPr>
                    <w:t>环保措施</w:t>
                  </w:r>
                </w:p>
              </w:tc>
              <w:tc>
                <w:tcPr>
                  <w:tcW w:w="2340" w:type="dxa"/>
                  <w:vAlign w:val="center"/>
                </w:tcPr>
                <w:p>
                  <w:pPr>
                    <w:jc w:val="center"/>
                    <w:rPr>
                      <w:color w:val="auto"/>
                      <w:szCs w:val="21"/>
                    </w:rPr>
                  </w:pPr>
                  <w:r>
                    <w:rPr>
                      <w:rFonts w:hint="eastAsia"/>
                      <w:color w:val="auto"/>
                      <w:szCs w:val="21"/>
                    </w:rPr>
                    <w:t>验收要求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3" w:type="dxa"/>
                  <w:vMerge w:val="restart"/>
                  <w:vAlign w:val="center"/>
                </w:tcPr>
                <w:p>
                  <w:pPr>
                    <w:jc w:val="center"/>
                    <w:rPr>
                      <w:color w:val="auto"/>
                      <w:szCs w:val="21"/>
                    </w:rPr>
                  </w:pPr>
                  <w:r>
                    <w:rPr>
                      <w:rFonts w:hint="eastAsia"/>
                      <w:color w:val="auto"/>
                      <w:szCs w:val="21"/>
                    </w:rPr>
                    <w:t>废气</w:t>
                  </w:r>
                </w:p>
              </w:tc>
              <w:tc>
                <w:tcPr>
                  <w:tcW w:w="1134" w:type="dxa"/>
                  <w:vAlign w:val="center"/>
                </w:tcPr>
                <w:p>
                  <w:pPr>
                    <w:pStyle w:val="31"/>
                    <w:adjustRightInd w:val="0"/>
                    <w:snapToGrid w:val="0"/>
                    <w:ind w:left="-63" w:leftChars="-30" w:right="-63" w:rightChars="-30"/>
                    <w:rPr>
                      <w:color w:val="auto"/>
                      <w:szCs w:val="21"/>
                    </w:rPr>
                  </w:pPr>
                  <w:r>
                    <w:rPr>
                      <w:rFonts w:hint="eastAsia"/>
                      <w:color w:val="auto"/>
                      <w:lang w:val="en-US" w:eastAsia="zh-CN"/>
                    </w:rPr>
                    <w:t>DA013（新增）</w:t>
                  </w:r>
                </w:p>
              </w:tc>
              <w:tc>
                <w:tcPr>
                  <w:tcW w:w="1276" w:type="dxa"/>
                  <w:vAlign w:val="center"/>
                </w:tcPr>
                <w:p>
                  <w:pPr>
                    <w:pStyle w:val="44"/>
                    <w:spacing w:before="31" w:after="31" w:line="240" w:lineRule="auto"/>
                    <w:rPr>
                      <w:color w:val="auto"/>
                      <w:szCs w:val="21"/>
                    </w:rPr>
                  </w:pPr>
                  <w:r>
                    <w:rPr>
                      <w:rFonts w:hint="eastAsia"/>
                      <w:color w:val="auto"/>
                      <w:szCs w:val="21"/>
                    </w:rPr>
                    <w:t>非甲烷总烃</w:t>
                  </w:r>
                </w:p>
              </w:tc>
              <w:tc>
                <w:tcPr>
                  <w:tcW w:w="1842" w:type="dxa"/>
                  <w:vAlign w:val="center"/>
                </w:tcPr>
                <w:p>
                  <w:pPr>
                    <w:adjustRightInd w:val="0"/>
                    <w:snapToGrid w:val="0"/>
                    <w:jc w:val="center"/>
                    <w:rPr>
                      <w:color w:val="auto"/>
                      <w:szCs w:val="21"/>
                    </w:rPr>
                  </w:pPr>
                  <w:r>
                    <w:rPr>
                      <w:rFonts w:hint="eastAsia"/>
                      <w:color w:val="auto"/>
                      <w:szCs w:val="21"/>
                    </w:rPr>
                    <w:t>二级冷凝+一级循环水喷淋+活性炭吸附+15m高排气筒（</w:t>
                  </w:r>
                  <w:r>
                    <w:rPr>
                      <w:rFonts w:hint="eastAsia"/>
                      <w:color w:val="auto"/>
                      <w:szCs w:val="21"/>
                      <w:lang w:val="en-US" w:eastAsia="zh-CN"/>
                    </w:rPr>
                    <w:t>DA013</w:t>
                  </w:r>
                  <w:r>
                    <w:rPr>
                      <w:rFonts w:hint="eastAsia"/>
                      <w:color w:val="auto"/>
                      <w:szCs w:val="21"/>
                    </w:rPr>
                    <w:t>）</w:t>
                  </w:r>
                </w:p>
              </w:tc>
              <w:tc>
                <w:tcPr>
                  <w:tcW w:w="2340" w:type="dxa"/>
                  <w:vAlign w:val="center"/>
                </w:tcPr>
                <w:p>
                  <w:pPr>
                    <w:adjustRightInd w:val="0"/>
                    <w:snapToGrid w:val="0"/>
                    <w:jc w:val="center"/>
                    <w:rPr>
                      <w:color w:val="auto"/>
                      <w:szCs w:val="21"/>
                    </w:rPr>
                  </w:pPr>
                  <w:r>
                    <w:rPr>
                      <w:rFonts w:hint="eastAsia"/>
                      <w:color w:val="auto"/>
                      <w:szCs w:val="21"/>
                    </w:rPr>
                    <w:t>《工业企业挥发性有机物排放标准》（DB35/1782-2018）表1中其他行业标准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3" w:type="dxa"/>
                  <w:vMerge w:val="continue"/>
                  <w:vAlign w:val="center"/>
                </w:tcPr>
                <w:p>
                  <w:pPr>
                    <w:jc w:val="center"/>
                    <w:rPr>
                      <w:color w:val="auto"/>
                      <w:szCs w:val="21"/>
                    </w:rPr>
                  </w:pPr>
                </w:p>
              </w:tc>
              <w:tc>
                <w:tcPr>
                  <w:tcW w:w="1134" w:type="dxa"/>
                  <w:vAlign w:val="center"/>
                </w:tcPr>
                <w:p>
                  <w:pPr>
                    <w:pStyle w:val="31"/>
                    <w:adjustRightInd w:val="0"/>
                    <w:snapToGrid w:val="0"/>
                    <w:ind w:left="-63" w:leftChars="-30" w:right="-63" w:rightChars="-30"/>
                    <w:rPr>
                      <w:color w:val="auto"/>
                      <w:szCs w:val="21"/>
                    </w:rPr>
                  </w:pPr>
                  <w:r>
                    <w:rPr>
                      <w:rFonts w:hint="eastAsia"/>
                      <w:color w:val="auto"/>
                      <w:lang w:val="en-US" w:eastAsia="zh-CN"/>
                    </w:rPr>
                    <w:t>DA002（依托已建）</w:t>
                  </w:r>
                </w:p>
              </w:tc>
              <w:tc>
                <w:tcPr>
                  <w:tcW w:w="1276" w:type="dxa"/>
                  <w:vAlign w:val="center"/>
                </w:tcPr>
                <w:p>
                  <w:pPr>
                    <w:pStyle w:val="44"/>
                    <w:spacing w:before="31" w:after="31" w:line="240" w:lineRule="auto"/>
                    <w:rPr>
                      <w:color w:val="auto"/>
                      <w:szCs w:val="21"/>
                    </w:rPr>
                  </w:pPr>
                  <w:r>
                    <w:rPr>
                      <w:rFonts w:hint="eastAsia"/>
                      <w:color w:val="auto"/>
                      <w:szCs w:val="21"/>
                    </w:rPr>
                    <w:t>非甲烷总烃</w:t>
                  </w:r>
                </w:p>
              </w:tc>
              <w:tc>
                <w:tcPr>
                  <w:tcW w:w="1842" w:type="dxa"/>
                  <w:vAlign w:val="center"/>
                </w:tcPr>
                <w:p>
                  <w:pPr>
                    <w:adjustRightInd w:val="0"/>
                    <w:snapToGrid w:val="0"/>
                    <w:jc w:val="center"/>
                    <w:rPr>
                      <w:color w:val="auto"/>
                      <w:szCs w:val="21"/>
                    </w:rPr>
                  </w:pPr>
                  <w:r>
                    <w:rPr>
                      <w:rFonts w:hint="eastAsia"/>
                      <w:color w:val="auto"/>
                      <w:szCs w:val="21"/>
                    </w:rPr>
                    <w:t>依托生产车间二一级水洗系统+15m高排气筒（</w:t>
                  </w:r>
                  <w:r>
                    <w:rPr>
                      <w:rFonts w:hint="eastAsia"/>
                      <w:color w:val="auto"/>
                      <w:szCs w:val="21"/>
                      <w:lang w:val="en-US" w:eastAsia="zh-CN"/>
                    </w:rPr>
                    <w:t>DA002</w:t>
                  </w:r>
                  <w:r>
                    <w:rPr>
                      <w:rFonts w:hint="eastAsia"/>
                      <w:color w:val="auto"/>
                      <w:szCs w:val="21"/>
                    </w:rPr>
                    <w:t>）</w:t>
                  </w:r>
                </w:p>
              </w:tc>
              <w:tc>
                <w:tcPr>
                  <w:tcW w:w="2340" w:type="dxa"/>
                  <w:vAlign w:val="center"/>
                </w:tcPr>
                <w:p>
                  <w:pPr>
                    <w:adjustRightInd w:val="0"/>
                    <w:snapToGrid w:val="0"/>
                    <w:jc w:val="center"/>
                    <w:rPr>
                      <w:color w:val="auto"/>
                      <w:szCs w:val="21"/>
                    </w:rPr>
                  </w:pPr>
                  <w:r>
                    <w:rPr>
                      <w:rFonts w:hint="eastAsia"/>
                      <w:color w:val="auto"/>
                      <w:szCs w:val="21"/>
                    </w:rPr>
                    <w:t>《工业企业挥发性有机物排放标准》（DB35/1782-2018）表1中其他行业标准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Merge w:val="continue"/>
                  <w:vAlign w:val="center"/>
                </w:tcPr>
                <w:p>
                  <w:pPr>
                    <w:jc w:val="center"/>
                    <w:rPr>
                      <w:color w:val="auto"/>
                      <w:szCs w:val="21"/>
                    </w:rPr>
                  </w:pPr>
                </w:p>
              </w:tc>
              <w:tc>
                <w:tcPr>
                  <w:tcW w:w="1134" w:type="dxa"/>
                  <w:vAlign w:val="center"/>
                </w:tcPr>
                <w:p>
                  <w:pPr>
                    <w:adjustRightInd w:val="0"/>
                    <w:snapToGrid w:val="0"/>
                    <w:jc w:val="center"/>
                    <w:rPr>
                      <w:color w:val="auto"/>
                      <w:szCs w:val="21"/>
                    </w:rPr>
                  </w:pPr>
                  <w:r>
                    <w:rPr>
                      <w:rFonts w:hint="eastAsia"/>
                      <w:color w:val="auto"/>
                      <w:szCs w:val="21"/>
                    </w:rPr>
                    <w:t>无组织</w:t>
                  </w:r>
                </w:p>
              </w:tc>
              <w:tc>
                <w:tcPr>
                  <w:tcW w:w="1276" w:type="dxa"/>
                  <w:vAlign w:val="center"/>
                </w:tcPr>
                <w:p>
                  <w:pPr>
                    <w:pStyle w:val="44"/>
                    <w:spacing w:before="31" w:after="31" w:line="240" w:lineRule="auto"/>
                    <w:rPr>
                      <w:color w:val="auto"/>
                      <w:szCs w:val="21"/>
                    </w:rPr>
                  </w:pPr>
                  <w:r>
                    <w:rPr>
                      <w:rFonts w:hint="eastAsia"/>
                      <w:color w:val="auto"/>
                      <w:szCs w:val="21"/>
                    </w:rPr>
                    <w:t>非甲烷总烃</w:t>
                  </w:r>
                </w:p>
              </w:tc>
              <w:tc>
                <w:tcPr>
                  <w:tcW w:w="1842" w:type="dxa"/>
                  <w:vAlign w:val="center"/>
                </w:tcPr>
                <w:p>
                  <w:pPr>
                    <w:adjustRightInd w:val="0"/>
                    <w:snapToGrid w:val="0"/>
                    <w:jc w:val="center"/>
                    <w:rPr>
                      <w:color w:val="auto"/>
                      <w:szCs w:val="21"/>
                    </w:rPr>
                  </w:pPr>
                  <w:r>
                    <w:rPr>
                      <w:rFonts w:hint="eastAsia"/>
                      <w:color w:val="auto"/>
                      <w:szCs w:val="21"/>
                    </w:rPr>
                    <w:t>经车间阻隔及车间通风</w:t>
                  </w:r>
                </w:p>
              </w:tc>
              <w:tc>
                <w:tcPr>
                  <w:tcW w:w="2340" w:type="dxa"/>
                  <w:vAlign w:val="center"/>
                </w:tcPr>
                <w:p>
                  <w:pPr>
                    <w:adjustRightInd w:val="0"/>
                    <w:snapToGrid w:val="0"/>
                    <w:jc w:val="left"/>
                    <w:rPr>
                      <w:color w:val="auto"/>
                      <w:szCs w:val="21"/>
                    </w:rPr>
                  </w:pPr>
                  <w:r>
                    <w:rPr>
                      <w:color w:val="auto"/>
                      <w:szCs w:val="21"/>
                    </w:rPr>
                    <w:t>①厂房外监控点处任意一次浓度值执行《挥发性有机物无组织排放控制标准》（GB 37822—2019）表A.1限值；</w:t>
                  </w:r>
                </w:p>
                <w:p>
                  <w:pPr>
                    <w:adjustRightInd w:val="0"/>
                    <w:snapToGrid w:val="0"/>
                    <w:jc w:val="left"/>
                    <w:rPr>
                      <w:color w:val="auto"/>
                      <w:szCs w:val="21"/>
                    </w:rPr>
                  </w:pPr>
                  <w:r>
                    <w:rPr>
                      <w:color w:val="auto"/>
                      <w:szCs w:val="21"/>
                    </w:rPr>
                    <w:t>②厂区内监控点浓度限值执行《工业企业挥发性有机物排放标准》（DB35/1782-2018）表2限值；</w:t>
                  </w:r>
                </w:p>
                <w:p>
                  <w:pPr>
                    <w:adjustRightInd w:val="0"/>
                    <w:snapToGrid w:val="0"/>
                    <w:jc w:val="left"/>
                    <w:rPr>
                      <w:color w:val="auto"/>
                      <w:szCs w:val="21"/>
                    </w:rPr>
                  </w:pPr>
                  <w:r>
                    <w:rPr>
                      <w:color w:val="auto"/>
                      <w:szCs w:val="21"/>
                    </w:rPr>
                    <w:t>③企业边界监控点浓度限值执行《工业企业挥发性有机物排放标准》（DB35/1782-2018）表3限值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jc w:val="center"/>
                    <w:rPr>
                      <w:color w:val="auto"/>
                      <w:szCs w:val="21"/>
                    </w:rPr>
                  </w:pPr>
                  <w:r>
                    <w:rPr>
                      <w:rFonts w:hint="eastAsia"/>
                      <w:color w:val="auto"/>
                      <w:szCs w:val="21"/>
                    </w:rPr>
                    <w:t>废水</w:t>
                  </w:r>
                </w:p>
              </w:tc>
              <w:tc>
                <w:tcPr>
                  <w:tcW w:w="1134" w:type="dxa"/>
                  <w:vAlign w:val="center"/>
                </w:tcPr>
                <w:p>
                  <w:pPr>
                    <w:adjustRightInd w:val="0"/>
                    <w:snapToGrid w:val="0"/>
                    <w:jc w:val="center"/>
                    <w:rPr>
                      <w:color w:val="auto"/>
                      <w:szCs w:val="21"/>
                    </w:rPr>
                  </w:pPr>
                  <w:r>
                    <w:rPr>
                      <w:color w:val="auto"/>
                      <w:szCs w:val="21"/>
                    </w:rPr>
                    <w:t>生活污水</w:t>
                  </w:r>
                  <w:r>
                    <w:rPr>
                      <w:rFonts w:hint="eastAsia"/>
                      <w:color w:val="auto"/>
                      <w:szCs w:val="21"/>
                    </w:rPr>
                    <w:t>+生产废水（DW001）</w:t>
                  </w:r>
                </w:p>
              </w:tc>
              <w:tc>
                <w:tcPr>
                  <w:tcW w:w="1276" w:type="dxa"/>
                  <w:vAlign w:val="center"/>
                </w:tcPr>
                <w:p>
                  <w:pPr>
                    <w:adjustRightInd w:val="0"/>
                    <w:snapToGrid w:val="0"/>
                    <w:jc w:val="center"/>
                    <w:rPr>
                      <w:color w:val="auto"/>
                      <w:szCs w:val="21"/>
                    </w:rPr>
                  </w:pPr>
                  <w:r>
                    <w:rPr>
                      <w:rFonts w:hint="eastAsia"/>
                      <w:color w:val="auto"/>
                      <w:szCs w:val="21"/>
                    </w:rPr>
                    <w:t>COD、BOD</w:t>
                  </w:r>
                  <w:r>
                    <w:rPr>
                      <w:rFonts w:hint="eastAsia"/>
                      <w:color w:val="auto"/>
                      <w:szCs w:val="21"/>
                      <w:vertAlign w:val="subscript"/>
                    </w:rPr>
                    <w:t>5</w:t>
                  </w:r>
                  <w:r>
                    <w:rPr>
                      <w:rFonts w:hint="eastAsia"/>
                      <w:color w:val="auto"/>
                      <w:szCs w:val="21"/>
                    </w:rPr>
                    <w:t>、SS、氨氮</w:t>
                  </w:r>
                </w:p>
              </w:tc>
              <w:tc>
                <w:tcPr>
                  <w:tcW w:w="1842" w:type="dxa"/>
                  <w:vAlign w:val="center"/>
                </w:tcPr>
                <w:p>
                  <w:pPr>
                    <w:adjustRightInd w:val="0"/>
                    <w:snapToGrid w:val="0"/>
                    <w:jc w:val="center"/>
                    <w:rPr>
                      <w:color w:val="auto"/>
                      <w:szCs w:val="21"/>
                    </w:rPr>
                  </w:pPr>
                  <w:r>
                    <w:rPr>
                      <w:rFonts w:hint="eastAsia"/>
                      <w:color w:val="auto"/>
                      <w:szCs w:val="21"/>
                    </w:rPr>
                    <w:t>生活污水依托一厂现有化粪池处理后和生产废水进入一厂污水站进一步处理，处理后进入园区污水厂深度处理</w:t>
                  </w:r>
                </w:p>
              </w:tc>
              <w:tc>
                <w:tcPr>
                  <w:tcW w:w="2340" w:type="dxa"/>
                  <w:vAlign w:val="center"/>
                </w:tcPr>
                <w:p>
                  <w:pPr>
                    <w:adjustRightInd w:val="0"/>
                    <w:snapToGrid w:val="0"/>
                    <w:jc w:val="center"/>
                    <w:rPr>
                      <w:color w:val="auto"/>
                      <w:szCs w:val="21"/>
                    </w:rPr>
                  </w:pPr>
                  <w:r>
                    <w:rPr>
                      <w:rFonts w:hint="eastAsia"/>
                      <w:color w:val="auto"/>
                      <w:szCs w:val="21"/>
                    </w:rPr>
                    <w:t>COD、BOD</w:t>
                  </w:r>
                  <w:r>
                    <w:rPr>
                      <w:rFonts w:hint="eastAsia"/>
                      <w:color w:val="auto"/>
                      <w:szCs w:val="21"/>
                      <w:vertAlign w:val="subscript"/>
                    </w:rPr>
                    <w:t>5</w:t>
                  </w:r>
                  <w:r>
                    <w:rPr>
                      <w:rFonts w:hint="eastAsia"/>
                      <w:color w:val="auto"/>
                      <w:szCs w:val="21"/>
                    </w:rPr>
                    <w:t>、SS执行《污水综合排放标准》(GB8978-1996)中表4三级标准，NH3-N、TN执行</w:t>
                  </w:r>
                  <w:r>
                    <w:rPr>
                      <w:rFonts w:hint="eastAsia"/>
                      <w:color w:val="auto"/>
                      <w:szCs w:val="21"/>
                      <w:lang w:eastAsia="zh-CN"/>
                    </w:rPr>
                    <w:t>明溪经济开发区工业污水处理厂</w:t>
                  </w:r>
                  <w:r>
                    <w:rPr>
                      <w:rFonts w:hint="eastAsia"/>
                      <w:color w:val="auto"/>
                      <w:szCs w:val="21"/>
                    </w:rPr>
                    <w:t>接管水质标准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7" w:type="dxa"/>
                  <w:gridSpan w:val="2"/>
                  <w:vAlign w:val="center"/>
                </w:tcPr>
                <w:p>
                  <w:pPr>
                    <w:jc w:val="center"/>
                    <w:rPr>
                      <w:color w:val="auto"/>
                      <w:szCs w:val="21"/>
                    </w:rPr>
                  </w:pPr>
                  <w:r>
                    <w:rPr>
                      <w:rFonts w:hint="eastAsia"/>
                      <w:color w:val="auto"/>
                      <w:szCs w:val="21"/>
                    </w:rPr>
                    <w:t>噪声</w:t>
                  </w:r>
                </w:p>
              </w:tc>
              <w:tc>
                <w:tcPr>
                  <w:tcW w:w="3118" w:type="dxa"/>
                  <w:gridSpan w:val="2"/>
                  <w:vAlign w:val="center"/>
                </w:tcPr>
                <w:p>
                  <w:pPr>
                    <w:jc w:val="center"/>
                    <w:rPr>
                      <w:color w:val="auto"/>
                      <w:szCs w:val="21"/>
                    </w:rPr>
                  </w:pPr>
                  <w:r>
                    <w:rPr>
                      <w:rFonts w:hint="eastAsia"/>
                      <w:color w:val="auto"/>
                      <w:szCs w:val="21"/>
                    </w:rPr>
                    <w:t>减振、厂房隔声</w:t>
                  </w:r>
                </w:p>
              </w:tc>
              <w:tc>
                <w:tcPr>
                  <w:tcW w:w="2340" w:type="dxa"/>
                  <w:vAlign w:val="center"/>
                </w:tcPr>
                <w:p>
                  <w:pPr>
                    <w:jc w:val="center"/>
                    <w:rPr>
                      <w:color w:val="auto"/>
                      <w:szCs w:val="21"/>
                    </w:rPr>
                  </w:pPr>
                  <w:r>
                    <w:rPr>
                      <w:rFonts w:hint="eastAsia"/>
                      <w:color w:val="auto"/>
                      <w:szCs w:val="21"/>
                    </w:rPr>
                    <w:t>《工业企业厂界环境噪声排放标准》(GB12348</w:t>
                  </w:r>
                </w:p>
                <w:p>
                  <w:pPr>
                    <w:jc w:val="center"/>
                    <w:rPr>
                      <w:color w:val="auto"/>
                      <w:szCs w:val="21"/>
                    </w:rPr>
                  </w:pPr>
                  <w:r>
                    <w:rPr>
                      <w:rFonts w:hint="eastAsia"/>
                      <w:color w:val="auto"/>
                      <w:szCs w:val="21"/>
                    </w:rPr>
                    <w:t>-2008)表1中3类标准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Merge w:val="restart"/>
                  <w:vAlign w:val="center"/>
                </w:tcPr>
                <w:p>
                  <w:pPr>
                    <w:jc w:val="center"/>
                    <w:rPr>
                      <w:color w:val="auto"/>
                      <w:szCs w:val="21"/>
                    </w:rPr>
                  </w:pPr>
                  <w:r>
                    <w:rPr>
                      <w:rFonts w:hint="eastAsia"/>
                      <w:color w:val="auto"/>
                      <w:szCs w:val="21"/>
                    </w:rPr>
                    <w:t>固体废物</w:t>
                  </w:r>
                </w:p>
              </w:tc>
              <w:tc>
                <w:tcPr>
                  <w:tcW w:w="1134" w:type="dxa"/>
                  <w:vAlign w:val="center"/>
                </w:tcPr>
                <w:p>
                  <w:pPr>
                    <w:jc w:val="center"/>
                    <w:rPr>
                      <w:color w:val="auto"/>
                      <w:szCs w:val="21"/>
                    </w:rPr>
                  </w:pPr>
                  <w:r>
                    <w:rPr>
                      <w:rFonts w:hint="eastAsia"/>
                      <w:color w:val="auto"/>
                      <w:szCs w:val="21"/>
                    </w:rPr>
                    <w:t>一般工业固体废物</w:t>
                  </w:r>
                </w:p>
              </w:tc>
              <w:tc>
                <w:tcPr>
                  <w:tcW w:w="3118" w:type="dxa"/>
                  <w:gridSpan w:val="2"/>
                  <w:vAlign w:val="center"/>
                </w:tcPr>
                <w:p>
                  <w:pPr>
                    <w:jc w:val="center"/>
                    <w:rPr>
                      <w:color w:val="auto"/>
                      <w:szCs w:val="21"/>
                    </w:rPr>
                  </w:pPr>
                  <w:r>
                    <w:rPr>
                      <w:rFonts w:hint="eastAsia"/>
                      <w:color w:val="auto"/>
                      <w:szCs w:val="21"/>
                    </w:rPr>
                    <w:t>一般工业固废分类收集，可回收利用的外售给相应单位综合利用</w:t>
                  </w:r>
                </w:p>
              </w:tc>
              <w:tc>
                <w:tcPr>
                  <w:tcW w:w="2340" w:type="dxa"/>
                  <w:vMerge w:val="restart"/>
                  <w:vAlign w:val="center"/>
                </w:tcPr>
                <w:p>
                  <w:pPr>
                    <w:jc w:val="center"/>
                    <w:rPr>
                      <w:color w:val="auto"/>
                      <w:szCs w:val="21"/>
                    </w:rPr>
                  </w:pPr>
                  <w:r>
                    <w:rPr>
                      <w:rFonts w:hint="eastAsia"/>
                      <w:color w:val="auto"/>
                      <w:szCs w:val="21"/>
                    </w:rPr>
                    <w:t>现场验收落实情况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Merge w:val="continue"/>
                  <w:vAlign w:val="center"/>
                </w:tcPr>
                <w:p>
                  <w:pPr>
                    <w:jc w:val="center"/>
                    <w:rPr>
                      <w:color w:val="auto"/>
                      <w:szCs w:val="21"/>
                    </w:rPr>
                  </w:pPr>
                </w:p>
              </w:tc>
              <w:tc>
                <w:tcPr>
                  <w:tcW w:w="1134" w:type="dxa"/>
                  <w:vAlign w:val="center"/>
                </w:tcPr>
                <w:p>
                  <w:pPr>
                    <w:jc w:val="center"/>
                    <w:rPr>
                      <w:color w:val="auto"/>
                      <w:szCs w:val="21"/>
                    </w:rPr>
                  </w:pPr>
                  <w:r>
                    <w:rPr>
                      <w:rFonts w:hint="eastAsia"/>
                      <w:color w:val="auto"/>
                      <w:szCs w:val="21"/>
                    </w:rPr>
                    <w:t>危险废物</w:t>
                  </w:r>
                </w:p>
              </w:tc>
              <w:tc>
                <w:tcPr>
                  <w:tcW w:w="3118" w:type="dxa"/>
                  <w:gridSpan w:val="2"/>
                  <w:vAlign w:val="center"/>
                </w:tcPr>
                <w:p>
                  <w:pPr>
                    <w:jc w:val="center"/>
                    <w:rPr>
                      <w:color w:val="auto"/>
                      <w:szCs w:val="21"/>
                    </w:rPr>
                  </w:pPr>
                  <w:r>
                    <w:rPr>
                      <w:rFonts w:hint="eastAsia"/>
                      <w:color w:val="auto"/>
                      <w:szCs w:val="21"/>
                    </w:rPr>
                    <w:t>危险废物分类收集后贮存于</w:t>
                  </w:r>
                  <w:r>
                    <w:rPr>
                      <w:rFonts w:hint="eastAsia"/>
                      <w:color w:val="auto"/>
                      <w:szCs w:val="21"/>
                      <w:lang w:val="en-US" w:eastAsia="zh-CN"/>
                    </w:rPr>
                    <w:t>二厂</w:t>
                  </w:r>
                  <w:r>
                    <w:rPr>
                      <w:rFonts w:hint="eastAsia"/>
                      <w:color w:val="auto"/>
                      <w:szCs w:val="21"/>
                    </w:rPr>
                    <w:t>危险废物暂存间</w:t>
                  </w:r>
                </w:p>
              </w:tc>
              <w:tc>
                <w:tcPr>
                  <w:tcW w:w="2340" w:type="dxa"/>
                  <w:vMerge w:val="continue"/>
                  <w:vAlign w:val="center"/>
                </w:tcPr>
                <w:p>
                  <w:pPr>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Merge w:val="continue"/>
                  <w:vAlign w:val="center"/>
                </w:tcPr>
                <w:p>
                  <w:pPr>
                    <w:jc w:val="center"/>
                    <w:rPr>
                      <w:color w:val="auto"/>
                      <w:szCs w:val="21"/>
                    </w:rPr>
                  </w:pPr>
                </w:p>
              </w:tc>
              <w:tc>
                <w:tcPr>
                  <w:tcW w:w="1134" w:type="dxa"/>
                  <w:vAlign w:val="center"/>
                </w:tcPr>
                <w:p>
                  <w:pPr>
                    <w:jc w:val="center"/>
                    <w:rPr>
                      <w:color w:val="auto"/>
                      <w:szCs w:val="21"/>
                    </w:rPr>
                  </w:pPr>
                  <w:r>
                    <w:rPr>
                      <w:rFonts w:hint="eastAsia"/>
                      <w:color w:val="auto"/>
                      <w:szCs w:val="21"/>
                    </w:rPr>
                    <w:t>生活垃圾</w:t>
                  </w:r>
                </w:p>
              </w:tc>
              <w:tc>
                <w:tcPr>
                  <w:tcW w:w="3118" w:type="dxa"/>
                  <w:gridSpan w:val="2"/>
                  <w:vAlign w:val="center"/>
                </w:tcPr>
                <w:p>
                  <w:pPr>
                    <w:jc w:val="center"/>
                    <w:rPr>
                      <w:color w:val="auto"/>
                      <w:szCs w:val="21"/>
                    </w:rPr>
                  </w:pPr>
                  <w:r>
                    <w:rPr>
                      <w:rFonts w:hint="eastAsia"/>
                      <w:color w:val="auto"/>
                      <w:szCs w:val="21"/>
                    </w:rPr>
                    <w:t>分类收集，园区环卫转运处置</w:t>
                  </w:r>
                </w:p>
              </w:tc>
              <w:tc>
                <w:tcPr>
                  <w:tcW w:w="2340" w:type="dxa"/>
                  <w:vMerge w:val="continue"/>
                  <w:vAlign w:val="center"/>
                </w:tcPr>
                <w:p>
                  <w:pPr>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97" w:type="dxa"/>
                  <w:gridSpan w:val="2"/>
                  <w:vAlign w:val="center"/>
                </w:tcPr>
                <w:p>
                  <w:pPr>
                    <w:jc w:val="center"/>
                    <w:rPr>
                      <w:color w:val="auto"/>
                      <w:szCs w:val="21"/>
                    </w:rPr>
                  </w:pPr>
                  <w:r>
                    <w:rPr>
                      <w:rFonts w:hint="eastAsia"/>
                      <w:color w:val="auto"/>
                      <w:szCs w:val="21"/>
                    </w:rPr>
                    <w:t>土壤及地下水污染防治</w:t>
                  </w:r>
                </w:p>
              </w:tc>
              <w:tc>
                <w:tcPr>
                  <w:tcW w:w="3118" w:type="dxa"/>
                  <w:gridSpan w:val="2"/>
                  <w:vAlign w:val="center"/>
                </w:tcPr>
                <w:p>
                  <w:pPr>
                    <w:rPr>
                      <w:color w:val="auto"/>
                      <w:szCs w:val="21"/>
                    </w:rPr>
                  </w:pPr>
                  <w:r>
                    <w:rPr>
                      <w:rFonts w:hint="eastAsia"/>
                      <w:color w:val="auto"/>
                      <w:szCs w:val="21"/>
                    </w:rPr>
                    <w:t>生产车间二外新增的精馏塔区</w:t>
                  </w:r>
                  <w:r>
                    <w:rPr>
                      <w:rFonts w:hint="eastAsia"/>
                      <w:color w:val="auto"/>
                      <w:szCs w:val="21"/>
                      <w:lang w:eastAsia="zh-CN"/>
                    </w:rPr>
                    <w:t>、车间X1</w:t>
                  </w:r>
                  <w:r>
                    <w:rPr>
                      <w:color w:val="auto"/>
                      <w:szCs w:val="21"/>
                    </w:rPr>
                    <w:t>为一般污染防治区，防渗性能不应低于1.5m厚渗透系数为1×10</w:t>
                  </w:r>
                  <w:r>
                    <w:rPr>
                      <w:color w:val="auto"/>
                      <w:szCs w:val="21"/>
                      <w:vertAlign w:val="superscript"/>
                    </w:rPr>
                    <w:t>-7</w:t>
                  </w:r>
                  <w:r>
                    <w:rPr>
                      <w:color w:val="auto"/>
                      <w:szCs w:val="21"/>
                    </w:rPr>
                    <w:t>cm/s的黏土层的防渗性能。</w:t>
                  </w:r>
                </w:p>
              </w:tc>
              <w:tc>
                <w:tcPr>
                  <w:tcW w:w="2340" w:type="dxa"/>
                  <w:vAlign w:val="center"/>
                </w:tcPr>
                <w:p>
                  <w:pPr>
                    <w:jc w:val="center"/>
                    <w:rPr>
                      <w:color w:val="auto"/>
                      <w:szCs w:val="21"/>
                    </w:rPr>
                  </w:pPr>
                  <w:r>
                    <w:rPr>
                      <w:rFonts w:hint="eastAsia"/>
                      <w:color w:val="auto"/>
                      <w:szCs w:val="21"/>
                    </w:rPr>
                    <w:t>现场验收落实情况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7" w:type="dxa"/>
                  <w:gridSpan w:val="2"/>
                  <w:vAlign w:val="center"/>
                </w:tcPr>
                <w:p>
                  <w:pPr>
                    <w:jc w:val="center"/>
                    <w:rPr>
                      <w:color w:val="auto"/>
                      <w:szCs w:val="21"/>
                    </w:rPr>
                  </w:pPr>
                  <w:r>
                    <w:rPr>
                      <w:rFonts w:hint="eastAsia"/>
                      <w:color w:val="auto"/>
                      <w:szCs w:val="21"/>
                    </w:rPr>
                    <w:t>环境风险</w:t>
                  </w:r>
                </w:p>
              </w:tc>
              <w:tc>
                <w:tcPr>
                  <w:tcW w:w="5458" w:type="dxa"/>
                  <w:gridSpan w:val="3"/>
                  <w:vAlign w:val="center"/>
                </w:tcPr>
                <w:p>
                  <w:pPr>
                    <w:rPr>
                      <w:color w:val="auto"/>
                      <w:szCs w:val="21"/>
                    </w:rPr>
                  </w:pPr>
                  <w:r>
                    <w:rPr>
                      <w:rFonts w:hint="eastAsia"/>
                      <w:color w:val="auto"/>
                      <w:szCs w:val="21"/>
                    </w:rPr>
                    <w:t>加强生产管理、原料贮运管理；设置完善的消防系统；开展员工上岗、安全培训等；加强危险废物贮存管理，按规范要求进行防渗处理。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7" w:type="dxa"/>
                  <w:gridSpan w:val="2"/>
                  <w:vAlign w:val="center"/>
                </w:tcPr>
                <w:p>
                  <w:pPr>
                    <w:jc w:val="center"/>
                    <w:rPr>
                      <w:color w:val="auto"/>
                      <w:szCs w:val="21"/>
                    </w:rPr>
                  </w:pPr>
                  <w:r>
                    <w:rPr>
                      <w:rFonts w:hint="eastAsia"/>
                      <w:color w:val="auto"/>
                      <w:szCs w:val="21"/>
                    </w:rPr>
                    <w:t>环境管理</w:t>
                  </w:r>
                </w:p>
              </w:tc>
              <w:tc>
                <w:tcPr>
                  <w:tcW w:w="5458" w:type="dxa"/>
                  <w:gridSpan w:val="3"/>
                  <w:vAlign w:val="center"/>
                </w:tcPr>
                <w:p>
                  <w:pPr>
                    <w:rPr>
                      <w:color w:val="auto"/>
                      <w:szCs w:val="21"/>
                    </w:rPr>
                  </w:pPr>
                  <w:r>
                    <w:rPr>
                      <w:rFonts w:hint="eastAsia"/>
                      <w:color w:val="auto"/>
                      <w:szCs w:val="21"/>
                    </w:rPr>
                    <w:t>建立健全环保管理制度和档案，落实监测计划；落实排污许可证管理要求，建立规范化排污口，开展自主验收。</w:t>
                  </w:r>
                </w:p>
              </w:tc>
            </w:tr>
          </w:tbl>
          <w:p>
            <w:pPr>
              <w:spacing w:line="360" w:lineRule="auto"/>
              <w:rPr>
                <w:color w:val="auto"/>
                <w:szCs w:val="21"/>
              </w:rPr>
            </w:pPr>
          </w:p>
          <w:p>
            <w:pPr>
              <w:spacing w:line="360" w:lineRule="auto"/>
              <w:rPr>
                <w:color w:val="auto"/>
                <w:szCs w:val="21"/>
              </w:rPr>
            </w:pPr>
          </w:p>
          <w:p>
            <w:pPr>
              <w:spacing w:line="360" w:lineRule="auto"/>
              <w:rPr>
                <w:color w:val="auto"/>
                <w:szCs w:val="21"/>
              </w:rPr>
            </w:pPr>
          </w:p>
        </w:tc>
      </w:tr>
    </w:tbl>
    <w:p>
      <w:pPr>
        <w:rPr>
          <w:rFonts w:eastAsia="黑体"/>
          <w:snapToGrid w:val="0"/>
          <w:sz w:val="30"/>
          <w:szCs w:val="30"/>
        </w:rPr>
        <w:sectPr>
          <w:pgSz w:w="11906" w:h="16838"/>
          <w:pgMar w:top="1247" w:right="1531" w:bottom="1247" w:left="1531"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15"/>
        <w:numPr>
          <w:ilvl w:val="0"/>
          <w:numId w:val="8"/>
        </w:numPr>
        <w:adjustRightInd w:val="0"/>
        <w:snapToGrid w:val="0"/>
        <w:jc w:val="center"/>
        <w:outlineLvl w:val="0"/>
        <w:rPr>
          <w:rFonts w:hint="eastAsia" w:ascii="Times New Roman" w:hAnsi="Times New Roman" w:eastAsia="黑体"/>
          <w:snapToGrid w:val="0"/>
          <w:sz w:val="30"/>
          <w:szCs w:val="30"/>
          <w:lang w:val="en-US" w:eastAsia="zh-CN"/>
        </w:rPr>
      </w:pPr>
      <w:bookmarkStart w:id="65" w:name="_Toc17631"/>
      <w:r>
        <w:rPr>
          <w:rFonts w:hint="eastAsia" w:ascii="Times New Roman" w:hAnsi="Times New Roman" w:eastAsia="黑体"/>
          <w:snapToGrid w:val="0"/>
          <w:sz w:val="30"/>
          <w:szCs w:val="30"/>
          <w:lang w:val="en-US" w:eastAsia="zh-CN"/>
        </w:rPr>
        <w:t>结论</w:t>
      </w:r>
      <w:bookmarkEnd w:id="65"/>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7" w:hRule="atLeast"/>
        </w:trPr>
        <w:tc>
          <w:tcPr>
            <w:tcW w:w="9060" w:type="dxa"/>
          </w:tcPr>
          <w:p>
            <w:pPr>
              <w:spacing w:line="360" w:lineRule="auto"/>
              <w:ind w:firstLine="420" w:firstLineChars="200"/>
              <w:rPr>
                <w:rFonts w:hint="eastAsia"/>
                <w:szCs w:val="21"/>
                <w:lang w:val="en-US" w:eastAsia="zh-CN"/>
              </w:rPr>
            </w:pPr>
            <w:r>
              <w:rPr>
                <w:rFonts w:hint="eastAsia"/>
                <w:szCs w:val="21"/>
              </w:rPr>
              <w:t>三</w:t>
            </w:r>
            <w:r>
              <w:rPr>
                <w:rFonts w:hint="eastAsia"/>
                <w:szCs w:val="21"/>
                <w:lang w:val="en-US" w:eastAsia="zh-CN"/>
              </w:rPr>
              <w:t>明市海斯福化工有限责任公司年产50吨功能性氟材料项目拟选址在福建省三明市明溪县经济开发区D区1号，符合三明市生态环境分区管控要求，选址在城镇开发边界内、不占用生态保护红线，选址合理可行，在落实本报告提出的各项污染治理措施，并加强环境管理的前提下，能够实现达标排放且对环境影响较小、环境风险可控，从环境影响角度分析，项目建设可行的。</w:t>
            </w:r>
          </w:p>
          <w:p>
            <w:pPr>
              <w:spacing w:line="360" w:lineRule="auto"/>
              <w:ind w:firstLine="420" w:firstLineChars="200"/>
              <w:rPr>
                <w:rFonts w:hint="eastAsia"/>
                <w:szCs w:val="21"/>
                <w:lang w:val="en-US" w:eastAsia="zh-CN"/>
              </w:rPr>
            </w:pPr>
          </w:p>
          <w:p>
            <w:pPr>
              <w:spacing w:line="360" w:lineRule="auto"/>
              <w:ind w:firstLine="420" w:firstLineChars="200"/>
              <w:rPr>
                <w:rFonts w:hint="eastAsia"/>
                <w:szCs w:val="21"/>
                <w:lang w:val="en-US" w:eastAsia="zh-CN"/>
              </w:rPr>
            </w:pPr>
          </w:p>
          <w:p>
            <w:pPr>
              <w:spacing w:line="360" w:lineRule="auto"/>
              <w:ind w:firstLine="420" w:firstLineChars="200"/>
              <w:rPr>
                <w:rFonts w:hint="eastAsia"/>
                <w:szCs w:val="21"/>
                <w:lang w:val="en-US" w:eastAsia="zh-CN"/>
              </w:rPr>
            </w:pPr>
          </w:p>
          <w:tbl>
            <w:tblPr>
              <w:tblStyle w:val="19"/>
              <w:tblW w:w="0" w:type="auto"/>
              <w:tblInd w:w="5420" w:type="dxa"/>
              <w:tblLayout w:type="autofit"/>
              <w:tblCellMar>
                <w:top w:w="0" w:type="dxa"/>
                <w:left w:w="108" w:type="dxa"/>
                <w:bottom w:w="0" w:type="dxa"/>
                <w:right w:w="108" w:type="dxa"/>
              </w:tblCellMar>
            </w:tblPr>
            <w:tblGrid>
              <w:gridCol w:w="2886"/>
            </w:tblGrid>
            <w:tr>
              <w:tblPrEx>
                <w:tblCellMar>
                  <w:top w:w="0" w:type="dxa"/>
                  <w:left w:w="108" w:type="dxa"/>
                  <w:bottom w:w="0" w:type="dxa"/>
                  <w:right w:w="108" w:type="dxa"/>
                </w:tblCellMar>
              </w:tblPrEx>
              <w:tc>
                <w:tcPr>
                  <w:tcW w:w="3645" w:type="dxa"/>
                  <w:tcBorders>
                    <w:top w:val="nil"/>
                    <w:left w:val="nil"/>
                    <w:bottom w:val="nil"/>
                    <w:right w:val="nil"/>
                  </w:tcBorders>
                  <w:noWrap w:val="0"/>
                  <w:vAlign w:val="center"/>
                </w:tcPr>
                <w:p>
                  <w:pPr>
                    <w:jc w:val="center"/>
                    <w:rPr>
                      <w:color w:val="auto"/>
                      <w:sz w:val="24"/>
                    </w:rPr>
                  </w:pPr>
                  <w:r>
                    <w:rPr>
                      <w:rFonts w:hint="eastAsia"/>
                      <w:b/>
                      <w:color w:val="auto"/>
                      <w:sz w:val="24"/>
                    </w:rPr>
                    <w:t>编制单位（盖章）</w:t>
                  </w:r>
                  <w:r>
                    <w:rPr>
                      <w:b/>
                      <w:color w:val="auto"/>
                      <w:sz w:val="24"/>
                    </w:rPr>
                    <w:t>:</w:t>
                  </w:r>
                </w:p>
              </w:tc>
            </w:tr>
            <w:tr>
              <w:tc>
                <w:tcPr>
                  <w:tcW w:w="3645" w:type="dxa"/>
                  <w:tcBorders>
                    <w:top w:val="nil"/>
                    <w:left w:val="nil"/>
                    <w:bottom w:val="nil"/>
                    <w:right w:val="nil"/>
                  </w:tcBorders>
                  <w:noWrap w:val="0"/>
                  <w:vAlign w:val="center"/>
                </w:tcPr>
                <w:p>
                  <w:pPr>
                    <w:jc w:val="center"/>
                    <w:rPr>
                      <w:color w:val="auto"/>
                      <w:sz w:val="24"/>
                    </w:rPr>
                  </w:pPr>
                  <w:r>
                    <w:rPr>
                      <w:rFonts w:hint="eastAsia"/>
                      <w:b/>
                      <w:color w:val="auto"/>
                      <w:sz w:val="24"/>
                    </w:rPr>
                    <w:t>三明市闽环国投环保有限公司</w:t>
                  </w:r>
                </w:p>
              </w:tc>
            </w:tr>
            <w:tr>
              <w:tblPrEx>
                <w:tblCellMar>
                  <w:top w:w="0" w:type="dxa"/>
                  <w:left w:w="108" w:type="dxa"/>
                  <w:bottom w:w="0" w:type="dxa"/>
                  <w:right w:w="108" w:type="dxa"/>
                </w:tblCellMar>
              </w:tblPrEx>
              <w:tc>
                <w:tcPr>
                  <w:tcW w:w="3645" w:type="dxa"/>
                  <w:tcBorders>
                    <w:top w:val="nil"/>
                    <w:left w:val="nil"/>
                    <w:bottom w:val="nil"/>
                    <w:right w:val="nil"/>
                  </w:tcBorders>
                  <w:noWrap w:val="0"/>
                  <w:vAlign w:val="center"/>
                </w:tcPr>
                <w:p>
                  <w:pPr>
                    <w:jc w:val="center"/>
                    <w:rPr>
                      <w:color w:val="auto"/>
                      <w:sz w:val="24"/>
                    </w:rPr>
                  </w:pPr>
                  <w:r>
                    <w:rPr>
                      <w:b/>
                      <w:color w:val="auto"/>
                      <w:sz w:val="24"/>
                    </w:rPr>
                    <w:t>202</w:t>
                  </w:r>
                  <w:r>
                    <w:rPr>
                      <w:rFonts w:hint="eastAsia"/>
                      <w:b/>
                      <w:color w:val="auto"/>
                      <w:sz w:val="24"/>
                      <w:lang w:val="en-US" w:eastAsia="zh-CN"/>
                    </w:rPr>
                    <w:t>6</w:t>
                  </w:r>
                  <w:r>
                    <w:rPr>
                      <w:rFonts w:hint="eastAsia"/>
                      <w:b/>
                      <w:color w:val="auto"/>
                      <w:sz w:val="24"/>
                    </w:rPr>
                    <w:t>年</w:t>
                  </w:r>
                  <w:r>
                    <w:rPr>
                      <w:rFonts w:hint="eastAsia"/>
                      <w:b/>
                      <w:color w:val="auto"/>
                      <w:sz w:val="24"/>
                      <w:lang w:val="en-US" w:eastAsia="zh-CN"/>
                    </w:rPr>
                    <w:t>6</w:t>
                  </w:r>
                  <w:r>
                    <w:rPr>
                      <w:rFonts w:hint="eastAsia"/>
                      <w:b/>
                      <w:color w:val="auto"/>
                      <w:sz w:val="24"/>
                    </w:rPr>
                    <w:t>月</w:t>
                  </w:r>
                </w:p>
              </w:tc>
            </w:tr>
          </w:tbl>
          <w:p>
            <w:pPr>
              <w:spacing w:line="360" w:lineRule="auto"/>
              <w:ind w:firstLine="420" w:firstLineChars="200"/>
              <w:jc w:val="right"/>
              <w:rPr>
                <w:rFonts w:hint="default"/>
                <w:szCs w:val="21"/>
                <w:lang w:val="en-US" w:eastAsia="zh-CN"/>
              </w:rPr>
            </w:pPr>
          </w:p>
        </w:tc>
      </w:tr>
    </w:tbl>
    <w:p/>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A302D60-1AC3-4F24-BB8E-C0355127AAFB}"/>
  </w:font>
  <w:font w:name="黑体">
    <w:panose1 w:val="02010609060101010101"/>
    <w:charset w:val="86"/>
    <w:family w:val="auto"/>
    <w:pitch w:val="default"/>
    <w:sig w:usb0="800002BF" w:usb1="38CF7CFA" w:usb2="00000016" w:usb3="00000000" w:csb0="00040001" w:csb1="00000000"/>
    <w:embedRegular r:id="rId2" w:fontKey="{47CA44B2-7596-4941-B128-04F30499B04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3" w:fontKey="{92B319EA-ED22-46D7-A263-C11DCBBA655C}"/>
  </w:font>
  <w:font w:name="楷体_GB2312">
    <w:panose1 w:val="02010609030101010101"/>
    <w:charset w:val="86"/>
    <w:family w:val="modern"/>
    <w:pitch w:val="default"/>
    <w:sig w:usb0="00000001" w:usb1="080E0000" w:usb2="00000000" w:usb3="00000000" w:csb0="00040000" w:csb1="00000000"/>
    <w:embedRegular r:id="rId4" w:fontKey="{F04957A9-9C05-4109-B0A1-798CDC28B63A}"/>
  </w:font>
  <w:font w:name="华文中宋">
    <w:altName w:val="宋体"/>
    <w:panose1 w:val="02010600040101010101"/>
    <w:charset w:val="86"/>
    <w:family w:val="auto"/>
    <w:pitch w:val="default"/>
    <w:sig w:usb0="00000000" w:usb1="00000000" w:usb2="00000000" w:usb3="00000000" w:csb0="0004009F" w:csb1="DFD70000"/>
  </w:font>
  <w:font w:name="方正小标宋_GBK">
    <w:panose1 w:val="03000509000000000000"/>
    <w:charset w:val="86"/>
    <w:family w:val="auto"/>
    <w:pitch w:val="default"/>
    <w:sig w:usb0="00000001" w:usb1="080E0000" w:usb2="00000000" w:usb3="00000000" w:csb0="00040000" w:csb1="00000000"/>
    <w:embedRegular r:id="rId5" w:fontKey="{C47256A5-0F51-46EC-BF8E-445AE145C952}"/>
  </w:font>
  <w:font w:name="华文仿宋">
    <w:panose1 w:val="02010600040101010101"/>
    <w:charset w:val="86"/>
    <w:family w:val="auto"/>
    <w:pitch w:val="default"/>
    <w:sig w:usb0="00000287" w:usb1="080F0000" w:usb2="00000000" w:usb3="00000000" w:csb0="0004009F" w:csb1="DFD70000"/>
    <w:embedRegular r:id="rId6" w:fontKey="{DC7C417F-3277-4723-872D-FA6DB495D164}"/>
  </w:font>
  <w:font w:name="仿宋">
    <w:panose1 w:val="02010609060101010101"/>
    <w:charset w:val="86"/>
    <w:family w:val="modern"/>
    <w:pitch w:val="default"/>
    <w:sig w:usb0="800002BF" w:usb1="38CF7CFA" w:usb2="00000016" w:usb3="00000000" w:csb0="00040001" w:csb1="00000000"/>
    <w:embedRegular r:id="rId7" w:fontKey="{0AB93665-F5ED-4050-965C-10370E5C283A}"/>
  </w:font>
  <w:font w:name="Wingdings 2">
    <w:panose1 w:val="05020102010507070707"/>
    <w:charset w:val="02"/>
    <w:family w:val="roman"/>
    <w:pitch w:val="default"/>
    <w:sig w:usb0="00000000" w:usb1="00000000" w:usb2="00000000" w:usb3="00000000" w:csb0="80000000" w:csb1="00000000"/>
    <w:embedRegular r:id="rId8" w:fontKey="{98493DD0-5FD7-4F43-A27C-AB71D37E0E9C}"/>
  </w:font>
  <w:font w:name="微软雅黑">
    <w:panose1 w:val="020B0503020204020204"/>
    <w:charset w:val="86"/>
    <w:family w:val="auto"/>
    <w:pitch w:val="default"/>
    <w:sig w:usb0="80000287" w:usb1="2ACF3C50" w:usb2="00000016" w:usb3="00000000" w:csb0="0004001F" w:csb1="00000000"/>
    <w:embedRegular r:id="rId9" w:fontKey="{743964F1-0533-4950-B029-AF83A2746E73}"/>
  </w:font>
  <w:font w:name="Cambria Math">
    <w:panose1 w:val="02040503050406030204"/>
    <w:charset w:val="00"/>
    <w:family w:val="roman"/>
    <w:pitch w:val="default"/>
    <w:sig w:usb0="E00006FF" w:usb1="420024FF" w:usb2="02000000" w:usb3="00000000" w:csb0="2000019F" w:csb1="00000000"/>
    <w:embedRegular r:id="rId10" w:fontKey="{E1264459-9F34-4390-9460-0B4F4D954489}"/>
  </w:font>
  <w:font w:name="等线">
    <w:panose1 w:val="02010600030101010101"/>
    <w:charset w:val="86"/>
    <w:family w:val="auto"/>
    <w:pitch w:val="default"/>
    <w:sig w:usb0="A00002BF" w:usb1="38CF7CFA" w:usb2="00000016" w:usb3="00000000" w:csb0="0004000F" w:csb1="00000000"/>
    <w:embedRegular r:id="rId11" w:fontKey="{C1893ADC-FB0E-4C3D-8595-7009152373B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dr/gt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dUK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edr/gtAgAAVwQAAA4AAAAAAAAAAQAgAAAAHwEAAGRycy9lMm9Eb2MueG1sUEsFBgAAAAAG&#10;AAYAWQEAAL4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right="360"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5" name="文本框 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Style w:val="22"/>
                              <w:rFonts w:ascii="宋体" w:hAnsi="宋体"/>
                              <w:sz w:val="28"/>
                              <w:szCs w:val="28"/>
                            </w:rPr>
                          </w:pPr>
                          <w:r>
                            <w:rPr>
                              <w:rStyle w:val="22"/>
                              <w:rFonts w:hint="eastAsia" w:ascii="宋体" w:hAnsi="宋体"/>
                              <w:sz w:val="28"/>
                              <w:szCs w:val="28"/>
                            </w:rPr>
                            <w:t>—</w:t>
                          </w:r>
                          <w:r>
                            <w:rPr>
                              <w:rStyle w:val="22"/>
                              <w:rFonts w:hint="default" w:ascii="Times New Roman" w:hAnsi="Times New Roman" w:cs="Times New Roman"/>
                              <w:sz w:val="20"/>
                            </w:rPr>
                            <w:t xml:space="preserve">  </w:t>
                          </w:r>
                          <w:r>
                            <w:rPr>
                              <w:rFonts w:hint="default" w:ascii="Times New Roman" w:hAnsi="Times New Roman" w:cs="Times New Roman"/>
                              <w:sz w:val="26"/>
                              <w:szCs w:val="26"/>
                            </w:rPr>
                            <w:fldChar w:fldCharType="begin"/>
                          </w:r>
                          <w:r>
                            <w:rPr>
                              <w:rStyle w:val="22"/>
                              <w:rFonts w:hint="default" w:ascii="Times New Roman" w:hAnsi="Times New Roman" w:cs="Times New Roman"/>
                              <w:sz w:val="26"/>
                              <w:szCs w:val="26"/>
                            </w:rPr>
                            <w:instrText xml:space="preserve">PAGE  </w:instrText>
                          </w:r>
                          <w:r>
                            <w:rPr>
                              <w:rFonts w:hint="default" w:ascii="Times New Roman" w:hAnsi="Times New Roman" w:cs="Times New Roman"/>
                              <w:sz w:val="26"/>
                              <w:szCs w:val="26"/>
                            </w:rPr>
                            <w:fldChar w:fldCharType="separate"/>
                          </w:r>
                          <w:r>
                            <w:rPr>
                              <w:rStyle w:val="22"/>
                              <w:rFonts w:hint="default" w:ascii="Times New Roman" w:hAnsi="Times New Roman" w:cs="Times New Roman"/>
                              <w:sz w:val="26"/>
                              <w:szCs w:val="26"/>
                            </w:rPr>
                            <w:t>88</w:t>
                          </w:r>
                          <w:r>
                            <w:rPr>
                              <w:rFonts w:hint="default" w:ascii="Times New Roman" w:hAnsi="Times New Roman" w:cs="Times New Roman"/>
                              <w:sz w:val="26"/>
                              <w:szCs w:val="26"/>
                            </w:rPr>
                            <w:fldChar w:fldCharType="end"/>
                          </w:r>
                          <w:r>
                            <w:rPr>
                              <w:rStyle w:val="22"/>
                              <w:rFonts w:hint="eastAsia" w:ascii="宋体" w:hAnsi="宋体"/>
                              <w:sz w:val="20"/>
                            </w:rPr>
                            <w:t xml:space="preserve">  </w:t>
                          </w:r>
                          <w:r>
                            <w:rPr>
                              <w:rStyle w:val="22"/>
                              <w:rFonts w:hint="eastAsia" w:ascii="宋体" w:hAnsi="宋体"/>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3cvA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7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3cvAzAgAAYwQAAA4AAAAAAAAAAQAgAAAAHwEAAGRycy9lMm9Eb2MueG1sUEsF&#10;BgAAAAAGAAYAWQEAAMQFAAAAAA==&#10;">
              <v:fill on="f" focussize="0,0"/>
              <v:stroke on="f" weight="0.5pt"/>
              <v:imagedata o:title=""/>
              <o:lock v:ext="edit" aspectratio="f"/>
              <v:textbox inset="0mm,0mm,0mm,0mm" style="mso-fit-shape-to-text:t;">
                <w:txbxContent>
                  <w:p>
                    <w:pPr>
                      <w:pStyle w:val="11"/>
                      <w:rPr>
                        <w:rStyle w:val="22"/>
                        <w:rFonts w:ascii="宋体" w:hAnsi="宋体"/>
                        <w:sz w:val="28"/>
                        <w:szCs w:val="28"/>
                      </w:rPr>
                    </w:pPr>
                    <w:r>
                      <w:rPr>
                        <w:rStyle w:val="22"/>
                        <w:rFonts w:hint="eastAsia" w:ascii="宋体" w:hAnsi="宋体"/>
                        <w:sz w:val="28"/>
                        <w:szCs w:val="28"/>
                      </w:rPr>
                      <w:t>—</w:t>
                    </w:r>
                    <w:r>
                      <w:rPr>
                        <w:rStyle w:val="22"/>
                        <w:rFonts w:hint="default" w:ascii="Times New Roman" w:hAnsi="Times New Roman" w:cs="Times New Roman"/>
                        <w:sz w:val="20"/>
                      </w:rPr>
                      <w:t xml:space="preserve">  </w:t>
                    </w:r>
                    <w:r>
                      <w:rPr>
                        <w:rFonts w:hint="default" w:ascii="Times New Roman" w:hAnsi="Times New Roman" w:cs="Times New Roman"/>
                        <w:sz w:val="26"/>
                        <w:szCs w:val="26"/>
                      </w:rPr>
                      <w:fldChar w:fldCharType="begin"/>
                    </w:r>
                    <w:r>
                      <w:rPr>
                        <w:rStyle w:val="22"/>
                        <w:rFonts w:hint="default" w:ascii="Times New Roman" w:hAnsi="Times New Roman" w:cs="Times New Roman"/>
                        <w:sz w:val="26"/>
                        <w:szCs w:val="26"/>
                      </w:rPr>
                      <w:instrText xml:space="preserve">PAGE  </w:instrText>
                    </w:r>
                    <w:r>
                      <w:rPr>
                        <w:rFonts w:hint="default" w:ascii="Times New Roman" w:hAnsi="Times New Roman" w:cs="Times New Roman"/>
                        <w:sz w:val="26"/>
                        <w:szCs w:val="26"/>
                      </w:rPr>
                      <w:fldChar w:fldCharType="separate"/>
                    </w:r>
                    <w:r>
                      <w:rPr>
                        <w:rStyle w:val="22"/>
                        <w:rFonts w:hint="default" w:ascii="Times New Roman" w:hAnsi="Times New Roman" w:cs="Times New Roman"/>
                        <w:sz w:val="26"/>
                        <w:szCs w:val="26"/>
                      </w:rPr>
                      <w:t>88</w:t>
                    </w:r>
                    <w:r>
                      <w:rPr>
                        <w:rFonts w:hint="default" w:ascii="Times New Roman" w:hAnsi="Times New Roman" w:cs="Times New Roman"/>
                        <w:sz w:val="26"/>
                        <w:szCs w:val="26"/>
                      </w:rPr>
                      <w:fldChar w:fldCharType="end"/>
                    </w:r>
                    <w:r>
                      <w:rPr>
                        <w:rStyle w:val="22"/>
                        <w:rFonts w:hint="eastAsia" w:ascii="宋体" w:hAnsi="宋体"/>
                        <w:sz w:val="20"/>
                      </w:rPr>
                      <w:t xml:space="preserve">  </w:t>
                    </w:r>
                    <w:r>
                      <w:rPr>
                        <w:rStyle w:val="22"/>
                        <w:rFonts w:hint="eastAsia" w:ascii="宋体" w:hAnsi="宋体"/>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A033D4"/>
    <w:multiLevelType w:val="singleLevel"/>
    <w:tmpl w:val="84A033D4"/>
    <w:lvl w:ilvl="0" w:tentative="0">
      <w:start w:val="3"/>
      <w:numFmt w:val="decimal"/>
      <w:suff w:val="nothing"/>
      <w:lvlText w:val="（%1）"/>
      <w:lvlJc w:val="left"/>
    </w:lvl>
  </w:abstractNum>
  <w:abstractNum w:abstractNumId="1">
    <w:nsid w:val="AF82945B"/>
    <w:multiLevelType w:val="singleLevel"/>
    <w:tmpl w:val="AF82945B"/>
    <w:lvl w:ilvl="0" w:tentative="0">
      <w:start w:val="2"/>
      <w:numFmt w:val="decimal"/>
      <w:suff w:val="nothing"/>
      <w:lvlText w:val="（%1）"/>
      <w:lvlJc w:val="left"/>
    </w:lvl>
  </w:abstractNum>
  <w:abstractNum w:abstractNumId="2">
    <w:nsid w:val="026F774C"/>
    <w:multiLevelType w:val="singleLevel"/>
    <w:tmpl w:val="026F774C"/>
    <w:lvl w:ilvl="0" w:tentative="0">
      <w:start w:val="1"/>
      <w:numFmt w:val="chineseCounting"/>
      <w:suff w:val="nothing"/>
      <w:lvlText w:val="%1、"/>
      <w:lvlJc w:val="left"/>
      <w:rPr>
        <w:rFonts w:hint="eastAsia"/>
      </w:rPr>
    </w:lvl>
  </w:abstractNum>
  <w:abstractNum w:abstractNumId="3">
    <w:nsid w:val="0CE7A4A7"/>
    <w:multiLevelType w:val="singleLevel"/>
    <w:tmpl w:val="0CE7A4A7"/>
    <w:lvl w:ilvl="0" w:tentative="0">
      <w:start w:val="1"/>
      <w:numFmt w:val="decimal"/>
      <w:suff w:val="nothing"/>
      <w:lvlText w:val="（%1）"/>
      <w:lvlJc w:val="left"/>
    </w:lvl>
  </w:abstractNum>
  <w:abstractNum w:abstractNumId="4">
    <w:nsid w:val="2F78A9E7"/>
    <w:multiLevelType w:val="singleLevel"/>
    <w:tmpl w:val="2F78A9E7"/>
    <w:lvl w:ilvl="0" w:tentative="0">
      <w:start w:val="6"/>
      <w:numFmt w:val="chineseCounting"/>
      <w:suff w:val="nothing"/>
      <w:lvlText w:val="%1、"/>
      <w:lvlJc w:val="left"/>
      <w:rPr>
        <w:rFonts w:hint="eastAsia"/>
      </w:rPr>
    </w:lvl>
  </w:abstractNum>
  <w:abstractNum w:abstractNumId="5">
    <w:nsid w:val="30C5B586"/>
    <w:multiLevelType w:val="singleLevel"/>
    <w:tmpl w:val="30C5B586"/>
    <w:lvl w:ilvl="0" w:tentative="0">
      <w:start w:val="5"/>
      <w:numFmt w:val="decimal"/>
      <w:suff w:val="nothing"/>
      <w:lvlText w:val="（%1）"/>
      <w:lvlJc w:val="left"/>
    </w:lvl>
  </w:abstractNum>
  <w:abstractNum w:abstractNumId="6">
    <w:nsid w:val="42B3ADC6"/>
    <w:multiLevelType w:val="singleLevel"/>
    <w:tmpl w:val="42B3ADC6"/>
    <w:lvl w:ilvl="0" w:tentative="0">
      <w:start w:val="4"/>
      <w:numFmt w:val="chineseCounting"/>
      <w:suff w:val="nothing"/>
      <w:lvlText w:val="%1、"/>
      <w:lvlJc w:val="left"/>
      <w:rPr>
        <w:rFonts w:hint="eastAsia"/>
      </w:rPr>
    </w:lvl>
  </w:abstractNum>
  <w:abstractNum w:abstractNumId="7">
    <w:nsid w:val="74BF6A16"/>
    <w:multiLevelType w:val="multilevel"/>
    <w:tmpl w:val="74BF6A16"/>
    <w:lvl w:ilvl="0" w:tentative="0">
      <w:start w:val="1"/>
      <w:numFmt w:val="chineseCounting"/>
      <w:suff w:val="nothing"/>
      <w:lvlText w:val="第%1章 "/>
      <w:lvlJc w:val="left"/>
      <w:pPr>
        <w:ind w:left="432" w:hanging="432"/>
      </w:pPr>
      <w:rPr>
        <w:rFonts w:hint="eastAsia"/>
      </w:rPr>
    </w:lvl>
    <w:lvl w:ilvl="1" w:tentative="0">
      <w:start w:val="1"/>
      <w:numFmt w:val="decimal"/>
      <w:isLgl/>
      <w:suff w:val="space"/>
      <w:lvlText w:val="%1.%2"/>
      <w:lvlJc w:val="left"/>
      <w:pPr>
        <w:tabs>
          <w:tab w:val="left" w:pos="420"/>
        </w:tabs>
        <w:ind w:left="575" w:hanging="575"/>
      </w:pPr>
      <w:rPr>
        <w:rFonts w:hint="eastAsia" w:ascii="Times New Roman" w:hAnsi="Times New Roman" w:eastAsia="宋体" w:cs="宋体"/>
      </w:rPr>
    </w:lvl>
    <w:lvl w:ilvl="2" w:tentative="0">
      <w:start w:val="1"/>
      <w:numFmt w:val="decimal"/>
      <w:isLgl/>
      <w:suff w:val="space"/>
      <w:lvlText w:val="%1.%2.%3"/>
      <w:lvlJc w:val="left"/>
      <w:pPr>
        <w:tabs>
          <w:tab w:val="left" w:pos="0"/>
        </w:tabs>
        <w:ind w:left="720" w:hanging="720"/>
      </w:pPr>
      <w:rPr>
        <w:rFonts w:hint="eastAsia" w:ascii="Times New Roman" w:hAnsi="Times New Roman" w:eastAsia="宋体" w:cs="宋体"/>
      </w:rPr>
    </w:lvl>
    <w:lvl w:ilvl="3" w:tentative="0">
      <w:start w:val="1"/>
      <w:numFmt w:val="decimal"/>
      <w:pStyle w:val="2"/>
      <w:isLgl/>
      <w:suff w:val="space"/>
      <w:lvlText w:val="%1.%2.%3.%4"/>
      <w:lvlJc w:val="left"/>
      <w:pPr>
        <w:tabs>
          <w:tab w:val="left" w:pos="420"/>
        </w:tabs>
        <w:ind w:left="864" w:hanging="864"/>
      </w:pPr>
      <w:rPr>
        <w:rFonts w:hint="eastAsia" w:ascii="Times New Roman" w:hAnsi="Times New Roman" w:eastAsia="宋体" w:cs="宋体"/>
      </w:rPr>
    </w:lvl>
    <w:lvl w:ilvl="4" w:tentative="0">
      <w:start w:val="1"/>
      <w:numFmt w:val="decimal"/>
      <w:isLgl/>
      <w:lvlText w:val="%1.%2.%3.%4.%5."/>
      <w:lvlJc w:val="left"/>
      <w:pPr>
        <w:ind w:left="1008" w:hanging="1008"/>
      </w:pPr>
      <w:rPr>
        <w:rFonts w:hint="eastAsia"/>
      </w:rPr>
    </w:lvl>
    <w:lvl w:ilvl="5" w:tentative="0">
      <w:start w:val="1"/>
      <w:numFmt w:val="decimal"/>
      <w:isLgl/>
      <w:lvlText w:val="%1.%2.%3.%4.%5.%6."/>
      <w:lvlJc w:val="left"/>
      <w:pPr>
        <w:ind w:left="1151" w:hanging="1151"/>
      </w:pPr>
      <w:rPr>
        <w:rFonts w:hint="eastAsia"/>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3" w:hanging="1583"/>
      </w:pPr>
      <w:rPr>
        <w:rFonts w:hint="eastAsia"/>
      </w:rPr>
    </w:lvl>
  </w:abstractNum>
  <w:num w:numId="1">
    <w:abstractNumId w:val="7"/>
  </w:num>
  <w:num w:numId="2">
    <w:abstractNumId w:val="2"/>
  </w:num>
  <w:num w:numId="3">
    <w:abstractNumId w:val="6"/>
  </w:num>
  <w:num w:numId="4">
    <w:abstractNumId w:val="5"/>
  </w:num>
  <w:num w:numId="5">
    <w:abstractNumId w:val="1"/>
  </w:num>
  <w:num w:numId="6">
    <w:abstractNumId w:val="0"/>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702C6B"/>
    <w:rsid w:val="00143CE6"/>
    <w:rsid w:val="0016735D"/>
    <w:rsid w:val="001C03C9"/>
    <w:rsid w:val="0026654B"/>
    <w:rsid w:val="002B79E7"/>
    <w:rsid w:val="0055746E"/>
    <w:rsid w:val="00574A31"/>
    <w:rsid w:val="00576321"/>
    <w:rsid w:val="005D495F"/>
    <w:rsid w:val="006C13C0"/>
    <w:rsid w:val="0071078E"/>
    <w:rsid w:val="008F57B5"/>
    <w:rsid w:val="009113DD"/>
    <w:rsid w:val="00950D23"/>
    <w:rsid w:val="00975AD1"/>
    <w:rsid w:val="00B60663"/>
    <w:rsid w:val="00C1483F"/>
    <w:rsid w:val="00C640A1"/>
    <w:rsid w:val="00C84172"/>
    <w:rsid w:val="00CA6484"/>
    <w:rsid w:val="00CB1B00"/>
    <w:rsid w:val="00CB6D6E"/>
    <w:rsid w:val="00CF5CC0"/>
    <w:rsid w:val="00CF738F"/>
    <w:rsid w:val="00E66F44"/>
    <w:rsid w:val="00EC1A99"/>
    <w:rsid w:val="00F25845"/>
    <w:rsid w:val="00F85787"/>
    <w:rsid w:val="00FC6EB3"/>
    <w:rsid w:val="0277155D"/>
    <w:rsid w:val="02F81ADC"/>
    <w:rsid w:val="02FA613C"/>
    <w:rsid w:val="02FD1058"/>
    <w:rsid w:val="0431202E"/>
    <w:rsid w:val="045A1585"/>
    <w:rsid w:val="04DC68DB"/>
    <w:rsid w:val="05E41A4E"/>
    <w:rsid w:val="05EC26B0"/>
    <w:rsid w:val="062F2B7F"/>
    <w:rsid w:val="06BB5B64"/>
    <w:rsid w:val="06F72C2A"/>
    <w:rsid w:val="07351E35"/>
    <w:rsid w:val="074A1304"/>
    <w:rsid w:val="08114650"/>
    <w:rsid w:val="0883301F"/>
    <w:rsid w:val="089F389B"/>
    <w:rsid w:val="091E5277"/>
    <w:rsid w:val="094D3090"/>
    <w:rsid w:val="09F42B9C"/>
    <w:rsid w:val="0AA84C3E"/>
    <w:rsid w:val="0B4E7969"/>
    <w:rsid w:val="0B511399"/>
    <w:rsid w:val="0B5A7049"/>
    <w:rsid w:val="0CD828F6"/>
    <w:rsid w:val="0CF564D9"/>
    <w:rsid w:val="0D074274"/>
    <w:rsid w:val="0D3F7F12"/>
    <w:rsid w:val="0D4925EF"/>
    <w:rsid w:val="0E032C8D"/>
    <w:rsid w:val="0E044190"/>
    <w:rsid w:val="0E63197E"/>
    <w:rsid w:val="0E90419B"/>
    <w:rsid w:val="0F0C223F"/>
    <w:rsid w:val="103F191C"/>
    <w:rsid w:val="10B1077E"/>
    <w:rsid w:val="111C1C1F"/>
    <w:rsid w:val="11203B56"/>
    <w:rsid w:val="11A402E3"/>
    <w:rsid w:val="12E87ABB"/>
    <w:rsid w:val="13001351"/>
    <w:rsid w:val="132D6BCD"/>
    <w:rsid w:val="14D013EF"/>
    <w:rsid w:val="14D955E8"/>
    <w:rsid w:val="14EF03AB"/>
    <w:rsid w:val="153876C0"/>
    <w:rsid w:val="15657D89"/>
    <w:rsid w:val="15BC53AA"/>
    <w:rsid w:val="166242C9"/>
    <w:rsid w:val="16A51652"/>
    <w:rsid w:val="17851EC7"/>
    <w:rsid w:val="17FD189A"/>
    <w:rsid w:val="186B3909"/>
    <w:rsid w:val="18F90FBF"/>
    <w:rsid w:val="191C10A7"/>
    <w:rsid w:val="19F30222"/>
    <w:rsid w:val="19F71339"/>
    <w:rsid w:val="1A8D2556"/>
    <w:rsid w:val="1C861DC7"/>
    <w:rsid w:val="1C94429F"/>
    <w:rsid w:val="1D1959CD"/>
    <w:rsid w:val="1D2642A2"/>
    <w:rsid w:val="1D5A37C4"/>
    <w:rsid w:val="1E175127"/>
    <w:rsid w:val="1E4619BF"/>
    <w:rsid w:val="1E753220"/>
    <w:rsid w:val="203805B3"/>
    <w:rsid w:val="20967902"/>
    <w:rsid w:val="20F85F56"/>
    <w:rsid w:val="21182BF7"/>
    <w:rsid w:val="21297761"/>
    <w:rsid w:val="214967B1"/>
    <w:rsid w:val="22114DD3"/>
    <w:rsid w:val="22172BBE"/>
    <w:rsid w:val="22E73BCC"/>
    <w:rsid w:val="237E3BA4"/>
    <w:rsid w:val="23C640E9"/>
    <w:rsid w:val="23DF7D0A"/>
    <w:rsid w:val="24A26723"/>
    <w:rsid w:val="24B76A8F"/>
    <w:rsid w:val="24C745BD"/>
    <w:rsid w:val="25720C82"/>
    <w:rsid w:val="259C3436"/>
    <w:rsid w:val="25E1072B"/>
    <w:rsid w:val="267274AB"/>
    <w:rsid w:val="2740175F"/>
    <w:rsid w:val="27BB6190"/>
    <w:rsid w:val="27CC1EEA"/>
    <w:rsid w:val="280D42E8"/>
    <w:rsid w:val="28F21957"/>
    <w:rsid w:val="295C266A"/>
    <w:rsid w:val="29B8189D"/>
    <w:rsid w:val="29C54E43"/>
    <w:rsid w:val="29D357B2"/>
    <w:rsid w:val="2A3C4B22"/>
    <w:rsid w:val="2A552F76"/>
    <w:rsid w:val="2A8B3997"/>
    <w:rsid w:val="2AC02590"/>
    <w:rsid w:val="2B031F62"/>
    <w:rsid w:val="2B401E83"/>
    <w:rsid w:val="2B7B5151"/>
    <w:rsid w:val="2E5C5D76"/>
    <w:rsid w:val="2E5E5C0B"/>
    <w:rsid w:val="2EB40E48"/>
    <w:rsid w:val="2F02371A"/>
    <w:rsid w:val="2F2F6F9A"/>
    <w:rsid w:val="2F8C114D"/>
    <w:rsid w:val="2FAF45CB"/>
    <w:rsid w:val="2FB61D1A"/>
    <w:rsid w:val="30361EB7"/>
    <w:rsid w:val="3044101E"/>
    <w:rsid w:val="304F440F"/>
    <w:rsid w:val="30702C6B"/>
    <w:rsid w:val="307C26FF"/>
    <w:rsid w:val="30C72BA8"/>
    <w:rsid w:val="311A3B9E"/>
    <w:rsid w:val="31DB3455"/>
    <w:rsid w:val="32742071"/>
    <w:rsid w:val="32A25D21"/>
    <w:rsid w:val="32FA5275"/>
    <w:rsid w:val="33555060"/>
    <w:rsid w:val="345634AA"/>
    <w:rsid w:val="34630E03"/>
    <w:rsid w:val="34945433"/>
    <w:rsid w:val="34FA0097"/>
    <w:rsid w:val="350267D2"/>
    <w:rsid w:val="35683252"/>
    <w:rsid w:val="36D854DD"/>
    <w:rsid w:val="36DA0180"/>
    <w:rsid w:val="375D2B5F"/>
    <w:rsid w:val="378E414A"/>
    <w:rsid w:val="37971BCD"/>
    <w:rsid w:val="38986660"/>
    <w:rsid w:val="38A81BB8"/>
    <w:rsid w:val="38F00FF6"/>
    <w:rsid w:val="393B1CEB"/>
    <w:rsid w:val="3972255F"/>
    <w:rsid w:val="3A432417"/>
    <w:rsid w:val="3A4C0E2A"/>
    <w:rsid w:val="3ABE3914"/>
    <w:rsid w:val="3B4C67D8"/>
    <w:rsid w:val="3BB219FF"/>
    <w:rsid w:val="3BC14218"/>
    <w:rsid w:val="3BD57167"/>
    <w:rsid w:val="3C74072E"/>
    <w:rsid w:val="3C905EAB"/>
    <w:rsid w:val="3D670D87"/>
    <w:rsid w:val="3F2F3033"/>
    <w:rsid w:val="3F4D637F"/>
    <w:rsid w:val="3FF1653A"/>
    <w:rsid w:val="401A22A5"/>
    <w:rsid w:val="40E77274"/>
    <w:rsid w:val="40F16B69"/>
    <w:rsid w:val="41314E40"/>
    <w:rsid w:val="425F37A8"/>
    <w:rsid w:val="427F1795"/>
    <w:rsid w:val="438C45B0"/>
    <w:rsid w:val="438F3163"/>
    <w:rsid w:val="43A833B4"/>
    <w:rsid w:val="450A461C"/>
    <w:rsid w:val="453A679C"/>
    <w:rsid w:val="454C6073"/>
    <w:rsid w:val="46875502"/>
    <w:rsid w:val="46971BE9"/>
    <w:rsid w:val="46E62229"/>
    <w:rsid w:val="47096077"/>
    <w:rsid w:val="479C1AD7"/>
    <w:rsid w:val="482F19AD"/>
    <w:rsid w:val="485B1A7C"/>
    <w:rsid w:val="485D4879"/>
    <w:rsid w:val="48A000F0"/>
    <w:rsid w:val="490951D5"/>
    <w:rsid w:val="490B2C7E"/>
    <w:rsid w:val="49914A36"/>
    <w:rsid w:val="4B8E474B"/>
    <w:rsid w:val="4C0741F7"/>
    <w:rsid w:val="4CC71527"/>
    <w:rsid w:val="4CFC0FA9"/>
    <w:rsid w:val="4D2D72F0"/>
    <w:rsid w:val="4D337A0B"/>
    <w:rsid w:val="4D9258D3"/>
    <w:rsid w:val="4DB02341"/>
    <w:rsid w:val="4DB94B27"/>
    <w:rsid w:val="4DDF16D6"/>
    <w:rsid w:val="4EFF657E"/>
    <w:rsid w:val="4F2064F4"/>
    <w:rsid w:val="50210776"/>
    <w:rsid w:val="502E071A"/>
    <w:rsid w:val="50AA0F81"/>
    <w:rsid w:val="50D94BAC"/>
    <w:rsid w:val="51840FBC"/>
    <w:rsid w:val="51C045ED"/>
    <w:rsid w:val="529C6BBF"/>
    <w:rsid w:val="539B083F"/>
    <w:rsid w:val="53B43F72"/>
    <w:rsid w:val="53FF2B7C"/>
    <w:rsid w:val="54492049"/>
    <w:rsid w:val="54B167A5"/>
    <w:rsid w:val="55FB184D"/>
    <w:rsid w:val="563B747D"/>
    <w:rsid w:val="56F00EA2"/>
    <w:rsid w:val="57776ECD"/>
    <w:rsid w:val="578131FF"/>
    <w:rsid w:val="57F347A6"/>
    <w:rsid w:val="57FC2091"/>
    <w:rsid w:val="58937BFC"/>
    <w:rsid w:val="590C2A04"/>
    <w:rsid w:val="595627F3"/>
    <w:rsid w:val="598453B0"/>
    <w:rsid w:val="5AAB441A"/>
    <w:rsid w:val="5AE623A0"/>
    <w:rsid w:val="5BD71849"/>
    <w:rsid w:val="5CE77D0C"/>
    <w:rsid w:val="5D8331B0"/>
    <w:rsid w:val="5DAC20AE"/>
    <w:rsid w:val="5DD56503"/>
    <w:rsid w:val="5E3E736E"/>
    <w:rsid w:val="5E696627"/>
    <w:rsid w:val="5E6A0F75"/>
    <w:rsid w:val="5EE5676D"/>
    <w:rsid w:val="5F817F69"/>
    <w:rsid w:val="601923F2"/>
    <w:rsid w:val="60710887"/>
    <w:rsid w:val="60843A9B"/>
    <w:rsid w:val="60E05979"/>
    <w:rsid w:val="61DC6DF7"/>
    <w:rsid w:val="62291FCA"/>
    <w:rsid w:val="6383139C"/>
    <w:rsid w:val="655A2308"/>
    <w:rsid w:val="66BD5E1B"/>
    <w:rsid w:val="66CA0DC7"/>
    <w:rsid w:val="67AA4226"/>
    <w:rsid w:val="67DF6270"/>
    <w:rsid w:val="67FC7620"/>
    <w:rsid w:val="68F44CAF"/>
    <w:rsid w:val="68FB699C"/>
    <w:rsid w:val="69DB2379"/>
    <w:rsid w:val="6A4D4413"/>
    <w:rsid w:val="6B221D8A"/>
    <w:rsid w:val="6BBE2ECB"/>
    <w:rsid w:val="6BF414CC"/>
    <w:rsid w:val="6C535651"/>
    <w:rsid w:val="6C757A27"/>
    <w:rsid w:val="6C7B05E2"/>
    <w:rsid w:val="6C841A18"/>
    <w:rsid w:val="6CD67B4E"/>
    <w:rsid w:val="6D2E23EC"/>
    <w:rsid w:val="6D4F0278"/>
    <w:rsid w:val="6D8968A8"/>
    <w:rsid w:val="6DB433A9"/>
    <w:rsid w:val="6EA470E4"/>
    <w:rsid w:val="6EB26EDE"/>
    <w:rsid w:val="6FA6458F"/>
    <w:rsid w:val="701B08E6"/>
    <w:rsid w:val="710C1E69"/>
    <w:rsid w:val="7117398D"/>
    <w:rsid w:val="7141766C"/>
    <w:rsid w:val="71DA3350"/>
    <w:rsid w:val="71F05CCB"/>
    <w:rsid w:val="727E67AA"/>
    <w:rsid w:val="72D1172F"/>
    <w:rsid w:val="73A26502"/>
    <w:rsid w:val="73A77007"/>
    <w:rsid w:val="73E71B17"/>
    <w:rsid w:val="73EA389E"/>
    <w:rsid w:val="748137A2"/>
    <w:rsid w:val="74C03C91"/>
    <w:rsid w:val="74D06AF8"/>
    <w:rsid w:val="752610A3"/>
    <w:rsid w:val="754E350B"/>
    <w:rsid w:val="760642CA"/>
    <w:rsid w:val="7692374C"/>
    <w:rsid w:val="76E53009"/>
    <w:rsid w:val="772269FE"/>
    <w:rsid w:val="772E2D7C"/>
    <w:rsid w:val="776E1C43"/>
    <w:rsid w:val="77A70BEA"/>
    <w:rsid w:val="77E26D1E"/>
    <w:rsid w:val="786A29DE"/>
    <w:rsid w:val="78767001"/>
    <w:rsid w:val="78D12489"/>
    <w:rsid w:val="78D81144"/>
    <w:rsid w:val="793F3897"/>
    <w:rsid w:val="79D044EF"/>
    <w:rsid w:val="7A1B4865"/>
    <w:rsid w:val="7A9C085E"/>
    <w:rsid w:val="7AB35BC5"/>
    <w:rsid w:val="7ABA735D"/>
    <w:rsid w:val="7B4307C6"/>
    <w:rsid w:val="7C2D4B10"/>
    <w:rsid w:val="7CE81AF2"/>
    <w:rsid w:val="7D7D1BBC"/>
    <w:rsid w:val="7E886DBB"/>
    <w:rsid w:val="7EA051A1"/>
    <w:rsid w:val="7EB770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qFormat="1"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9"/>
    <w:pPr>
      <w:keepNext/>
      <w:keepLines/>
      <w:numPr>
        <w:ilvl w:val="3"/>
        <w:numId w:val="1"/>
      </w:numPr>
      <w:spacing w:before="100" w:beforeLines="100" w:after="50" w:afterLines="50"/>
      <w:ind w:left="0" w:firstLine="0"/>
      <w:jc w:val="left"/>
      <w:outlineLvl w:val="3"/>
    </w:pPr>
    <w:rPr>
      <w:b/>
      <w:bCs/>
      <w:kern w:val="0"/>
      <w:szCs w:val="28"/>
    </w:rPr>
  </w:style>
  <w:style w:type="paragraph" w:styleId="3">
    <w:name w:val="heading 5"/>
    <w:basedOn w:val="1"/>
    <w:next w:val="1"/>
    <w:qFormat/>
    <w:uiPriority w:val="0"/>
    <w:pPr>
      <w:keepNext/>
      <w:keepLines/>
      <w:spacing w:before="280" w:after="290" w:line="376" w:lineRule="auto"/>
      <w:outlineLvl w:val="4"/>
    </w:pPr>
    <w:rPr>
      <w:b/>
      <w:bCs/>
      <w:sz w:val="28"/>
      <w:szCs w:val="2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4">
    <w:name w:val="Note Heading"/>
    <w:basedOn w:val="1"/>
    <w:next w:val="1"/>
    <w:qFormat/>
    <w:uiPriority w:val="0"/>
    <w:pPr>
      <w:jc w:val="center"/>
    </w:pPr>
    <w:rPr>
      <w:szCs w:val="20"/>
    </w:rPr>
  </w:style>
  <w:style w:type="paragraph" w:styleId="5">
    <w:name w:val="Normal Indent"/>
    <w:basedOn w:val="1"/>
    <w:next w:val="1"/>
    <w:qFormat/>
    <w:uiPriority w:val="0"/>
    <w:pPr>
      <w:spacing w:line="360" w:lineRule="auto"/>
      <w:ind w:firstLine="480"/>
    </w:pPr>
    <w:rPr>
      <w:rFonts w:ascii="Arial" w:hAnsi="Arial"/>
      <w:kern w:val="1"/>
      <w:sz w:val="24"/>
      <w:szCs w:val="32"/>
    </w:rPr>
  </w:style>
  <w:style w:type="paragraph" w:styleId="6">
    <w:name w:val="caption"/>
    <w:basedOn w:val="1"/>
    <w:next w:val="1"/>
    <w:qFormat/>
    <w:uiPriority w:val="0"/>
    <w:rPr>
      <w:rFonts w:ascii="Arial" w:hAnsi="Arial" w:eastAsia="黑体"/>
      <w:sz w:val="20"/>
      <w:szCs w:val="20"/>
    </w:rPr>
  </w:style>
  <w:style w:type="paragraph" w:styleId="7">
    <w:name w:val="annotation text"/>
    <w:basedOn w:val="1"/>
    <w:link w:val="66"/>
    <w:semiHidden/>
    <w:qFormat/>
    <w:uiPriority w:val="0"/>
    <w:pPr>
      <w:jc w:val="left"/>
    </w:pPr>
  </w:style>
  <w:style w:type="paragraph" w:styleId="8">
    <w:name w:val="Body Text"/>
    <w:basedOn w:val="1"/>
    <w:qFormat/>
    <w:uiPriority w:val="0"/>
    <w:pPr>
      <w:widowControl/>
      <w:snapToGrid w:val="0"/>
      <w:spacing w:before="60" w:after="160" w:line="259" w:lineRule="auto"/>
      <w:ind w:right="113"/>
    </w:pPr>
    <w:rPr>
      <w:kern w:val="0"/>
      <w:sz w:val="18"/>
      <w:szCs w:val="20"/>
    </w:rPr>
  </w:style>
  <w:style w:type="paragraph" w:styleId="9">
    <w:name w:val="Body Text Indent"/>
    <w:basedOn w:val="1"/>
    <w:qFormat/>
    <w:uiPriority w:val="0"/>
    <w:pPr>
      <w:spacing w:after="120"/>
      <w:ind w:left="420" w:leftChars="200"/>
    </w:pPr>
    <w:rPr>
      <w:kern w:val="0"/>
      <w:sz w:val="24"/>
      <w:szCs w:val="20"/>
    </w:rPr>
  </w:style>
  <w:style w:type="paragraph" w:styleId="10">
    <w:name w:val="Plain Text"/>
    <w:basedOn w:val="1"/>
    <w:qFormat/>
    <w:uiPriority w:val="0"/>
    <w:rPr>
      <w:rFonts w:ascii="宋体" w:hAnsi="Courier New"/>
      <w:szCs w:val="21"/>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qFormat/>
    <w:uiPriority w:val="0"/>
  </w:style>
  <w:style w:type="paragraph" w:styleId="14">
    <w:name w:val="toc 2"/>
    <w:basedOn w:val="1"/>
    <w:next w:val="1"/>
    <w:qFormat/>
    <w:uiPriority w:val="0"/>
    <w:pPr>
      <w:ind w:left="420" w:leftChars="200"/>
    </w:pPr>
  </w:style>
  <w:style w:type="paragraph" w:styleId="15">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6">
    <w:name w:val="annotation subject"/>
    <w:basedOn w:val="7"/>
    <w:next w:val="7"/>
    <w:link w:val="67"/>
    <w:qFormat/>
    <w:uiPriority w:val="0"/>
    <w:rPr>
      <w:b/>
      <w:bCs/>
    </w:rPr>
  </w:style>
  <w:style w:type="paragraph" w:styleId="17">
    <w:name w:val="Body Text First Indent"/>
    <w:basedOn w:val="8"/>
    <w:next w:val="1"/>
    <w:unhideWhenUsed/>
    <w:qFormat/>
    <w:uiPriority w:val="99"/>
    <w:pPr>
      <w:ind w:firstLine="420" w:firstLineChars="100"/>
    </w:pPr>
  </w:style>
  <w:style w:type="paragraph" w:styleId="18">
    <w:name w:val="Body Text First Indent 2"/>
    <w:basedOn w:val="1"/>
    <w:next w:val="17"/>
    <w:qFormat/>
    <w:uiPriority w:val="0"/>
    <w:pPr>
      <w:spacing w:after="120"/>
      <w:ind w:left="420" w:leftChars="200" w:firstLine="420"/>
    </w:p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qFormat/>
    <w:uiPriority w:val="0"/>
  </w:style>
  <w:style w:type="character" w:styleId="23">
    <w:name w:val="annotation reference"/>
    <w:qFormat/>
    <w:uiPriority w:val="99"/>
    <w:rPr>
      <w:sz w:val="21"/>
      <w:szCs w:val="21"/>
    </w:rPr>
  </w:style>
  <w:style w:type="paragraph" w:customStyle="1" w:styleId="24">
    <w:name w:val="0文本"/>
    <w:basedOn w:val="25"/>
    <w:qFormat/>
    <w:uiPriority w:val="0"/>
    <w:pPr>
      <w:tabs>
        <w:tab w:val="left" w:pos="4500"/>
      </w:tabs>
      <w:snapToGrid/>
      <w:spacing w:line="324" w:lineRule="auto"/>
      <w:ind w:firstLine="200"/>
    </w:pPr>
    <w:rPr>
      <w:spacing w:val="0"/>
    </w:rPr>
  </w:style>
  <w:style w:type="paragraph" w:customStyle="1" w:styleId="25">
    <w:name w:val="环评文本"/>
    <w:basedOn w:val="1"/>
    <w:link w:val="61"/>
    <w:qFormat/>
    <w:uiPriority w:val="0"/>
    <w:pPr>
      <w:tabs>
        <w:tab w:val="left" w:pos="4500"/>
      </w:tabs>
      <w:adjustRightInd w:val="0"/>
      <w:snapToGrid w:val="0"/>
      <w:spacing w:line="360" w:lineRule="exact"/>
      <w:ind w:firstLine="456" w:firstLineChars="200"/>
    </w:pPr>
    <w:rPr>
      <w:color w:val="000000"/>
      <w:spacing w:val="-6"/>
      <w:sz w:val="24"/>
    </w:rPr>
  </w:style>
  <w:style w:type="paragraph" w:customStyle="1" w:styleId="26">
    <w:name w:val="5表格标题"/>
    <w:basedOn w:val="1"/>
    <w:qFormat/>
    <w:uiPriority w:val="0"/>
    <w:pPr>
      <w:widowControl/>
      <w:adjustRightInd w:val="0"/>
      <w:spacing w:line="288" w:lineRule="auto"/>
      <w:jc w:val="center"/>
    </w:pPr>
    <w:rPr>
      <w:rFonts w:eastAsia="黑体" w:cs="宋体"/>
      <w:b/>
      <w:kern w:val="0"/>
      <w:sz w:val="24"/>
    </w:rPr>
  </w:style>
  <w:style w:type="paragraph" w:customStyle="1" w:styleId="27">
    <w:name w:val="6表格中字"/>
    <w:basedOn w:val="1"/>
    <w:qFormat/>
    <w:uiPriority w:val="0"/>
    <w:pPr>
      <w:widowControl/>
      <w:adjustRightInd w:val="0"/>
      <w:spacing w:line="288" w:lineRule="auto"/>
      <w:jc w:val="center"/>
    </w:pPr>
  </w:style>
  <w:style w:type="paragraph" w:customStyle="1" w:styleId="28">
    <w:name w:val="9表注"/>
    <w:basedOn w:val="29"/>
    <w:qFormat/>
    <w:uiPriority w:val="0"/>
    <w:pPr>
      <w:tabs>
        <w:tab w:val="left" w:pos="5529"/>
      </w:tabs>
      <w:spacing w:line="240" w:lineRule="auto"/>
    </w:pPr>
    <w:rPr>
      <w:sz w:val="21"/>
    </w:rPr>
  </w:style>
  <w:style w:type="paragraph" w:customStyle="1" w:styleId="29">
    <w:name w:val="4级正文"/>
    <w:basedOn w:val="1"/>
    <w:qFormat/>
    <w:uiPriority w:val="0"/>
    <w:pPr>
      <w:widowControl/>
      <w:tabs>
        <w:tab w:val="left" w:pos="5529"/>
      </w:tabs>
      <w:adjustRightInd w:val="0"/>
      <w:snapToGrid w:val="0"/>
      <w:spacing w:line="360" w:lineRule="auto"/>
      <w:ind w:firstLine="480" w:firstLineChars="200"/>
      <w:jc w:val="left"/>
    </w:pPr>
    <w:rPr>
      <w:rFonts w:cs="宋体"/>
      <w:snapToGrid w:val="0"/>
      <w:kern w:val="0"/>
      <w:sz w:val="24"/>
      <w:szCs w:val="23"/>
    </w:rPr>
  </w:style>
  <w:style w:type="paragraph" w:customStyle="1" w:styleId="30">
    <w:name w:val="Eia_表头图头"/>
    <w:basedOn w:val="1"/>
    <w:next w:val="1"/>
    <w:qFormat/>
    <w:uiPriority w:val="0"/>
    <w:pPr>
      <w:jc w:val="center"/>
      <w:outlineLvl w:val="4"/>
    </w:pPr>
    <w:rPr>
      <w:rFonts w:eastAsia="黑体" w:cs="宋体"/>
      <w:b/>
      <w:bCs/>
      <w:sz w:val="24"/>
      <w:szCs w:val="20"/>
    </w:rPr>
  </w:style>
  <w:style w:type="paragraph" w:customStyle="1" w:styleId="31">
    <w:name w:val="表格内容"/>
    <w:next w:val="1"/>
    <w:qFormat/>
    <w:uiPriority w:val="0"/>
    <w:pPr>
      <w:widowControl w:val="0"/>
      <w:ind w:left="-84" w:leftChars="-30" w:right="-84" w:rightChars="-30"/>
      <w:jc w:val="center"/>
    </w:pPr>
    <w:rPr>
      <w:rFonts w:ascii="Times New Roman" w:hAnsi="Times New Roman" w:eastAsia="宋体" w:cs="Times New Roman"/>
      <w:kern w:val="2"/>
      <w:sz w:val="21"/>
      <w:szCs w:val="21"/>
      <w:lang w:val="en-US" w:eastAsia="zh-CN" w:bidi="ar-SA"/>
    </w:rPr>
  </w:style>
  <w:style w:type="paragraph" w:customStyle="1" w:styleId="32">
    <w:name w:val="表格正文"/>
    <w:basedOn w:val="1"/>
    <w:qFormat/>
    <w:uiPriority w:val="0"/>
    <w:pPr>
      <w:jc w:val="center"/>
    </w:pPr>
  </w:style>
  <w:style w:type="paragraph" w:customStyle="1" w:styleId="33">
    <w:name w:val="正文 首行缩进"/>
    <w:qFormat/>
    <w:uiPriority w:val="0"/>
    <w:pPr>
      <w:widowControl w:val="0"/>
      <w:spacing w:line="360" w:lineRule="auto"/>
      <w:ind w:firstLine="420" w:firstLineChars="200"/>
      <w:jc w:val="both"/>
    </w:pPr>
    <w:rPr>
      <w:rFonts w:ascii="Times New Roman" w:hAnsi="Times New Roman" w:eastAsia="宋体" w:cs="Times New Roman"/>
      <w:sz w:val="24"/>
      <w:szCs w:val="24"/>
      <w:lang w:val="en-US" w:eastAsia="zh-CN" w:bidi="ar-SA"/>
    </w:rPr>
  </w:style>
  <w:style w:type="paragraph" w:customStyle="1" w:styleId="34">
    <w:name w:val="表格 正文1"/>
    <w:qFormat/>
    <w:uiPriority w:val="0"/>
    <w:pPr>
      <w:widowControl w:val="0"/>
      <w:adjustRightInd w:val="0"/>
      <w:snapToGrid w:val="0"/>
      <w:jc w:val="center"/>
      <w:textAlignment w:val="center"/>
    </w:pPr>
    <w:rPr>
      <w:rFonts w:ascii="Times New Roman" w:hAnsi="Times New Roman" w:eastAsia="宋体" w:cs="Times New Roman"/>
      <w:sz w:val="21"/>
      <w:szCs w:val="21"/>
      <w:lang w:val="en-US" w:eastAsia="zh-CN" w:bidi="ar-SA"/>
    </w:rPr>
  </w:style>
  <w:style w:type="paragraph" w:customStyle="1" w:styleId="35">
    <w:name w:val="0正文"/>
    <w:qFormat/>
    <w:uiPriority w:val="99"/>
    <w:pPr>
      <w:widowControl w:val="0"/>
      <w:spacing w:line="360" w:lineRule="auto"/>
      <w:ind w:firstLine="720" w:firstLineChars="200"/>
    </w:pPr>
    <w:rPr>
      <w:rFonts w:asciiTheme="minorHAnsi" w:hAnsiTheme="minorHAnsi" w:eastAsiaTheme="minorEastAsia" w:cstheme="minorBidi"/>
      <w:sz w:val="24"/>
      <w:szCs w:val="22"/>
      <w:lang w:val="en-US" w:eastAsia="zh-CN" w:bidi="ar-SA"/>
    </w:rPr>
  </w:style>
  <w:style w:type="paragraph" w:customStyle="1" w:styleId="36">
    <w:name w:val="样式 7表格(治) + 宋体"/>
    <w:basedOn w:val="37"/>
    <w:qFormat/>
    <w:uiPriority w:val="0"/>
    <w:pPr>
      <w:widowControl w:val="0"/>
      <w:tabs>
        <w:tab w:val="center" w:pos="4153"/>
        <w:tab w:val="right" w:pos="8306"/>
      </w:tabs>
      <w:suppressAutoHyphens/>
      <w:snapToGrid w:val="0"/>
      <w:spacing w:line="240" w:lineRule="auto"/>
    </w:pPr>
    <w:rPr>
      <w:rFonts w:ascii="宋体" w:hAnsi="宋体"/>
      <w:kern w:val="2"/>
      <w:szCs w:val="21"/>
    </w:rPr>
  </w:style>
  <w:style w:type="paragraph" w:customStyle="1" w:styleId="37">
    <w:name w:val="7表格(治)"/>
    <w:qFormat/>
    <w:uiPriority w:val="0"/>
    <w:pPr>
      <w:spacing w:line="360" w:lineRule="auto"/>
      <w:jc w:val="center"/>
    </w:pPr>
    <w:rPr>
      <w:rFonts w:ascii="Times New Roman" w:hAnsi="Times New Roman" w:eastAsia="宋体" w:cs="Times New Roman"/>
      <w:sz w:val="21"/>
      <w:lang w:val="en-US" w:eastAsia="zh-CN" w:bidi="ar-SA"/>
    </w:rPr>
  </w:style>
  <w:style w:type="paragraph" w:customStyle="1" w:styleId="38">
    <w:name w:val="2表内正文CM"/>
    <w:basedOn w:val="1"/>
    <w:next w:val="1"/>
    <w:qFormat/>
    <w:uiPriority w:val="0"/>
    <w:pPr>
      <w:widowControl/>
      <w:adjustRightInd w:val="0"/>
      <w:snapToGrid w:val="0"/>
      <w:jc w:val="center"/>
    </w:pPr>
    <w:rPr>
      <w:rFonts w:cs="宋体"/>
    </w:rPr>
  </w:style>
  <w:style w:type="paragraph" w:customStyle="1" w:styleId="39">
    <w:name w:val="7表格内容"/>
    <w:basedOn w:val="1"/>
    <w:qFormat/>
    <w:uiPriority w:val="0"/>
    <w:pPr>
      <w:jc w:val="center"/>
    </w:pPr>
    <w:rPr>
      <w:szCs w:val="21"/>
    </w:rPr>
  </w:style>
  <w:style w:type="paragraph" w:customStyle="1" w:styleId="40">
    <w:name w:val="样式 黑色 行距: 最小值 26 磅"/>
    <w:basedOn w:val="1"/>
    <w:qFormat/>
    <w:uiPriority w:val="0"/>
    <w:pPr>
      <w:ind w:firstLine="200" w:firstLineChars="200"/>
      <w:jc w:val="left"/>
    </w:pPr>
    <w:rPr>
      <w:rFonts w:eastAsia="楷体_GB2312" w:cs="宋体"/>
      <w:color w:val="000000"/>
      <w:spacing w:val="6"/>
      <w:sz w:val="28"/>
      <w:szCs w:val="20"/>
    </w:rPr>
  </w:style>
  <w:style w:type="paragraph" w:customStyle="1" w:styleId="41">
    <w:name w:val="国投标题3"/>
    <w:basedOn w:val="1"/>
    <w:qFormat/>
    <w:uiPriority w:val="0"/>
    <w:pPr>
      <w:widowControl/>
      <w:spacing w:before="100" w:beforeAutospacing="1" w:after="100" w:afterAutospacing="1" w:line="360" w:lineRule="auto"/>
      <w:outlineLvl w:val="2"/>
    </w:pPr>
    <w:rPr>
      <w:rFonts w:eastAsia="华文中宋"/>
      <w:b/>
      <w:bCs/>
      <w:color w:val="000000"/>
      <w:sz w:val="30"/>
      <w:szCs w:val="30"/>
    </w:rPr>
  </w:style>
  <w:style w:type="paragraph" w:customStyle="1" w:styleId="42">
    <w:name w:val="zhang正文"/>
    <w:basedOn w:val="9"/>
    <w:qFormat/>
    <w:uiPriority w:val="0"/>
    <w:pPr>
      <w:autoSpaceDE w:val="0"/>
      <w:autoSpaceDN w:val="0"/>
      <w:adjustRightInd w:val="0"/>
      <w:snapToGrid w:val="0"/>
      <w:spacing w:after="0" w:line="500" w:lineRule="atLeast"/>
      <w:ind w:left="0" w:leftChars="0" w:firstLine="539"/>
    </w:pPr>
    <w:rPr>
      <w:rFonts w:eastAsia="楷体_GB2312"/>
      <w:sz w:val="28"/>
    </w:rPr>
  </w:style>
  <w:style w:type="paragraph" w:customStyle="1" w:styleId="43">
    <w:name w:val="9标注"/>
    <w:basedOn w:val="1"/>
    <w:qFormat/>
    <w:uiPriority w:val="0"/>
    <w:pPr>
      <w:adjustRightInd w:val="0"/>
      <w:ind w:firstLine="200" w:firstLineChars="200"/>
      <w:jc w:val="left"/>
    </w:pPr>
    <w:rPr>
      <w:color w:val="000000"/>
    </w:rPr>
  </w:style>
  <w:style w:type="paragraph" w:customStyle="1" w:styleId="44">
    <w:name w:val="表格"/>
    <w:basedOn w:val="45"/>
    <w:next w:val="1"/>
    <w:qFormat/>
    <w:uiPriority w:val="0"/>
    <w:pPr>
      <w:spacing w:beforeLines="10" w:afterLines="10" w:line="259" w:lineRule="auto"/>
    </w:pPr>
    <w:rPr>
      <w:rFonts w:ascii="宋体"/>
      <w:kern w:val="0"/>
      <w:szCs w:val="20"/>
    </w:rPr>
  </w:style>
  <w:style w:type="paragraph" w:customStyle="1" w:styleId="45">
    <w:name w:val="表格的格式"/>
    <w:basedOn w:val="1"/>
    <w:qFormat/>
    <w:uiPriority w:val="99"/>
    <w:pPr>
      <w:adjustRightInd w:val="0"/>
      <w:snapToGrid w:val="0"/>
      <w:jc w:val="center"/>
    </w:pPr>
    <w:rPr>
      <w:szCs w:val="21"/>
    </w:rPr>
  </w:style>
  <w:style w:type="paragraph" w:customStyle="1" w:styleId="46">
    <w:name w:val="表内容"/>
    <w:next w:val="1"/>
    <w:qFormat/>
    <w:uiPriority w:val="0"/>
    <w:pPr>
      <w:widowControl w:val="0"/>
      <w:jc w:val="center"/>
    </w:pPr>
    <w:rPr>
      <w:rFonts w:ascii="Times New Roman" w:hAnsi="Times New Roman" w:eastAsia="宋体" w:cs="Times New Roman"/>
      <w:kern w:val="2"/>
      <w:sz w:val="21"/>
      <w:szCs w:val="21"/>
      <w:lang w:val="en-US" w:eastAsia="zh-CN" w:bidi="ar-SA"/>
    </w:rPr>
  </w:style>
  <w:style w:type="paragraph" w:customStyle="1" w:styleId="47">
    <w:name w:val="4正文"/>
    <w:basedOn w:val="1"/>
    <w:qFormat/>
    <w:uiPriority w:val="0"/>
    <w:pPr>
      <w:spacing w:line="360" w:lineRule="auto"/>
      <w:ind w:firstLine="480"/>
    </w:pPr>
    <w:rPr>
      <w:rFonts w:ascii="Calibri" w:hAnsi="Calibri"/>
      <w:kern w:val="1"/>
      <w:sz w:val="24"/>
      <w:szCs w:val="20"/>
    </w:rPr>
  </w:style>
  <w:style w:type="paragraph" w:customStyle="1" w:styleId="48">
    <w:name w:val="[正文格式]"/>
    <w:basedOn w:val="1"/>
    <w:qFormat/>
    <w:uiPriority w:val="0"/>
    <w:pPr>
      <w:spacing w:line="420" w:lineRule="atLeast"/>
      <w:ind w:firstLine="200" w:firstLineChars="200"/>
    </w:pPr>
    <w:rPr>
      <w:kern w:val="0"/>
      <w:sz w:val="24"/>
      <w:szCs w:val="20"/>
    </w:rPr>
  </w:style>
  <w:style w:type="paragraph" w:customStyle="1" w:styleId="49">
    <w:name w:val="正文国投"/>
    <w:basedOn w:val="1"/>
    <w:qFormat/>
    <w:uiPriority w:val="0"/>
    <w:pPr>
      <w:spacing w:line="420" w:lineRule="atLeast"/>
      <w:ind w:firstLine="200" w:firstLineChars="200"/>
    </w:pPr>
    <w:rPr>
      <w:sz w:val="24"/>
    </w:rPr>
  </w:style>
  <w:style w:type="character" w:customStyle="1" w:styleId="50">
    <w:name w:val="font11"/>
    <w:qFormat/>
    <w:uiPriority w:val="0"/>
    <w:rPr>
      <w:rFonts w:hint="eastAsia" w:ascii="宋体" w:hAnsi="宋体" w:eastAsia="宋体" w:cs="宋体"/>
      <w:color w:val="000000"/>
      <w:sz w:val="18"/>
      <w:szCs w:val="18"/>
      <w:u w:val="none"/>
    </w:rPr>
  </w:style>
  <w:style w:type="character" w:customStyle="1" w:styleId="51">
    <w:name w:val="font31"/>
    <w:qFormat/>
    <w:uiPriority w:val="0"/>
    <w:rPr>
      <w:rFonts w:hint="default" w:ascii="Times New Roman" w:hAnsi="Times New Roman" w:cs="Times New Roman"/>
      <w:color w:val="000000"/>
      <w:sz w:val="18"/>
      <w:szCs w:val="18"/>
      <w:u w:val="none"/>
      <w:vertAlign w:val="subscript"/>
    </w:rPr>
  </w:style>
  <w:style w:type="character" w:customStyle="1" w:styleId="52">
    <w:name w:val="font21"/>
    <w:basedOn w:val="21"/>
    <w:qFormat/>
    <w:uiPriority w:val="0"/>
    <w:rPr>
      <w:rFonts w:hint="default" w:ascii="Times New Roman" w:hAnsi="Times New Roman" w:cs="Times New Roman"/>
      <w:b/>
      <w:bCs/>
      <w:color w:val="000000"/>
      <w:sz w:val="32"/>
      <w:szCs w:val="32"/>
      <w:u w:val="none"/>
    </w:rPr>
  </w:style>
  <w:style w:type="character" w:customStyle="1" w:styleId="53">
    <w:name w:val="font61"/>
    <w:basedOn w:val="21"/>
    <w:qFormat/>
    <w:uiPriority w:val="0"/>
    <w:rPr>
      <w:rFonts w:hint="default" w:ascii="Times New Roman" w:hAnsi="Times New Roman" w:cs="Times New Roman"/>
      <w:color w:val="000000"/>
      <w:sz w:val="32"/>
      <w:szCs w:val="32"/>
      <w:u w:val="none"/>
      <w:vertAlign w:val="subscript"/>
    </w:rPr>
  </w:style>
  <w:style w:type="character" w:customStyle="1" w:styleId="54">
    <w:name w:val="font71"/>
    <w:basedOn w:val="21"/>
    <w:qFormat/>
    <w:uiPriority w:val="0"/>
    <w:rPr>
      <w:rFonts w:hint="eastAsia" w:ascii="宋体" w:hAnsi="宋体" w:eastAsia="宋体" w:cs="宋体"/>
      <w:b/>
      <w:bCs/>
      <w:color w:val="000000"/>
      <w:sz w:val="22"/>
      <w:szCs w:val="22"/>
      <w:u w:val="none"/>
    </w:rPr>
  </w:style>
  <w:style w:type="character" w:customStyle="1" w:styleId="55">
    <w:name w:val="font81"/>
    <w:basedOn w:val="21"/>
    <w:qFormat/>
    <w:uiPriority w:val="0"/>
    <w:rPr>
      <w:rFonts w:hint="eastAsia" w:ascii="宋体" w:hAnsi="宋体" w:eastAsia="宋体" w:cs="宋体"/>
      <w:b/>
      <w:bCs/>
      <w:color w:val="000000"/>
      <w:sz w:val="21"/>
      <w:szCs w:val="21"/>
      <w:u w:val="none"/>
    </w:rPr>
  </w:style>
  <w:style w:type="character" w:customStyle="1" w:styleId="56">
    <w:name w:val="font91"/>
    <w:basedOn w:val="21"/>
    <w:qFormat/>
    <w:uiPriority w:val="0"/>
    <w:rPr>
      <w:rFonts w:hint="eastAsia" w:ascii="宋体" w:hAnsi="宋体" w:eastAsia="宋体" w:cs="宋体"/>
      <w:b/>
      <w:bCs/>
      <w:color w:val="000000"/>
      <w:sz w:val="21"/>
      <w:szCs w:val="21"/>
      <w:u w:val="none"/>
    </w:rPr>
  </w:style>
  <w:style w:type="character" w:customStyle="1" w:styleId="57">
    <w:name w:val="font01"/>
    <w:basedOn w:val="21"/>
    <w:qFormat/>
    <w:uiPriority w:val="0"/>
    <w:rPr>
      <w:rFonts w:hint="eastAsia" w:ascii="宋体" w:hAnsi="宋体" w:eastAsia="宋体" w:cs="宋体"/>
      <w:color w:val="000000"/>
      <w:sz w:val="22"/>
      <w:szCs w:val="22"/>
      <w:u w:val="none"/>
    </w:rPr>
  </w:style>
  <w:style w:type="paragraph" w:customStyle="1" w:styleId="58">
    <w:name w:val="正文（小四）"/>
    <w:qFormat/>
    <w:uiPriority w:val="0"/>
    <w:pPr>
      <w:spacing w:line="360" w:lineRule="auto"/>
      <w:ind w:firstLine="200"/>
      <w:jc w:val="both"/>
    </w:pPr>
    <w:rPr>
      <w:rFonts w:ascii="Calibri" w:hAnsi="Calibri" w:eastAsia="宋体" w:cs="Times New Roman"/>
      <w:color w:val="000000"/>
      <w:kern w:val="1"/>
      <w:sz w:val="24"/>
      <w:szCs w:val="32"/>
      <w:lang w:val="en-US" w:eastAsia="zh-CN" w:bidi="ar-SA"/>
    </w:rPr>
  </w:style>
  <w:style w:type="paragraph" w:customStyle="1" w:styleId="59">
    <w:name w:val="正文的格式"/>
    <w:basedOn w:val="1"/>
    <w:qFormat/>
    <w:uiPriority w:val="0"/>
    <w:pPr>
      <w:spacing w:line="360" w:lineRule="auto"/>
      <w:ind w:firstLine="200" w:firstLineChars="200"/>
    </w:pPr>
    <w:rPr>
      <w:kern w:val="0"/>
      <w:sz w:val="24"/>
      <w:lang w:val="zh-CN"/>
    </w:rPr>
  </w:style>
  <w:style w:type="paragraph" w:customStyle="1" w:styleId="60">
    <w:name w:val="表头图头"/>
    <w:basedOn w:val="8"/>
    <w:next w:val="1"/>
    <w:qFormat/>
    <w:uiPriority w:val="0"/>
    <w:pPr>
      <w:spacing w:after="0" w:line="460" w:lineRule="exact"/>
      <w:jc w:val="center"/>
    </w:pPr>
    <w:rPr>
      <w:rFonts w:ascii="黑体" w:eastAsia="黑体"/>
      <w:sz w:val="24"/>
    </w:rPr>
  </w:style>
  <w:style w:type="character" w:customStyle="1" w:styleId="61">
    <w:name w:val="环评文本 Char"/>
    <w:link w:val="25"/>
    <w:qFormat/>
    <w:uiPriority w:val="0"/>
    <w:rPr>
      <w:color w:val="000000"/>
      <w:spacing w:val="-6"/>
      <w:sz w:val="24"/>
    </w:rPr>
  </w:style>
  <w:style w:type="paragraph" w:customStyle="1" w:styleId="62">
    <w:name w:val="国表格内文字"/>
    <w:basedOn w:val="1"/>
    <w:next w:val="1"/>
    <w:qFormat/>
    <w:uiPriority w:val="0"/>
    <w:pPr>
      <w:widowControl/>
      <w:tabs>
        <w:tab w:val="left" w:pos="1369"/>
      </w:tabs>
      <w:adjustRightInd w:val="0"/>
      <w:jc w:val="center"/>
    </w:pPr>
    <w:rPr>
      <w:color w:val="000000"/>
      <w:kern w:val="0"/>
      <w:szCs w:val="28"/>
    </w:rPr>
  </w:style>
  <w:style w:type="paragraph" w:customStyle="1" w:styleId="63">
    <w:name w:val="0附图附件"/>
    <w:basedOn w:val="1"/>
    <w:qFormat/>
    <w:uiPriority w:val="0"/>
    <w:rPr>
      <w:rFonts w:eastAsia="黑体"/>
      <w:b/>
      <w:sz w:val="28"/>
      <w:szCs w:val="28"/>
    </w:rPr>
  </w:style>
  <w:style w:type="paragraph" w:customStyle="1" w:styleId="64">
    <w:name w:val="附件 正文"/>
    <w:basedOn w:val="1"/>
    <w:qFormat/>
    <w:uiPriority w:val="0"/>
  </w:style>
  <w:style w:type="paragraph" w:customStyle="1" w:styleId="65">
    <w:name w:val="Revision"/>
    <w:hidden/>
    <w:semiHidden/>
    <w:qFormat/>
    <w:uiPriority w:val="99"/>
    <w:rPr>
      <w:rFonts w:ascii="Times New Roman" w:hAnsi="Times New Roman" w:eastAsia="宋体" w:cs="Times New Roman"/>
      <w:kern w:val="2"/>
      <w:sz w:val="21"/>
      <w:szCs w:val="24"/>
      <w:lang w:val="en-US" w:eastAsia="zh-CN" w:bidi="ar-SA"/>
    </w:rPr>
  </w:style>
  <w:style w:type="character" w:customStyle="1" w:styleId="66">
    <w:name w:val="批注文字 字符"/>
    <w:basedOn w:val="21"/>
    <w:link w:val="7"/>
    <w:semiHidden/>
    <w:qFormat/>
    <w:uiPriority w:val="0"/>
    <w:rPr>
      <w:kern w:val="2"/>
      <w:sz w:val="21"/>
      <w:szCs w:val="24"/>
    </w:rPr>
  </w:style>
  <w:style w:type="character" w:customStyle="1" w:styleId="67">
    <w:name w:val="批注主题 字符"/>
    <w:basedOn w:val="66"/>
    <w:link w:val="16"/>
    <w:qFormat/>
    <w:uiPriority w:val="0"/>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wmf"/><Relationship Id="rId14" Type="http://schemas.openxmlformats.org/officeDocument/2006/relationships/oleObject" Target="embeddings/oleObject1.bin"/><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84</Pages>
  <Words>48738</Words>
  <Characters>56741</Characters>
  <Lines>447</Lines>
  <Paragraphs>126</Paragraphs>
  <TotalTime>1</TotalTime>
  <ScaleCrop>false</ScaleCrop>
  <LinksUpToDate>false</LinksUpToDate>
  <CharactersWithSpaces>56988</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2026-04-13T03:07:00Z</dcterms:created>
  <dc:creator>DC</dc:creator>
  <cp:lastModifiedBy>WPS</cp:lastModifiedBy>
  <dcterms:modified xsi:type="dcterms:W3CDTF">2026-07-29T09:07:18Z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926094527AA64F86BE77543543BFA5EF_13</vt:lpwstr>
  </property>
  <property fmtid="{D5CDD505-2E9C-101B-9397-08002B2CF9AE}" pid="4" name="KSOTemplateDocerSaveRecord">
    <vt:lpwstr>eyJoZGlkIjoiYmQ3NjQxYmZmN2ZkODIxYWNiNTEzMzQyMTZmNzQ1MmMiLCJ1c2VySWQiOiI0MzIxODg1NzEifQ==</vt:lpwstr>
  </property>
</Properties>
</file>