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cs="Times New Roman"/>
          <w:sz w:val="36"/>
          <w:szCs w:val="36"/>
        </w:rPr>
      </w:pPr>
      <w:bookmarkStart w:id="1" w:name="_GoBack"/>
      <w:bookmarkEnd w:id="1"/>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0" w:firstLineChars="0"/>
        <w:jc w:val="center"/>
        <w:rPr>
          <w:rFonts w:cs="Times New Roman"/>
          <w:b/>
          <w:bCs/>
          <w:sz w:val="72"/>
          <w:szCs w:val="72"/>
        </w:rPr>
      </w:pPr>
      <w:r>
        <w:rPr>
          <w:rFonts w:cs="Times New Roman"/>
          <w:b/>
          <w:bCs/>
          <w:sz w:val="72"/>
          <w:szCs w:val="72"/>
        </w:rPr>
        <w:t>建设项目环境影响报告表</w:t>
      </w:r>
    </w:p>
    <w:p>
      <w:pPr>
        <w:ind w:firstLine="0" w:firstLineChars="0"/>
        <w:jc w:val="center"/>
        <w:rPr>
          <w:rFonts w:cs="Times New Roman"/>
          <w:sz w:val="48"/>
          <w:szCs w:val="48"/>
        </w:rPr>
      </w:pPr>
      <w:r>
        <w:rPr>
          <w:rFonts w:cs="Times New Roman"/>
          <w:sz w:val="48"/>
          <w:szCs w:val="48"/>
        </w:rPr>
        <w:t>（污染影响类）</w:t>
      </w:r>
    </w:p>
    <w:p>
      <w:pPr>
        <w:ind w:firstLine="960"/>
        <w:jc w:val="center"/>
        <w:rPr>
          <w:rFonts w:cs="Times New Roman"/>
          <w:sz w:val="48"/>
          <w:szCs w:val="48"/>
        </w:rPr>
      </w:pPr>
    </w:p>
    <w:p>
      <w:pPr>
        <w:ind w:firstLine="960"/>
        <w:jc w:val="center"/>
        <w:rPr>
          <w:rFonts w:cs="Times New Roman"/>
          <w:sz w:val="48"/>
          <w:szCs w:val="48"/>
        </w:rPr>
      </w:pPr>
    </w:p>
    <w:p>
      <w:pPr>
        <w:ind w:firstLine="880"/>
        <w:jc w:val="both"/>
        <w:rPr>
          <w:rFonts w:cs="Times New Roman"/>
          <w:sz w:val="44"/>
          <w:szCs w:val="44"/>
        </w:rPr>
      </w:pPr>
    </w:p>
    <w:p>
      <w:pPr>
        <w:ind w:firstLine="880"/>
        <w:jc w:val="both"/>
        <w:rPr>
          <w:rFonts w:cs="Times New Roman"/>
          <w:sz w:val="44"/>
          <w:szCs w:val="44"/>
        </w:rPr>
      </w:pPr>
    </w:p>
    <w:p>
      <w:pPr>
        <w:ind w:firstLine="880"/>
        <w:jc w:val="both"/>
        <w:rPr>
          <w:rFonts w:cs="Times New Roman"/>
          <w:sz w:val="44"/>
          <w:szCs w:val="44"/>
        </w:rPr>
      </w:pPr>
    </w:p>
    <w:p>
      <w:pPr>
        <w:ind w:left="1800" w:leftChars="150" w:hanging="1440" w:hangingChars="400"/>
        <w:rPr>
          <w:rFonts w:cs="Times New Roman"/>
          <w:sz w:val="36"/>
          <w:szCs w:val="36"/>
        </w:rPr>
      </w:pPr>
      <w:r>
        <w:rPr>
          <w:rFonts w:cs="Times New Roman"/>
          <w:sz w:val="36"/>
          <w:szCs w:val="36"/>
        </w:rPr>
        <w:t>项目名称：</w:t>
      </w:r>
      <w:r>
        <w:rPr>
          <w:rFonts w:cs="Times New Roman"/>
          <w:sz w:val="36"/>
          <w:szCs w:val="36"/>
          <w:u w:val="single"/>
        </w:rPr>
        <w:t xml:space="preserve">明溪县兴发矿业有限公司年产50万吨破碎石生产线建设项目               </w:t>
      </w:r>
    </w:p>
    <w:p>
      <w:pPr>
        <w:ind w:firstLine="360" w:firstLineChars="100"/>
        <w:jc w:val="both"/>
        <w:rPr>
          <w:rFonts w:cs="Times New Roman"/>
          <w:sz w:val="36"/>
          <w:szCs w:val="36"/>
          <w:u w:val="single"/>
        </w:rPr>
      </w:pPr>
      <w:r>
        <w:rPr>
          <w:rFonts w:cs="Times New Roman"/>
          <w:sz w:val="36"/>
          <w:szCs w:val="36"/>
        </w:rPr>
        <w:t>建设单位（盖章）：</w:t>
      </w:r>
      <w:r>
        <w:rPr>
          <w:rFonts w:cs="Times New Roman"/>
          <w:sz w:val="36"/>
          <w:szCs w:val="36"/>
          <w:u w:val="single"/>
        </w:rPr>
        <w:t xml:space="preserve">明溪县兴发矿业有限公司   </w:t>
      </w:r>
    </w:p>
    <w:p>
      <w:pPr>
        <w:ind w:firstLine="360" w:firstLineChars="100"/>
        <w:jc w:val="both"/>
        <w:rPr>
          <w:rFonts w:cs="Times New Roman"/>
          <w:sz w:val="36"/>
          <w:szCs w:val="36"/>
        </w:rPr>
      </w:pPr>
      <w:r>
        <w:rPr>
          <w:rFonts w:cs="Times New Roman"/>
          <w:sz w:val="36"/>
          <w:szCs w:val="36"/>
        </w:rPr>
        <w:t>编制日期：</w:t>
      </w:r>
      <w:r>
        <w:rPr>
          <w:rFonts w:cs="Times New Roman"/>
          <w:sz w:val="36"/>
          <w:szCs w:val="36"/>
          <w:u w:val="single"/>
        </w:rPr>
        <w:t>2022年0</w:t>
      </w:r>
      <w:r>
        <w:rPr>
          <w:rFonts w:hint="eastAsia" w:cs="Times New Roman"/>
          <w:sz w:val="36"/>
          <w:szCs w:val="36"/>
          <w:u w:val="single"/>
        </w:rPr>
        <w:t>6</w:t>
      </w:r>
      <w:r>
        <w:rPr>
          <w:rFonts w:cs="Times New Roman"/>
          <w:sz w:val="36"/>
          <w:szCs w:val="36"/>
          <w:u w:val="single"/>
        </w:rPr>
        <w:t xml:space="preserve">月                     </w:t>
      </w:r>
    </w:p>
    <w:p>
      <w:pPr>
        <w:ind w:firstLine="720"/>
        <w:jc w:val="both"/>
        <w:rPr>
          <w:rFonts w:cs="Times New Roman"/>
          <w:sz w:val="36"/>
          <w:szCs w:val="36"/>
        </w:rPr>
      </w:pPr>
    </w:p>
    <w:p>
      <w:pPr>
        <w:ind w:firstLine="720"/>
        <w:jc w:val="both"/>
        <w:rPr>
          <w:rFonts w:cs="Times New Roman"/>
          <w:sz w:val="36"/>
          <w:szCs w:val="36"/>
        </w:rPr>
      </w:pPr>
    </w:p>
    <w:p>
      <w:pPr>
        <w:ind w:firstLine="720"/>
        <w:jc w:val="center"/>
        <w:rPr>
          <w:rFonts w:cs="Times New Roman"/>
          <w:sz w:val="36"/>
          <w:szCs w:val="36"/>
        </w:rPr>
      </w:pPr>
      <w:r>
        <w:rPr>
          <w:rFonts w:cs="Times New Roman"/>
          <w:sz w:val="36"/>
          <w:szCs w:val="36"/>
        </w:rPr>
        <w:t>中华人民共和国生态环境部制</w:t>
      </w:r>
    </w:p>
    <w:p>
      <w:pPr>
        <w:pStyle w:val="6"/>
        <w:numPr>
          <w:ilvl w:val="0"/>
          <w:numId w:val="0"/>
        </w:numPr>
        <w:jc w:val="both"/>
        <w:rPr>
          <w:rFonts w:cs="Times New Roman"/>
        </w:rPr>
        <w:sectPr>
          <w:headerReference r:id="rId7" w:type="first"/>
          <w:footerReference r:id="rId10" w:type="first"/>
          <w:headerReference r:id="rId5" w:type="default"/>
          <w:footerReference r:id="rId8" w:type="default"/>
          <w:headerReference r:id="rId6" w:type="even"/>
          <w:footerReference r:id="rId9" w:type="even"/>
          <w:pgSz w:w="11850" w:h="16783"/>
          <w:pgMar w:top="1440" w:right="1800" w:bottom="1440" w:left="1800" w:header="851" w:footer="992" w:gutter="0"/>
          <w:cols w:space="720" w:num="1"/>
          <w:docGrid w:type="lines" w:linePitch="312" w:charSpace="0"/>
        </w:sectPr>
      </w:pPr>
    </w:p>
    <w:p>
      <w:pPr>
        <w:pStyle w:val="6"/>
        <w:ind w:firstLineChars="0"/>
        <w:jc w:val="center"/>
        <w:rPr>
          <w:rFonts w:cs="Times New Roman"/>
        </w:rPr>
      </w:pPr>
      <w:r>
        <w:rPr>
          <w:rFonts w:cs="Times New Roman"/>
        </w:rPr>
        <w:t>建设项目基本情况</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946"/>
        <w:gridCol w:w="1655"/>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建设项目名称</w:t>
            </w:r>
          </w:p>
        </w:tc>
        <w:tc>
          <w:tcPr>
            <w:tcW w:w="6737" w:type="dxa"/>
            <w:gridSpan w:val="3"/>
            <w:vAlign w:val="center"/>
          </w:tcPr>
          <w:p>
            <w:pPr>
              <w:ind w:firstLine="0" w:firstLineChars="0"/>
              <w:jc w:val="center"/>
              <w:rPr>
                <w:rFonts w:cs="Times New Roman"/>
              </w:rPr>
            </w:pPr>
            <w:r>
              <w:rPr>
                <w:rFonts w:cs="Times New Roman"/>
              </w:rPr>
              <w:t>明溪县兴发矿业有限公司年产50万吨破碎石生产线建设项目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项目代码</w:t>
            </w:r>
          </w:p>
        </w:tc>
        <w:tc>
          <w:tcPr>
            <w:tcW w:w="6737" w:type="dxa"/>
            <w:gridSpan w:val="3"/>
            <w:vAlign w:val="center"/>
          </w:tcPr>
          <w:p>
            <w:pPr>
              <w:ind w:firstLine="0" w:firstLineChars="0"/>
              <w:jc w:val="center"/>
              <w:rPr>
                <w:rFonts w:cs="Times New Roman"/>
              </w:rPr>
            </w:pPr>
            <w:r>
              <w:rPr>
                <w:rFonts w:cs="Times New Roman"/>
              </w:rPr>
              <w:t>2204-350421-04-01-481000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联系人</w:t>
            </w:r>
          </w:p>
        </w:tc>
        <w:tc>
          <w:tcPr>
            <w:tcW w:w="1946" w:type="dxa"/>
            <w:vAlign w:val="center"/>
          </w:tcPr>
          <w:p>
            <w:pPr>
              <w:ind w:firstLine="0" w:firstLineChars="0"/>
              <w:jc w:val="center"/>
              <w:rPr>
                <w:rFonts w:cs="Times New Roman"/>
              </w:rPr>
            </w:pPr>
            <w:r>
              <w:rPr>
                <w:rFonts w:hint="eastAsia" w:cs="Times New Roman"/>
              </w:rPr>
              <w:t>叶祥辉</w:t>
            </w:r>
          </w:p>
        </w:tc>
        <w:tc>
          <w:tcPr>
            <w:tcW w:w="1655" w:type="dxa"/>
            <w:vAlign w:val="center"/>
          </w:tcPr>
          <w:p>
            <w:pPr>
              <w:ind w:firstLine="0" w:firstLineChars="0"/>
              <w:jc w:val="center"/>
              <w:rPr>
                <w:rFonts w:cs="Times New Roman"/>
              </w:rPr>
            </w:pPr>
            <w:r>
              <w:rPr>
                <w:rFonts w:cs="Times New Roman"/>
              </w:rPr>
              <w:t>联系方式</w:t>
            </w:r>
          </w:p>
        </w:tc>
        <w:tc>
          <w:tcPr>
            <w:tcW w:w="3136" w:type="dxa"/>
            <w:vAlign w:val="center"/>
          </w:tcPr>
          <w:p>
            <w:pPr>
              <w:ind w:firstLine="0" w:firstLineChars="0"/>
              <w:jc w:val="center"/>
              <w:rPr>
                <w:rFonts w:cs="Times New Roman"/>
              </w:rPr>
            </w:pPr>
            <w:r>
              <w:rPr>
                <w:rFonts w:hint="eastAsia" w:cs="Times New Roman"/>
              </w:rPr>
              <w:t>18859800699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建设地点</w:t>
            </w:r>
          </w:p>
        </w:tc>
        <w:tc>
          <w:tcPr>
            <w:tcW w:w="6737" w:type="dxa"/>
            <w:gridSpan w:val="3"/>
            <w:vAlign w:val="center"/>
          </w:tcPr>
          <w:p>
            <w:pPr>
              <w:ind w:firstLine="0" w:firstLineChars="0"/>
              <w:jc w:val="center"/>
              <w:rPr>
                <w:rFonts w:cs="Times New Roman"/>
              </w:rPr>
            </w:pPr>
            <w:r>
              <w:rPr>
                <w:rFonts w:cs="Times New Roman"/>
              </w:rPr>
              <w:t>福建省三明市区明溪县城关乡王桥村叶厝坑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地理坐标</w:t>
            </w:r>
          </w:p>
        </w:tc>
        <w:tc>
          <w:tcPr>
            <w:tcW w:w="6737" w:type="dxa"/>
            <w:gridSpan w:val="3"/>
            <w:vAlign w:val="center"/>
          </w:tcPr>
          <w:p>
            <w:pPr>
              <w:ind w:firstLine="0" w:firstLineChars="0"/>
              <w:jc w:val="center"/>
              <w:rPr>
                <w:rFonts w:cs="Times New Roman"/>
              </w:rPr>
            </w:pPr>
            <w:r>
              <w:rPr>
                <w:rFonts w:cs="Times New Roman"/>
              </w:rPr>
              <w:t>E：117°10′49.85″，N：26°22′8.09″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国民经济</w:t>
            </w:r>
          </w:p>
          <w:p>
            <w:pPr>
              <w:ind w:firstLine="0" w:firstLineChars="0"/>
              <w:jc w:val="center"/>
              <w:rPr>
                <w:rFonts w:cs="Times New Roman"/>
              </w:rPr>
            </w:pPr>
            <w:r>
              <w:rPr>
                <w:rFonts w:cs="Times New Roman"/>
              </w:rPr>
              <w:t>行业类别</w:t>
            </w:r>
          </w:p>
        </w:tc>
        <w:tc>
          <w:tcPr>
            <w:tcW w:w="1946" w:type="dxa"/>
            <w:vAlign w:val="center"/>
          </w:tcPr>
          <w:p>
            <w:pPr>
              <w:ind w:firstLine="0" w:firstLineChars="0"/>
              <w:jc w:val="center"/>
              <w:rPr>
                <w:rFonts w:cs="Times New Roman"/>
              </w:rPr>
            </w:pPr>
            <w:r>
              <w:rPr>
                <w:rFonts w:cs="Times New Roman"/>
              </w:rPr>
              <w:t>C3099其他非金属矿物制品制造</w:t>
            </w:r>
          </w:p>
        </w:tc>
        <w:tc>
          <w:tcPr>
            <w:tcW w:w="1655" w:type="dxa"/>
            <w:vAlign w:val="center"/>
          </w:tcPr>
          <w:p>
            <w:pPr>
              <w:ind w:firstLine="0" w:firstLineChars="0"/>
              <w:jc w:val="center"/>
              <w:rPr>
                <w:rFonts w:cs="Times New Roman"/>
              </w:rPr>
            </w:pPr>
            <w:r>
              <w:rPr>
                <w:rFonts w:cs="Times New Roman"/>
              </w:rPr>
              <w:t>建设项目</w:t>
            </w:r>
          </w:p>
          <w:p>
            <w:pPr>
              <w:ind w:firstLine="0" w:firstLineChars="0"/>
              <w:jc w:val="center"/>
              <w:rPr>
                <w:rFonts w:cs="Times New Roman"/>
              </w:rPr>
            </w:pPr>
            <w:r>
              <w:rPr>
                <w:rFonts w:cs="Times New Roman"/>
              </w:rPr>
              <w:t>行业类别</w:t>
            </w:r>
          </w:p>
        </w:tc>
        <w:tc>
          <w:tcPr>
            <w:tcW w:w="3136" w:type="dxa"/>
            <w:vAlign w:val="center"/>
          </w:tcPr>
          <w:p>
            <w:pPr>
              <w:ind w:firstLine="0" w:firstLineChars="0"/>
              <w:jc w:val="center"/>
              <w:rPr>
                <w:rFonts w:cs="Times New Roman"/>
              </w:rPr>
            </w:pPr>
            <w:r>
              <w:rPr>
                <w:rFonts w:cs="Times New Roman"/>
              </w:rPr>
              <w:t>二十七、非金属矿物制品业30：60石墨及其他非金属矿物制品制造309—其他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建设性质</w:t>
            </w:r>
          </w:p>
        </w:tc>
        <w:tc>
          <w:tcPr>
            <w:tcW w:w="1946" w:type="dxa"/>
            <w:vAlign w:val="center"/>
          </w:tcPr>
          <w:p>
            <w:pPr>
              <w:spacing w:line="240" w:lineRule="auto"/>
              <w:ind w:firstLine="0" w:firstLineChars="0"/>
              <w:jc w:val="both"/>
              <w:rPr>
                <w:rFonts w:cs="Times New Roman"/>
              </w:rPr>
            </w:pPr>
            <w:r>
              <w:rPr>
                <w:rFonts w:cs="Times New Roman"/>
              </w:rPr>
              <w:sym w:font="Wingdings" w:char="00FE"/>
            </w:r>
            <w:r>
              <w:rPr>
                <w:rFonts w:cs="Times New Roman"/>
              </w:rPr>
              <w:t>新建（迁建）</w:t>
            </w:r>
          </w:p>
          <w:p>
            <w:pPr>
              <w:spacing w:line="240" w:lineRule="auto"/>
              <w:ind w:firstLine="0" w:firstLineChars="0"/>
              <w:jc w:val="both"/>
              <w:rPr>
                <w:rFonts w:cs="Times New Roman"/>
              </w:rPr>
            </w:pPr>
            <w:r>
              <w:rPr>
                <w:rFonts w:cs="Times New Roman"/>
              </w:rPr>
              <w:sym w:font="Wingdings" w:char="00A8"/>
            </w:r>
            <w:r>
              <w:rPr>
                <w:rFonts w:cs="Times New Roman"/>
              </w:rPr>
              <w:t>改建</w:t>
            </w:r>
          </w:p>
          <w:p>
            <w:pPr>
              <w:spacing w:line="240" w:lineRule="auto"/>
              <w:ind w:firstLine="0" w:firstLineChars="0"/>
              <w:jc w:val="both"/>
              <w:rPr>
                <w:rFonts w:cs="Times New Roman"/>
              </w:rPr>
            </w:pPr>
            <w:r>
              <w:rPr>
                <w:rFonts w:cs="Times New Roman"/>
              </w:rPr>
              <w:sym w:font="Wingdings" w:char="00A8"/>
            </w:r>
            <w:r>
              <w:rPr>
                <w:rFonts w:cs="Times New Roman"/>
              </w:rPr>
              <w:t>扩建</w:t>
            </w:r>
          </w:p>
          <w:p>
            <w:pPr>
              <w:spacing w:line="240" w:lineRule="auto"/>
              <w:ind w:firstLine="0" w:firstLineChars="0"/>
              <w:jc w:val="both"/>
              <w:rPr>
                <w:rFonts w:cs="Times New Roman"/>
              </w:rPr>
            </w:pPr>
            <w:r>
              <w:rPr>
                <w:rFonts w:cs="Times New Roman"/>
              </w:rPr>
              <w:sym w:font="Wingdings" w:char="00A8"/>
            </w:r>
            <w:r>
              <w:rPr>
                <w:rFonts w:cs="Times New Roman"/>
              </w:rPr>
              <w:t>技术改造</w:t>
            </w:r>
          </w:p>
        </w:tc>
        <w:tc>
          <w:tcPr>
            <w:tcW w:w="1655" w:type="dxa"/>
            <w:vAlign w:val="center"/>
          </w:tcPr>
          <w:p>
            <w:pPr>
              <w:ind w:firstLine="0" w:firstLineChars="0"/>
              <w:jc w:val="center"/>
              <w:rPr>
                <w:rFonts w:cs="Times New Roman"/>
              </w:rPr>
            </w:pPr>
            <w:r>
              <w:rPr>
                <w:rFonts w:cs="Times New Roman"/>
              </w:rPr>
              <w:t>建设项目</w:t>
            </w:r>
          </w:p>
          <w:p>
            <w:pPr>
              <w:ind w:firstLine="0" w:firstLineChars="0"/>
              <w:jc w:val="center"/>
              <w:rPr>
                <w:rFonts w:cs="Times New Roman"/>
              </w:rPr>
            </w:pPr>
            <w:r>
              <w:rPr>
                <w:rFonts w:cs="Times New Roman"/>
              </w:rPr>
              <w:t>申报情形</w:t>
            </w:r>
          </w:p>
        </w:tc>
        <w:tc>
          <w:tcPr>
            <w:tcW w:w="3136" w:type="dxa"/>
            <w:vAlign w:val="center"/>
          </w:tcPr>
          <w:p>
            <w:pPr>
              <w:spacing w:line="240" w:lineRule="auto"/>
              <w:ind w:firstLine="0" w:firstLineChars="0"/>
              <w:jc w:val="both"/>
              <w:rPr>
                <w:rFonts w:cs="Times New Roman"/>
              </w:rPr>
            </w:pPr>
            <w:r>
              <w:rPr>
                <w:rFonts w:cs="Times New Roman"/>
              </w:rPr>
              <w:sym w:font="Wingdings" w:char="00FE"/>
            </w:r>
            <w:r>
              <w:rPr>
                <w:rFonts w:cs="Times New Roman"/>
              </w:rPr>
              <w:t>首次申报项目</w:t>
            </w:r>
          </w:p>
          <w:p>
            <w:pPr>
              <w:spacing w:line="240" w:lineRule="auto"/>
              <w:ind w:firstLine="0" w:firstLineChars="0"/>
              <w:jc w:val="both"/>
              <w:rPr>
                <w:rFonts w:cs="Times New Roman"/>
              </w:rPr>
            </w:pPr>
            <w:r>
              <w:rPr>
                <w:rFonts w:cs="Times New Roman"/>
              </w:rPr>
              <w:sym w:font="Wingdings" w:char="00A8"/>
            </w:r>
            <w:r>
              <w:rPr>
                <w:rFonts w:cs="Times New Roman"/>
              </w:rPr>
              <w:t>不予批准后再次申报项目</w:t>
            </w:r>
          </w:p>
          <w:p>
            <w:pPr>
              <w:spacing w:line="240" w:lineRule="auto"/>
              <w:ind w:firstLine="0" w:firstLineChars="0"/>
              <w:jc w:val="both"/>
              <w:rPr>
                <w:rFonts w:cs="Times New Roman"/>
              </w:rPr>
            </w:pPr>
            <w:r>
              <w:rPr>
                <w:rFonts w:cs="Times New Roman"/>
              </w:rPr>
              <w:sym w:font="Wingdings" w:char="00A8"/>
            </w:r>
            <w:r>
              <w:rPr>
                <w:rFonts w:cs="Times New Roman"/>
              </w:rPr>
              <w:t>超五年重新审核项目</w:t>
            </w:r>
          </w:p>
          <w:p>
            <w:pPr>
              <w:spacing w:line="240" w:lineRule="auto"/>
              <w:ind w:firstLine="0" w:firstLineChars="0"/>
              <w:jc w:val="both"/>
              <w:rPr>
                <w:rFonts w:cs="Times New Roman"/>
              </w:rPr>
            </w:pPr>
            <w:r>
              <w:rPr>
                <w:rFonts w:cs="Times New Roman"/>
              </w:rPr>
              <w:sym w:font="Wingdings" w:char="00A8"/>
            </w:r>
            <w:r>
              <w:rPr>
                <w:rFonts w:cs="Times New Roma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2" w:type="dxa"/>
            <w:vAlign w:val="center"/>
          </w:tcPr>
          <w:p>
            <w:pPr>
              <w:ind w:firstLine="0" w:firstLineChars="0"/>
              <w:jc w:val="center"/>
              <w:rPr>
                <w:rFonts w:cs="Times New Roman"/>
              </w:rPr>
            </w:pPr>
            <w:r>
              <w:rPr>
                <w:rFonts w:cs="Times New Roman"/>
              </w:rPr>
              <w:t>项目备案部门</w:t>
            </w:r>
          </w:p>
        </w:tc>
        <w:tc>
          <w:tcPr>
            <w:tcW w:w="1946" w:type="dxa"/>
            <w:vAlign w:val="center"/>
          </w:tcPr>
          <w:p>
            <w:pPr>
              <w:ind w:firstLine="0" w:firstLineChars="0"/>
              <w:jc w:val="center"/>
              <w:rPr>
                <w:rFonts w:cs="Times New Roman"/>
              </w:rPr>
            </w:pPr>
            <w:r>
              <w:rPr>
                <w:rFonts w:cs="Times New Roman"/>
              </w:rPr>
              <w:t>明溪县发展和改革局</w:t>
            </w:r>
          </w:p>
        </w:tc>
        <w:tc>
          <w:tcPr>
            <w:tcW w:w="1655" w:type="dxa"/>
            <w:vAlign w:val="center"/>
          </w:tcPr>
          <w:p>
            <w:pPr>
              <w:ind w:firstLine="0" w:firstLineChars="0"/>
              <w:jc w:val="center"/>
              <w:rPr>
                <w:rFonts w:cs="Times New Roman"/>
              </w:rPr>
            </w:pPr>
            <w:r>
              <w:rPr>
                <w:rFonts w:cs="Times New Roman"/>
              </w:rPr>
              <w:t>项目备案文号</w:t>
            </w:r>
          </w:p>
        </w:tc>
        <w:tc>
          <w:tcPr>
            <w:tcW w:w="3136" w:type="dxa"/>
            <w:vAlign w:val="center"/>
          </w:tcPr>
          <w:p>
            <w:pPr>
              <w:ind w:firstLine="0" w:firstLineChars="0"/>
              <w:jc w:val="center"/>
              <w:rPr>
                <w:rFonts w:cs="Times New Roman"/>
              </w:rPr>
            </w:pPr>
            <w:r>
              <w:rPr>
                <w:rFonts w:cs="Times New Roman"/>
              </w:rPr>
              <w:t>闽发改备[2022]G080051号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总投资</w:t>
            </w:r>
          </w:p>
        </w:tc>
        <w:tc>
          <w:tcPr>
            <w:tcW w:w="1946" w:type="dxa"/>
            <w:vAlign w:val="center"/>
          </w:tcPr>
          <w:p>
            <w:pPr>
              <w:ind w:firstLine="0" w:firstLineChars="0"/>
              <w:jc w:val="center"/>
              <w:rPr>
                <w:rFonts w:cs="Times New Roman"/>
              </w:rPr>
            </w:pPr>
            <w:r>
              <w:rPr>
                <w:rFonts w:cs="Times New Roman"/>
              </w:rPr>
              <w:t>500万元</w:t>
            </w:r>
          </w:p>
        </w:tc>
        <w:tc>
          <w:tcPr>
            <w:tcW w:w="1655" w:type="dxa"/>
            <w:vAlign w:val="center"/>
          </w:tcPr>
          <w:p>
            <w:pPr>
              <w:ind w:firstLine="0" w:firstLineChars="0"/>
              <w:jc w:val="center"/>
              <w:rPr>
                <w:rFonts w:cs="Times New Roman"/>
              </w:rPr>
            </w:pPr>
            <w:r>
              <w:rPr>
                <w:rFonts w:cs="Times New Roman"/>
              </w:rPr>
              <w:t>环保投资</w:t>
            </w:r>
          </w:p>
        </w:tc>
        <w:tc>
          <w:tcPr>
            <w:tcW w:w="3136" w:type="dxa"/>
            <w:vAlign w:val="center"/>
          </w:tcPr>
          <w:p>
            <w:pPr>
              <w:ind w:firstLine="0" w:firstLineChars="0"/>
              <w:jc w:val="center"/>
              <w:rPr>
                <w:rFonts w:cs="Times New Roman"/>
              </w:rPr>
            </w:pPr>
            <w:r>
              <w:rPr>
                <w:rFonts w:cs="Times New Roma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环保投资占比</w:t>
            </w:r>
          </w:p>
        </w:tc>
        <w:tc>
          <w:tcPr>
            <w:tcW w:w="1946" w:type="dxa"/>
            <w:vAlign w:val="center"/>
          </w:tcPr>
          <w:p>
            <w:pPr>
              <w:ind w:firstLine="0" w:firstLineChars="0"/>
              <w:jc w:val="center"/>
              <w:rPr>
                <w:rFonts w:cs="Times New Roman"/>
              </w:rPr>
            </w:pPr>
            <w:r>
              <w:rPr>
                <w:rFonts w:cs="Times New Roman"/>
              </w:rPr>
              <w:t>1.6%</w:t>
            </w:r>
          </w:p>
        </w:tc>
        <w:tc>
          <w:tcPr>
            <w:tcW w:w="1655" w:type="dxa"/>
            <w:vAlign w:val="center"/>
          </w:tcPr>
          <w:p>
            <w:pPr>
              <w:ind w:firstLine="0" w:firstLineChars="0"/>
              <w:jc w:val="center"/>
              <w:rPr>
                <w:rFonts w:cs="Times New Roman"/>
              </w:rPr>
            </w:pPr>
            <w:r>
              <w:rPr>
                <w:rFonts w:cs="Times New Roman"/>
              </w:rPr>
              <w:t>施工工期</w:t>
            </w:r>
          </w:p>
        </w:tc>
        <w:tc>
          <w:tcPr>
            <w:tcW w:w="3136" w:type="dxa"/>
            <w:vAlign w:val="center"/>
          </w:tcPr>
          <w:p>
            <w:pPr>
              <w:ind w:firstLine="0" w:firstLineChars="0"/>
              <w:jc w:val="center"/>
              <w:rPr>
                <w:rFonts w:cs="Times New Roman"/>
              </w:rPr>
            </w:pPr>
            <w:r>
              <w:rPr>
                <w:rFonts w:cs="Times New Roman"/>
              </w:rPr>
              <w:t>2022年6月1日-2022年8月31日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是否开工建设</w:t>
            </w:r>
          </w:p>
        </w:tc>
        <w:tc>
          <w:tcPr>
            <w:tcW w:w="1946" w:type="dxa"/>
            <w:vAlign w:val="center"/>
          </w:tcPr>
          <w:p>
            <w:pPr>
              <w:ind w:firstLine="0" w:firstLineChars="0"/>
              <w:jc w:val="center"/>
              <w:rPr>
                <w:rFonts w:cs="Times New Roman"/>
              </w:rPr>
            </w:pPr>
            <w:r>
              <w:rPr>
                <w:rFonts w:cs="Times New Roman"/>
              </w:rPr>
              <w:t>否</w:t>
            </w:r>
          </w:p>
        </w:tc>
        <w:tc>
          <w:tcPr>
            <w:tcW w:w="1655" w:type="dxa"/>
            <w:vAlign w:val="center"/>
          </w:tcPr>
          <w:p>
            <w:pPr>
              <w:ind w:firstLine="0" w:firstLineChars="0"/>
              <w:jc w:val="center"/>
              <w:rPr>
                <w:rFonts w:cs="Times New Roman"/>
              </w:rPr>
            </w:pPr>
            <w:r>
              <w:rPr>
                <w:rFonts w:cs="Times New Roman"/>
              </w:rPr>
              <w:t>用地面积</w:t>
            </w:r>
          </w:p>
        </w:tc>
        <w:tc>
          <w:tcPr>
            <w:tcW w:w="3136" w:type="dxa"/>
            <w:vAlign w:val="center"/>
          </w:tcPr>
          <w:p>
            <w:pPr>
              <w:ind w:firstLine="0" w:firstLineChars="0"/>
              <w:jc w:val="center"/>
              <w:rPr>
                <w:rFonts w:cs="Times New Roman"/>
                <w:vertAlign w:val="superscript"/>
              </w:rPr>
            </w:pPr>
            <w:r>
              <w:rPr>
                <w:rFonts w:cs="Times New Roman"/>
              </w:rPr>
              <w:t>1230m</w:t>
            </w:r>
            <w:r>
              <w:rPr>
                <w:rFonts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82" w:type="dxa"/>
            <w:vAlign w:val="center"/>
          </w:tcPr>
          <w:p>
            <w:pPr>
              <w:ind w:firstLine="0" w:firstLineChars="0"/>
              <w:jc w:val="center"/>
              <w:rPr>
                <w:rFonts w:cs="Times New Roman"/>
              </w:rPr>
            </w:pPr>
            <w:r>
              <w:rPr>
                <w:rFonts w:cs="Times New Roman"/>
              </w:rPr>
              <w:t>专项评价</w:t>
            </w:r>
          </w:p>
          <w:p>
            <w:pPr>
              <w:ind w:firstLine="0" w:firstLineChars="0"/>
              <w:jc w:val="center"/>
              <w:rPr>
                <w:rFonts w:cs="Times New Roman"/>
              </w:rPr>
            </w:pPr>
            <w:r>
              <w:rPr>
                <w:rFonts w:cs="Times New Roman"/>
              </w:rPr>
              <w:t>设置情况</w:t>
            </w:r>
          </w:p>
        </w:tc>
        <w:tc>
          <w:tcPr>
            <w:tcW w:w="6737" w:type="dxa"/>
            <w:gridSpan w:val="3"/>
            <w:vAlign w:val="center"/>
          </w:tcPr>
          <w:p>
            <w:pPr>
              <w:pStyle w:val="47"/>
              <w:ind w:firstLine="480"/>
            </w:pPr>
            <w:r>
              <w:rPr>
                <w:rFonts w:hint="eastAsia"/>
              </w:rPr>
              <w:t>本项目不设置专项评价，具体详见表1-1。</w:t>
            </w:r>
          </w:p>
          <w:p>
            <w:pPr>
              <w:pStyle w:val="2"/>
              <w:spacing w:line="360" w:lineRule="auto"/>
              <w:ind w:left="480" w:firstLine="0" w:firstLineChars="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表1-1 专项评价设置</w:t>
            </w:r>
            <w:r>
              <w:rPr>
                <w:rFonts w:hint="eastAsia" w:ascii="Times New Roman" w:hAnsi="Times New Roman" w:eastAsia="宋体" w:cs="Times New Roman"/>
                <w:b/>
                <w:bCs/>
                <w:sz w:val="24"/>
                <w:szCs w:val="24"/>
              </w:rPr>
              <w:t>情况表</w:t>
            </w:r>
          </w:p>
          <w:tbl>
            <w:tblPr>
              <w:tblStyle w:val="24"/>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5"/>
              <w:gridCol w:w="1701"/>
              <w:gridCol w:w="1843"/>
              <w:gridCol w:w="13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tcMar>
                    <w:left w:w="0" w:type="dxa"/>
                    <w:right w:w="0" w:type="dxa"/>
                  </w:tcMar>
                  <w:vAlign w:val="center"/>
                </w:tcPr>
                <w:p>
                  <w:pPr>
                    <w:pStyle w:val="35"/>
                    <w:jc w:val="center"/>
                    <w:rPr>
                      <w:rFonts w:cs="Times New Roman"/>
                      <w:b/>
                    </w:rPr>
                  </w:pPr>
                  <w:r>
                    <w:rPr>
                      <w:rFonts w:cs="Times New Roman"/>
                      <w:b/>
                    </w:rPr>
                    <w:t>类别</w:t>
                  </w:r>
                </w:p>
              </w:tc>
              <w:tc>
                <w:tcPr>
                  <w:tcW w:w="4479" w:type="dxa"/>
                  <w:gridSpan w:val="3"/>
                  <w:tcMar>
                    <w:left w:w="0" w:type="dxa"/>
                    <w:right w:w="0" w:type="dxa"/>
                  </w:tcMar>
                  <w:vAlign w:val="center"/>
                </w:tcPr>
                <w:p>
                  <w:pPr>
                    <w:pStyle w:val="35"/>
                    <w:jc w:val="center"/>
                    <w:rPr>
                      <w:rFonts w:cs="Times New Roman"/>
                      <w:b/>
                    </w:rPr>
                  </w:pPr>
                  <w:r>
                    <w:rPr>
                      <w:rFonts w:cs="Times New Roman"/>
                      <w:b/>
                    </w:rPr>
                    <w:t>判据</w:t>
                  </w:r>
                </w:p>
              </w:tc>
              <w:tc>
                <w:tcPr>
                  <w:tcW w:w="1346" w:type="dxa"/>
                  <w:tcMar>
                    <w:left w:w="0" w:type="dxa"/>
                    <w:right w:w="0" w:type="dxa"/>
                  </w:tcMar>
                  <w:vAlign w:val="center"/>
                </w:tcPr>
                <w:p>
                  <w:pPr>
                    <w:pStyle w:val="35"/>
                    <w:jc w:val="center"/>
                    <w:rPr>
                      <w:rFonts w:cs="Times New Roman"/>
                      <w:b/>
                    </w:rPr>
                  </w:pPr>
                  <w:r>
                    <w:rPr>
                      <w:rFonts w:cs="Times New Roman"/>
                      <w:b/>
                    </w:rPr>
                    <w:t>专题情况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restart"/>
                  <w:tcMar>
                    <w:left w:w="0" w:type="dxa"/>
                    <w:right w:w="0" w:type="dxa"/>
                  </w:tcMar>
                  <w:vAlign w:val="center"/>
                </w:tcPr>
                <w:p>
                  <w:pPr>
                    <w:pStyle w:val="35"/>
                    <w:jc w:val="center"/>
                    <w:rPr>
                      <w:rFonts w:cs="Times New Roman"/>
                    </w:rPr>
                  </w:pPr>
                  <w:r>
                    <w:rPr>
                      <w:rFonts w:cs="Times New Roman"/>
                    </w:rPr>
                    <w:t>大气</w:t>
                  </w:r>
                </w:p>
              </w:tc>
              <w:tc>
                <w:tcPr>
                  <w:tcW w:w="935" w:type="dxa"/>
                  <w:vMerge w:val="restart"/>
                  <w:tcMar>
                    <w:left w:w="0" w:type="dxa"/>
                    <w:right w:w="0" w:type="dxa"/>
                  </w:tcMar>
                  <w:vAlign w:val="center"/>
                </w:tcPr>
                <w:p>
                  <w:pPr>
                    <w:pStyle w:val="35"/>
                    <w:jc w:val="center"/>
                    <w:rPr>
                      <w:rFonts w:cs="Times New Roman"/>
                    </w:rPr>
                  </w:pPr>
                  <w:r>
                    <w:rPr>
                      <w:rFonts w:cs="Times New Roman"/>
                    </w:rPr>
                    <w:t>厂界外500米范围内有环境空气保护目标</w:t>
                  </w:r>
                </w:p>
              </w:tc>
              <w:tc>
                <w:tcPr>
                  <w:tcW w:w="3544" w:type="dxa"/>
                  <w:gridSpan w:val="2"/>
                  <w:vAlign w:val="center"/>
                </w:tcPr>
                <w:p>
                  <w:pPr>
                    <w:pStyle w:val="35"/>
                    <w:jc w:val="center"/>
                    <w:rPr>
                      <w:rFonts w:cs="Times New Roman"/>
                    </w:rPr>
                  </w:pPr>
                  <w:r>
                    <w:rPr>
                      <w:rFonts w:cs="Times New Roman"/>
                    </w:rPr>
                    <w:t>□自然保护区</w:t>
                  </w:r>
                </w:p>
              </w:tc>
              <w:tc>
                <w:tcPr>
                  <w:tcW w:w="1346" w:type="dxa"/>
                  <w:vMerge w:val="restart"/>
                  <w:tcMar>
                    <w:left w:w="0" w:type="dxa"/>
                    <w:right w:w="0" w:type="dxa"/>
                  </w:tcMar>
                  <w:vAlign w:val="center"/>
                </w:tcPr>
                <w:p>
                  <w:pPr>
                    <w:pStyle w:val="35"/>
                    <w:jc w:val="center"/>
                    <w:rPr>
                      <w:rFonts w:cs="Times New Roman"/>
                    </w:rPr>
                  </w:pPr>
                  <w:r>
                    <w:rPr>
                      <w:rFonts w:cs="Times New Roman"/>
                    </w:rPr>
                    <w:sym w:font="Wingdings 2" w:char="00A3"/>
                  </w:r>
                  <w:r>
                    <w:rPr>
                      <w:rFonts w:cs="Times New Roman"/>
                    </w:rPr>
                    <w:t>设置专题</w:t>
                  </w:r>
                </w:p>
                <w:p>
                  <w:pPr>
                    <w:pStyle w:val="35"/>
                    <w:jc w:val="center"/>
                    <w:rPr>
                      <w:rFonts w:cs="Times New Roman"/>
                    </w:rPr>
                  </w:pPr>
                  <w:r>
                    <w:rPr>
                      <w:rFonts w:hint="eastAsia" w:ascii="MS Mincho" w:hAnsi="MS Mincho" w:eastAsia="MS Mincho" w:cs="MS Mincho"/>
                    </w:rPr>
                    <w:t>☑</w:t>
                  </w:r>
                  <w:r>
                    <w:rPr>
                      <w:rFonts w:cs="Times New Roman"/>
                    </w:rPr>
                    <w:t>不设置专题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3544" w:type="dxa"/>
                  <w:gridSpan w:val="2"/>
                  <w:vAlign w:val="center"/>
                </w:tcPr>
                <w:p>
                  <w:pPr>
                    <w:pStyle w:val="35"/>
                    <w:jc w:val="center"/>
                    <w:rPr>
                      <w:rFonts w:cs="Times New Roman"/>
                    </w:rPr>
                  </w:pPr>
                  <w:r>
                    <w:rPr>
                      <w:rFonts w:cs="Times New Roman"/>
                    </w:rPr>
                    <w:t>□风景名胜区</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3544" w:type="dxa"/>
                  <w:gridSpan w:val="2"/>
                  <w:vAlign w:val="center"/>
                </w:tcPr>
                <w:p>
                  <w:pPr>
                    <w:pStyle w:val="35"/>
                    <w:jc w:val="center"/>
                    <w:rPr>
                      <w:rFonts w:cs="Times New Roman"/>
                    </w:rPr>
                  </w:pPr>
                  <w:r>
                    <w:rPr>
                      <w:rFonts w:cs="Times New Roman"/>
                    </w:rPr>
                    <w:t>□居住区</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3544" w:type="dxa"/>
                  <w:gridSpan w:val="2"/>
                  <w:vAlign w:val="center"/>
                </w:tcPr>
                <w:p>
                  <w:pPr>
                    <w:pStyle w:val="35"/>
                    <w:jc w:val="center"/>
                    <w:rPr>
                      <w:rFonts w:cs="Times New Roman"/>
                    </w:rPr>
                  </w:pPr>
                  <w:r>
                    <w:rPr>
                      <w:rFonts w:cs="Times New Roman"/>
                    </w:rPr>
                    <w:t>□文化区</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3544" w:type="dxa"/>
                  <w:gridSpan w:val="2"/>
                  <w:vAlign w:val="center"/>
                </w:tcPr>
                <w:p>
                  <w:pPr>
                    <w:pStyle w:val="35"/>
                    <w:jc w:val="center"/>
                    <w:rPr>
                      <w:rFonts w:cs="Times New Roman"/>
                    </w:rPr>
                  </w:pPr>
                  <w:r>
                    <w:rPr>
                      <w:rFonts w:cs="Times New Roman"/>
                    </w:rPr>
                    <w:sym w:font="Wingdings 2" w:char="0052"/>
                  </w:r>
                  <w:r>
                    <w:rPr>
                      <w:rFonts w:cs="Times New Roman"/>
                    </w:rPr>
                    <w:t>农村地区中人群较集中区域</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restart"/>
                  <w:tcMar>
                    <w:left w:w="0" w:type="dxa"/>
                    <w:right w:w="0" w:type="dxa"/>
                  </w:tcMar>
                  <w:vAlign w:val="center"/>
                </w:tcPr>
                <w:p>
                  <w:pPr>
                    <w:pStyle w:val="35"/>
                    <w:jc w:val="center"/>
                    <w:rPr>
                      <w:rFonts w:cs="Times New Roman"/>
                    </w:rPr>
                  </w:pPr>
                  <w:r>
                    <w:rPr>
                      <w:rFonts w:cs="Times New Roman"/>
                    </w:rPr>
                    <w:t>废气特征污染物</w:t>
                  </w:r>
                </w:p>
              </w:tc>
              <w:tc>
                <w:tcPr>
                  <w:tcW w:w="1701" w:type="dxa"/>
                  <w:vAlign w:val="center"/>
                </w:tcPr>
                <w:p>
                  <w:pPr>
                    <w:pStyle w:val="35"/>
                    <w:jc w:val="center"/>
                    <w:rPr>
                      <w:rFonts w:cs="Times New Roman"/>
                    </w:rPr>
                  </w:pPr>
                  <w:r>
                    <w:rPr>
                      <w:rFonts w:cs="Times New Roman"/>
                    </w:rPr>
                    <w:t>□</w:t>
                  </w:r>
                  <w:r>
                    <w:rPr>
                      <w:rFonts w:cs="Times New Roman"/>
                      <w:spacing w:val="-10"/>
                    </w:rPr>
                    <w:t>二氯甲烷</w:t>
                  </w:r>
                </w:p>
              </w:tc>
              <w:tc>
                <w:tcPr>
                  <w:tcW w:w="1843" w:type="dxa"/>
                  <w:vAlign w:val="center"/>
                </w:tcPr>
                <w:p>
                  <w:pPr>
                    <w:pStyle w:val="35"/>
                    <w:jc w:val="center"/>
                    <w:rPr>
                      <w:rFonts w:cs="Times New Roman"/>
                    </w:rPr>
                  </w:pPr>
                  <w:r>
                    <w:rPr>
                      <w:rFonts w:cs="Times New Roman"/>
                    </w:rPr>
                    <w:t>□</w:t>
                  </w:r>
                  <w:r>
                    <w:rPr>
                      <w:rFonts w:cs="Times New Roman"/>
                      <w:spacing w:val="-10"/>
                    </w:rPr>
                    <w:t>汞及其化合物</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1701" w:type="dxa"/>
                  <w:vAlign w:val="center"/>
                </w:tcPr>
                <w:p>
                  <w:pPr>
                    <w:pStyle w:val="35"/>
                    <w:jc w:val="center"/>
                    <w:rPr>
                      <w:rFonts w:cs="Times New Roman"/>
                    </w:rPr>
                  </w:pPr>
                  <w:r>
                    <w:rPr>
                      <w:rFonts w:cs="Times New Roman"/>
                    </w:rPr>
                    <w:t>□</w:t>
                  </w:r>
                  <w:r>
                    <w:rPr>
                      <w:rFonts w:cs="Times New Roman"/>
                      <w:spacing w:val="-10"/>
                    </w:rPr>
                    <w:t>甲醛</w:t>
                  </w:r>
                </w:p>
              </w:tc>
              <w:tc>
                <w:tcPr>
                  <w:tcW w:w="1843" w:type="dxa"/>
                  <w:vAlign w:val="center"/>
                </w:tcPr>
                <w:p>
                  <w:pPr>
                    <w:pStyle w:val="35"/>
                    <w:jc w:val="center"/>
                    <w:rPr>
                      <w:rFonts w:cs="Times New Roman"/>
                    </w:rPr>
                  </w:pPr>
                  <w:r>
                    <w:rPr>
                      <w:rFonts w:cs="Times New Roman"/>
                    </w:rPr>
                    <w:t>□</w:t>
                  </w:r>
                  <w:r>
                    <w:rPr>
                      <w:rFonts w:cs="Times New Roman"/>
                      <w:spacing w:val="-10"/>
                    </w:rPr>
                    <w:t>铅及其化合物</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1701" w:type="dxa"/>
                  <w:vAlign w:val="center"/>
                </w:tcPr>
                <w:p>
                  <w:pPr>
                    <w:pStyle w:val="35"/>
                    <w:jc w:val="center"/>
                    <w:rPr>
                      <w:rFonts w:cs="Times New Roman"/>
                    </w:rPr>
                  </w:pPr>
                  <w:r>
                    <w:rPr>
                      <w:rFonts w:cs="Times New Roman"/>
                    </w:rPr>
                    <w:t>□</w:t>
                  </w:r>
                  <w:r>
                    <w:rPr>
                      <w:rFonts w:cs="Times New Roman"/>
                      <w:spacing w:val="-10"/>
                    </w:rPr>
                    <w:t>三氯甲烷</w:t>
                  </w:r>
                </w:p>
              </w:tc>
              <w:tc>
                <w:tcPr>
                  <w:tcW w:w="1843" w:type="dxa"/>
                  <w:vAlign w:val="center"/>
                </w:tcPr>
                <w:p>
                  <w:pPr>
                    <w:pStyle w:val="35"/>
                    <w:jc w:val="center"/>
                    <w:rPr>
                      <w:rFonts w:cs="Times New Roman"/>
                    </w:rPr>
                  </w:pPr>
                  <w:r>
                    <w:rPr>
                      <w:rFonts w:cs="Times New Roman"/>
                    </w:rPr>
                    <w:t>□</w:t>
                  </w:r>
                  <w:r>
                    <w:rPr>
                      <w:rFonts w:cs="Times New Roman"/>
                      <w:spacing w:val="-10"/>
                    </w:rPr>
                    <w:t>砷及其化合物</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1701" w:type="dxa"/>
                  <w:vAlign w:val="center"/>
                </w:tcPr>
                <w:p>
                  <w:pPr>
                    <w:pStyle w:val="35"/>
                    <w:jc w:val="center"/>
                    <w:rPr>
                      <w:rFonts w:cs="Times New Roman"/>
                    </w:rPr>
                  </w:pPr>
                  <w:r>
                    <w:rPr>
                      <w:rFonts w:cs="Times New Roman"/>
                    </w:rPr>
                    <w:t>□</w:t>
                  </w:r>
                  <w:r>
                    <w:rPr>
                      <w:rFonts w:cs="Times New Roman"/>
                      <w:spacing w:val="-10"/>
                    </w:rPr>
                    <w:t>三氯乙烯</w:t>
                  </w:r>
                </w:p>
              </w:tc>
              <w:tc>
                <w:tcPr>
                  <w:tcW w:w="1843" w:type="dxa"/>
                  <w:vAlign w:val="center"/>
                </w:tcPr>
                <w:p>
                  <w:pPr>
                    <w:pStyle w:val="35"/>
                    <w:jc w:val="center"/>
                    <w:rPr>
                      <w:rFonts w:cs="Times New Roman"/>
                    </w:rPr>
                  </w:pPr>
                  <w:r>
                    <w:rPr>
                      <w:rFonts w:cs="Times New Roman"/>
                    </w:rPr>
                    <w:t>□</w:t>
                  </w:r>
                  <w:r>
                    <w:rPr>
                      <w:rFonts w:cs="Times New Roman"/>
                      <w:spacing w:val="-10"/>
                    </w:rPr>
                    <w:t>二噁英</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1701" w:type="dxa"/>
                  <w:vAlign w:val="center"/>
                </w:tcPr>
                <w:p>
                  <w:pPr>
                    <w:pStyle w:val="35"/>
                    <w:jc w:val="center"/>
                    <w:rPr>
                      <w:rFonts w:cs="Times New Roman"/>
                    </w:rPr>
                  </w:pPr>
                  <w:r>
                    <w:rPr>
                      <w:rFonts w:cs="Times New Roman"/>
                    </w:rPr>
                    <w:t>□</w:t>
                  </w:r>
                  <w:r>
                    <w:rPr>
                      <w:rFonts w:cs="Times New Roman"/>
                      <w:spacing w:val="-10"/>
                    </w:rPr>
                    <w:t>四氯乙烯</w:t>
                  </w:r>
                </w:p>
              </w:tc>
              <w:tc>
                <w:tcPr>
                  <w:tcW w:w="1843" w:type="dxa"/>
                  <w:vAlign w:val="center"/>
                </w:tcPr>
                <w:p>
                  <w:pPr>
                    <w:pStyle w:val="35"/>
                    <w:jc w:val="center"/>
                    <w:rPr>
                      <w:rFonts w:cs="Times New Roman"/>
                    </w:rPr>
                  </w:pPr>
                  <w:r>
                    <w:rPr>
                      <w:rFonts w:cs="Times New Roman"/>
                    </w:rPr>
                    <w:t>□</w:t>
                  </w:r>
                  <w:r>
                    <w:rPr>
                      <w:rFonts w:cs="Times New Roman"/>
                      <w:spacing w:val="-10"/>
                    </w:rPr>
                    <w:t>苯并[a]芘</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1701" w:type="dxa"/>
                  <w:vAlign w:val="center"/>
                </w:tcPr>
                <w:p>
                  <w:pPr>
                    <w:pStyle w:val="35"/>
                    <w:jc w:val="center"/>
                    <w:rPr>
                      <w:rFonts w:cs="Times New Roman"/>
                    </w:rPr>
                  </w:pPr>
                  <w:r>
                    <w:rPr>
                      <w:rFonts w:cs="Times New Roman"/>
                    </w:rPr>
                    <w:t>□</w:t>
                  </w:r>
                  <w:r>
                    <w:rPr>
                      <w:rFonts w:cs="Times New Roman"/>
                      <w:spacing w:val="-10"/>
                    </w:rPr>
                    <w:t>乙醛</w:t>
                  </w:r>
                </w:p>
              </w:tc>
              <w:tc>
                <w:tcPr>
                  <w:tcW w:w="1843" w:type="dxa"/>
                  <w:vAlign w:val="center"/>
                </w:tcPr>
                <w:p>
                  <w:pPr>
                    <w:pStyle w:val="35"/>
                    <w:jc w:val="center"/>
                    <w:rPr>
                      <w:rFonts w:cs="Times New Roman"/>
                    </w:rPr>
                  </w:pPr>
                  <w:r>
                    <w:rPr>
                      <w:rFonts w:cs="Times New Roman"/>
                    </w:rPr>
                    <w:t>□</w:t>
                  </w:r>
                  <w:r>
                    <w:rPr>
                      <w:rFonts w:cs="Times New Roman"/>
                      <w:spacing w:val="-10"/>
                    </w:rPr>
                    <w:t>氰化物</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1701" w:type="dxa"/>
                  <w:vAlign w:val="center"/>
                </w:tcPr>
                <w:p>
                  <w:pPr>
                    <w:pStyle w:val="35"/>
                    <w:jc w:val="center"/>
                    <w:rPr>
                      <w:rFonts w:cs="Times New Roman"/>
                    </w:rPr>
                  </w:pPr>
                  <w:r>
                    <w:rPr>
                      <w:rFonts w:cs="Times New Roman"/>
                    </w:rPr>
                    <w:t>□</w:t>
                  </w:r>
                  <w:r>
                    <w:rPr>
                      <w:rFonts w:cs="Times New Roman"/>
                      <w:spacing w:val="-10"/>
                    </w:rPr>
                    <w:t>镉及其化合物</w:t>
                  </w:r>
                </w:p>
              </w:tc>
              <w:tc>
                <w:tcPr>
                  <w:tcW w:w="1843" w:type="dxa"/>
                  <w:vAlign w:val="center"/>
                </w:tcPr>
                <w:p>
                  <w:pPr>
                    <w:pStyle w:val="35"/>
                    <w:jc w:val="center"/>
                    <w:rPr>
                      <w:rFonts w:cs="Times New Roman"/>
                    </w:rPr>
                  </w:pPr>
                  <w:r>
                    <w:rPr>
                      <w:rFonts w:cs="Times New Roman"/>
                    </w:rPr>
                    <w:t>□</w:t>
                  </w:r>
                  <w:r>
                    <w:rPr>
                      <w:rFonts w:cs="Times New Roman"/>
                      <w:spacing w:val="-10"/>
                    </w:rPr>
                    <w:t>氯气</w:t>
                  </w: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5" w:type="dxa"/>
                  <w:vMerge w:val="continue"/>
                  <w:tcMar>
                    <w:left w:w="0" w:type="dxa"/>
                    <w:right w:w="0" w:type="dxa"/>
                  </w:tcMar>
                  <w:vAlign w:val="center"/>
                </w:tcPr>
                <w:p>
                  <w:pPr>
                    <w:pStyle w:val="35"/>
                    <w:jc w:val="center"/>
                    <w:rPr>
                      <w:rFonts w:cs="Times New Roman"/>
                    </w:rPr>
                  </w:pPr>
                </w:p>
              </w:tc>
              <w:tc>
                <w:tcPr>
                  <w:tcW w:w="935" w:type="dxa"/>
                  <w:vMerge w:val="continue"/>
                  <w:tcMar>
                    <w:left w:w="0" w:type="dxa"/>
                    <w:right w:w="0" w:type="dxa"/>
                  </w:tcMar>
                  <w:vAlign w:val="center"/>
                </w:tcPr>
                <w:p>
                  <w:pPr>
                    <w:pStyle w:val="35"/>
                    <w:jc w:val="center"/>
                    <w:rPr>
                      <w:rFonts w:cs="Times New Roman"/>
                    </w:rPr>
                  </w:pPr>
                </w:p>
              </w:tc>
              <w:tc>
                <w:tcPr>
                  <w:tcW w:w="1701" w:type="dxa"/>
                  <w:vAlign w:val="center"/>
                </w:tcPr>
                <w:p>
                  <w:pPr>
                    <w:pStyle w:val="35"/>
                    <w:jc w:val="center"/>
                    <w:rPr>
                      <w:rFonts w:cs="Times New Roman"/>
                    </w:rPr>
                  </w:pPr>
                  <w:r>
                    <w:rPr>
                      <w:rFonts w:cs="Times New Roman"/>
                    </w:rPr>
                    <w:t>□</w:t>
                  </w:r>
                  <w:r>
                    <w:rPr>
                      <w:rFonts w:cs="Times New Roman"/>
                      <w:spacing w:val="-10"/>
                    </w:rPr>
                    <w:t>铬及其化合物</w:t>
                  </w:r>
                </w:p>
              </w:tc>
              <w:tc>
                <w:tcPr>
                  <w:tcW w:w="1843" w:type="dxa"/>
                  <w:vAlign w:val="center"/>
                </w:tcPr>
                <w:p>
                  <w:pPr>
                    <w:pStyle w:val="35"/>
                    <w:jc w:val="center"/>
                    <w:rPr>
                      <w:rFonts w:cs="Times New Roman"/>
                    </w:rPr>
                  </w:pPr>
                </w:p>
              </w:tc>
              <w:tc>
                <w:tcPr>
                  <w:tcW w:w="1346" w:type="dxa"/>
                  <w:vMerge w:val="continue"/>
                  <w:tcMar>
                    <w:left w:w="0" w:type="dxa"/>
                    <w:right w:w="0" w:type="dxa"/>
                  </w:tcMar>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85" w:type="dxa"/>
                  <w:tcMar>
                    <w:left w:w="0" w:type="dxa"/>
                    <w:right w:w="0" w:type="dxa"/>
                  </w:tcMar>
                  <w:vAlign w:val="center"/>
                </w:tcPr>
                <w:p>
                  <w:pPr>
                    <w:pStyle w:val="35"/>
                    <w:jc w:val="center"/>
                    <w:rPr>
                      <w:rFonts w:cs="Times New Roman"/>
                    </w:rPr>
                  </w:pPr>
                  <w:r>
                    <w:rPr>
                      <w:rFonts w:cs="Times New Roman"/>
                    </w:rPr>
                    <w:t>地表水</w:t>
                  </w:r>
                </w:p>
              </w:tc>
              <w:tc>
                <w:tcPr>
                  <w:tcW w:w="4479" w:type="dxa"/>
                  <w:gridSpan w:val="3"/>
                  <w:tcMar>
                    <w:left w:w="0" w:type="dxa"/>
                    <w:right w:w="0" w:type="dxa"/>
                  </w:tcMar>
                  <w:vAlign w:val="center"/>
                </w:tcPr>
                <w:p>
                  <w:pPr>
                    <w:pStyle w:val="35"/>
                    <w:jc w:val="center"/>
                    <w:rPr>
                      <w:rFonts w:cs="Times New Roman"/>
                    </w:rPr>
                  </w:pPr>
                  <w:r>
                    <w:rPr>
                      <w:rFonts w:cs="Times New Roman"/>
                    </w:rPr>
                    <w:t>□工业废水直接排放</w:t>
                  </w:r>
                </w:p>
                <w:p>
                  <w:pPr>
                    <w:pStyle w:val="35"/>
                    <w:jc w:val="center"/>
                    <w:rPr>
                      <w:rFonts w:cs="Times New Roman"/>
                    </w:rPr>
                  </w:pPr>
                  <w:r>
                    <w:rPr>
                      <w:rFonts w:cs="Times New Roman"/>
                    </w:rPr>
                    <w:t>□工业废水间接排放</w:t>
                  </w:r>
                </w:p>
              </w:tc>
              <w:tc>
                <w:tcPr>
                  <w:tcW w:w="1346" w:type="dxa"/>
                  <w:tcMar>
                    <w:left w:w="0" w:type="dxa"/>
                    <w:right w:w="0" w:type="dxa"/>
                  </w:tcMar>
                  <w:vAlign w:val="center"/>
                </w:tcPr>
                <w:p>
                  <w:pPr>
                    <w:pStyle w:val="35"/>
                    <w:jc w:val="center"/>
                    <w:rPr>
                      <w:rFonts w:cs="Times New Roman"/>
                    </w:rPr>
                  </w:pPr>
                  <w:r>
                    <w:rPr>
                      <w:rFonts w:cs="Times New Roman"/>
                    </w:rPr>
                    <w:t>□设置专题</w:t>
                  </w:r>
                </w:p>
                <w:p>
                  <w:pPr>
                    <w:pStyle w:val="35"/>
                    <w:jc w:val="center"/>
                    <w:rPr>
                      <w:rFonts w:cs="Times New Roman"/>
                    </w:rPr>
                  </w:pPr>
                  <w:r>
                    <w:rPr>
                      <w:rFonts w:hint="eastAsia" w:ascii="MS Mincho" w:hAnsi="MS Mincho" w:eastAsia="MS Mincho" w:cs="MS Mincho"/>
                    </w:rPr>
                    <w:t>☑</w:t>
                  </w:r>
                  <w:r>
                    <w:rPr>
                      <w:rFonts w:cs="Times New Roman"/>
                    </w:rPr>
                    <w:t>不设置专题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85" w:type="dxa"/>
                  <w:tcMar>
                    <w:left w:w="0" w:type="dxa"/>
                    <w:right w:w="0" w:type="dxa"/>
                  </w:tcMar>
                  <w:vAlign w:val="center"/>
                </w:tcPr>
                <w:p>
                  <w:pPr>
                    <w:pStyle w:val="35"/>
                    <w:jc w:val="center"/>
                    <w:rPr>
                      <w:rFonts w:cs="Times New Roman"/>
                    </w:rPr>
                  </w:pPr>
                  <w:r>
                    <w:rPr>
                      <w:rFonts w:cs="Times New Roman"/>
                    </w:rPr>
                    <w:t>环境风险</w:t>
                  </w:r>
                </w:p>
              </w:tc>
              <w:tc>
                <w:tcPr>
                  <w:tcW w:w="4479" w:type="dxa"/>
                  <w:gridSpan w:val="3"/>
                  <w:tcMar>
                    <w:left w:w="0" w:type="dxa"/>
                    <w:right w:w="0" w:type="dxa"/>
                  </w:tcMar>
                  <w:vAlign w:val="center"/>
                </w:tcPr>
                <w:p>
                  <w:pPr>
                    <w:pStyle w:val="35"/>
                    <w:jc w:val="center"/>
                    <w:rPr>
                      <w:rFonts w:cs="Times New Roman"/>
                    </w:rPr>
                  </w:pPr>
                  <w:r>
                    <w:rPr>
                      <w:rFonts w:hint="eastAsia" w:ascii="MS Mincho" w:hAnsi="MS Mincho" w:eastAsia="MS Mincho" w:cs="MS Mincho"/>
                    </w:rPr>
                    <w:t>☑</w:t>
                  </w:r>
                  <w:r>
                    <w:rPr>
                      <w:rFonts w:cs="Times New Roman"/>
                    </w:rPr>
                    <w:t>不涉及有毒有害或易燃易爆危险物质</w:t>
                  </w:r>
                </w:p>
                <w:p>
                  <w:pPr>
                    <w:pStyle w:val="35"/>
                    <w:jc w:val="center"/>
                    <w:rPr>
                      <w:rFonts w:cs="Times New Roman"/>
                    </w:rPr>
                  </w:pPr>
                  <w:r>
                    <w:rPr>
                      <w:rFonts w:cs="Times New Roman"/>
                    </w:rPr>
                    <w:t>□涉及有毒有害或易燃易爆危险物质但存储量未超过临界量</w:t>
                  </w:r>
                </w:p>
                <w:p>
                  <w:pPr>
                    <w:pStyle w:val="35"/>
                    <w:jc w:val="center"/>
                    <w:rPr>
                      <w:rFonts w:cs="Times New Roman"/>
                    </w:rPr>
                  </w:pPr>
                  <w:r>
                    <w:rPr>
                      <w:rFonts w:cs="Times New Roman"/>
                    </w:rPr>
                    <w:t>□涉及有毒有害或易燃易爆危险物质且存储量超过临界量</w:t>
                  </w:r>
                </w:p>
              </w:tc>
              <w:tc>
                <w:tcPr>
                  <w:tcW w:w="1346" w:type="dxa"/>
                  <w:tcMar>
                    <w:left w:w="0" w:type="dxa"/>
                    <w:right w:w="0" w:type="dxa"/>
                  </w:tcMar>
                  <w:vAlign w:val="center"/>
                </w:tcPr>
                <w:p>
                  <w:pPr>
                    <w:pStyle w:val="35"/>
                    <w:jc w:val="center"/>
                    <w:rPr>
                      <w:rFonts w:cs="Times New Roman"/>
                    </w:rPr>
                  </w:pPr>
                  <w:r>
                    <w:rPr>
                      <w:rFonts w:cs="Times New Roman"/>
                    </w:rPr>
                    <w:t>□设置专题</w:t>
                  </w:r>
                </w:p>
                <w:p>
                  <w:pPr>
                    <w:pStyle w:val="35"/>
                    <w:jc w:val="center"/>
                    <w:rPr>
                      <w:rFonts w:cs="Times New Roman"/>
                    </w:rPr>
                  </w:pPr>
                  <w:r>
                    <w:rPr>
                      <w:rFonts w:hint="eastAsia" w:ascii="MS Mincho" w:hAnsi="MS Mincho" w:eastAsia="MS Mincho" w:cs="MS Mincho"/>
                    </w:rPr>
                    <w:t>☑</w:t>
                  </w:r>
                  <w:r>
                    <w:rPr>
                      <w:rFonts w:cs="Times New Roman"/>
                    </w:rPr>
                    <w:t>不设置专题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685" w:type="dxa"/>
                  <w:tcMar>
                    <w:left w:w="0" w:type="dxa"/>
                    <w:right w:w="0" w:type="dxa"/>
                  </w:tcMar>
                  <w:vAlign w:val="center"/>
                </w:tcPr>
                <w:p>
                  <w:pPr>
                    <w:pStyle w:val="35"/>
                    <w:jc w:val="center"/>
                    <w:rPr>
                      <w:rFonts w:cs="Times New Roman"/>
                    </w:rPr>
                  </w:pPr>
                  <w:r>
                    <w:rPr>
                      <w:rFonts w:cs="Times New Roman"/>
                    </w:rPr>
                    <w:t>生态</w:t>
                  </w:r>
                </w:p>
              </w:tc>
              <w:tc>
                <w:tcPr>
                  <w:tcW w:w="4479" w:type="dxa"/>
                  <w:gridSpan w:val="3"/>
                  <w:tcMar>
                    <w:left w:w="0" w:type="dxa"/>
                    <w:right w:w="0" w:type="dxa"/>
                  </w:tcMar>
                  <w:vAlign w:val="center"/>
                </w:tcPr>
                <w:p>
                  <w:pPr>
                    <w:pStyle w:val="35"/>
                    <w:jc w:val="center"/>
                    <w:rPr>
                      <w:rFonts w:cs="Times New Roman"/>
                    </w:rPr>
                  </w:pPr>
                  <w:r>
                    <w:rPr>
                      <w:rFonts w:hint="eastAsia" w:ascii="MS Mincho" w:hAnsi="MS Mincho" w:eastAsia="MS Mincho" w:cs="MS Mincho"/>
                    </w:rPr>
                    <w:t>☑</w:t>
                  </w:r>
                  <w:r>
                    <w:rPr>
                      <w:rFonts w:cs="Times New Roman"/>
                    </w:rPr>
                    <w:t>不属新增河道取水的污染类建设项目</w:t>
                  </w:r>
                </w:p>
                <w:p>
                  <w:pPr>
                    <w:pStyle w:val="35"/>
                    <w:jc w:val="center"/>
                    <w:rPr>
                      <w:rFonts w:cs="Times New Roman"/>
                    </w:rPr>
                  </w:pPr>
                  <w:r>
                    <w:rPr>
                      <w:rFonts w:cs="Times New Roman"/>
                    </w:rPr>
                    <w:t>□新增河道取水的污染类建设项目，但取水口下游 500m范围内无重要水生生物的自然产卵场、索饵场、越冬场和洄游通道</w:t>
                  </w:r>
                </w:p>
                <w:p>
                  <w:pPr>
                    <w:pStyle w:val="35"/>
                    <w:jc w:val="center"/>
                    <w:rPr>
                      <w:rFonts w:cs="Times New Roman"/>
                    </w:rPr>
                  </w:pPr>
                  <w:r>
                    <w:rPr>
                      <w:rFonts w:cs="Times New Roman"/>
                    </w:rPr>
                    <w:t>□新增河道取水的污染类建设项目，且取水口下游 500m范围内有重要水生生物的自然产卵场、索饵场、越冬场和洄游通道</w:t>
                  </w:r>
                </w:p>
              </w:tc>
              <w:tc>
                <w:tcPr>
                  <w:tcW w:w="1346" w:type="dxa"/>
                  <w:tcMar>
                    <w:left w:w="0" w:type="dxa"/>
                    <w:right w:w="0" w:type="dxa"/>
                  </w:tcMar>
                  <w:vAlign w:val="center"/>
                </w:tcPr>
                <w:p>
                  <w:pPr>
                    <w:pStyle w:val="35"/>
                    <w:jc w:val="center"/>
                    <w:rPr>
                      <w:rFonts w:cs="Times New Roman"/>
                    </w:rPr>
                  </w:pPr>
                  <w:r>
                    <w:rPr>
                      <w:rFonts w:cs="Times New Roman"/>
                    </w:rPr>
                    <w:t>□设置专题</w:t>
                  </w:r>
                </w:p>
                <w:p>
                  <w:pPr>
                    <w:pStyle w:val="35"/>
                    <w:jc w:val="center"/>
                    <w:rPr>
                      <w:rFonts w:cs="Times New Roman"/>
                    </w:rPr>
                  </w:pPr>
                  <w:r>
                    <w:rPr>
                      <w:rFonts w:hint="eastAsia" w:ascii="MS Mincho" w:hAnsi="MS Mincho" w:eastAsia="MS Mincho" w:cs="MS Mincho"/>
                    </w:rPr>
                    <w:t>☑</w:t>
                  </w:r>
                  <w:r>
                    <w:rPr>
                      <w:rFonts w:cs="Times New Roman"/>
                    </w:rPr>
                    <w:t>不设置专题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85" w:type="dxa"/>
                  <w:tcMar>
                    <w:left w:w="0" w:type="dxa"/>
                    <w:right w:w="0" w:type="dxa"/>
                  </w:tcMar>
                  <w:vAlign w:val="center"/>
                </w:tcPr>
                <w:p>
                  <w:pPr>
                    <w:pStyle w:val="35"/>
                    <w:jc w:val="center"/>
                    <w:rPr>
                      <w:rFonts w:cs="Times New Roman"/>
                    </w:rPr>
                  </w:pPr>
                  <w:r>
                    <w:rPr>
                      <w:rFonts w:cs="Times New Roman"/>
                    </w:rPr>
                    <w:t>海洋</w:t>
                  </w:r>
                </w:p>
              </w:tc>
              <w:tc>
                <w:tcPr>
                  <w:tcW w:w="4479" w:type="dxa"/>
                  <w:gridSpan w:val="3"/>
                  <w:tcMar>
                    <w:left w:w="0" w:type="dxa"/>
                    <w:right w:w="0" w:type="dxa"/>
                  </w:tcMar>
                  <w:vAlign w:val="center"/>
                </w:tcPr>
                <w:p>
                  <w:pPr>
                    <w:pStyle w:val="35"/>
                    <w:jc w:val="center"/>
                    <w:rPr>
                      <w:rFonts w:cs="Times New Roman"/>
                    </w:rPr>
                  </w:pPr>
                  <w:r>
                    <w:rPr>
                      <w:rFonts w:hint="eastAsia" w:ascii="MS Mincho" w:hAnsi="MS Mincho" w:eastAsia="MS Mincho" w:cs="MS Mincho"/>
                    </w:rPr>
                    <w:t>☑</w:t>
                  </w:r>
                  <w:r>
                    <w:rPr>
                      <w:rFonts w:cs="Times New Roman"/>
                    </w:rPr>
                    <w:t>非海洋工程建设项目</w:t>
                  </w:r>
                </w:p>
                <w:p>
                  <w:pPr>
                    <w:pStyle w:val="35"/>
                    <w:jc w:val="center"/>
                    <w:rPr>
                      <w:rFonts w:cs="Times New Roman"/>
                    </w:rPr>
                  </w:pPr>
                  <w:r>
                    <w:rPr>
                      <w:rFonts w:cs="Times New Roman"/>
                    </w:rPr>
                    <w:t>□直接向海排放污染物的海洋工程建设项目</w:t>
                  </w:r>
                </w:p>
              </w:tc>
              <w:tc>
                <w:tcPr>
                  <w:tcW w:w="1346" w:type="dxa"/>
                  <w:tcMar>
                    <w:left w:w="0" w:type="dxa"/>
                    <w:right w:w="0" w:type="dxa"/>
                  </w:tcMar>
                  <w:vAlign w:val="center"/>
                </w:tcPr>
                <w:p>
                  <w:pPr>
                    <w:pStyle w:val="35"/>
                    <w:jc w:val="center"/>
                    <w:rPr>
                      <w:rFonts w:cs="Times New Roman"/>
                    </w:rPr>
                  </w:pPr>
                  <w:r>
                    <w:rPr>
                      <w:rFonts w:cs="Times New Roman"/>
                    </w:rPr>
                    <w:t>□设置专题</w:t>
                  </w:r>
                </w:p>
                <w:p>
                  <w:pPr>
                    <w:pStyle w:val="35"/>
                    <w:jc w:val="center"/>
                    <w:rPr>
                      <w:rFonts w:cs="Times New Roman"/>
                    </w:rPr>
                  </w:pPr>
                  <w:r>
                    <w:rPr>
                      <w:rFonts w:hint="eastAsia" w:ascii="MS Mincho" w:hAnsi="MS Mincho" w:eastAsia="MS Mincho" w:cs="MS Mincho"/>
                    </w:rPr>
                    <w:t>☑</w:t>
                  </w:r>
                  <w:r>
                    <w:rPr>
                      <w:rFonts w:cs="Times New Roman"/>
                    </w:rPr>
                    <w:t>不设置专题</w:t>
                  </w:r>
                </w:p>
              </w:tc>
            </w:tr>
          </w:tbl>
          <w:p>
            <w:pPr>
              <w:pStyle w:val="3"/>
              <w:ind w:firstLine="21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782" w:type="dxa"/>
            <w:vAlign w:val="center"/>
          </w:tcPr>
          <w:p>
            <w:pPr>
              <w:ind w:firstLine="0" w:firstLineChars="0"/>
              <w:jc w:val="center"/>
              <w:rPr>
                <w:rFonts w:cs="Times New Roman"/>
              </w:rPr>
            </w:pPr>
            <w:r>
              <w:rPr>
                <w:rFonts w:cs="Times New Roman"/>
              </w:rPr>
              <w:t>规划情况</w:t>
            </w:r>
          </w:p>
        </w:tc>
        <w:tc>
          <w:tcPr>
            <w:tcW w:w="6737" w:type="dxa"/>
            <w:gridSpan w:val="3"/>
            <w:vAlign w:val="center"/>
          </w:tcPr>
          <w:p>
            <w:pPr>
              <w:ind w:firstLine="0" w:firstLineChars="0"/>
              <w:jc w:val="center"/>
              <w:rPr>
                <w:rFonts w:cs="Times New Roman"/>
              </w:rPr>
            </w:pPr>
            <w:r>
              <w:rPr>
                <w:rFonts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规划环境影响</w:t>
            </w:r>
          </w:p>
          <w:p>
            <w:pPr>
              <w:ind w:firstLine="0" w:firstLineChars="0"/>
              <w:jc w:val="center"/>
              <w:rPr>
                <w:rFonts w:cs="Times New Roman"/>
              </w:rPr>
            </w:pPr>
            <w:r>
              <w:rPr>
                <w:rFonts w:cs="Times New Roman"/>
              </w:rPr>
              <w:t>评价情况</w:t>
            </w:r>
          </w:p>
        </w:tc>
        <w:tc>
          <w:tcPr>
            <w:tcW w:w="6737" w:type="dxa"/>
            <w:gridSpan w:val="3"/>
            <w:vAlign w:val="center"/>
          </w:tcPr>
          <w:p>
            <w:pPr>
              <w:ind w:firstLine="0" w:firstLineChars="0"/>
              <w:jc w:val="center"/>
              <w:rPr>
                <w:rFonts w:cs="Times New Roman"/>
              </w:rPr>
            </w:pPr>
            <w:r>
              <w:rPr>
                <w:rFonts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规划及规划环境影响评价符合性分析</w:t>
            </w:r>
          </w:p>
        </w:tc>
        <w:tc>
          <w:tcPr>
            <w:tcW w:w="6737" w:type="dxa"/>
            <w:gridSpan w:val="3"/>
            <w:vAlign w:val="center"/>
          </w:tcPr>
          <w:p>
            <w:pPr>
              <w:ind w:firstLine="0" w:firstLineChars="0"/>
              <w:jc w:val="center"/>
              <w:rPr>
                <w:rFonts w:cs="Times New Roman"/>
              </w:rPr>
            </w:pPr>
            <w:r>
              <w:rPr>
                <w:rFonts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ind w:firstLine="0" w:firstLineChars="0"/>
              <w:jc w:val="center"/>
              <w:rPr>
                <w:rFonts w:cs="Times New Roman"/>
              </w:rPr>
            </w:pPr>
            <w:r>
              <w:rPr>
                <w:rFonts w:cs="Times New Roman"/>
              </w:rPr>
              <w:t>其他符合性</w:t>
            </w:r>
          </w:p>
          <w:p>
            <w:pPr>
              <w:ind w:firstLine="0" w:firstLineChars="0"/>
              <w:jc w:val="center"/>
              <w:rPr>
                <w:rFonts w:cs="Times New Roman"/>
              </w:rPr>
            </w:pPr>
            <w:r>
              <w:rPr>
                <w:rFonts w:cs="Times New Roman"/>
              </w:rPr>
              <w:t>分析</w:t>
            </w:r>
          </w:p>
        </w:tc>
        <w:tc>
          <w:tcPr>
            <w:tcW w:w="6737" w:type="dxa"/>
            <w:gridSpan w:val="3"/>
            <w:vAlign w:val="center"/>
          </w:tcPr>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1.1产业政策符合性分析</w:t>
            </w:r>
          </w:p>
          <w:p>
            <w:pPr>
              <w:ind w:firstLine="480"/>
              <w:jc w:val="both"/>
              <w:rPr>
                <w:rFonts w:cs="Times New Roman"/>
              </w:rPr>
            </w:pPr>
            <w:r>
              <w:rPr>
                <w:rFonts w:cs="Times New Roman"/>
              </w:rPr>
              <w:t>根据《产业结构调整指导目录（2019年本）》</w:t>
            </w:r>
            <w:r>
              <w:rPr>
                <w:rFonts w:cs="Times New Roman"/>
                <w:kern w:val="0"/>
              </w:rPr>
              <w:t>及《国家发展改革委关于修改《产业结构调整指导目录（2019年本）》的决定》</w:t>
            </w:r>
            <w:r>
              <w:rPr>
                <w:rFonts w:cs="Times New Roman"/>
              </w:rPr>
              <w:t>有关条款，本项目不属于规定</w:t>
            </w:r>
            <w:r>
              <w:rPr>
                <w:rFonts w:hint="eastAsia" w:cs="Times New Roman"/>
                <w:lang w:eastAsia="zh-CN"/>
              </w:rPr>
              <w:t>的</w:t>
            </w:r>
            <w:r>
              <w:rPr>
                <w:rFonts w:cs="Times New Roman"/>
              </w:rPr>
              <w:t>限制类和淘汰类建设项目，本项目建设可以充分利用资源，发展地方经济，具有良好的经济效益和社会效益，符合地方经济发展。</w:t>
            </w:r>
            <w:r>
              <w:rPr>
                <w:rFonts w:cs="Times New Roman"/>
                <w:kern w:val="0"/>
              </w:rPr>
              <w:t>同时，项目经</w:t>
            </w:r>
            <w:r>
              <w:rPr>
                <w:rFonts w:cs="Times New Roman"/>
              </w:rPr>
              <w:t>明溪县发展和改革局</w:t>
            </w:r>
            <w:r>
              <w:rPr>
                <w:rFonts w:cs="Times New Roman"/>
                <w:kern w:val="0"/>
              </w:rPr>
              <w:t>以</w:t>
            </w:r>
            <w:r>
              <w:rPr>
                <w:rFonts w:cs="Times New Roman"/>
              </w:rPr>
              <w:t>闽发改备[2022]G080004号同意本项目建设（详见附件3）。因此，本项目建设符合国家的相关产业政策。</w:t>
            </w:r>
          </w:p>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1.2“三线一单”符合性分析</w:t>
            </w:r>
          </w:p>
          <w:p>
            <w:pPr>
              <w:ind w:firstLine="480"/>
              <w:jc w:val="both"/>
              <w:rPr>
                <w:rFonts w:cs="Times New Roman"/>
              </w:rPr>
            </w:pPr>
            <w:r>
              <w:rPr>
                <w:rFonts w:cs="Times New Roman"/>
              </w:rPr>
              <w:t>（1）生态保护红线符合性</w:t>
            </w:r>
          </w:p>
          <w:p>
            <w:pPr>
              <w:ind w:firstLine="480"/>
              <w:jc w:val="both"/>
              <w:rPr>
                <w:rFonts w:cs="Times New Roman"/>
              </w:rPr>
            </w:pPr>
            <w:r>
              <w:rPr>
                <w:rFonts w:cs="Times New Roman"/>
              </w:rPr>
              <w:t>项目位于福建省三明市区明溪县城关乡王桥村叶厝坑，</w:t>
            </w:r>
            <w:r>
              <w:rPr>
                <w:rFonts w:cs="Times New Roman"/>
                <w:kern w:val="0"/>
              </w:rPr>
              <w:t>根据现场勘查可知，项目用地不涉及重点生态功能区、生态敏感区、生态脆弱区、生物多样性保护优先区、自然保护区和饮用水源保护区</w:t>
            </w:r>
            <w:r>
              <w:rPr>
                <w:rFonts w:hint="eastAsia" w:cs="Times New Roman"/>
                <w:kern w:val="0"/>
              </w:rPr>
              <w:t>等</w:t>
            </w:r>
            <w:r>
              <w:rPr>
                <w:rFonts w:cs="Times New Roman"/>
                <w:kern w:val="0"/>
              </w:rPr>
              <w:t>，无《福建省生态保护红线划定方案（报批稿）》（闽政函〔2018〕70号）中规定的需纳入生态保护红线范围的保护区</w:t>
            </w:r>
            <w:r>
              <w:rPr>
                <w:rFonts w:hint="eastAsia" w:cs="Times New Roman"/>
                <w:kern w:val="0"/>
              </w:rPr>
              <w:t>、明溪县生态功能区划中规定的需要纳入生态保护红线的保护区。因此</w:t>
            </w:r>
            <w:r>
              <w:rPr>
                <w:rFonts w:cs="Times New Roman"/>
                <w:kern w:val="0"/>
              </w:rPr>
              <w:t>本项目建设符合福建省</w:t>
            </w:r>
            <w:r>
              <w:rPr>
                <w:rFonts w:hint="eastAsia" w:cs="Times New Roman"/>
                <w:kern w:val="0"/>
              </w:rPr>
              <w:t>、明溪县</w:t>
            </w:r>
            <w:r>
              <w:rPr>
                <w:rFonts w:cs="Times New Roman"/>
                <w:kern w:val="0"/>
              </w:rPr>
              <w:t>生态保护红线要求。</w:t>
            </w:r>
          </w:p>
          <w:p>
            <w:pPr>
              <w:ind w:firstLine="480"/>
              <w:jc w:val="both"/>
              <w:rPr>
                <w:rFonts w:cs="Times New Roman"/>
              </w:rPr>
            </w:pPr>
            <w:r>
              <w:rPr>
                <w:rFonts w:cs="Times New Roman"/>
              </w:rPr>
              <w:t>（2）环境质量底线</w:t>
            </w:r>
          </w:p>
          <w:p>
            <w:pPr>
              <w:ind w:firstLine="480"/>
              <w:jc w:val="both"/>
              <w:rPr>
                <w:rFonts w:cs="Times New Roman"/>
              </w:rPr>
            </w:pPr>
            <w:r>
              <w:rPr>
                <w:rFonts w:cs="Times New Roman"/>
              </w:rPr>
              <w:t>项目所在区域的环境质量底线为：大气环境质量目标为《环境空气质量标准》（GB3095-2012）二级标准；地表水环境目标为《地表水环境质量标准》（GB3838-2002）III类标准；声环境质量目标为《声环境质量标准》（GB3096-2008）3类标准。根据项目所在地环境质量现状调查和污染排放影响预测可知，本项目运营后对区域内环境影响较小，环境质量可以保持现有水平，不会对区域环境质量底线造成冲击。</w:t>
            </w:r>
          </w:p>
          <w:p>
            <w:pPr>
              <w:ind w:firstLine="480"/>
              <w:jc w:val="both"/>
              <w:rPr>
                <w:rFonts w:cs="Times New Roman"/>
              </w:rPr>
            </w:pPr>
            <w:r>
              <w:rPr>
                <w:rFonts w:cs="Times New Roman"/>
              </w:rPr>
              <w:t>（3）资源利用上线</w:t>
            </w:r>
          </w:p>
          <w:p>
            <w:pPr>
              <w:ind w:firstLine="480"/>
              <w:jc w:val="both"/>
              <w:rPr>
                <w:rFonts w:cs="Times New Roman"/>
              </w:rPr>
            </w:pPr>
            <w:r>
              <w:rPr>
                <w:rFonts w:cs="Times New Roman"/>
              </w:rPr>
              <w:t>项目运营过程中会消耗的资源主要为水、电，不属于高耗能和资源消耗型企业。且通过内部管理、设备和工艺选择、污染治理等多方面采取合理可行的防治措施，以“节能、降耗、减污”为目标，有效的控制污染及资源利用水平。项目的水、电资源利用不会突破区域的资源利用上线。</w:t>
            </w:r>
          </w:p>
          <w:p>
            <w:pPr>
              <w:ind w:firstLine="480"/>
              <w:jc w:val="both"/>
              <w:rPr>
                <w:rFonts w:cs="Times New Roman"/>
              </w:rPr>
            </w:pPr>
            <w:r>
              <w:rPr>
                <w:rFonts w:cs="Times New Roman"/>
              </w:rPr>
              <w:t>（4）环境准入负面清单</w:t>
            </w:r>
          </w:p>
          <w:p>
            <w:pPr>
              <w:widowControl/>
              <w:ind w:firstLine="480"/>
              <w:rPr>
                <w:rFonts w:cs="Times New Roman"/>
                <w:kern w:val="0"/>
              </w:rPr>
            </w:pPr>
            <w:r>
              <w:rPr>
                <w:rFonts w:cs="Times New Roman"/>
                <w:kern w:val="0"/>
              </w:rPr>
              <w:t>项目主要从事其他建筑材料制造，根据《国家发展改革委商务部关于印发&lt;市场准入负面清单（2020版）&gt;的通知》（发改体改规〔2020〕1880号）中相关标准，本项目不在禁止准入的行业、工艺、产品及开发活动清单中。因此，符合环境准入要求。</w:t>
            </w:r>
          </w:p>
          <w:p>
            <w:pPr>
              <w:pStyle w:val="42"/>
              <w:ind w:firstLine="480"/>
              <w:rPr>
                <w:rFonts w:cs="Times New Roman"/>
                <w:color w:val="auto"/>
              </w:rPr>
            </w:pPr>
            <w:r>
              <w:rPr>
                <w:rFonts w:cs="Times New Roman"/>
                <w:color w:val="auto"/>
              </w:rPr>
              <w:t>与《三明市“三线一单”生态环境分区管控方案》(明政 [2021]4号)相关规定符合情况详见表1-2和表1-3。</w:t>
            </w:r>
          </w:p>
          <w:p>
            <w:pPr>
              <w:ind w:firstLine="0" w:firstLineChars="0"/>
              <w:jc w:val="center"/>
              <w:rPr>
                <w:rFonts w:cs="Times New Roman"/>
                <w:b/>
                <w:bCs/>
              </w:rPr>
            </w:pPr>
            <w:r>
              <w:rPr>
                <w:rFonts w:cs="Times New Roman"/>
                <w:b/>
                <w:bCs/>
              </w:rPr>
              <w:t>表1-2  与三明市生态环境分区管控相符性分析一览表</w:t>
            </w:r>
          </w:p>
          <w:tbl>
            <w:tblPr>
              <w:tblStyle w:val="24"/>
              <w:tblW w:w="65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745"/>
              <w:gridCol w:w="12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81" w:type="dxa"/>
                  <w:gridSpan w:val="2"/>
                  <w:tcBorders>
                    <w:tl2br w:val="nil"/>
                    <w:tr2bl w:val="nil"/>
                  </w:tcBorders>
                  <w:vAlign w:val="center"/>
                </w:tcPr>
                <w:p>
                  <w:pPr>
                    <w:pStyle w:val="35"/>
                    <w:jc w:val="center"/>
                    <w:rPr>
                      <w:rFonts w:cs="Times New Roman"/>
                      <w:b/>
                    </w:rPr>
                  </w:pPr>
                  <w:r>
                    <w:rPr>
                      <w:rFonts w:cs="Times New Roman"/>
                      <w:b/>
                    </w:rPr>
                    <w:t>准入要求</w:t>
                  </w:r>
                </w:p>
              </w:tc>
              <w:tc>
                <w:tcPr>
                  <w:tcW w:w="1239" w:type="dxa"/>
                  <w:tcBorders>
                    <w:tl2br w:val="nil"/>
                    <w:tr2bl w:val="nil"/>
                  </w:tcBorders>
                  <w:vAlign w:val="center"/>
                </w:tcPr>
                <w:p>
                  <w:pPr>
                    <w:pStyle w:val="35"/>
                    <w:jc w:val="center"/>
                    <w:rPr>
                      <w:rFonts w:cs="Times New Roman"/>
                      <w:b/>
                    </w:rPr>
                  </w:pPr>
                  <w:r>
                    <w:rPr>
                      <w:rFonts w:cs="Times New Roman"/>
                      <w:b/>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6" w:type="dxa"/>
                  <w:tcBorders>
                    <w:tl2br w:val="nil"/>
                    <w:tr2bl w:val="nil"/>
                  </w:tcBorders>
                  <w:vAlign w:val="center"/>
                </w:tcPr>
                <w:p>
                  <w:pPr>
                    <w:pStyle w:val="35"/>
                    <w:jc w:val="center"/>
                    <w:rPr>
                      <w:rFonts w:cs="Times New Roman"/>
                    </w:rPr>
                  </w:pPr>
                  <w:r>
                    <w:rPr>
                      <w:rFonts w:cs="Times New Roman"/>
                    </w:rPr>
                    <w:t>空间布局约束</w:t>
                  </w:r>
                </w:p>
              </w:tc>
              <w:tc>
                <w:tcPr>
                  <w:tcW w:w="4745" w:type="dxa"/>
                  <w:tcBorders>
                    <w:tl2br w:val="nil"/>
                    <w:tr2bl w:val="nil"/>
                  </w:tcBorders>
                  <w:vAlign w:val="center"/>
                </w:tcPr>
                <w:p>
                  <w:pPr>
                    <w:pStyle w:val="35"/>
                    <w:rPr>
                      <w:rFonts w:cs="Times New Roman"/>
                    </w:rPr>
                  </w:pPr>
                  <w:r>
                    <w:rPr>
                      <w:rFonts w:cs="Times New Roman"/>
                    </w:rPr>
                    <w:t>1、氟化工产业应集中布局在三明市的吉口、黄砂、明溪、清流等符合产业布局的园区，在上述园区之外不再新建氟化工项目，园区之外现有氟化工项目不再扩大规模。</w:t>
                  </w:r>
                </w:p>
                <w:p>
                  <w:pPr>
                    <w:pStyle w:val="35"/>
                    <w:rPr>
                      <w:rFonts w:cs="Times New Roman"/>
                    </w:rPr>
                  </w:pPr>
                  <w:r>
                    <w:rPr>
                      <w:rFonts w:cs="Times New Roman"/>
                    </w:rPr>
                    <w:t>2、全市流域范围禁止新、扩建制革项目，严控新（扩）建植物制浆、印染项目。</w:t>
                  </w:r>
                </w:p>
                <w:p>
                  <w:pPr>
                    <w:pStyle w:val="35"/>
                    <w:rPr>
                      <w:rFonts w:cs="Times New Roman"/>
                    </w:rPr>
                  </w:pPr>
                  <w:r>
                    <w:rPr>
                      <w:rFonts w:cs="Times New Roman"/>
                    </w:rPr>
                    <w:t>3、推进工业园区标准化创建，加快园区雨污水管系统、污水集中处理设施建设改造。高新技术开发区要严控高污染、高耗水、高排放企业入驻。省级以下工业园区要加快完善污水集中处理设施，实现污水集中处理，达标排放；尚未入驻企业的要同步规划建设污水集中处理设施，确保入驻工业企业投产前同步建成运行污水集中处理设施。</w:t>
                  </w:r>
                </w:p>
                <w:p>
                  <w:pPr>
                    <w:pStyle w:val="35"/>
                    <w:rPr>
                      <w:rFonts w:cs="Times New Roman"/>
                    </w:rPr>
                  </w:pPr>
                  <w:r>
                    <w:rPr>
                      <w:rFonts w:cs="Times New Roman"/>
                    </w:rPr>
                    <w:t>4、严格控制氟化工行业低水平扩张，三明吉口循环经济产业园（除拟建的三化5万吨氢氟酸生产项目外）、黄砂新材料循环经济产业园、明溪县工业集中区、清流县氟新材料产业园原则上不再新建氢氟酸（企业下游深加工产品配套自用、电子级除外）、初级氟盐等产品项目；禁止建设非自用氯氟烃项目。清流县氟新材料产业园不再新增非原料自用的硫酸生产装置。</w:t>
                  </w:r>
                </w:p>
              </w:tc>
              <w:tc>
                <w:tcPr>
                  <w:tcW w:w="1239" w:type="dxa"/>
                  <w:tcBorders>
                    <w:tl2br w:val="nil"/>
                    <w:tr2bl w:val="nil"/>
                  </w:tcBorders>
                  <w:vAlign w:val="center"/>
                </w:tcPr>
                <w:p>
                  <w:pPr>
                    <w:pStyle w:val="35"/>
                    <w:jc w:val="center"/>
                    <w:rPr>
                      <w:rFonts w:cs="Times New Roman"/>
                    </w:rPr>
                  </w:pPr>
                  <w:r>
                    <w:rPr>
                      <w:rFonts w:cs="Times New Roman"/>
                    </w:rPr>
                    <w:t>项目为建筑碎石加工生产项目，产品为建筑用碎石，不属于禁止新建的项目类型，项目所在区域水环境质量良好，且项目无生产废水外排。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6" w:type="dxa"/>
                  <w:tcBorders>
                    <w:tl2br w:val="nil"/>
                    <w:tr2bl w:val="nil"/>
                  </w:tcBorders>
                  <w:vAlign w:val="center"/>
                </w:tcPr>
                <w:p>
                  <w:pPr>
                    <w:pStyle w:val="35"/>
                    <w:jc w:val="center"/>
                    <w:rPr>
                      <w:rFonts w:cs="Times New Roman"/>
                    </w:rPr>
                  </w:pPr>
                  <w:r>
                    <w:rPr>
                      <w:rFonts w:cs="Times New Roman"/>
                    </w:rPr>
                    <w:t>污染物排放管控</w:t>
                  </w:r>
                </w:p>
              </w:tc>
              <w:tc>
                <w:tcPr>
                  <w:tcW w:w="4745" w:type="dxa"/>
                  <w:tcBorders>
                    <w:tl2br w:val="nil"/>
                    <w:tr2bl w:val="nil"/>
                  </w:tcBorders>
                  <w:vAlign w:val="center"/>
                </w:tcPr>
                <w:p>
                  <w:pPr>
                    <w:pStyle w:val="35"/>
                    <w:rPr>
                      <w:rFonts w:cs="Times New Roman"/>
                    </w:rPr>
                  </w:pPr>
                  <w:r>
                    <w:rPr>
                      <w:rFonts w:cs="Times New Roman"/>
                    </w:rPr>
                    <w:t>1、涉新增VOCs排放项目，VOCs排放实行区域内等量替代。</w:t>
                  </w:r>
                </w:p>
                <w:p>
                  <w:pPr>
                    <w:pStyle w:val="35"/>
                    <w:rPr>
                      <w:rFonts w:cs="Times New Roman"/>
                    </w:rPr>
                  </w:pPr>
                  <w:r>
                    <w:rPr>
                      <w:rFonts w:cs="Times New Roman"/>
                    </w:rPr>
                    <w:t>2、严格控制新建、改建、扩建钢铁、水泥、平板玻璃、有色金属冶炼、化工等工业项目。新建钢铁、火电、水泥、有色项目应当执行大气污染物特别排放限值。重点控制区新建化工、石化及燃煤锅炉项目应当执行大气污染物特别排放限值。</w:t>
                  </w:r>
                </w:p>
                <w:p>
                  <w:pPr>
                    <w:pStyle w:val="35"/>
                    <w:rPr>
                      <w:rFonts w:cs="Times New Roman"/>
                    </w:rPr>
                  </w:pPr>
                  <w:r>
                    <w:rPr>
                      <w:rFonts w:cs="Times New Roman"/>
                    </w:rPr>
                    <w:t>3、氟化工、印染、电镀等行业要实行水污染物特别排放限值。东牙溪水库、金湖汇水区域城镇污水处理设施全面达到一级A排放标准。</w:t>
                  </w:r>
                </w:p>
                <w:p>
                  <w:pPr>
                    <w:pStyle w:val="35"/>
                    <w:rPr>
                      <w:rFonts w:cs="Times New Roman"/>
                    </w:rPr>
                  </w:pPr>
                  <w:r>
                    <w:rPr>
                      <w:rFonts w:cs="Times New Roman"/>
                    </w:rPr>
                    <w:t>4、按照《福建省生态环境厅关于铅锌矿产资源开发活动集中区域执行重点污染物特别排放限值的通告》，在三明市铅锌矿产资源开发活动集中区域（尤溪县、大田县）实行重点污染物特别排放限值。新、改扩建涉重金属重点行业建设项目必须遵循重点重金属污染物排放“减量置换”或“等量置换”的原则，原则上应在本区域内有明确具体的重金属污染物排放总量来源。</w:t>
                  </w:r>
                </w:p>
              </w:tc>
              <w:tc>
                <w:tcPr>
                  <w:tcW w:w="1239" w:type="dxa"/>
                  <w:tcBorders>
                    <w:tl2br w:val="nil"/>
                    <w:tr2bl w:val="nil"/>
                  </w:tcBorders>
                  <w:vAlign w:val="center"/>
                </w:tcPr>
                <w:p>
                  <w:pPr>
                    <w:pStyle w:val="35"/>
                    <w:jc w:val="center"/>
                    <w:rPr>
                      <w:rFonts w:cs="Times New Roman"/>
                    </w:rPr>
                  </w:pPr>
                  <w:r>
                    <w:rPr>
                      <w:rFonts w:cs="Times New Roman"/>
                    </w:rPr>
                    <w:t>项目生产过程不涉及重金属、VOCs排放，产生的颗粒物经处理后可以达标排放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81" w:type="dxa"/>
                  <w:gridSpan w:val="2"/>
                  <w:tcBorders>
                    <w:tl2br w:val="nil"/>
                    <w:tr2bl w:val="nil"/>
                  </w:tcBorders>
                  <w:vAlign w:val="center"/>
                </w:tcPr>
                <w:p>
                  <w:pPr>
                    <w:pStyle w:val="35"/>
                    <w:jc w:val="center"/>
                    <w:rPr>
                      <w:rFonts w:cs="Times New Roman"/>
                    </w:rPr>
                  </w:pPr>
                  <w:r>
                    <w:rPr>
                      <w:rFonts w:cs="Times New Roman"/>
                    </w:rPr>
                    <w:t>是否符合</w:t>
                  </w:r>
                </w:p>
              </w:tc>
              <w:tc>
                <w:tcPr>
                  <w:tcW w:w="1239" w:type="dxa"/>
                  <w:tcBorders>
                    <w:tl2br w:val="nil"/>
                    <w:tr2bl w:val="nil"/>
                  </w:tcBorders>
                  <w:vAlign w:val="center"/>
                </w:tcPr>
                <w:p>
                  <w:pPr>
                    <w:pStyle w:val="35"/>
                    <w:jc w:val="center"/>
                    <w:rPr>
                      <w:rFonts w:cs="Times New Roman"/>
                    </w:rPr>
                  </w:pPr>
                  <w:r>
                    <w:rPr>
                      <w:rFonts w:cs="Times New Roman"/>
                    </w:rPr>
                    <w:t>是</w:t>
                  </w:r>
                </w:p>
              </w:tc>
            </w:tr>
          </w:tbl>
          <w:p>
            <w:pPr>
              <w:ind w:firstLine="0" w:firstLineChars="0"/>
              <w:jc w:val="center"/>
              <w:rPr>
                <w:rFonts w:cs="Times New Roman"/>
                <w:b/>
                <w:bCs/>
              </w:rPr>
            </w:pPr>
            <w:r>
              <w:rPr>
                <w:rFonts w:cs="Times New Roman"/>
                <w:b/>
                <w:bCs/>
              </w:rPr>
              <w:t>表1-3  明溪县生态环境准入清单</w:t>
            </w:r>
          </w:p>
          <w:tbl>
            <w:tblPr>
              <w:tblStyle w:val="24"/>
              <w:tblW w:w="651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55"/>
              <w:gridCol w:w="2925"/>
              <w:gridCol w:w="12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95" w:type="dxa"/>
                  <w:tcBorders>
                    <w:tl2br w:val="nil"/>
                    <w:tr2bl w:val="nil"/>
                  </w:tcBorders>
                  <w:vAlign w:val="center"/>
                </w:tcPr>
                <w:p>
                  <w:pPr>
                    <w:pStyle w:val="35"/>
                    <w:jc w:val="center"/>
                    <w:rPr>
                      <w:rFonts w:cs="Times New Roman"/>
                      <w:b/>
                    </w:rPr>
                  </w:pPr>
                  <w:r>
                    <w:rPr>
                      <w:rFonts w:cs="Times New Roman"/>
                      <w:b/>
                    </w:rPr>
                    <w:t>环境管控单元名称</w:t>
                  </w:r>
                </w:p>
              </w:tc>
              <w:tc>
                <w:tcPr>
                  <w:tcW w:w="1155" w:type="dxa"/>
                  <w:tcBorders>
                    <w:tl2br w:val="nil"/>
                    <w:tr2bl w:val="nil"/>
                  </w:tcBorders>
                  <w:vAlign w:val="center"/>
                </w:tcPr>
                <w:p>
                  <w:pPr>
                    <w:pStyle w:val="35"/>
                    <w:jc w:val="center"/>
                    <w:rPr>
                      <w:rFonts w:cs="Times New Roman"/>
                      <w:b/>
                    </w:rPr>
                  </w:pPr>
                  <w:r>
                    <w:rPr>
                      <w:rFonts w:cs="Times New Roman"/>
                      <w:b/>
                    </w:rPr>
                    <w:t>管控单元类别</w:t>
                  </w:r>
                </w:p>
              </w:tc>
              <w:tc>
                <w:tcPr>
                  <w:tcW w:w="2925" w:type="dxa"/>
                  <w:tcBorders>
                    <w:tl2br w:val="nil"/>
                    <w:tr2bl w:val="nil"/>
                  </w:tcBorders>
                  <w:vAlign w:val="center"/>
                </w:tcPr>
                <w:p>
                  <w:pPr>
                    <w:pStyle w:val="35"/>
                    <w:jc w:val="center"/>
                    <w:rPr>
                      <w:rFonts w:cs="Times New Roman"/>
                      <w:b/>
                    </w:rPr>
                  </w:pPr>
                  <w:r>
                    <w:rPr>
                      <w:rFonts w:cs="Times New Roman"/>
                      <w:b/>
                    </w:rPr>
                    <w:t>管控要求</w:t>
                  </w:r>
                </w:p>
              </w:tc>
              <w:tc>
                <w:tcPr>
                  <w:tcW w:w="1240" w:type="dxa"/>
                  <w:tcBorders>
                    <w:tl2br w:val="nil"/>
                    <w:tr2bl w:val="nil"/>
                  </w:tcBorders>
                  <w:vAlign w:val="center"/>
                </w:tcPr>
                <w:p>
                  <w:pPr>
                    <w:pStyle w:val="35"/>
                    <w:jc w:val="center"/>
                    <w:rPr>
                      <w:rFonts w:cs="Times New Roman"/>
                      <w:b/>
                    </w:rPr>
                  </w:pPr>
                  <w:r>
                    <w:rPr>
                      <w:rFonts w:cs="Times New Roman"/>
                      <w:b/>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95" w:type="dxa"/>
                  <w:tcBorders>
                    <w:tl2br w:val="nil"/>
                    <w:tr2bl w:val="nil"/>
                  </w:tcBorders>
                  <w:vAlign w:val="center"/>
                </w:tcPr>
                <w:p>
                  <w:pPr>
                    <w:pStyle w:val="35"/>
                    <w:jc w:val="center"/>
                    <w:rPr>
                      <w:rFonts w:cs="Times New Roman"/>
                    </w:rPr>
                  </w:pPr>
                  <w:r>
                    <w:rPr>
                      <w:rFonts w:cs="Times New Roman"/>
                    </w:rPr>
                    <w:t>明溪县一般管控单元</w:t>
                  </w:r>
                </w:p>
              </w:tc>
              <w:tc>
                <w:tcPr>
                  <w:tcW w:w="1155" w:type="dxa"/>
                  <w:tcBorders>
                    <w:tl2br w:val="nil"/>
                    <w:tr2bl w:val="nil"/>
                  </w:tcBorders>
                  <w:vAlign w:val="center"/>
                </w:tcPr>
                <w:p>
                  <w:pPr>
                    <w:pStyle w:val="35"/>
                    <w:jc w:val="center"/>
                    <w:rPr>
                      <w:rFonts w:cs="Times New Roman"/>
                    </w:rPr>
                  </w:pPr>
                  <w:r>
                    <w:rPr>
                      <w:rFonts w:cs="Times New Roman"/>
                    </w:rPr>
                    <w:t>一般管控单元</w:t>
                  </w:r>
                </w:p>
              </w:tc>
              <w:tc>
                <w:tcPr>
                  <w:tcW w:w="2925" w:type="dxa"/>
                  <w:tcBorders>
                    <w:tl2br w:val="nil"/>
                    <w:tr2bl w:val="nil"/>
                  </w:tcBorders>
                  <w:vAlign w:val="center"/>
                </w:tcPr>
                <w:p>
                  <w:pPr>
                    <w:pStyle w:val="35"/>
                    <w:jc w:val="center"/>
                    <w:rPr>
                      <w:rFonts w:cs="Times New Roman"/>
                    </w:rPr>
                  </w:pPr>
                  <w:r>
                    <w:rPr>
                      <w:rFonts w:cs="Times New Roman"/>
                    </w:rPr>
                    <w:t>1.一般建设项目不得占用永久基本农田，重大建设项目选址确实难以避让永久基本农田的，必须依法依规办理批准手续。严禁通过擅自调整县乡国土空间规划，规避占用永久基本农田的审批。</w:t>
                  </w:r>
                </w:p>
                <w:p>
                  <w:pPr>
                    <w:pStyle w:val="35"/>
                    <w:jc w:val="center"/>
                    <w:rPr>
                      <w:rFonts w:cs="Times New Roman"/>
                    </w:rPr>
                  </w:pPr>
                  <w:r>
                    <w:rPr>
                      <w:rFonts w:cs="Times New Roman"/>
                    </w:rPr>
                    <w:t>2.禁止随意砍伐防风固沙林和农田保护林。</w:t>
                  </w:r>
                </w:p>
              </w:tc>
              <w:tc>
                <w:tcPr>
                  <w:tcW w:w="1240" w:type="dxa"/>
                  <w:tcBorders>
                    <w:tl2br w:val="nil"/>
                    <w:tr2bl w:val="nil"/>
                  </w:tcBorders>
                  <w:vAlign w:val="center"/>
                </w:tcPr>
                <w:p>
                  <w:pPr>
                    <w:pStyle w:val="35"/>
                    <w:jc w:val="center"/>
                    <w:rPr>
                      <w:rFonts w:cs="Times New Roman"/>
                    </w:rPr>
                  </w:pPr>
                  <w:r>
                    <w:rPr>
                      <w:rFonts w:cs="Times New Roman"/>
                    </w:rPr>
                    <w:t>项目不占用基本农田，选址符合区域土地利用规划，不涉及破坏防风固沙林和农田保护林</w:t>
                  </w:r>
                </w:p>
              </w:tc>
            </w:tr>
          </w:tbl>
          <w:p>
            <w:pPr>
              <w:ind w:firstLine="480"/>
              <w:rPr>
                <w:rFonts w:cs="Times New Roman"/>
              </w:rPr>
            </w:pPr>
            <w:r>
              <w:rPr>
                <w:rFonts w:cs="Times New Roman"/>
              </w:rPr>
              <w:t>根据上表分析，本项目与《三明市“三线一单”生态环境分区管控方案》(明政[2021]4号)中的相关规定是符合的。</w:t>
            </w:r>
          </w:p>
          <w:p>
            <w:pPr>
              <w:ind w:firstLine="480"/>
              <w:rPr>
                <w:rFonts w:cs="Times New Roman"/>
                <w:sz w:val="21"/>
              </w:rPr>
            </w:pPr>
            <w:r>
              <w:rPr>
                <w:rFonts w:cs="Times New Roman"/>
                <w:kern w:val="0"/>
              </w:rPr>
              <w:t>综上所述，项目符合“三线一单”要求。</w:t>
            </w:r>
          </w:p>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1.3</w:t>
            </w:r>
            <w:r>
              <w:rPr>
                <w:rFonts w:ascii="Times New Roman" w:hAnsi="Times New Roman" w:eastAsia="宋体" w:cs="Times New Roman"/>
                <w:bCs/>
              </w:rPr>
              <w:t>选址符合性分析</w:t>
            </w:r>
          </w:p>
          <w:p>
            <w:pPr>
              <w:ind w:firstLine="480"/>
              <w:rPr>
                <w:rFonts w:cs="Times New Roman"/>
              </w:rPr>
            </w:pPr>
            <w:r>
              <w:rPr>
                <w:rFonts w:cs="Times New Roman"/>
              </w:rPr>
              <w:t>项目选址于福建省三明市区明溪县城关乡王桥村叶厝坑，项目租用</w:t>
            </w:r>
            <w:r>
              <w:rPr>
                <w:rFonts w:hint="eastAsia" w:cs="Times New Roman"/>
              </w:rPr>
              <w:t>明溪县城关村王桥村叶厝坑江际坪山场</w:t>
            </w:r>
            <w:r>
              <w:rPr>
                <w:rFonts w:cs="Times New Roman"/>
              </w:rPr>
              <w:t>原有矿区用地进行生产，未占用农田及周边林地，用地符合村镇土地利用规划。因此，项目的选址是可行的。</w:t>
            </w:r>
          </w:p>
        </w:tc>
      </w:tr>
    </w:tbl>
    <w:p>
      <w:pPr>
        <w:ind w:firstLine="480"/>
        <w:rPr>
          <w:rFonts w:cs="Times New Roman"/>
        </w:rPr>
        <w:sectPr>
          <w:footerReference r:id="rId11" w:type="default"/>
          <w:pgSz w:w="11906" w:h="16838"/>
          <w:pgMar w:top="1440" w:right="1800" w:bottom="1440" w:left="1800" w:header="851" w:footer="992" w:gutter="0"/>
          <w:pgNumType w:start="1"/>
          <w:cols w:space="720" w:num="1"/>
          <w:docGrid w:type="lines" w:linePitch="312" w:charSpace="0"/>
        </w:sectPr>
      </w:pPr>
    </w:p>
    <w:p>
      <w:pPr>
        <w:pStyle w:val="6"/>
        <w:ind w:firstLine="602"/>
        <w:jc w:val="center"/>
        <w:rPr>
          <w:rFonts w:cs="Times New Roman"/>
        </w:rPr>
      </w:pPr>
      <w:r>
        <w:rPr>
          <w:rFonts w:cs="Times New Roman"/>
        </w:rPr>
        <w:t>建设项目工程分析</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817" w:type="dxa"/>
            <w:vAlign w:val="center"/>
          </w:tcPr>
          <w:p>
            <w:pPr>
              <w:ind w:firstLine="0" w:firstLineChars="0"/>
              <w:jc w:val="center"/>
              <w:rPr>
                <w:rFonts w:cs="Times New Roman"/>
              </w:rPr>
            </w:pPr>
            <w:r>
              <w:rPr>
                <w:rFonts w:cs="Times New Roman"/>
              </w:rPr>
              <w:t>建设内容</w:t>
            </w:r>
          </w:p>
        </w:tc>
        <w:tc>
          <w:tcPr>
            <w:tcW w:w="7705" w:type="dxa"/>
            <w:vAlign w:val="center"/>
          </w:tcPr>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2.1项目由来</w:t>
            </w:r>
          </w:p>
          <w:p>
            <w:pPr>
              <w:widowControl/>
              <w:ind w:firstLine="480"/>
              <w:rPr>
                <w:rFonts w:cs="Times New Roman"/>
              </w:rPr>
            </w:pPr>
            <w:r>
              <w:rPr>
                <w:rFonts w:cs="Times New Roman"/>
                <w:kern w:val="0"/>
              </w:rPr>
              <w:t>明溪县兴发矿业有限公司拟投资</w:t>
            </w:r>
            <w:r>
              <w:rPr>
                <w:rFonts w:cs="Times New Roman"/>
              </w:rPr>
              <w:t>500</w:t>
            </w:r>
            <w:r>
              <w:rPr>
                <w:rFonts w:cs="Times New Roman"/>
                <w:kern w:val="0"/>
              </w:rPr>
              <w:t>万元建设“明溪县兴发矿业有限公司年产50万吨破碎石生产线建设项目”，项目位于</w:t>
            </w:r>
            <w:r>
              <w:rPr>
                <w:rFonts w:cs="Times New Roman"/>
              </w:rPr>
              <w:t>福建省三明市区明溪县城关乡王桥村叶厝坑</w:t>
            </w:r>
            <w:r>
              <w:rPr>
                <w:rFonts w:cs="Times New Roman"/>
                <w:kern w:val="0"/>
              </w:rPr>
              <w:t>，占地面积1230m</w:t>
            </w:r>
            <w:r>
              <w:rPr>
                <w:rFonts w:cs="Times New Roman"/>
                <w:kern w:val="0"/>
                <w:vertAlign w:val="superscript"/>
              </w:rPr>
              <w:t>2</w:t>
            </w:r>
            <w:r>
              <w:rPr>
                <w:rFonts w:cs="Times New Roman"/>
                <w:kern w:val="0"/>
              </w:rPr>
              <w:t>，主要从事其他建筑材料制造</w:t>
            </w:r>
            <w:r>
              <w:rPr>
                <w:rFonts w:hint="eastAsia" w:cs="Times New Roman"/>
                <w:kern w:val="0"/>
              </w:rPr>
              <w:t>，</w:t>
            </w:r>
            <w:r>
              <w:rPr>
                <w:rFonts w:cs="Times New Roman"/>
                <w:kern w:val="0"/>
              </w:rPr>
              <w:t>主要是利用矿山石灰石进行破碎加工</w:t>
            </w:r>
            <w:r>
              <w:rPr>
                <w:rFonts w:hint="eastAsia" w:cs="Times New Roman"/>
                <w:kern w:val="0"/>
              </w:rPr>
              <w:t>。</w:t>
            </w:r>
            <w:r>
              <w:rPr>
                <w:rFonts w:cs="Times New Roman"/>
              </w:rPr>
              <w:t>具体建设内容及规模见表2-1。</w:t>
            </w:r>
          </w:p>
          <w:p>
            <w:pPr>
              <w:widowControl/>
              <w:ind w:firstLine="480"/>
              <w:rPr>
                <w:rFonts w:cs="Times New Roman"/>
              </w:rPr>
            </w:pPr>
            <w:r>
              <w:rPr>
                <w:rFonts w:cs="Times New Roman"/>
              </w:rPr>
              <w:t>根据《中华人民共和国环境影响评价法》（2018年12月29日修正）、《建设项目环境保护管理条例》（2017年7月16日修订）等法律法规的规定，本项目应进行环境影响评价。按照《建设项目环境影响评价分类管理名录》（2021年版），本项目属于“二十七、非金属矿物制品业30—60石墨及其他非金属矿物制品制造309。不含利用石材板材切割、打磨、成型的”，按规定应编制环境影响报告表。</w:t>
            </w:r>
          </w:p>
          <w:p>
            <w:pPr>
              <w:ind w:firstLine="480"/>
              <w:rPr>
                <w:spacing w:val="-1"/>
              </w:rPr>
            </w:pPr>
            <w:r>
              <w:rPr>
                <w:rFonts w:cs="Times New Roman"/>
                <w:kern w:val="0"/>
              </w:rPr>
              <w:t>明溪县兴发矿业有限公司</w:t>
            </w:r>
            <w:r>
              <w:rPr>
                <w:spacing w:val="-1"/>
              </w:rPr>
              <w:t>于20</w:t>
            </w:r>
            <w:r>
              <w:rPr>
                <w:rFonts w:hint="eastAsia"/>
                <w:spacing w:val="-1"/>
              </w:rPr>
              <w:t>22</w:t>
            </w:r>
            <w:r>
              <w:rPr>
                <w:spacing w:val="-1"/>
              </w:rPr>
              <w:t>年</w:t>
            </w:r>
            <w:r>
              <w:rPr>
                <w:rFonts w:hint="eastAsia"/>
                <w:spacing w:val="-1"/>
              </w:rPr>
              <w:t>4</w:t>
            </w:r>
            <w:r>
              <w:rPr>
                <w:spacing w:val="-1"/>
              </w:rPr>
              <w:t>月委托</w:t>
            </w:r>
            <w:r>
              <w:rPr>
                <w:rFonts w:hint="eastAsia"/>
                <w:spacing w:val="-1"/>
              </w:rPr>
              <w:t>福建省福环环保科技有限公司</w:t>
            </w:r>
            <w:r>
              <w:rPr>
                <w:spacing w:val="-1"/>
              </w:rPr>
              <w:t>编制该项目的环境影响报告表。我公司接受委托后，组织有关人员进行现场踏勘，在对项目开展环境现状调查、资料收集的基础上，按照环境影响评价有关技术规范和要求，编制了本项目环境影响报告表，供建设单位报</w:t>
            </w:r>
            <w:r>
              <w:rPr>
                <w:rFonts w:hint="eastAsia"/>
                <w:spacing w:val="-1"/>
              </w:rPr>
              <w:t>生态环境</w:t>
            </w:r>
            <w:r>
              <w:rPr>
                <w:spacing w:val="-1"/>
              </w:rPr>
              <w:t>主管部门审批。</w:t>
            </w:r>
          </w:p>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2.2工程概况</w:t>
            </w:r>
          </w:p>
          <w:p>
            <w:pPr>
              <w:ind w:firstLine="480"/>
              <w:rPr>
                <w:rFonts w:cs="Times New Roman"/>
              </w:rPr>
            </w:pPr>
            <w:r>
              <w:rPr>
                <w:rFonts w:cs="Times New Roman"/>
              </w:rPr>
              <w:t>项目名称：明溪县兴发矿业有限公司年产50万吨破碎石生产线建设项目</w:t>
            </w:r>
          </w:p>
          <w:p>
            <w:pPr>
              <w:ind w:firstLine="480"/>
              <w:rPr>
                <w:rFonts w:cs="Times New Roman"/>
              </w:rPr>
            </w:pPr>
            <w:r>
              <w:rPr>
                <w:rFonts w:cs="Times New Roman"/>
              </w:rPr>
              <w:t>建设单位：明溪县兴发矿业有限公司</w:t>
            </w:r>
          </w:p>
          <w:p>
            <w:pPr>
              <w:ind w:firstLine="480"/>
              <w:rPr>
                <w:rFonts w:cs="Times New Roman"/>
              </w:rPr>
            </w:pPr>
            <w:r>
              <w:rPr>
                <w:rFonts w:cs="Times New Roman"/>
              </w:rPr>
              <w:t>建设地点：福建省三明市区明溪县城关乡王桥村叶厝坑</w:t>
            </w:r>
          </w:p>
          <w:p>
            <w:pPr>
              <w:ind w:firstLine="480"/>
              <w:rPr>
                <w:rFonts w:cs="Times New Roman"/>
              </w:rPr>
            </w:pPr>
            <w:r>
              <w:rPr>
                <w:rFonts w:cs="Times New Roman"/>
              </w:rPr>
              <w:t>总 投 资：500万元</w:t>
            </w:r>
          </w:p>
          <w:p>
            <w:pPr>
              <w:ind w:firstLine="480"/>
              <w:rPr>
                <w:rFonts w:cs="Times New Roman"/>
              </w:rPr>
            </w:pPr>
            <w:r>
              <w:rPr>
                <w:rFonts w:cs="Times New Roman"/>
              </w:rPr>
              <w:t>建设性质：新建</w:t>
            </w:r>
          </w:p>
          <w:p>
            <w:pPr>
              <w:ind w:firstLine="480"/>
              <w:rPr>
                <w:rFonts w:cs="Times New Roman"/>
              </w:rPr>
            </w:pPr>
            <w:r>
              <w:rPr>
                <w:rFonts w:cs="Times New Roman"/>
              </w:rPr>
              <w:t>建设规模：年产50万吨破碎石</w:t>
            </w:r>
          </w:p>
          <w:p>
            <w:pPr>
              <w:ind w:firstLine="480"/>
              <w:rPr>
                <w:rFonts w:cs="Times New Roman"/>
              </w:rPr>
            </w:pPr>
            <w:r>
              <w:rPr>
                <w:rFonts w:cs="Times New Roman"/>
              </w:rPr>
              <w:t>职工人数：8人，均不住厂</w:t>
            </w:r>
          </w:p>
          <w:p>
            <w:pPr>
              <w:ind w:firstLine="480"/>
              <w:rPr>
                <w:rFonts w:cs="Times New Roman"/>
              </w:rPr>
            </w:pPr>
            <w:r>
              <w:rPr>
                <w:rFonts w:cs="Times New Roman"/>
              </w:rPr>
              <w:t>工作制度：年工作300天，每天单班制，每班8小时</w:t>
            </w:r>
          </w:p>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2.3项目组成及主要建设内容</w:t>
            </w:r>
          </w:p>
          <w:p>
            <w:pPr>
              <w:ind w:firstLine="480"/>
              <w:rPr>
                <w:rFonts w:cs="Times New Roman"/>
              </w:rPr>
            </w:pPr>
            <w:r>
              <w:rPr>
                <w:rFonts w:cs="Times New Roman"/>
              </w:rPr>
              <w:t>本项目总占地面积</w:t>
            </w:r>
            <w:r>
              <w:rPr>
                <w:rFonts w:hint="eastAsia" w:cs="Times New Roman"/>
              </w:rPr>
              <w:t>1230</w:t>
            </w:r>
            <w:r>
              <w:rPr>
                <w:rFonts w:cs="Times New Roman"/>
              </w:rPr>
              <w:t>m</w:t>
            </w:r>
            <w:r>
              <w:rPr>
                <w:rFonts w:cs="Times New Roman"/>
                <w:vertAlign w:val="superscript"/>
              </w:rPr>
              <w:t>2</w:t>
            </w:r>
            <w:r>
              <w:rPr>
                <w:rFonts w:cs="Times New Roman"/>
              </w:rPr>
              <w:t>，建筑面积</w:t>
            </w:r>
            <w:r>
              <w:rPr>
                <w:rFonts w:hint="eastAsia" w:cs="Times New Roman"/>
              </w:rPr>
              <w:t>832</w:t>
            </w:r>
            <w:r>
              <w:rPr>
                <w:rFonts w:cs="Times New Roman"/>
              </w:rPr>
              <w:t>m</w:t>
            </w:r>
            <w:r>
              <w:rPr>
                <w:rFonts w:cs="Times New Roman"/>
                <w:vertAlign w:val="superscript"/>
              </w:rPr>
              <w:t>2</w:t>
            </w:r>
            <w:r>
              <w:rPr>
                <w:rFonts w:cs="Times New Roman"/>
              </w:rPr>
              <w:t>，具体的建设内容见表2-1，厂区总平面布置见附图4。</w:t>
            </w:r>
          </w:p>
          <w:p>
            <w:pPr>
              <w:ind w:firstLine="0" w:firstLineChars="0"/>
              <w:jc w:val="center"/>
              <w:rPr>
                <w:rFonts w:cs="Times New Roman"/>
                <w:b/>
                <w:bCs/>
              </w:rPr>
            </w:pPr>
            <w:r>
              <w:rPr>
                <w:rFonts w:cs="Times New Roman"/>
                <w:b/>
                <w:bCs/>
              </w:rPr>
              <w:t>表2-1</w:t>
            </w:r>
            <w:r>
              <w:rPr>
                <w:rFonts w:hint="eastAsia" w:cs="Times New Roman"/>
                <w:b/>
                <w:bCs/>
              </w:rPr>
              <w:t xml:space="preserve"> </w:t>
            </w:r>
            <w:r>
              <w:rPr>
                <w:rFonts w:cs="Times New Roman"/>
                <w:b/>
                <w:bCs/>
              </w:rPr>
              <w:t>项目建设内容一览表</w:t>
            </w:r>
          </w:p>
          <w:tbl>
            <w:tblPr>
              <w:tblStyle w:val="24"/>
              <w:tblW w:w="748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46"/>
              <w:gridCol w:w="1134"/>
              <w:gridCol w:w="41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4" w:type="dxa"/>
                  <w:tcBorders>
                    <w:tl2br w:val="nil"/>
                    <w:tr2bl w:val="nil"/>
                  </w:tcBorders>
                  <w:vAlign w:val="center"/>
                </w:tcPr>
                <w:p>
                  <w:pPr>
                    <w:pStyle w:val="35"/>
                    <w:jc w:val="center"/>
                    <w:rPr>
                      <w:rFonts w:cs="Times New Roman"/>
                      <w:b/>
                    </w:rPr>
                  </w:pPr>
                  <w:r>
                    <w:rPr>
                      <w:rFonts w:cs="Times New Roman"/>
                      <w:b/>
                    </w:rPr>
                    <w:t>类别</w:t>
                  </w:r>
                </w:p>
              </w:tc>
              <w:tc>
                <w:tcPr>
                  <w:tcW w:w="1346" w:type="dxa"/>
                  <w:tcBorders>
                    <w:tl2br w:val="nil"/>
                    <w:tr2bl w:val="nil"/>
                  </w:tcBorders>
                  <w:vAlign w:val="center"/>
                </w:tcPr>
                <w:p>
                  <w:pPr>
                    <w:pStyle w:val="35"/>
                    <w:jc w:val="center"/>
                    <w:rPr>
                      <w:rFonts w:cs="Times New Roman"/>
                      <w:b/>
                    </w:rPr>
                  </w:pPr>
                  <w:r>
                    <w:rPr>
                      <w:rFonts w:cs="Times New Roman"/>
                      <w:b/>
                    </w:rPr>
                    <w:t>建设内容</w:t>
                  </w:r>
                </w:p>
              </w:tc>
              <w:tc>
                <w:tcPr>
                  <w:tcW w:w="5327" w:type="dxa"/>
                  <w:gridSpan w:val="2"/>
                  <w:tcBorders>
                    <w:tl2br w:val="nil"/>
                    <w:tr2bl w:val="nil"/>
                  </w:tcBorders>
                  <w:vAlign w:val="center"/>
                </w:tcPr>
                <w:p>
                  <w:pPr>
                    <w:pStyle w:val="35"/>
                    <w:jc w:val="center"/>
                    <w:rPr>
                      <w:rFonts w:cs="Times New Roman"/>
                      <w:b/>
                    </w:rPr>
                  </w:pPr>
                  <w:r>
                    <w:rPr>
                      <w:rFonts w:cs="Times New Roman"/>
                      <w:b/>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4" w:type="dxa"/>
                  <w:vMerge w:val="restart"/>
                  <w:tcBorders>
                    <w:tl2br w:val="nil"/>
                    <w:tr2bl w:val="nil"/>
                  </w:tcBorders>
                  <w:vAlign w:val="center"/>
                </w:tcPr>
                <w:p>
                  <w:pPr>
                    <w:pStyle w:val="35"/>
                    <w:jc w:val="center"/>
                    <w:rPr>
                      <w:rFonts w:cs="Times New Roman"/>
                    </w:rPr>
                  </w:pPr>
                  <w:r>
                    <w:rPr>
                      <w:rFonts w:cs="Times New Roman"/>
                    </w:rPr>
                    <w:t>主体工程</w:t>
                  </w:r>
                </w:p>
              </w:tc>
              <w:tc>
                <w:tcPr>
                  <w:tcW w:w="1346" w:type="dxa"/>
                  <w:tcBorders>
                    <w:tl2br w:val="nil"/>
                    <w:tr2bl w:val="nil"/>
                  </w:tcBorders>
                  <w:vAlign w:val="center"/>
                </w:tcPr>
                <w:p>
                  <w:pPr>
                    <w:pStyle w:val="35"/>
                    <w:jc w:val="center"/>
                    <w:rPr>
                      <w:rFonts w:cs="Times New Roman"/>
                    </w:rPr>
                  </w:pPr>
                  <w:r>
                    <w:rPr>
                      <w:rFonts w:cs="Times New Roman"/>
                    </w:rPr>
                    <w:t>生产车间</w:t>
                  </w:r>
                </w:p>
              </w:tc>
              <w:tc>
                <w:tcPr>
                  <w:tcW w:w="5327" w:type="dxa"/>
                  <w:gridSpan w:val="2"/>
                  <w:tcBorders>
                    <w:tl2br w:val="nil"/>
                    <w:tr2bl w:val="nil"/>
                  </w:tcBorders>
                  <w:vAlign w:val="center"/>
                </w:tcPr>
                <w:p>
                  <w:pPr>
                    <w:pStyle w:val="35"/>
                    <w:jc w:val="center"/>
                    <w:rPr>
                      <w:rFonts w:cs="Times New Roman"/>
                    </w:rPr>
                  </w:pPr>
                  <w:r>
                    <w:rPr>
                      <w:rFonts w:hint="eastAsia" w:cs="Times New Roman"/>
                    </w:rPr>
                    <w:t>建设1座钢结构厂房，</w:t>
                  </w:r>
                  <w:r>
                    <w:rPr>
                      <w:rFonts w:cs="Times New Roman"/>
                    </w:rPr>
                    <w:t>占地面积</w:t>
                  </w:r>
                  <w:r>
                    <w:rPr>
                      <w:rFonts w:hint="eastAsia" w:cs="Times New Roman"/>
                    </w:rPr>
                    <w:t>832</w:t>
                  </w:r>
                  <w:r>
                    <w:rPr>
                      <w:rFonts w:cs="Times New Roman"/>
                    </w:rPr>
                    <w:t>m</w:t>
                  </w:r>
                  <w:r>
                    <w:rPr>
                      <w:rFonts w:cs="Times New Roman"/>
                      <w:vertAlign w:val="superscript"/>
                    </w:rPr>
                    <w:t>2</w:t>
                  </w:r>
                  <w:r>
                    <w:rPr>
                      <w:rFonts w:cs="Times New Roman"/>
                    </w:rPr>
                    <w:t>，年产破碎石50万吨生产线1条</w:t>
                  </w:r>
                  <w:r>
                    <w:rPr>
                      <w:rFonts w:hint="eastAsia" w:cs="Times New Roman"/>
                    </w:rPr>
                    <w:t>，对主要破碎区进行封闭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4" w:type="dxa"/>
                  <w:vMerge w:val="continue"/>
                  <w:tcBorders>
                    <w:tl2br w:val="nil"/>
                    <w:tr2bl w:val="nil"/>
                  </w:tcBorders>
                  <w:vAlign w:val="center"/>
                </w:tcPr>
                <w:p>
                  <w:pPr>
                    <w:pStyle w:val="35"/>
                    <w:jc w:val="center"/>
                    <w:rPr>
                      <w:rFonts w:cs="Times New Roman"/>
                    </w:rPr>
                  </w:pPr>
                </w:p>
              </w:tc>
              <w:tc>
                <w:tcPr>
                  <w:tcW w:w="1346" w:type="dxa"/>
                  <w:tcBorders>
                    <w:tl2br w:val="nil"/>
                    <w:tr2bl w:val="nil"/>
                  </w:tcBorders>
                  <w:vAlign w:val="center"/>
                </w:tcPr>
                <w:p>
                  <w:pPr>
                    <w:pStyle w:val="35"/>
                    <w:jc w:val="center"/>
                    <w:rPr>
                      <w:rFonts w:cs="Times New Roman"/>
                    </w:rPr>
                  </w:pPr>
                  <w:r>
                    <w:rPr>
                      <w:rFonts w:cs="Times New Roman"/>
                    </w:rPr>
                    <w:t>临时堆场</w:t>
                  </w:r>
                </w:p>
              </w:tc>
              <w:tc>
                <w:tcPr>
                  <w:tcW w:w="5327" w:type="dxa"/>
                  <w:gridSpan w:val="2"/>
                  <w:tcBorders>
                    <w:tl2br w:val="nil"/>
                    <w:tr2bl w:val="nil"/>
                  </w:tcBorders>
                  <w:vAlign w:val="center"/>
                </w:tcPr>
                <w:p>
                  <w:pPr>
                    <w:pStyle w:val="35"/>
                    <w:jc w:val="center"/>
                    <w:rPr>
                      <w:rFonts w:cs="Times New Roman"/>
                    </w:rPr>
                  </w:pPr>
                  <w:r>
                    <w:rPr>
                      <w:rFonts w:cs="Times New Roman"/>
                    </w:rPr>
                    <w:t>占地面积</w:t>
                  </w:r>
                  <w:r>
                    <w:rPr>
                      <w:rFonts w:hint="eastAsia" w:cs="Times New Roman"/>
                    </w:rPr>
                    <w:t>378</w:t>
                  </w:r>
                  <w:r>
                    <w:rPr>
                      <w:rFonts w:cs="Times New Roman"/>
                    </w:rPr>
                    <w:t>m</w:t>
                  </w:r>
                  <w:r>
                    <w:rPr>
                      <w:rFonts w:cs="Times New Roman"/>
                      <w:vertAlign w:val="superscript"/>
                    </w:rPr>
                    <w:t>2</w:t>
                  </w:r>
                  <w:r>
                    <w:rPr>
                      <w:rFonts w:cs="Times New Roman"/>
                    </w:rPr>
                    <w:t>，主要作为矿石、成品临时堆场，原料由项目区</w:t>
                  </w:r>
                  <w:r>
                    <w:rPr>
                      <w:rFonts w:hint="eastAsia" w:cs="Times New Roman"/>
                    </w:rPr>
                    <w:t>南</w:t>
                  </w:r>
                  <w:r>
                    <w:rPr>
                      <w:rFonts w:cs="Times New Roman"/>
                    </w:rPr>
                    <w:t>侧矿区直接运至厂区投料口，成品用汽车直接运至</w:t>
                  </w:r>
                  <w:r>
                    <w:rPr>
                      <w:rFonts w:hint="eastAsia" w:cs="Times New Roman"/>
                    </w:rPr>
                    <w:t>石灰窑等下游企业</w:t>
                  </w:r>
                  <w:r>
                    <w:rPr>
                      <w:rFonts w:cs="Times New Roman"/>
                    </w:rPr>
                    <w:t>，厂区内不设置固定原料、成品堆场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tcBorders>
                    <w:tl2br w:val="nil"/>
                    <w:tr2bl w:val="nil"/>
                  </w:tcBorders>
                  <w:vAlign w:val="center"/>
                </w:tcPr>
                <w:p>
                  <w:pPr>
                    <w:pStyle w:val="35"/>
                    <w:jc w:val="center"/>
                    <w:rPr>
                      <w:rFonts w:cs="Times New Roman"/>
                    </w:rPr>
                  </w:pPr>
                  <w:r>
                    <w:rPr>
                      <w:rFonts w:cs="Times New Roman"/>
                    </w:rPr>
                    <w:t>辅助工程</w:t>
                  </w:r>
                </w:p>
              </w:tc>
              <w:tc>
                <w:tcPr>
                  <w:tcW w:w="1346" w:type="dxa"/>
                  <w:tcBorders>
                    <w:tl2br w:val="nil"/>
                    <w:tr2bl w:val="nil"/>
                  </w:tcBorders>
                  <w:vAlign w:val="center"/>
                </w:tcPr>
                <w:p>
                  <w:pPr>
                    <w:pStyle w:val="35"/>
                    <w:jc w:val="center"/>
                    <w:rPr>
                      <w:rFonts w:cs="Times New Roman"/>
                    </w:rPr>
                  </w:pPr>
                  <w:r>
                    <w:rPr>
                      <w:rFonts w:cs="Times New Roman"/>
                    </w:rPr>
                    <w:t>办公楼</w:t>
                  </w:r>
                </w:p>
              </w:tc>
              <w:tc>
                <w:tcPr>
                  <w:tcW w:w="5327" w:type="dxa"/>
                  <w:gridSpan w:val="2"/>
                  <w:tcBorders>
                    <w:tl2br w:val="nil"/>
                    <w:tr2bl w:val="nil"/>
                  </w:tcBorders>
                  <w:vAlign w:val="center"/>
                </w:tcPr>
                <w:p>
                  <w:pPr>
                    <w:pStyle w:val="35"/>
                    <w:jc w:val="center"/>
                    <w:rPr>
                      <w:rFonts w:cs="Times New Roman"/>
                    </w:rPr>
                  </w:pPr>
                  <w:r>
                    <w:rPr>
                      <w:rFonts w:cs="Times New Roman"/>
                    </w:rPr>
                    <w:t>位于厂区</w:t>
                  </w:r>
                  <w:r>
                    <w:rPr>
                      <w:rFonts w:hint="eastAsia" w:cs="Times New Roman"/>
                    </w:rPr>
                    <w:t>西</w:t>
                  </w:r>
                  <w:r>
                    <w:rPr>
                      <w:rFonts w:cs="Times New Roman"/>
                    </w:rPr>
                    <w:t>侧</w:t>
                  </w:r>
                  <w:r>
                    <w:rPr>
                      <w:rFonts w:hint="eastAsia" w:cs="Times New Roman"/>
                    </w:rPr>
                    <w:t>（与矿山共用）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vMerge w:val="restart"/>
                  <w:tcBorders>
                    <w:tl2br w:val="nil"/>
                    <w:tr2bl w:val="nil"/>
                  </w:tcBorders>
                  <w:vAlign w:val="center"/>
                </w:tcPr>
                <w:p>
                  <w:pPr>
                    <w:pStyle w:val="35"/>
                    <w:jc w:val="center"/>
                    <w:rPr>
                      <w:rFonts w:cs="Times New Roman"/>
                    </w:rPr>
                  </w:pPr>
                  <w:r>
                    <w:rPr>
                      <w:rFonts w:cs="Times New Roman"/>
                    </w:rPr>
                    <w:t>公用工程</w:t>
                  </w:r>
                </w:p>
              </w:tc>
              <w:tc>
                <w:tcPr>
                  <w:tcW w:w="1346" w:type="dxa"/>
                  <w:tcBorders>
                    <w:tl2br w:val="nil"/>
                    <w:tr2bl w:val="nil"/>
                  </w:tcBorders>
                  <w:vAlign w:val="center"/>
                </w:tcPr>
                <w:p>
                  <w:pPr>
                    <w:pStyle w:val="35"/>
                    <w:jc w:val="center"/>
                    <w:rPr>
                      <w:rFonts w:cs="Times New Roman"/>
                    </w:rPr>
                  </w:pPr>
                  <w:r>
                    <w:rPr>
                      <w:rFonts w:cs="Times New Roman"/>
                    </w:rPr>
                    <w:t>供水</w:t>
                  </w:r>
                </w:p>
              </w:tc>
              <w:tc>
                <w:tcPr>
                  <w:tcW w:w="5327" w:type="dxa"/>
                  <w:gridSpan w:val="2"/>
                  <w:tcBorders>
                    <w:tl2br w:val="nil"/>
                    <w:tr2bl w:val="nil"/>
                  </w:tcBorders>
                  <w:vAlign w:val="center"/>
                </w:tcPr>
                <w:p>
                  <w:pPr>
                    <w:pStyle w:val="35"/>
                    <w:jc w:val="center"/>
                    <w:rPr>
                      <w:rFonts w:cs="Times New Roman"/>
                    </w:rPr>
                  </w:pPr>
                  <w:r>
                    <w:rPr>
                      <w:rFonts w:cs="Times New Roman"/>
                    </w:rPr>
                    <w:t>项目用水引至山涧水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vMerge w:val="continue"/>
                  <w:tcBorders>
                    <w:tl2br w:val="nil"/>
                    <w:tr2bl w:val="nil"/>
                  </w:tcBorders>
                  <w:vAlign w:val="center"/>
                </w:tcPr>
                <w:p>
                  <w:pPr>
                    <w:pStyle w:val="35"/>
                    <w:jc w:val="center"/>
                    <w:rPr>
                      <w:rFonts w:cs="Times New Roman"/>
                    </w:rPr>
                  </w:pPr>
                </w:p>
              </w:tc>
              <w:tc>
                <w:tcPr>
                  <w:tcW w:w="1346" w:type="dxa"/>
                  <w:tcBorders>
                    <w:tl2br w:val="nil"/>
                    <w:tr2bl w:val="nil"/>
                  </w:tcBorders>
                  <w:vAlign w:val="center"/>
                </w:tcPr>
                <w:p>
                  <w:pPr>
                    <w:pStyle w:val="35"/>
                    <w:jc w:val="center"/>
                    <w:rPr>
                      <w:rFonts w:cs="Times New Roman"/>
                    </w:rPr>
                  </w:pPr>
                  <w:r>
                    <w:rPr>
                      <w:rFonts w:cs="Times New Roman"/>
                    </w:rPr>
                    <w:t>供电</w:t>
                  </w:r>
                </w:p>
              </w:tc>
              <w:tc>
                <w:tcPr>
                  <w:tcW w:w="5327" w:type="dxa"/>
                  <w:gridSpan w:val="2"/>
                  <w:tcBorders>
                    <w:tl2br w:val="nil"/>
                    <w:tr2bl w:val="nil"/>
                  </w:tcBorders>
                  <w:vAlign w:val="center"/>
                </w:tcPr>
                <w:p>
                  <w:pPr>
                    <w:pStyle w:val="35"/>
                    <w:jc w:val="center"/>
                    <w:rPr>
                      <w:rFonts w:cs="Times New Roman"/>
                    </w:rPr>
                  </w:pPr>
                  <w:r>
                    <w:rPr>
                      <w:rFonts w:cs="Times New Roman"/>
                    </w:rPr>
                    <w:t>由区域市政供电提供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vMerge w:val="restart"/>
                  <w:tcBorders>
                    <w:tl2br w:val="nil"/>
                    <w:tr2bl w:val="nil"/>
                  </w:tcBorders>
                  <w:vAlign w:val="center"/>
                </w:tcPr>
                <w:p>
                  <w:pPr>
                    <w:pStyle w:val="35"/>
                    <w:jc w:val="center"/>
                    <w:rPr>
                      <w:rFonts w:cs="Times New Roman"/>
                    </w:rPr>
                  </w:pPr>
                  <w:r>
                    <w:rPr>
                      <w:rFonts w:cs="Times New Roman"/>
                    </w:rPr>
                    <w:t>环保工程</w:t>
                  </w:r>
                </w:p>
              </w:tc>
              <w:tc>
                <w:tcPr>
                  <w:tcW w:w="1346" w:type="dxa"/>
                  <w:vMerge w:val="restart"/>
                  <w:tcBorders>
                    <w:tl2br w:val="nil"/>
                    <w:tr2bl w:val="nil"/>
                  </w:tcBorders>
                  <w:vAlign w:val="center"/>
                </w:tcPr>
                <w:p>
                  <w:pPr>
                    <w:pStyle w:val="35"/>
                    <w:jc w:val="center"/>
                    <w:rPr>
                      <w:rFonts w:cs="Times New Roman"/>
                    </w:rPr>
                  </w:pPr>
                  <w:r>
                    <w:rPr>
                      <w:rFonts w:cs="Times New Roman"/>
                    </w:rPr>
                    <w:t>废水治理</w:t>
                  </w:r>
                </w:p>
              </w:tc>
              <w:tc>
                <w:tcPr>
                  <w:tcW w:w="1134" w:type="dxa"/>
                  <w:tcBorders>
                    <w:tl2br w:val="nil"/>
                    <w:tr2bl w:val="nil"/>
                  </w:tcBorders>
                  <w:vAlign w:val="center"/>
                </w:tcPr>
                <w:p>
                  <w:pPr>
                    <w:pStyle w:val="35"/>
                    <w:jc w:val="center"/>
                    <w:rPr>
                      <w:rFonts w:cs="Times New Roman"/>
                    </w:rPr>
                  </w:pPr>
                  <w:r>
                    <w:rPr>
                      <w:rFonts w:cs="Times New Roman"/>
                    </w:rPr>
                    <w:t>生活污水</w:t>
                  </w:r>
                </w:p>
              </w:tc>
              <w:tc>
                <w:tcPr>
                  <w:tcW w:w="4193" w:type="dxa"/>
                  <w:tcBorders>
                    <w:tl2br w:val="nil"/>
                    <w:tr2bl w:val="nil"/>
                  </w:tcBorders>
                  <w:vAlign w:val="center"/>
                </w:tcPr>
                <w:p>
                  <w:pPr>
                    <w:pStyle w:val="35"/>
                    <w:jc w:val="center"/>
                    <w:rPr>
                      <w:rFonts w:cs="Times New Roman"/>
                    </w:rPr>
                  </w:pPr>
                  <w:r>
                    <w:rPr>
                      <w:rFonts w:cs="Times New Roman"/>
                    </w:rPr>
                    <w:t>生活污水经化粪池处理后作为</w:t>
                  </w:r>
                  <w:r>
                    <w:rPr>
                      <w:rFonts w:hint="eastAsia" w:cs="Times New Roman"/>
                    </w:rPr>
                    <w:t>周边林地施肥使用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vMerge w:val="continue"/>
                  <w:tcBorders>
                    <w:tl2br w:val="nil"/>
                    <w:tr2bl w:val="nil"/>
                  </w:tcBorders>
                  <w:vAlign w:val="center"/>
                </w:tcPr>
                <w:p>
                  <w:pPr>
                    <w:pStyle w:val="35"/>
                    <w:jc w:val="center"/>
                    <w:rPr>
                      <w:rFonts w:cs="Times New Roman"/>
                    </w:rPr>
                  </w:pPr>
                </w:p>
              </w:tc>
              <w:tc>
                <w:tcPr>
                  <w:tcW w:w="1346" w:type="dxa"/>
                  <w:vMerge w:val="continue"/>
                  <w:tcBorders>
                    <w:tl2br w:val="nil"/>
                    <w:tr2bl w:val="nil"/>
                  </w:tcBorders>
                  <w:vAlign w:val="center"/>
                </w:tcPr>
                <w:p>
                  <w:pPr>
                    <w:pStyle w:val="35"/>
                    <w:jc w:val="center"/>
                    <w:rPr>
                      <w:rFonts w:cs="Times New Roman"/>
                    </w:rPr>
                  </w:pPr>
                </w:p>
              </w:tc>
              <w:tc>
                <w:tcPr>
                  <w:tcW w:w="1134" w:type="dxa"/>
                  <w:tcBorders>
                    <w:tl2br w:val="nil"/>
                    <w:tr2bl w:val="nil"/>
                  </w:tcBorders>
                  <w:vAlign w:val="center"/>
                </w:tcPr>
                <w:p>
                  <w:pPr>
                    <w:pStyle w:val="35"/>
                    <w:jc w:val="center"/>
                    <w:rPr>
                      <w:rFonts w:cs="Times New Roman"/>
                    </w:rPr>
                  </w:pPr>
                  <w:r>
                    <w:rPr>
                      <w:rFonts w:cs="Times New Roman"/>
                    </w:rPr>
                    <w:t>生产废水</w:t>
                  </w:r>
                </w:p>
              </w:tc>
              <w:tc>
                <w:tcPr>
                  <w:tcW w:w="4193" w:type="dxa"/>
                  <w:tcBorders>
                    <w:tl2br w:val="nil"/>
                    <w:tr2bl w:val="nil"/>
                  </w:tcBorders>
                  <w:vAlign w:val="center"/>
                </w:tcPr>
                <w:p>
                  <w:pPr>
                    <w:pStyle w:val="35"/>
                    <w:jc w:val="center"/>
                    <w:rPr>
                      <w:rFonts w:cs="Times New Roman"/>
                    </w:rPr>
                  </w:pPr>
                  <w:r>
                    <w:rPr>
                      <w:rFonts w:cs="Times New Roman"/>
                    </w:rPr>
                    <w:t>喷淋除尘用水均蒸发损耗，无生产废水产生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vMerge w:val="continue"/>
                  <w:tcBorders>
                    <w:tl2br w:val="nil"/>
                    <w:tr2bl w:val="nil"/>
                  </w:tcBorders>
                  <w:vAlign w:val="center"/>
                </w:tcPr>
                <w:p>
                  <w:pPr>
                    <w:pStyle w:val="35"/>
                    <w:jc w:val="center"/>
                    <w:rPr>
                      <w:rFonts w:cs="Times New Roman"/>
                    </w:rPr>
                  </w:pPr>
                </w:p>
              </w:tc>
              <w:tc>
                <w:tcPr>
                  <w:tcW w:w="1346" w:type="dxa"/>
                  <w:vMerge w:val="continue"/>
                  <w:tcBorders>
                    <w:tl2br w:val="nil"/>
                    <w:tr2bl w:val="nil"/>
                  </w:tcBorders>
                  <w:vAlign w:val="center"/>
                </w:tcPr>
                <w:p>
                  <w:pPr>
                    <w:pStyle w:val="35"/>
                    <w:jc w:val="center"/>
                    <w:rPr>
                      <w:rFonts w:cs="Times New Roman"/>
                    </w:rPr>
                  </w:pPr>
                </w:p>
              </w:tc>
              <w:tc>
                <w:tcPr>
                  <w:tcW w:w="1134" w:type="dxa"/>
                  <w:tcBorders>
                    <w:tl2br w:val="nil"/>
                    <w:tr2bl w:val="nil"/>
                  </w:tcBorders>
                  <w:vAlign w:val="center"/>
                </w:tcPr>
                <w:p>
                  <w:pPr>
                    <w:pStyle w:val="35"/>
                    <w:jc w:val="center"/>
                    <w:rPr>
                      <w:rFonts w:cs="Times New Roman"/>
                    </w:rPr>
                  </w:pPr>
                  <w:r>
                    <w:rPr>
                      <w:rFonts w:cs="Times New Roman"/>
                    </w:rPr>
                    <w:t>初期雨水</w:t>
                  </w:r>
                </w:p>
              </w:tc>
              <w:tc>
                <w:tcPr>
                  <w:tcW w:w="4193" w:type="dxa"/>
                  <w:tcBorders>
                    <w:tl2br w:val="nil"/>
                    <w:tr2bl w:val="nil"/>
                  </w:tcBorders>
                  <w:vAlign w:val="center"/>
                </w:tcPr>
                <w:p>
                  <w:pPr>
                    <w:pStyle w:val="35"/>
                    <w:jc w:val="center"/>
                    <w:rPr>
                      <w:rFonts w:cs="Times New Roman"/>
                    </w:rPr>
                  </w:pPr>
                  <w:r>
                    <w:rPr>
                      <w:rFonts w:cs="Times New Roman"/>
                    </w:rPr>
                    <w:t>厂区设有截排水沟和三级沉淀池，初期雨水经沉淀处理后回用于厂区</w:t>
                  </w:r>
                  <w:r>
                    <w:rPr>
                      <w:rFonts w:hint="eastAsia" w:cs="Times New Roman"/>
                    </w:rPr>
                    <w:t>降</w:t>
                  </w:r>
                  <w:r>
                    <w:rPr>
                      <w:rFonts w:cs="Times New Roman"/>
                    </w:rPr>
                    <w:t>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vMerge w:val="continue"/>
                  <w:tcBorders>
                    <w:tl2br w:val="nil"/>
                    <w:tr2bl w:val="nil"/>
                  </w:tcBorders>
                  <w:vAlign w:val="center"/>
                </w:tcPr>
                <w:p>
                  <w:pPr>
                    <w:pStyle w:val="35"/>
                    <w:jc w:val="center"/>
                    <w:rPr>
                      <w:rFonts w:cs="Times New Roman"/>
                    </w:rPr>
                  </w:pPr>
                </w:p>
              </w:tc>
              <w:tc>
                <w:tcPr>
                  <w:tcW w:w="1346" w:type="dxa"/>
                  <w:tcBorders>
                    <w:tl2br w:val="nil"/>
                    <w:tr2bl w:val="nil"/>
                  </w:tcBorders>
                  <w:vAlign w:val="center"/>
                </w:tcPr>
                <w:p>
                  <w:pPr>
                    <w:pStyle w:val="35"/>
                    <w:jc w:val="center"/>
                    <w:rPr>
                      <w:rFonts w:cs="Times New Roman"/>
                    </w:rPr>
                  </w:pPr>
                  <w:r>
                    <w:rPr>
                      <w:rFonts w:cs="Times New Roman"/>
                    </w:rPr>
                    <w:t>废气治理</w:t>
                  </w:r>
                </w:p>
              </w:tc>
              <w:tc>
                <w:tcPr>
                  <w:tcW w:w="5327" w:type="dxa"/>
                  <w:gridSpan w:val="2"/>
                  <w:tcBorders>
                    <w:tl2br w:val="nil"/>
                    <w:tr2bl w:val="nil"/>
                  </w:tcBorders>
                  <w:vAlign w:val="center"/>
                </w:tcPr>
                <w:p>
                  <w:pPr>
                    <w:pStyle w:val="35"/>
                    <w:jc w:val="center"/>
                    <w:rPr>
                      <w:rFonts w:cs="Times New Roman"/>
                    </w:rPr>
                  </w:pPr>
                  <w:r>
                    <w:rPr>
                      <w:rFonts w:hint="eastAsia" w:cs="Times New Roman"/>
                    </w:rPr>
                    <w:t>主要破碎区进行封闭，</w:t>
                  </w:r>
                  <w:r>
                    <w:rPr>
                      <w:rFonts w:cs="Times New Roman"/>
                    </w:rPr>
                    <w:t>各生产环节</w:t>
                  </w:r>
                  <w:r>
                    <w:rPr>
                      <w:rFonts w:hint="eastAsia" w:cs="Times New Roman"/>
                    </w:rPr>
                    <w:t>主要设备</w:t>
                  </w:r>
                  <w:r>
                    <w:rPr>
                      <w:rFonts w:cs="Times New Roman"/>
                    </w:rPr>
                    <w:t>设置喷淋洒水装置</w:t>
                  </w:r>
                  <w:r>
                    <w:rPr>
                      <w:rFonts w:hint="eastAsia" w:cs="Times New Roman"/>
                    </w:rPr>
                    <w:t>，定期对道路进行喷淋除尘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vMerge w:val="continue"/>
                  <w:tcBorders>
                    <w:tl2br w:val="nil"/>
                    <w:tr2bl w:val="nil"/>
                  </w:tcBorders>
                  <w:vAlign w:val="center"/>
                </w:tcPr>
                <w:p>
                  <w:pPr>
                    <w:pStyle w:val="35"/>
                    <w:jc w:val="center"/>
                    <w:rPr>
                      <w:rFonts w:cs="Times New Roman"/>
                    </w:rPr>
                  </w:pPr>
                </w:p>
              </w:tc>
              <w:tc>
                <w:tcPr>
                  <w:tcW w:w="1346" w:type="dxa"/>
                  <w:tcBorders>
                    <w:tl2br w:val="nil"/>
                    <w:tr2bl w:val="nil"/>
                  </w:tcBorders>
                  <w:vAlign w:val="center"/>
                </w:tcPr>
                <w:p>
                  <w:pPr>
                    <w:pStyle w:val="35"/>
                    <w:jc w:val="center"/>
                    <w:rPr>
                      <w:rFonts w:cs="Times New Roman"/>
                    </w:rPr>
                  </w:pPr>
                  <w:r>
                    <w:rPr>
                      <w:rFonts w:cs="Times New Roman"/>
                    </w:rPr>
                    <w:t>噪声治理</w:t>
                  </w:r>
                </w:p>
              </w:tc>
              <w:tc>
                <w:tcPr>
                  <w:tcW w:w="5327" w:type="dxa"/>
                  <w:gridSpan w:val="2"/>
                  <w:tcBorders>
                    <w:tl2br w:val="nil"/>
                    <w:tr2bl w:val="nil"/>
                  </w:tcBorders>
                  <w:vAlign w:val="center"/>
                </w:tcPr>
                <w:p>
                  <w:pPr>
                    <w:pStyle w:val="35"/>
                    <w:jc w:val="center"/>
                    <w:rPr>
                      <w:rFonts w:cs="Times New Roman"/>
                    </w:rPr>
                  </w:pPr>
                  <w:r>
                    <w:rPr>
                      <w:rFonts w:cs="Times New Roman"/>
                    </w:rPr>
                    <w:t>选用低噪声设备、设置减震基座、</w:t>
                  </w:r>
                  <w:r>
                    <w:rPr>
                      <w:rFonts w:hint="eastAsia" w:cs="Times New Roman"/>
                    </w:rPr>
                    <w:t>厂房吸声隔声</w:t>
                  </w:r>
                  <w:r>
                    <w:rPr>
                      <w:rFonts w:cs="Times New Roman"/>
                    </w:rPr>
                    <w:t>等降噪措施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4" w:type="dxa"/>
                  <w:vMerge w:val="continue"/>
                  <w:tcBorders>
                    <w:tl2br w:val="nil"/>
                    <w:tr2bl w:val="nil"/>
                  </w:tcBorders>
                  <w:vAlign w:val="center"/>
                </w:tcPr>
                <w:p>
                  <w:pPr>
                    <w:pStyle w:val="35"/>
                    <w:jc w:val="center"/>
                    <w:rPr>
                      <w:rFonts w:cs="Times New Roman"/>
                    </w:rPr>
                  </w:pPr>
                </w:p>
              </w:tc>
              <w:tc>
                <w:tcPr>
                  <w:tcW w:w="1346" w:type="dxa"/>
                  <w:tcBorders>
                    <w:tl2br w:val="nil"/>
                    <w:tr2bl w:val="nil"/>
                  </w:tcBorders>
                  <w:vAlign w:val="center"/>
                </w:tcPr>
                <w:p>
                  <w:pPr>
                    <w:pStyle w:val="35"/>
                    <w:jc w:val="center"/>
                    <w:rPr>
                      <w:rFonts w:cs="Times New Roman"/>
                    </w:rPr>
                  </w:pPr>
                  <w:r>
                    <w:rPr>
                      <w:rFonts w:cs="Times New Roman"/>
                    </w:rPr>
                    <w:t>固废治理</w:t>
                  </w:r>
                </w:p>
              </w:tc>
              <w:tc>
                <w:tcPr>
                  <w:tcW w:w="5327" w:type="dxa"/>
                  <w:gridSpan w:val="2"/>
                  <w:tcBorders>
                    <w:tl2br w:val="nil"/>
                    <w:tr2bl w:val="nil"/>
                  </w:tcBorders>
                  <w:vAlign w:val="center"/>
                </w:tcPr>
                <w:p>
                  <w:pPr>
                    <w:pStyle w:val="35"/>
                    <w:jc w:val="center"/>
                    <w:rPr>
                      <w:rFonts w:cs="Times New Roman"/>
                    </w:rPr>
                  </w:pPr>
                  <w:r>
                    <w:rPr>
                      <w:rFonts w:cs="Times New Roman"/>
                    </w:rPr>
                    <w:t>生活垃圾收集后由环卫部门清运处置</w:t>
                  </w:r>
                </w:p>
              </w:tc>
            </w:tr>
          </w:tbl>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2.3产品方案</w:t>
            </w:r>
          </w:p>
          <w:p>
            <w:pPr>
              <w:ind w:firstLine="480"/>
              <w:rPr>
                <w:rFonts w:cs="Times New Roman"/>
              </w:rPr>
            </w:pPr>
            <w:r>
              <w:rPr>
                <w:rFonts w:cs="Times New Roman"/>
              </w:rPr>
              <w:t>本项目产品方案详见表2-2。</w:t>
            </w:r>
          </w:p>
          <w:p>
            <w:pPr>
              <w:pStyle w:val="2"/>
              <w:ind w:left="480"/>
              <w:rPr>
                <w:rFonts w:eastAsia="宋体"/>
              </w:rPr>
            </w:pPr>
          </w:p>
          <w:p>
            <w:pPr>
              <w:pStyle w:val="3"/>
              <w:ind w:firstLine="210"/>
            </w:pPr>
          </w:p>
          <w:p>
            <w:pPr>
              <w:ind w:firstLine="480"/>
            </w:pPr>
          </w:p>
          <w:p>
            <w:pPr>
              <w:ind w:firstLine="0" w:firstLineChars="0"/>
              <w:jc w:val="center"/>
              <w:rPr>
                <w:rFonts w:cs="Times New Roman"/>
                <w:b/>
                <w:bCs/>
              </w:rPr>
            </w:pPr>
            <w:r>
              <w:rPr>
                <w:rFonts w:cs="Times New Roman"/>
                <w:b/>
                <w:bCs/>
              </w:rPr>
              <w:t>表2-2</w:t>
            </w:r>
            <w:r>
              <w:rPr>
                <w:rFonts w:hint="eastAsia" w:cs="Times New Roman"/>
                <w:b/>
                <w:bCs/>
              </w:rPr>
              <w:t xml:space="preserve"> </w:t>
            </w:r>
            <w:r>
              <w:rPr>
                <w:rFonts w:cs="Times New Roman"/>
                <w:b/>
                <w:bCs/>
              </w:rPr>
              <w:t>产品方案</w:t>
            </w:r>
          </w:p>
          <w:tbl>
            <w:tblPr>
              <w:tblStyle w:val="24"/>
              <w:tblW w:w="787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829"/>
              <w:gridCol w:w="1417"/>
              <w:gridCol w:w="3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 w:type="dxa"/>
                  <w:tcBorders>
                    <w:tl2br w:val="nil"/>
                    <w:tr2bl w:val="nil"/>
                  </w:tcBorders>
                  <w:vAlign w:val="center"/>
                </w:tcPr>
                <w:p>
                  <w:pPr>
                    <w:pStyle w:val="35"/>
                    <w:jc w:val="center"/>
                    <w:rPr>
                      <w:rFonts w:cs="Times New Roman"/>
                      <w:b/>
                    </w:rPr>
                  </w:pPr>
                  <w:r>
                    <w:rPr>
                      <w:rFonts w:cs="Times New Roman"/>
                      <w:b/>
                    </w:rPr>
                    <w:t>序号</w:t>
                  </w:r>
                </w:p>
              </w:tc>
              <w:tc>
                <w:tcPr>
                  <w:tcW w:w="1829" w:type="dxa"/>
                  <w:tcBorders>
                    <w:tl2br w:val="nil"/>
                    <w:tr2bl w:val="nil"/>
                  </w:tcBorders>
                  <w:vAlign w:val="center"/>
                </w:tcPr>
                <w:p>
                  <w:pPr>
                    <w:pStyle w:val="35"/>
                    <w:jc w:val="center"/>
                    <w:rPr>
                      <w:rFonts w:cs="Times New Roman"/>
                      <w:b/>
                    </w:rPr>
                  </w:pPr>
                  <w:r>
                    <w:rPr>
                      <w:rFonts w:cs="Times New Roman"/>
                      <w:b/>
                    </w:rPr>
                    <w:t>产品名称</w:t>
                  </w:r>
                </w:p>
              </w:tc>
              <w:tc>
                <w:tcPr>
                  <w:tcW w:w="1417" w:type="dxa"/>
                  <w:tcBorders>
                    <w:tl2br w:val="nil"/>
                    <w:tr2bl w:val="nil"/>
                  </w:tcBorders>
                  <w:vAlign w:val="center"/>
                </w:tcPr>
                <w:p>
                  <w:pPr>
                    <w:pStyle w:val="35"/>
                    <w:jc w:val="center"/>
                    <w:rPr>
                      <w:rFonts w:cs="Times New Roman"/>
                      <w:b/>
                    </w:rPr>
                  </w:pPr>
                  <w:r>
                    <w:rPr>
                      <w:rFonts w:cs="Times New Roman"/>
                      <w:b/>
                    </w:rPr>
                    <w:t>年产量</w:t>
                  </w:r>
                </w:p>
              </w:tc>
              <w:tc>
                <w:tcPr>
                  <w:tcW w:w="3767" w:type="dxa"/>
                  <w:tcBorders>
                    <w:tl2br w:val="nil"/>
                    <w:tr2bl w:val="nil"/>
                  </w:tcBorders>
                  <w:vAlign w:val="center"/>
                </w:tcPr>
                <w:p>
                  <w:pPr>
                    <w:pStyle w:val="35"/>
                    <w:jc w:val="center"/>
                    <w:rPr>
                      <w:rFonts w:cs="Times New Roman"/>
                      <w:b/>
                    </w:rPr>
                  </w:pPr>
                  <w:r>
                    <w:rPr>
                      <w:rFonts w:cs="Times New Roman"/>
                      <w:b/>
                    </w:rPr>
                    <w:t>产品规格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 w:type="dxa"/>
                  <w:tcBorders>
                    <w:tl2br w:val="nil"/>
                    <w:tr2bl w:val="nil"/>
                  </w:tcBorders>
                  <w:vAlign w:val="center"/>
                </w:tcPr>
                <w:p>
                  <w:pPr>
                    <w:pStyle w:val="35"/>
                    <w:jc w:val="center"/>
                    <w:rPr>
                      <w:rFonts w:cs="Times New Roman"/>
                    </w:rPr>
                  </w:pPr>
                  <w:r>
                    <w:rPr>
                      <w:rFonts w:cs="Times New Roman"/>
                    </w:rPr>
                    <w:t>1</w:t>
                  </w:r>
                </w:p>
              </w:tc>
              <w:tc>
                <w:tcPr>
                  <w:tcW w:w="1829" w:type="dxa"/>
                  <w:tcBorders>
                    <w:tl2br w:val="nil"/>
                    <w:tr2bl w:val="nil"/>
                  </w:tcBorders>
                  <w:vAlign w:val="center"/>
                </w:tcPr>
                <w:p>
                  <w:pPr>
                    <w:pStyle w:val="35"/>
                    <w:jc w:val="center"/>
                    <w:rPr>
                      <w:rFonts w:cs="Times New Roman"/>
                    </w:rPr>
                  </w:pPr>
                  <w:r>
                    <w:rPr>
                      <w:rFonts w:cs="Times New Roman"/>
                    </w:rPr>
                    <w:t>破碎石</w:t>
                  </w:r>
                </w:p>
              </w:tc>
              <w:tc>
                <w:tcPr>
                  <w:tcW w:w="1417" w:type="dxa"/>
                  <w:tcBorders>
                    <w:tl2br w:val="nil"/>
                    <w:tr2bl w:val="nil"/>
                  </w:tcBorders>
                  <w:vAlign w:val="center"/>
                </w:tcPr>
                <w:p>
                  <w:pPr>
                    <w:pStyle w:val="35"/>
                    <w:jc w:val="center"/>
                    <w:rPr>
                      <w:rFonts w:cs="Times New Roman"/>
                    </w:rPr>
                  </w:pPr>
                  <w:r>
                    <w:rPr>
                      <w:rFonts w:cs="Times New Roman"/>
                    </w:rPr>
                    <w:t>50万</w:t>
                  </w:r>
                  <w:r>
                    <w:rPr>
                      <w:rFonts w:hint="eastAsia" w:cs="Times New Roman"/>
                    </w:rPr>
                    <w:t>吨</w:t>
                  </w:r>
                </w:p>
              </w:tc>
              <w:tc>
                <w:tcPr>
                  <w:tcW w:w="3767" w:type="dxa"/>
                  <w:tcBorders>
                    <w:tl2br w:val="nil"/>
                    <w:tr2bl w:val="nil"/>
                  </w:tcBorders>
                  <w:vAlign w:val="center"/>
                </w:tcPr>
                <w:p>
                  <w:pPr>
                    <w:pStyle w:val="35"/>
                    <w:jc w:val="center"/>
                    <w:rPr>
                      <w:rFonts w:cs="Times New Roman"/>
                    </w:rPr>
                  </w:pPr>
                  <w:r>
                    <w:rPr>
                      <w:rFonts w:cs="Times New Roman"/>
                    </w:rPr>
                    <w:t>主要分为6种规格，0~1cm、1~2cm、2~4cm、4~8cm、8~12cm、12cm以上</w:t>
                  </w:r>
                </w:p>
              </w:tc>
            </w:tr>
          </w:tbl>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2.4主要原辅材料及能源消耗</w:t>
            </w:r>
          </w:p>
          <w:p>
            <w:pPr>
              <w:ind w:firstLine="460"/>
              <w:rPr>
                <w:rFonts w:cs="Times New Roman"/>
                <w:spacing w:val="-5"/>
                <w:kern w:val="0"/>
              </w:rPr>
            </w:pPr>
            <w:r>
              <w:rPr>
                <w:rFonts w:cs="Times New Roman"/>
                <w:spacing w:val="-5"/>
                <w:kern w:val="0"/>
              </w:rPr>
              <w:t>根据建设单位提供资料，本项目主要原辅材料及能源消耗详见表2-3。</w:t>
            </w:r>
          </w:p>
          <w:p>
            <w:pPr>
              <w:ind w:firstLine="0" w:firstLineChars="0"/>
              <w:jc w:val="center"/>
              <w:rPr>
                <w:rFonts w:cs="Times New Roman"/>
                <w:b/>
                <w:bCs/>
              </w:rPr>
            </w:pPr>
            <w:r>
              <w:rPr>
                <w:rFonts w:cs="Times New Roman"/>
                <w:b/>
                <w:bCs/>
              </w:rPr>
              <w:t>表2-3</w:t>
            </w:r>
            <w:r>
              <w:rPr>
                <w:rFonts w:hint="eastAsia" w:cs="Times New Roman"/>
                <w:b/>
                <w:bCs/>
              </w:rPr>
              <w:t xml:space="preserve"> </w:t>
            </w:r>
            <w:r>
              <w:rPr>
                <w:rFonts w:cs="Times New Roman"/>
                <w:b/>
                <w:bCs/>
              </w:rPr>
              <w:t>原辅材料一览表</w:t>
            </w:r>
          </w:p>
          <w:tbl>
            <w:tblPr>
              <w:tblStyle w:val="24"/>
              <w:tblW w:w="74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759"/>
              <w:gridCol w:w="1484"/>
              <w:gridCol w:w="23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9" w:type="dxa"/>
                  <w:tcBorders>
                    <w:tl2br w:val="nil"/>
                    <w:tr2bl w:val="nil"/>
                  </w:tcBorders>
                  <w:vAlign w:val="center"/>
                </w:tcPr>
                <w:p>
                  <w:pPr>
                    <w:pStyle w:val="35"/>
                    <w:jc w:val="center"/>
                    <w:rPr>
                      <w:rFonts w:cs="Times New Roman"/>
                      <w:b/>
                    </w:rPr>
                  </w:pPr>
                  <w:r>
                    <w:rPr>
                      <w:rFonts w:cs="Times New Roman"/>
                      <w:b/>
                    </w:rPr>
                    <w:t>序号</w:t>
                  </w:r>
                </w:p>
              </w:tc>
              <w:tc>
                <w:tcPr>
                  <w:tcW w:w="2759" w:type="dxa"/>
                  <w:tcBorders>
                    <w:tl2br w:val="nil"/>
                    <w:tr2bl w:val="nil"/>
                  </w:tcBorders>
                  <w:vAlign w:val="center"/>
                </w:tcPr>
                <w:p>
                  <w:pPr>
                    <w:pStyle w:val="35"/>
                    <w:jc w:val="center"/>
                    <w:rPr>
                      <w:rFonts w:cs="Times New Roman"/>
                      <w:b/>
                    </w:rPr>
                  </w:pPr>
                  <w:r>
                    <w:rPr>
                      <w:rFonts w:cs="Times New Roman"/>
                      <w:b/>
                    </w:rPr>
                    <w:t>原辅材料名称</w:t>
                  </w:r>
                </w:p>
              </w:tc>
              <w:tc>
                <w:tcPr>
                  <w:tcW w:w="1484" w:type="dxa"/>
                  <w:tcBorders>
                    <w:tl2br w:val="nil"/>
                    <w:tr2bl w:val="nil"/>
                  </w:tcBorders>
                  <w:vAlign w:val="center"/>
                </w:tcPr>
                <w:p>
                  <w:pPr>
                    <w:pStyle w:val="35"/>
                    <w:jc w:val="center"/>
                    <w:rPr>
                      <w:rFonts w:cs="Times New Roman"/>
                      <w:b/>
                    </w:rPr>
                  </w:pPr>
                  <w:r>
                    <w:rPr>
                      <w:rFonts w:cs="Times New Roman"/>
                      <w:b/>
                    </w:rPr>
                    <w:t>年用量</w:t>
                  </w:r>
                </w:p>
              </w:tc>
              <w:tc>
                <w:tcPr>
                  <w:tcW w:w="2380" w:type="dxa"/>
                  <w:tcBorders>
                    <w:tl2br w:val="nil"/>
                    <w:tr2bl w:val="nil"/>
                  </w:tcBorders>
                  <w:vAlign w:val="center"/>
                </w:tcPr>
                <w:p>
                  <w:pPr>
                    <w:pStyle w:val="35"/>
                    <w:jc w:val="center"/>
                    <w:rPr>
                      <w:rFonts w:cs="Times New Roman"/>
                      <w:b/>
                    </w:rPr>
                  </w:pPr>
                  <w:r>
                    <w:rPr>
                      <w:rFonts w:cs="Times New Roman"/>
                      <w:b/>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9" w:type="dxa"/>
                  <w:tcBorders>
                    <w:tl2br w:val="nil"/>
                    <w:tr2bl w:val="nil"/>
                  </w:tcBorders>
                  <w:vAlign w:val="center"/>
                </w:tcPr>
                <w:p>
                  <w:pPr>
                    <w:pStyle w:val="35"/>
                    <w:jc w:val="center"/>
                    <w:rPr>
                      <w:rFonts w:cs="Times New Roman"/>
                    </w:rPr>
                  </w:pPr>
                  <w:r>
                    <w:rPr>
                      <w:rFonts w:cs="Times New Roman"/>
                    </w:rPr>
                    <w:t>1</w:t>
                  </w:r>
                </w:p>
              </w:tc>
              <w:tc>
                <w:tcPr>
                  <w:tcW w:w="2759" w:type="dxa"/>
                  <w:tcBorders>
                    <w:tl2br w:val="nil"/>
                    <w:tr2bl w:val="nil"/>
                  </w:tcBorders>
                  <w:vAlign w:val="center"/>
                </w:tcPr>
                <w:p>
                  <w:pPr>
                    <w:pStyle w:val="35"/>
                    <w:jc w:val="center"/>
                    <w:rPr>
                      <w:rFonts w:cs="Times New Roman"/>
                    </w:rPr>
                  </w:pPr>
                  <w:r>
                    <w:rPr>
                      <w:rFonts w:cs="Times New Roman"/>
                      <w:kern w:val="0"/>
                      <w:szCs w:val="21"/>
                    </w:rPr>
                    <w:t>石灰石废石及低品位石灰石</w:t>
                  </w:r>
                </w:p>
              </w:tc>
              <w:tc>
                <w:tcPr>
                  <w:tcW w:w="1484" w:type="dxa"/>
                  <w:tcBorders>
                    <w:tl2br w:val="nil"/>
                    <w:tr2bl w:val="nil"/>
                  </w:tcBorders>
                  <w:vAlign w:val="center"/>
                </w:tcPr>
                <w:p>
                  <w:pPr>
                    <w:pStyle w:val="35"/>
                    <w:jc w:val="center"/>
                    <w:rPr>
                      <w:rFonts w:cs="Times New Roman"/>
                    </w:rPr>
                  </w:pPr>
                  <w:r>
                    <w:rPr>
                      <w:rFonts w:cs="Times New Roman"/>
                      <w:szCs w:val="21"/>
                    </w:rPr>
                    <w:t>5000</w:t>
                  </w:r>
                  <w:r>
                    <w:rPr>
                      <w:rFonts w:hint="eastAsia" w:cs="Times New Roman"/>
                      <w:szCs w:val="21"/>
                    </w:rPr>
                    <w:t>30.325吨</w:t>
                  </w:r>
                </w:p>
              </w:tc>
              <w:tc>
                <w:tcPr>
                  <w:tcW w:w="2380" w:type="dxa"/>
                  <w:tcBorders>
                    <w:tl2br w:val="nil"/>
                    <w:tr2bl w:val="nil"/>
                  </w:tcBorders>
                  <w:vAlign w:val="center"/>
                </w:tcPr>
                <w:p>
                  <w:pPr>
                    <w:pStyle w:val="35"/>
                    <w:jc w:val="center"/>
                    <w:rPr>
                      <w:rFonts w:cs="Times New Roman"/>
                    </w:rPr>
                  </w:pPr>
                  <w:r>
                    <w:rPr>
                      <w:rFonts w:cs="Times New Roman"/>
                    </w:rPr>
                    <w:t>矿山开采</w:t>
                  </w:r>
                  <w:r>
                    <w:rPr>
                      <w:rFonts w:hint="eastAsia" w:cs="Times New Roman"/>
                    </w:rPr>
                    <w:t>（明溪县鑫辉矿业有限公司）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9" w:type="dxa"/>
                  <w:tcBorders>
                    <w:tl2br w:val="nil"/>
                    <w:tr2bl w:val="nil"/>
                  </w:tcBorders>
                  <w:vAlign w:val="center"/>
                </w:tcPr>
                <w:p>
                  <w:pPr>
                    <w:pStyle w:val="35"/>
                    <w:jc w:val="center"/>
                    <w:rPr>
                      <w:rFonts w:cs="Times New Roman"/>
                    </w:rPr>
                  </w:pPr>
                  <w:r>
                    <w:rPr>
                      <w:rFonts w:cs="Times New Roman"/>
                    </w:rPr>
                    <w:t>2</w:t>
                  </w:r>
                </w:p>
              </w:tc>
              <w:tc>
                <w:tcPr>
                  <w:tcW w:w="2759" w:type="dxa"/>
                  <w:tcBorders>
                    <w:tl2br w:val="nil"/>
                    <w:tr2bl w:val="nil"/>
                  </w:tcBorders>
                  <w:vAlign w:val="center"/>
                </w:tcPr>
                <w:p>
                  <w:pPr>
                    <w:pStyle w:val="35"/>
                    <w:jc w:val="center"/>
                    <w:rPr>
                      <w:rFonts w:cs="Times New Roman"/>
                    </w:rPr>
                  </w:pPr>
                  <w:r>
                    <w:rPr>
                      <w:rFonts w:cs="Times New Roman"/>
                    </w:rPr>
                    <w:t>水</w:t>
                  </w:r>
                </w:p>
              </w:tc>
              <w:tc>
                <w:tcPr>
                  <w:tcW w:w="1484" w:type="dxa"/>
                  <w:tcBorders>
                    <w:tl2br w:val="nil"/>
                    <w:tr2bl w:val="nil"/>
                  </w:tcBorders>
                  <w:vAlign w:val="center"/>
                </w:tcPr>
                <w:p>
                  <w:pPr>
                    <w:pStyle w:val="35"/>
                    <w:jc w:val="center"/>
                    <w:rPr>
                      <w:rFonts w:cs="Times New Roman"/>
                    </w:rPr>
                  </w:pPr>
                  <w:r>
                    <w:rPr>
                      <w:rFonts w:hint="eastAsia" w:cs="Times New Roman"/>
                    </w:rPr>
                    <w:t>1020</w:t>
                  </w:r>
                  <w:r>
                    <w:rPr>
                      <w:rFonts w:cs="Times New Roman"/>
                    </w:rPr>
                    <w:t>t</w:t>
                  </w:r>
                </w:p>
              </w:tc>
              <w:tc>
                <w:tcPr>
                  <w:tcW w:w="2380" w:type="dxa"/>
                  <w:tcBorders>
                    <w:tl2br w:val="nil"/>
                    <w:tr2bl w:val="nil"/>
                  </w:tcBorders>
                  <w:vAlign w:val="center"/>
                </w:tcPr>
                <w:p>
                  <w:pPr>
                    <w:pStyle w:val="35"/>
                    <w:jc w:val="center"/>
                    <w:rPr>
                      <w:rFonts w:cs="Times New Roman"/>
                    </w:rPr>
                  </w:pPr>
                  <w:r>
                    <w:rPr>
                      <w:rFonts w:cs="Times New Roman"/>
                      <w:kern w:val="0"/>
                      <w:szCs w:val="21"/>
                    </w:rPr>
                    <w:t>生产用水取自山涧水，生活用水由市政供给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9" w:type="dxa"/>
                  <w:tcBorders>
                    <w:tl2br w:val="nil"/>
                    <w:tr2bl w:val="nil"/>
                  </w:tcBorders>
                  <w:vAlign w:val="center"/>
                </w:tcPr>
                <w:p>
                  <w:pPr>
                    <w:pStyle w:val="35"/>
                    <w:jc w:val="center"/>
                    <w:rPr>
                      <w:rFonts w:cs="Times New Roman"/>
                    </w:rPr>
                  </w:pPr>
                  <w:r>
                    <w:rPr>
                      <w:rFonts w:cs="Times New Roman"/>
                    </w:rPr>
                    <w:t>4</w:t>
                  </w:r>
                </w:p>
              </w:tc>
              <w:tc>
                <w:tcPr>
                  <w:tcW w:w="2759" w:type="dxa"/>
                  <w:tcBorders>
                    <w:tl2br w:val="nil"/>
                    <w:tr2bl w:val="nil"/>
                  </w:tcBorders>
                  <w:vAlign w:val="center"/>
                </w:tcPr>
                <w:p>
                  <w:pPr>
                    <w:pStyle w:val="35"/>
                    <w:jc w:val="center"/>
                    <w:rPr>
                      <w:rFonts w:cs="Times New Roman"/>
                    </w:rPr>
                  </w:pPr>
                  <w:r>
                    <w:rPr>
                      <w:rFonts w:cs="Times New Roman"/>
                    </w:rPr>
                    <w:t>电</w:t>
                  </w:r>
                </w:p>
              </w:tc>
              <w:tc>
                <w:tcPr>
                  <w:tcW w:w="1484" w:type="dxa"/>
                  <w:tcBorders>
                    <w:tl2br w:val="nil"/>
                    <w:tr2bl w:val="nil"/>
                  </w:tcBorders>
                  <w:vAlign w:val="center"/>
                </w:tcPr>
                <w:p>
                  <w:pPr>
                    <w:pStyle w:val="35"/>
                    <w:jc w:val="center"/>
                    <w:rPr>
                      <w:rFonts w:cs="Times New Roman"/>
                    </w:rPr>
                  </w:pPr>
                  <w:r>
                    <w:rPr>
                      <w:rFonts w:cs="Times New Roman"/>
                    </w:rPr>
                    <w:t>15万</w:t>
                  </w:r>
                  <w:r>
                    <w:rPr>
                      <w:rFonts w:cs="Times New Roman"/>
                      <w:szCs w:val="21"/>
                    </w:rPr>
                    <w:t>kW·h/年</w:t>
                  </w:r>
                </w:p>
              </w:tc>
              <w:tc>
                <w:tcPr>
                  <w:tcW w:w="2380" w:type="dxa"/>
                  <w:tcBorders>
                    <w:tl2br w:val="nil"/>
                    <w:tr2bl w:val="nil"/>
                  </w:tcBorders>
                  <w:vAlign w:val="center"/>
                </w:tcPr>
                <w:p>
                  <w:pPr>
                    <w:pStyle w:val="35"/>
                    <w:jc w:val="center"/>
                    <w:rPr>
                      <w:rFonts w:cs="Times New Roman"/>
                    </w:rPr>
                  </w:pPr>
                  <w:r>
                    <w:rPr>
                      <w:rFonts w:cs="Times New Roman"/>
                    </w:rPr>
                    <w:t>市政供电</w:t>
                  </w:r>
                </w:p>
              </w:tc>
            </w:tr>
          </w:tbl>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 xml:space="preserve">2.5主要生产设备 </w:t>
            </w:r>
          </w:p>
          <w:p>
            <w:pPr>
              <w:pStyle w:val="47"/>
              <w:ind w:firstLine="480"/>
            </w:pPr>
            <w:r>
              <w:t>根据建设单位提供资料，项目主要生产设备见表2-4。</w:t>
            </w:r>
          </w:p>
          <w:p>
            <w:pPr>
              <w:ind w:firstLine="0" w:firstLineChars="0"/>
              <w:jc w:val="center"/>
              <w:rPr>
                <w:rFonts w:cs="Times New Roman"/>
                <w:b/>
                <w:bCs/>
              </w:rPr>
            </w:pPr>
            <w:r>
              <w:rPr>
                <w:rFonts w:cs="Times New Roman"/>
                <w:b/>
                <w:bCs/>
              </w:rPr>
              <w:t>表2-4</w:t>
            </w:r>
            <w:r>
              <w:rPr>
                <w:rFonts w:hint="eastAsia" w:cs="Times New Roman"/>
                <w:b/>
                <w:bCs/>
              </w:rPr>
              <w:t xml:space="preserve"> </w:t>
            </w:r>
            <w:r>
              <w:rPr>
                <w:rFonts w:cs="Times New Roman"/>
                <w:b/>
                <w:bCs/>
              </w:rPr>
              <w:t>设备清单一览表</w:t>
            </w:r>
          </w:p>
          <w:tbl>
            <w:tblPr>
              <w:tblStyle w:val="24"/>
              <w:tblW w:w="771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1"/>
              <w:gridCol w:w="1981"/>
              <w:gridCol w:w="993"/>
              <w:gridCol w:w="1134"/>
              <w:gridCol w:w="14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04" w:type="dxa"/>
                  <w:tcBorders>
                    <w:tl2br w:val="nil"/>
                    <w:tr2bl w:val="nil"/>
                  </w:tcBorders>
                  <w:vAlign w:val="center"/>
                </w:tcPr>
                <w:p>
                  <w:pPr>
                    <w:pStyle w:val="35"/>
                    <w:jc w:val="center"/>
                    <w:rPr>
                      <w:rFonts w:cs="Times New Roman"/>
                      <w:b/>
                    </w:rPr>
                  </w:pPr>
                  <w:r>
                    <w:rPr>
                      <w:rFonts w:cs="Times New Roman"/>
                      <w:b/>
                    </w:rPr>
                    <w:t>序号</w:t>
                  </w:r>
                </w:p>
              </w:tc>
              <w:tc>
                <w:tcPr>
                  <w:tcW w:w="1421" w:type="dxa"/>
                  <w:tcBorders>
                    <w:tl2br w:val="nil"/>
                    <w:tr2bl w:val="nil"/>
                  </w:tcBorders>
                  <w:vAlign w:val="center"/>
                </w:tcPr>
                <w:p>
                  <w:pPr>
                    <w:pStyle w:val="35"/>
                    <w:jc w:val="center"/>
                    <w:rPr>
                      <w:rFonts w:cs="Times New Roman"/>
                      <w:b/>
                    </w:rPr>
                  </w:pPr>
                  <w:r>
                    <w:rPr>
                      <w:rFonts w:cs="Times New Roman"/>
                      <w:b/>
                    </w:rPr>
                    <w:t>设备名称</w:t>
                  </w:r>
                </w:p>
              </w:tc>
              <w:tc>
                <w:tcPr>
                  <w:tcW w:w="1981" w:type="dxa"/>
                  <w:tcBorders>
                    <w:tl2br w:val="nil"/>
                    <w:tr2bl w:val="nil"/>
                  </w:tcBorders>
                  <w:vAlign w:val="center"/>
                </w:tcPr>
                <w:p>
                  <w:pPr>
                    <w:pStyle w:val="35"/>
                    <w:jc w:val="center"/>
                    <w:rPr>
                      <w:rFonts w:cs="Times New Roman"/>
                      <w:b/>
                    </w:rPr>
                  </w:pPr>
                  <w:r>
                    <w:rPr>
                      <w:rFonts w:cs="Times New Roman"/>
                      <w:b/>
                    </w:rPr>
                    <w:t>规格</w:t>
                  </w:r>
                </w:p>
              </w:tc>
              <w:tc>
                <w:tcPr>
                  <w:tcW w:w="993" w:type="dxa"/>
                  <w:tcBorders>
                    <w:tl2br w:val="nil"/>
                    <w:tr2bl w:val="nil"/>
                  </w:tcBorders>
                  <w:vAlign w:val="center"/>
                </w:tcPr>
                <w:p>
                  <w:pPr>
                    <w:pStyle w:val="35"/>
                    <w:jc w:val="center"/>
                    <w:rPr>
                      <w:rFonts w:cs="Times New Roman"/>
                      <w:b/>
                    </w:rPr>
                  </w:pPr>
                  <w:r>
                    <w:rPr>
                      <w:rFonts w:cs="Times New Roman"/>
                      <w:b/>
                    </w:rPr>
                    <w:t>数量</w:t>
                  </w:r>
                </w:p>
              </w:tc>
              <w:tc>
                <w:tcPr>
                  <w:tcW w:w="1134" w:type="dxa"/>
                  <w:tcBorders>
                    <w:tl2br w:val="nil"/>
                    <w:tr2bl w:val="nil"/>
                  </w:tcBorders>
                  <w:vAlign w:val="center"/>
                </w:tcPr>
                <w:p>
                  <w:pPr>
                    <w:pStyle w:val="35"/>
                    <w:jc w:val="center"/>
                    <w:rPr>
                      <w:rFonts w:cs="Times New Roman"/>
                      <w:b/>
                      <w:kern w:val="0"/>
                    </w:rPr>
                  </w:pPr>
                  <w:r>
                    <w:rPr>
                      <w:rFonts w:cs="Times New Roman"/>
                      <w:b/>
                    </w:rPr>
                    <w:t>噪声（dB(A)）</w:t>
                  </w:r>
                </w:p>
              </w:tc>
              <w:tc>
                <w:tcPr>
                  <w:tcW w:w="1479" w:type="dxa"/>
                  <w:tcBorders>
                    <w:tl2br w:val="nil"/>
                    <w:tr2bl w:val="nil"/>
                  </w:tcBorders>
                </w:tcPr>
                <w:p>
                  <w:pPr>
                    <w:pStyle w:val="35"/>
                    <w:jc w:val="center"/>
                    <w:rPr>
                      <w:rFonts w:cs="Times New Roman"/>
                      <w:b/>
                    </w:rPr>
                  </w:pPr>
                  <w:r>
                    <w:rPr>
                      <w:rFonts w:cs="Times New Roman"/>
                      <w:b/>
                    </w:rPr>
                    <w:t>测点与设备距离（m）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tcBorders>
                    <w:tl2br w:val="nil"/>
                    <w:tr2bl w:val="nil"/>
                  </w:tcBorders>
                  <w:vAlign w:val="center"/>
                </w:tcPr>
                <w:p>
                  <w:pPr>
                    <w:pStyle w:val="35"/>
                    <w:jc w:val="center"/>
                    <w:rPr>
                      <w:rFonts w:cs="Times New Roman"/>
                    </w:rPr>
                  </w:pPr>
                  <w:r>
                    <w:rPr>
                      <w:rFonts w:cs="Times New Roman"/>
                    </w:rPr>
                    <w:t>1</w:t>
                  </w:r>
                </w:p>
              </w:tc>
              <w:tc>
                <w:tcPr>
                  <w:tcW w:w="1421" w:type="dxa"/>
                  <w:tcBorders>
                    <w:tl2br w:val="nil"/>
                    <w:tr2bl w:val="nil"/>
                  </w:tcBorders>
                  <w:vAlign w:val="center"/>
                </w:tcPr>
                <w:p>
                  <w:pPr>
                    <w:pStyle w:val="35"/>
                    <w:jc w:val="center"/>
                    <w:rPr>
                      <w:rFonts w:cs="Times New Roman"/>
                    </w:rPr>
                  </w:pPr>
                  <w:r>
                    <w:rPr>
                      <w:rFonts w:cs="Times New Roman"/>
                    </w:rPr>
                    <w:t>颚式破碎机</w:t>
                  </w:r>
                </w:p>
              </w:tc>
              <w:tc>
                <w:tcPr>
                  <w:tcW w:w="1981" w:type="dxa"/>
                  <w:tcBorders>
                    <w:tl2br w:val="nil"/>
                    <w:tr2bl w:val="nil"/>
                  </w:tcBorders>
                  <w:vAlign w:val="center"/>
                </w:tcPr>
                <w:p>
                  <w:pPr>
                    <w:pStyle w:val="35"/>
                    <w:jc w:val="center"/>
                    <w:rPr>
                      <w:rFonts w:cs="Times New Roman"/>
                    </w:rPr>
                  </w:pPr>
                  <w:r>
                    <w:rPr>
                      <w:rFonts w:cs="Times New Roman"/>
                    </w:rPr>
                    <w:t>PE-750×1060</w:t>
                  </w:r>
                </w:p>
              </w:tc>
              <w:tc>
                <w:tcPr>
                  <w:tcW w:w="993" w:type="dxa"/>
                  <w:tcBorders>
                    <w:tl2br w:val="nil"/>
                    <w:tr2bl w:val="nil"/>
                  </w:tcBorders>
                  <w:vAlign w:val="center"/>
                </w:tcPr>
                <w:p>
                  <w:pPr>
                    <w:pStyle w:val="35"/>
                    <w:jc w:val="center"/>
                    <w:rPr>
                      <w:rFonts w:cs="Times New Roman"/>
                    </w:rPr>
                  </w:pPr>
                  <w:r>
                    <w:rPr>
                      <w:rFonts w:cs="Times New Roman"/>
                    </w:rPr>
                    <w:t>1台</w:t>
                  </w:r>
                </w:p>
              </w:tc>
              <w:tc>
                <w:tcPr>
                  <w:tcW w:w="1134" w:type="dxa"/>
                  <w:tcBorders>
                    <w:tl2br w:val="nil"/>
                    <w:tr2bl w:val="nil"/>
                  </w:tcBorders>
                  <w:vAlign w:val="center"/>
                </w:tcPr>
                <w:p>
                  <w:pPr>
                    <w:pStyle w:val="35"/>
                    <w:jc w:val="center"/>
                    <w:rPr>
                      <w:rFonts w:cs="Times New Roman"/>
                    </w:rPr>
                  </w:pPr>
                  <w:r>
                    <w:rPr>
                      <w:rFonts w:cs="Times New Roman"/>
                    </w:rPr>
                    <w:t>90</w:t>
                  </w:r>
                </w:p>
              </w:tc>
              <w:tc>
                <w:tcPr>
                  <w:tcW w:w="1479" w:type="dxa"/>
                  <w:tcBorders>
                    <w:tl2br w:val="nil"/>
                    <w:tr2bl w:val="nil"/>
                  </w:tcBorders>
                </w:tcPr>
                <w:p>
                  <w:pPr>
                    <w:pStyle w:val="35"/>
                    <w:jc w:val="center"/>
                    <w:rPr>
                      <w:rFonts w:cs="Times New Roman"/>
                    </w:rPr>
                  </w:pPr>
                  <w:r>
                    <w:rPr>
                      <w:rFonts w:cs="Times New Roman"/>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4" w:type="dxa"/>
                  <w:tcBorders>
                    <w:tl2br w:val="nil"/>
                    <w:tr2bl w:val="nil"/>
                  </w:tcBorders>
                  <w:vAlign w:val="center"/>
                </w:tcPr>
                <w:p>
                  <w:pPr>
                    <w:pStyle w:val="35"/>
                    <w:jc w:val="center"/>
                    <w:rPr>
                      <w:rFonts w:cs="Times New Roman"/>
                    </w:rPr>
                  </w:pPr>
                  <w:r>
                    <w:rPr>
                      <w:rFonts w:cs="Times New Roman"/>
                    </w:rPr>
                    <w:t>2</w:t>
                  </w:r>
                </w:p>
              </w:tc>
              <w:tc>
                <w:tcPr>
                  <w:tcW w:w="1421" w:type="dxa"/>
                  <w:tcBorders>
                    <w:tl2br w:val="nil"/>
                    <w:tr2bl w:val="nil"/>
                  </w:tcBorders>
                  <w:vAlign w:val="center"/>
                </w:tcPr>
                <w:p>
                  <w:pPr>
                    <w:pStyle w:val="35"/>
                    <w:jc w:val="center"/>
                    <w:rPr>
                      <w:rFonts w:cs="Times New Roman"/>
                    </w:rPr>
                  </w:pPr>
                  <w:r>
                    <w:rPr>
                      <w:rFonts w:cs="Times New Roman"/>
                    </w:rPr>
                    <w:t>颚式破碎机</w:t>
                  </w:r>
                </w:p>
              </w:tc>
              <w:tc>
                <w:tcPr>
                  <w:tcW w:w="1981" w:type="dxa"/>
                  <w:tcBorders>
                    <w:tl2br w:val="nil"/>
                    <w:tr2bl w:val="nil"/>
                  </w:tcBorders>
                  <w:vAlign w:val="center"/>
                </w:tcPr>
                <w:p>
                  <w:pPr>
                    <w:pStyle w:val="35"/>
                    <w:jc w:val="center"/>
                    <w:rPr>
                      <w:rFonts w:cs="Times New Roman"/>
                    </w:rPr>
                  </w:pPr>
                  <w:r>
                    <w:rPr>
                      <w:rFonts w:cs="Times New Roman"/>
                    </w:rPr>
                    <w:t>PEX-300×1300</w:t>
                  </w:r>
                </w:p>
              </w:tc>
              <w:tc>
                <w:tcPr>
                  <w:tcW w:w="993" w:type="dxa"/>
                  <w:tcBorders>
                    <w:tl2br w:val="nil"/>
                    <w:tr2bl w:val="nil"/>
                  </w:tcBorders>
                  <w:vAlign w:val="center"/>
                </w:tcPr>
                <w:p>
                  <w:pPr>
                    <w:pStyle w:val="35"/>
                    <w:jc w:val="center"/>
                    <w:rPr>
                      <w:rFonts w:cs="Times New Roman"/>
                    </w:rPr>
                  </w:pPr>
                  <w:r>
                    <w:rPr>
                      <w:rFonts w:cs="Times New Roman"/>
                    </w:rPr>
                    <w:t>2台</w:t>
                  </w:r>
                </w:p>
              </w:tc>
              <w:tc>
                <w:tcPr>
                  <w:tcW w:w="1134" w:type="dxa"/>
                  <w:tcBorders>
                    <w:tl2br w:val="nil"/>
                    <w:tr2bl w:val="nil"/>
                  </w:tcBorders>
                  <w:vAlign w:val="center"/>
                </w:tcPr>
                <w:p>
                  <w:pPr>
                    <w:pStyle w:val="35"/>
                    <w:jc w:val="center"/>
                    <w:rPr>
                      <w:rFonts w:cs="Times New Roman"/>
                    </w:rPr>
                  </w:pPr>
                  <w:r>
                    <w:rPr>
                      <w:rFonts w:cs="Times New Roman"/>
                    </w:rPr>
                    <w:t>90</w:t>
                  </w:r>
                </w:p>
              </w:tc>
              <w:tc>
                <w:tcPr>
                  <w:tcW w:w="1479" w:type="dxa"/>
                  <w:tcBorders>
                    <w:tl2br w:val="nil"/>
                    <w:tr2bl w:val="nil"/>
                  </w:tcBorders>
                </w:tcPr>
                <w:p>
                  <w:pPr>
                    <w:pStyle w:val="35"/>
                    <w:jc w:val="center"/>
                    <w:rPr>
                      <w:rFonts w:cs="Times New Roman"/>
                    </w:rPr>
                  </w:pPr>
                  <w:r>
                    <w:rPr>
                      <w:rFonts w:cs="Times New Roman"/>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4" w:type="dxa"/>
                  <w:tcBorders>
                    <w:tl2br w:val="nil"/>
                    <w:tr2bl w:val="nil"/>
                  </w:tcBorders>
                  <w:vAlign w:val="center"/>
                </w:tcPr>
                <w:p>
                  <w:pPr>
                    <w:pStyle w:val="35"/>
                    <w:jc w:val="center"/>
                    <w:rPr>
                      <w:rFonts w:cs="Times New Roman"/>
                    </w:rPr>
                  </w:pPr>
                  <w:r>
                    <w:rPr>
                      <w:rFonts w:cs="Times New Roman"/>
                    </w:rPr>
                    <w:t>3</w:t>
                  </w:r>
                </w:p>
              </w:tc>
              <w:tc>
                <w:tcPr>
                  <w:tcW w:w="1421" w:type="dxa"/>
                  <w:tcBorders>
                    <w:tl2br w:val="nil"/>
                    <w:tr2bl w:val="nil"/>
                  </w:tcBorders>
                  <w:vAlign w:val="center"/>
                </w:tcPr>
                <w:p>
                  <w:pPr>
                    <w:pStyle w:val="35"/>
                    <w:jc w:val="center"/>
                    <w:rPr>
                      <w:rFonts w:cs="Times New Roman"/>
                    </w:rPr>
                  </w:pPr>
                  <w:r>
                    <w:rPr>
                      <w:rFonts w:cs="Times New Roman"/>
                    </w:rPr>
                    <w:t>圆滚筛</w:t>
                  </w:r>
                </w:p>
              </w:tc>
              <w:tc>
                <w:tcPr>
                  <w:tcW w:w="1981" w:type="dxa"/>
                  <w:tcBorders>
                    <w:tl2br w:val="nil"/>
                    <w:tr2bl w:val="nil"/>
                  </w:tcBorders>
                  <w:vAlign w:val="center"/>
                </w:tcPr>
                <w:p>
                  <w:pPr>
                    <w:pStyle w:val="35"/>
                    <w:jc w:val="center"/>
                    <w:rPr>
                      <w:rFonts w:cs="Times New Roman"/>
                    </w:rPr>
                  </w:pPr>
                  <w:r>
                    <w:rPr>
                      <w:rFonts w:cs="Times New Roman"/>
                    </w:rPr>
                    <w:t>2m×7m</w:t>
                  </w:r>
                </w:p>
              </w:tc>
              <w:tc>
                <w:tcPr>
                  <w:tcW w:w="993" w:type="dxa"/>
                  <w:tcBorders>
                    <w:tl2br w:val="nil"/>
                    <w:tr2bl w:val="nil"/>
                  </w:tcBorders>
                  <w:vAlign w:val="center"/>
                </w:tcPr>
                <w:p>
                  <w:pPr>
                    <w:pStyle w:val="35"/>
                    <w:jc w:val="center"/>
                    <w:rPr>
                      <w:rFonts w:cs="Times New Roman"/>
                    </w:rPr>
                  </w:pPr>
                  <w:r>
                    <w:rPr>
                      <w:rFonts w:cs="Times New Roman"/>
                    </w:rPr>
                    <w:t>1台</w:t>
                  </w:r>
                </w:p>
              </w:tc>
              <w:tc>
                <w:tcPr>
                  <w:tcW w:w="1134" w:type="dxa"/>
                  <w:tcBorders>
                    <w:tl2br w:val="nil"/>
                    <w:tr2bl w:val="nil"/>
                  </w:tcBorders>
                  <w:vAlign w:val="center"/>
                </w:tcPr>
                <w:p>
                  <w:pPr>
                    <w:pStyle w:val="35"/>
                    <w:jc w:val="center"/>
                    <w:rPr>
                      <w:rFonts w:cs="Times New Roman"/>
                    </w:rPr>
                  </w:pPr>
                  <w:r>
                    <w:rPr>
                      <w:rFonts w:cs="Times New Roman"/>
                    </w:rPr>
                    <w:t>75</w:t>
                  </w:r>
                </w:p>
              </w:tc>
              <w:tc>
                <w:tcPr>
                  <w:tcW w:w="1479" w:type="dxa"/>
                  <w:tcBorders>
                    <w:tl2br w:val="nil"/>
                    <w:tr2bl w:val="nil"/>
                  </w:tcBorders>
                </w:tcPr>
                <w:p>
                  <w:pPr>
                    <w:pStyle w:val="35"/>
                    <w:jc w:val="center"/>
                    <w:rPr>
                      <w:rFonts w:cs="Times New Roman"/>
                    </w:rPr>
                  </w:pPr>
                  <w:r>
                    <w:rPr>
                      <w:rFonts w:cs="Times New Roman"/>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tcBorders>
                    <w:tl2br w:val="nil"/>
                    <w:tr2bl w:val="nil"/>
                  </w:tcBorders>
                  <w:vAlign w:val="center"/>
                </w:tcPr>
                <w:p>
                  <w:pPr>
                    <w:pStyle w:val="35"/>
                    <w:jc w:val="center"/>
                    <w:rPr>
                      <w:rFonts w:cs="Times New Roman"/>
                    </w:rPr>
                  </w:pPr>
                  <w:r>
                    <w:rPr>
                      <w:rFonts w:cs="Times New Roman"/>
                    </w:rPr>
                    <w:t>4</w:t>
                  </w:r>
                </w:p>
              </w:tc>
              <w:tc>
                <w:tcPr>
                  <w:tcW w:w="1421" w:type="dxa"/>
                  <w:tcBorders>
                    <w:tl2br w:val="nil"/>
                    <w:tr2bl w:val="nil"/>
                  </w:tcBorders>
                  <w:vAlign w:val="center"/>
                </w:tcPr>
                <w:p>
                  <w:pPr>
                    <w:pStyle w:val="35"/>
                    <w:jc w:val="center"/>
                    <w:rPr>
                      <w:rFonts w:cs="Times New Roman"/>
                    </w:rPr>
                  </w:pPr>
                  <w:r>
                    <w:rPr>
                      <w:rFonts w:cs="Times New Roman"/>
                    </w:rPr>
                    <w:t>圆滚筛</w:t>
                  </w:r>
                </w:p>
              </w:tc>
              <w:tc>
                <w:tcPr>
                  <w:tcW w:w="1981" w:type="dxa"/>
                  <w:tcBorders>
                    <w:tl2br w:val="nil"/>
                    <w:tr2bl w:val="nil"/>
                  </w:tcBorders>
                  <w:vAlign w:val="center"/>
                </w:tcPr>
                <w:p>
                  <w:pPr>
                    <w:pStyle w:val="35"/>
                    <w:jc w:val="center"/>
                    <w:rPr>
                      <w:rFonts w:cs="Times New Roman"/>
                    </w:rPr>
                  </w:pPr>
                  <w:r>
                    <w:rPr>
                      <w:rFonts w:cs="Times New Roman"/>
                    </w:rPr>
                    <w:t>1.5m×4m</w:t>
                  </w:r>
                </w:p>
              </w:tc>
              <w:tc>
                <w:tcPr>
                  <w:tcW w:w="993" w:type="dxa"/>
                  <w:tcBorders>
                    <w:tl2br w:val="nil"/>
                    <w:tr2bl w:val="nil"/>
                  </w:tcBorders>
                  <w:vAlign w:val="center"/>
                </w:tcPr>
                <w:p>
                  <w:pPr>
                    <w:pStyle w:val="35"/>
                    <w:jc w:val="center"/>
                    <w:rPr>
                      <w:rFonts w:cs="Times New Roman"/>
                    </w:rPr>
                  </w:pPr>
                  <w:r>
                    <w:rPr>
                      <w:rFonts w:cs="Times New Roman"/>
                    </w:rPr>
                    <w:t>1台</w:t>
                  </w:r>
                </w:p>
              </w:tc>
              <w:tc>
                <w:tcPr>
                  <w:tcW w:w="1134" w:type="dxa"/>
                  <w:tcBorders>
                    <w:tl2br w:val="nil"/>
                    <w:tr2bl w:val="nil"/>
                  </w:tcBorders>
                  <w:vAlign w:val="center"/>
                </w:tcPr>
                <w:p>
                  <w:pPr>
                    <w:pStyle w:val="35"/>
                    <w:jc w:val="center"/>
                    <w:rPr>
                      <w:rFonts w:cs="Times New Roman"/>
                    </w:rPr>
                  </w:pPr>
                  <w:r>
                    <w:rPr>
                      <w:rFonts w:cs="Times New Roman"/>
                    </w:rPr>
                    <w:t>75</w:t>
                  </w:r>
                </w:p>
              </w:tc>
              <w:tc>
                <w:tcPr>
                  <w:tcW w:w="1479" w:type="dxa"/>
                  <w:tcBorders>
                    <w:tl2br w:val="nil"/>
                    <w:tr2bl w:val="nil"/>
                  </w:tcBorders>
                </w:tcPr>
                <w:p>
                  <w:pPr>
                    <w:pStyle w:val="35"/>
                    <w:jc w:val="center"/>
                    <w:rPr>
                      <w:rFonts w:cs="Times New Roman"/>
                    </w:rPr>
                  </w:pPr>
                  <w:r>
                    <w:rPr>
                      <w:rFonts w:cs="Times New Roman"/>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tcBorders>
                    <w:tl2br w:val="nil"/>
                    <w:tr2bl w:val="nil"/>
                  </w:tcBorders>
                  <w:vAlign w:val="center"/>
                </w:tcPr>
                <w:p>
                  <w:pPr>
                    <w:pStyle w:val="35"/>
                    <w:jc w:val="center"/>
                    <w:rPr>
                      <w:rFonts w:cs="Times New Roman"/>
                    </w:rPr>
                  </w:pPr>
                  <w:r>
                    <w:rPr>
                      <w:rFonts w:cs="Times New Roman"/>
                    </w:rPr>
                    <w:t>5</w:t>
                  </w:r>
                </w:p>
              </w:tc>
              <w:tc>
                <w:tcPr>
                  <w:tcW w:w="1421" w:type="dxa"/>
                  <w:tcBorders>
                    <w:tl2br w:val="nil"/>
                    <w:tr2bl w:val="nil"/>
                  </w:tcBorders>
                  <w:vAlign w:val="center"/>
                </w:tcPr>
                <w:p>
                  <w:pPr>
                    <w:pStyle w:val="35"/>
                    <w:jc w:val="center"/>
                    <w:rPr>
                      <w:rFonts w:cs="Times New Roman"/>
                    </w:rPr>
                  </w:pPr>
                  <w:r>
                    <w:rPr>
                      <w:rFonts w:cs="Times New Roman"/>
                    </w:rPr>
                    <w:t>振动给料机</w:t>
                  </w:r>
                </w:p>
              </w:tc>
              <w:tc>
                <w:tcPr>
                  <w:tcW w:w="1981" w:type="dxa"/>
                  <w:tcBorders>
                    <w:tl2br w:val="nil"/>
                    <w:tr2bl w:val="nil"/>
                  </w:tcBorders>
                  <w:vAlign w:val="center"/>
                </w:tcPr>
                <w:p>
                  <w:pPr>
                    <w:pStyle w:val="35"/>
                    <w:jc w:val="center"/>
                    <w:rPr>
                      <w:rFonts w:cs="Times New Roman"/>
                    </w:rPr>
                  </w:pPr>
                  <w:r>
                    <w:rPr>
                      <w:rFonts w:cs="Times New Roman"/>
                    </w:rPr>
                    <w:t>ZSW-490×110</w:t>
                  </w:r>
                </w:p>
              </w:tc>
              <w:tc>
                <w:tcPr>
                  <w:tcW w:w="993" w:type="dxa"/>
                  <w:tcBorders>
                    <w:tl2br w:val="nil"/>
                    <w:tr2bl w:val="nil"/>
                  </w:tcBorders>
                  <w:vAlign w:val="center"/>
                </w:tcPr>
                <w:p>
                  <w:pPr>
                    <w:pStyle w:val="35"/>
                    <w:jc w:val="center"/>
                    <w:rPr>
                      <w:rFonts w:cs="Times New Roman"/>
                    </w:rPr>
                  </w:pPr>
                  <w:r>
                    <w:rPr>
                      <w:rFonts w:cs="Times New Roman"/>
                    </w:rPr>
                    <w:t>1台</w:t>
                  </w:r>
                </w:p>
              </w:tc>
              <w:tc>
                <w:tcPr>
                  <w:tcW w:w="1134" w:type="dxa"/>
                  <w:tcBorders>
                    <w:tl2br w:val="nil"/>
                    <w:tr2bl w:val="nil"/>
                  </w:tcBorders>
                  <w:vAlign w:val="center"/>
                </w:tcPr>
                <w:p>
                  <w:pPr>
                    <w:pStyle w:val="35"/>
                    <w:jc w:val="center"/>
                    <w:rPr>
                      <w:rFonts w:cs="Times New Roman"/>
                    </w:rPr>
                  </w:pPr>
                  <w:r>
                    <w:rPr>
                      <w:rFonts w:cs="Times New Roman"/>
                    </w:rPr>
                    <w:t>85</w:t>
                  </w:r>
                </w:p>
              </w:tc>
              <w:tc>
                <w:tcPr>
                  <w:tcW w:w="1479" w:type="dxa"/>
                  <w:tcBorders>
                    <w:tl2br w:val="nil"/>
                    <w:tr2bl w:val="nil"/>
                  </w:tcBorders>
                </w:tcPr>
                <w:p>
                  <w:pPr>
                    <w:pStyle w:val="35"/>
                    <w:jc w:val="center"/>
                    <w:rPr>
                      <w:rFonts w:cs="Times New Roman"/>
                    </w:rPr>
                  </w:pPr>
                  <w:r>
                    <w:rPr>
                      <w:rFonts w:cs="Times New Roman"/>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tcBorders>
                    <w:tl2br w:val="nil"/>
                    <w:tr2bl w:val="nil"/>
                  </w:tcBorders>
                  <w:vAlign w:val="center"/>
                </w:tcPr>
                <w:p>
                  <w:pPr>
                    <w:pStyle w:val="35"/>
                    <w:jc w:val="center"/>
                    <w:rPr>
                      <w:rFonts w:cs="Times New Roman"/>
                    </w:rPr>
                  </w:pPr>
                  <w:r>
                    <w:rPr>
                      <w:rFonts w:cs="Times New Roman"/>
                    </w:rPr>
                    <w:t>6</w:t>
                  </w:r>
                </w:p>
              </w:tc>
              <w:tc>
                <w:tcPr>
                  <w:tcW w:w="1421" w:type="dxa"/>
                  <w:tcBorders>
                    <w:tl2br w:val="nil"/>
                    <w:tr2bl w:val="nil"/>
                  </w:tcBorders>
                  <w:vAlign w:val="center"/>
                </w:tcPr>
                <w:p>
                  <w:pPr>
                    <w:pStyle w:val="35"/>
                    <w:jc w:val="center"/>
                    <w:rPr>
                      <w:rFonts w:cs="Times New Roman"/>
                    </w:rPr>
                  </w:pPr>
                  <w:r>
                    <w:rPr>
                      <w:rFonts w:cs="Times New Roman"/>
                    </w:rPr>
                    <w:t>输送皮带</w:t>
                  </w:r>
                </w:p>
              </w:tc>
              <w:tc>
                <w:tcPr>
                  <w:tcW w:w="1981" w:type="dxa"/>
                  <w:tcBorders>
                    <w:tl2br w:val="nil"/>
                    <w:tr2bl w:val="nil"/>
                  </w:tcBorders>
                  <w:vAlign w:val="center"/>
                </w:tcPr>
                <w:p>
                  <w:pPr>
                    <w:pStyle w:val="35"/>
                    <w:jc w:val="center"/>
                    <w:rPr>
                      <w:rFonts w:cs="Times New Roman"/>
                    </w:rPr>
                  </w:pPr>
                </w:p>
              </w:tc>
              <w:tc>
                <w:tcPr>
                  <w:tcW w:w="993" w:type="dxa"/>
                  <w:tcBorders>
                    <w:tl2br w:val="nil"/>
                    <w:tr2bl w:val="nil"/>
                  </w:tcBorders>
                  <w:vAlign w:val="center"/>
                </w:tcPr>
                <w:p>
                  <w:pPr>
                    <w:pStyle w:val="35"/>
                    <w:jc w:val="center"/>
                    <w:rPr>
                      <w:rFonts w:cs="Times New Roman"/>
                    </w:rPr>
                  </w:pPr>
                  <w:r>
                    <w:rPr>
                      <w:rFonts w:cs="Times New Roman"/>
                    </w:rPr>
                    <w:t>9条</w:t>
                  </w:r>
                </w:p>
              </w:tc>
              <w:tc>
                <w:tcPr>
                  <w:tcW w:w="1134" w:type="dxa"/>
                  <w:tcBorders>
                    <w:tl2br w:val="nil"/>
                    <w:tr2bl w:val="nil"/>
                  </w:tcBorders>
                  <w:vAlign w:val="center"/>
                </w:tcPr>
                <w:p>
                  <w:pPr>
                    <w:pStyle w:val="35"/>
                    <w:jc w:val="center"/>
                    <w:rPr>
                      <w:rFonts w:cs="Times New Roman"/>
                    </w:rPr>
                  </w:pPr>
                  <w:r>
                    <w:rPr>
                      <w:rFonts w:cs="Times New Roman"/>
                    </w:rPr>
                    <w:t>/</w:t>
                  </w:r>
                </w:p>
              </w:tc>
              <w:tc>
                <w:tcPr>
                  <w:tcW w:w="1479" w:type="dxa"/>
                  <w:tcBorders>
                    <w:tl2br w:val="nil"/>
                    <w:tr2bl w:val="nil"/>
                  </w:tcBorders>
                  <w:vAlign w:val="center"/>
                </w:tcPr>
                <w:p>
                  <w:pPr>
                    <w:pStyle w:val="35"/>
                    <w:jc w:val="center"/>
                    <w:rPr>
                      <w:rFonts w:cs="Times New Roman"/>
                    </w:rPr>
                  </w:pPr>
                  <w:r>
                    <w:rPr>
                      <w:rFonts w:cs="Times New Roma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tcBorders>
                    <w:tl2br w:val="nil"/>
                    <w:tr2bl w:val="nil"/>
                  </w:tcBorders>
                  <w:vAlign w:val="center"/>
                </w:tcPr>
                <w:p>
                  <w:pPr>
                    <w:pStyle w:val="35"/>
                    <w:jc w:val="center"/>
                    <w:rPr>
                      <w:rFonts w:cs="Times New Roman"/>
                    </w:rPr>
                  </w:pPr>
                  <w:r>
                    <w:rPr>
                      <w:rFonts w:cs="Times New Roman"/>
                    </w:rPr>
                    <w:t>7</w:t>
                  </w:r>
                </w:p>
              </w:tc>
              <w:tc>
                <w:tcPr>
                  <w:tcW w:w="1421" w:type="dxa"/>
                  <w:tcBorders>
                    <w:tl2br w:val="nil"/>
                    <w:tr2bl w:val="nil"/>
                  </w:tcBorders>
                  <w:vAlign w:val="center"/>
                </w:tcPr>
                <w:p>
                  <w:pPr>
                    <w:pStyle w:val="35"/>
                    <w:jc w:val="center"/>
                    <w:rPr>
                      <w:rFonts w:cs="Times New Roman"/>
                    </w:rPr>
                  </w:pPr>
                  <w:r>
                    <w:rPr>
                      <w:rFonts w:cs="Times New Roman"/>
                    </w:rPr>
                    <w:t>合格料料仓</w:t>
                  </w:r>
                </w:p>
              </w:tc>
              <w:tc>
                <w:tcPr>
                  <w:tcW w:w="1981" w:type="dxa"/>
                  <w:tcBorders>
                    <w:tl2br w:val="nil"/>
                    <w:tr2bl w:val="nil"/>
                  </w:tcBorders>
                  <w:vAlign w:val="center"/>
                </w:tcPr>
                <w:p>
                  <w:pPr>
                    <w:pStyle w:val="35"/>
                    <w:jc w:val="center"/>
                    <w:rPr>
                      <w:rFonts w:cs="Times New Roman"/>
                    </w:rPr>
                  </w:pPr>
                </w:p>
              </w:tc>
              <w:tc>
                <w:tcPr>
                  <w:tcW w:w="993" w:type="dxa"/>
                  <w:tcBorders>
                    <w:tl2br w:val="nil"/>
                    <w:tr2bl w:val="nil"/>
                  </w:tcBorders>
                  <w:vAlign w:val="center"/>
                </w:tcPr>
                <w:p>
                  <w:pPr>
                    <w:pStyle w:val="35"/>
                    <w:jc w:val="center"/>
                    <w:rPr>
                      <w:rFonts w:cs="Times New Roman"/>
                    </w:rPr>
                  </w:pPr>
                  <w:r>
                    <w:rPr>
                      <w:rFonts w:cs="Times New Roman"/>
                    </w:rPr>
                    <w:t>6个</w:t>
                  </w:r>
                </w:p>
              </w:tc>
              <w:tc>
                <w:tcPr>
                  <w:tcW w:w="1134" w:type="dxa"/>
                  <w:tcBorders>
                    <w:tl2br w:val="nil"/>
                    <w:tr2bl w:val="nil"/>
                  </w:tcBorders>
                  <w:vAlign w:val="center"/>
                </w:tcPr>
                <w:p>
                  <w:pPr>
                    <w:pStyle w:val="35"/>
                    <w:jc w:val="center"/>
                    <w:rPr>
                      <w:rFonts w:cs="Times New Roman"/>
                    </w:rPr>
                  </w:pPr>
                  <w:r>
                    <w:rPr>
                      <w:rFonts w:cs="Times New Roman"/>
                    </w:rPr>
                    <w:t>/</w:t>
                  </w:r>
                </w:p>
              </w:tc>
              <w:tc>
                <w:tcPr>
                  <w:tcW w:w="1479" w:type="dxa"/>
                  <w:tcBorders>
                    <w:tl2br w:val="nil"/>
                    <w:tr2bl w:val="nil"/>
                  </w:tcBorders>
                  <w:vAlign w:val="center"/>
                </w:tcPr>
                <w:p>
                  <w:pPr>
                    <w:pStyle w:val="35"/>
                    <w:jc w:val="center"/>
                    <w:rPr>
                      <w:rFonts w:cs="Times New Roman"/>
                    </w:rPr>
                  </w:pPr>
                  <w:r>
                    <w:rPr>
                      <w:rFonts w:cs="Times New Roman"/>
                    </w:rPr>
                    <w:t>/</w:t>
                  </w:r>
                </w:p>
              </w:tc>
            </w:tr>
          </w:tbl>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2.6平面布置</w:t>
            </w:r>
          </w:p>
          <w:p>
            <w:pPr>
              <w:ind w:firstLine="480"/>
              <w:jc w:val="both"/>
              <w:rPr>
                <w:rFonts w:cs="Times New Roman"/>
              </w:rPr>
            </w:pPr>
            <w:r>
              <w:rPr>
                <w:rFonts w:cs="Times New Roman"/>
              </w:rPr>
              <w:t>厂区大门位于项目</w:t>
            </w:r>
            <w:r>
              <w:rPr>
                <w:rFonts w:hint="eastAsia" w:cs="Times New Roman"/>
              </w:rPr>
              <w:t>南侧</w:t>
            </w:r>
            <w:r>
              <w:rPr>
                <w:rFonts w:cs="Times New Roman"/>
              </w:rPr>
              <w:t>，交通便利方便进出。</w:t>
            </w:r>
            <w:r>
              <w:rPr>
                <w:rFonts w:hint="eastAsia" w:cs="Times New Roman"/>
              </w:rPr>
              <w:t>入口</w:t>
            </w:r>
            <w:r>
              <w:rPr>
                <w:rFonts w:cs="Times New Roman"/>
              </w:rPr>
              <w:t>进入后东侧为临时存放区以及进料口道路，西侧为主要生产区，厂区南侧设有沉淀池等污水处理设施，办公楼位于厂区</w:t>
            </w:r>
            <w:r>
              <w:rPr>
                <w:rFonts w:hint="eastAsia" w:cs="Times New Roman"/>
              </w:rPr>
              <w:t>西</w:t>
            </w:r>
            <w:r>
              <w:rPr>
                <w:rFonts w:cs="Times New Roman"/>
              </w:rPr>
              <w:t>侧</w:t>
            </w:r>
            <w:r>
              <w:rPr>
                <w:rFonts w:hint="eastAsia" w:cs="Times New Roman"/>
              </w:rPr>
              <w:t>（与矿山共用）</w:t>
            </w:r>
            <w:r>
              <w:rPr>
                <w:rFonts w:cs="Times New Roman"/>
              </w:rPr>
              <w:t>。项目各个工段功能明确，相互衔接，便于生产运行</w:t>
            </w:r>
            <w:r>
              <w:rPr>
                <w:rFonts w:hint="eastAsia" w:cs="Times New Roman"/>
              </w:rPr>
              <w:t>，</w:t>
            </w:r>
            <w:r>
              <w:rPr>
                <w:rFonts w:cs="Times New Roman"/>
              </w:rPr>
              <w:t>因此布局合理，详见附图</w:t>
            </w:r>
            <w:r>
              <w:rPr>
                <w:rFonts w:hint="eastAsia" w:cs="Times New Roman"/>
              </w:rPr>
              <w:t>4</w:t>
            </w:r>
            <w:r>
              <w:rPr>
                <w:rFonts w:cs="Times New Roman"/>
              </w:rPr>
              <w:t>。</w:t>
            </w:r>
          </w:p>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2.7物料平衡</w:t>
            </w:r>
          </w:p>
          <w:p>
            <w:pPr>
              <w:pStyle w:val="47"/>
              <w:ind w:firstLine="480"/>
            </w:pPr>
            <w:r>
              <w:t>根据企业建设情况，本项目年产50万</w:t>
            </w:r>
            <w:r>
              <w:rPr>
                <w:rFonts w:hint="eastAsia"/>
              </w:rPr>
              <w:t>吨</w:t>
            </w:r>
            <w:r>
              <w:t>破碎石，物料平衡见下表2-5。</w:t>
            </w:r>
          </w:p>
          <w:p>
            <w:pPr>
              <w:ind w:firstLine="0" w:firstLineChars="0"/>
              <w:jc w:val="center"/>
              <w:rPr>
                <w:rFonts w:cs="Times New Roman"/>
                <w:b/>
                <w:bCs/>
              </w:rPr>
            </w:pPr>
            <w:r>
              <w:rPr>
                <w:rFonts w:cs="Times New Roman"/>
                <w:b/>
                <w:bCs/>
              </w:rPr>
              <w:t>表2-5</w:t>
            </w:r>
            <w:r>
              <w:rPr>
                <w:rFonts w:hint="eastAsia" w:cs="Times New Roman"/>
                <w:b/>
                <w:bCs/>
              </w:rPr>
              <w:t xml:space="preserve"> </w:t>
            </w:r>
            <w:r>
              <w:rPr>
                <w:rFonts w:cs="Times New Roman"/>
                <w:b/>
                <w:bCs/>
              </w:rPr>
              <w:t>物料平衡表</w:t>
            </w:r>
          </w:p>
          <w:tbl>
            <w:tblPr>
              <w:tblStyle w:val="24"/>
              <w:tblW w:w="76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89"/>
              <w:gridCol w:w="2555"/>
              <w:gridCol w:w="23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710" w:type="dxa"/>
                  <w:gridSpan w:val="2"/>
                  <w:tcBorders>
                    <w:tl2br w:val="nil"/>
                    <w:tr2bl w:val="nil"/>
                  </w:tcBorders>
                  <w:vAlign w:val="center"/>
                </w:tcPr>
                <w:p>
                  <w:pPr>
                    <w:pStyle w:val="35"/>
                    <w:jc w:val="center"/>
                    <w:rPr>
                      <w:rFonts w:cs="Times New Roman"/>
                      <w:b/>
                    </w:rPr>
                  </w:pPr>
                  <w:r>
                    <w:rPr>
                      <w:rFonts w:cs="Times New Roman"/>
                      <w:b/>
                    </w:rPr>
                    <w:t>输入（t/a）</w:t>
                  </w:r>
                </w:p>
              </w:tc>
              <w:tc>
                <w:tcPr>
                  <w:tcW w:w="4904" w:type="dxa"/>
                  <w:gridSpan w:val="2"/>
                  <w:tcBorders>
                    <w:tl2br w:val="nil"/>
                    <w:tr2bl w:val="nil"/>
                  </w:tcBorders>
                  <w:vAlign w:val="center"/>
                </w:tcPr>
                <w:p>
                  <w:pPr>
                    <w:pStyle w:val="35"/>
                    <w:jc w:val="center"/>
                    <w:rPr>
                      <w:rFonts w:cs="Times New Roman"/>
                      <w:b/>
                    </w:rPr>
                  </w:pPr>
                  <w:r>
                    <w:rPr>
                      <w:rFonts w:cs="Times New Roman"/>
                      <w:b/>
                    </w:rPr>
                    <w:t>输出（t/a）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321" w:type="dxa"/>
                  <w:vMerge w:val="restart"/>
                  <w:tcBorders>
                    <w:tl2br w:val="nil"/>
                    <w:tr2bl w:val="nil"/>
                  </w:tcBorders>
                  <w:vAlign w:val="center"/>
                </w:tcPr>
                <w:p>
                  <w:pPr>
                    <w:pStyle w:val="35"/>
                    <w:jc w:val="center"/>
                    <w:rPr>
                      <w:rFonts w:cs="Times New Roman"/>
                    </w:rPr>
                  </w:pPr>
                  <w:r>
                    <w:rPr>
                      <w:rFonts w:cs="Times New Roman"/>
                      <w:kern w:val="0"/>
                      <w:szCs w:val="21"/>
                    </w:rPr>
                    <w:t>石灰石废石及低品位石灰石</w:t>
                  </w:r>
                </w:p>
              </w:tc>
              <w:tc>
                <w:tcPr>
                  <w:tcW w:w="1389" w:type="dxa"/>
                  <w:vMerge w:val="restart"/>
                  <w:tcBorders>
                    <w:tl2br w:val="nil"/>
                    <w:tr2bl w:val="nil"/>
                  </w:tcBorders>
                  <w:vAlign w:val="center"/>
                </w:tcPr>
                <w:p>
                  <w:pPr>
                    <w:pStyle w:val="35"/>
                    <w:jc w:val="center"/>
                    <w:rPr>
                      <w:rFonts w:cs="Times New Roman"/>
                    </w:rPr>
                  </w:pPr>
                  <w:r>
                    <w:rPr>
                      <w:rFonts w:hint="eastAsia" w:cs="Times New Roman"/>
                    </w:rPr>
                    <w:t>500030.32</w:t>
                  </w:r>
                </w:p>
              </w:tc>
              <w:tc>
                <w:tcPr>
                  <w:tcW w:w="2555" w:type="dxa"/>
                  <w:tcBorders>
                    <w:tl2br w:val="nil"/>
                    <w:tr2bl w:val="nil"/>
                  </w:tcBorders>
                  <w:vAlign w:val="center"/>
                </w:tcPr>
                <w:p>
                  <w:pPr>
                    <w:pStyle w:val="35"/>
                    <w:jc w:val="center"/>
                    <w:rPr>
                      <w:rFonts w:cs="Times New Roman"/>
                    </w:rPr>
                  </w:pPr>
                  <w:r>
                    <w:rPr>
                      <w:rFonts w:hint="eastAsia" w:cs="Times New Roman"/>
                    </w:rPr>
                    <w:t>碎石</w:t>
                  </w:r>
                </w:p>
              </w:tc>
              <w:tc>
                <w:tcPr>
                  <w:tcW w:w="2349" w:type="dxa"/>
                  <w:tcBorders>
                    <w:tl2br w:val="nil"/>
                    <w:tr2bl w:val="nil"/>
                  </w:tcBorders>
                  <w:vAlign w:val="center"/>
                </w:tcPr>
                <w:p>
                  <w:pPr>
                    <w:pStyle w:val="35"/>
                    <w:jc w:val="center"/>
                    <w:rPr>
                      <w:rFonts w:cs="Times New Roman"/>
                    </w:rPr>
                  </w:pPr>
                  <w:r>
                    <w:rPr>
                      <w:rFonts w:cs="Times New Roman"/>
                    </w:rPr>
                    <w:t>500000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321" w:type="dxa"/>
                  <w:vMerge w:val="continue"/>
                  <w:tcBorders>
                    <w:tl2br w:val="nil"/>
                    <w:tr2bl w:val="nil"/>
                  </w:tcBorders>
                  <w:vAlign w:val="center"/>
                </w:tcPr>
                <w:p>
                  <w:pPr>
                    <w:pStyle w:val="35"/>
                    <w:jc w:val="center"/>
                    <w:rPr>
                      <w:rFonts w:cs="Times New Roman"/>
                    </w:rPr>
                  </w:pPr>
                </w:p>
              </w:tc>
              <w:tc>
                <w:tcPr>
                  <w:tcW w:w="1389" w:type="dxa"/>
                  <w:vMerge w:val="continue"/>
                  <w:tcBorders>
                    <w:tl2br w:val="nil"/>
                    <w:tr2bl w:val="nil"/>
                  </w:tcBorders>
                  <w:vAlign w:val="center"/>
                </w:tcPr>
                <w:p>
                  <w:pPr>
                    <w:pStyle w:val="35"/>
                    <w:jc w:val="center"/>
                    <w:rPr>
                      <w:rFonts w:cs="Times New Roman"/>
                    </w:rPr>
                  </w:pPr>
                </w:p>
              </w:tc>
              <w:tc>
                <w:tcPr>
                  <w:tcW w:w="2555" w:type="dxa"/>
                  <w:tcBorders>
                    <w:tl2br w:val="nil"/>
                    <w:tr2bl w:val="nil"/>
                  </w:tcBorders>
                  <w:vAlign w:val="center"/>
                </w:tcPr>
                <w:p>
                  <w:pPr>
                    <w:pStyle w:val="35"/>
                    <w:jc w:val="center"/>
                    <w:rPr>
                      <w:rFonts w:cs="Times New Roman"/>
                    </w:rPr>
                  </w:pPr>
                  <w:r>
                    <w:rPr>
                      <w:rFonts w:hint="eastAsia" w:cs="Times New Roman"/>
                    </w:rPr>
                    <w:t>粉尘</w:t>
                  </w:r>
                </w:p>
              </w:tc>
              <w:tc>
                <w:tcPr>
                  <w:tcW w:w="2349" w:type="dxa"/>
                  <w:tcBorders>
                    <w:tl2br w:val="nil"/>
                    <w:tr2bl w:val="nil"/>
                  </w:tcBorders>
                  <w:vAlign w:val="center"/>
                </w:tcPr>
                <w:p>
                  <w:pPr>
                    <w:pStyle w:val="35"/>
                    <w:jc w:val="center"/>
                    <w:rPr>
                      <w:rFonts w:cs="Times New Roman"/>
                    </w:rPr>
                  </w:pPr>
                  <w:r>
                    <w:rPr>
                      <w:rFonts w:hint="eastAsia" w:cs="Times New Roman"/>
                    </w:rPr>
                    <w:t>30.325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321" w:type="dxa"/>
                  <w:tcBorders>
                    <w:tl2br w:val="nil"/>
                    <w:tr2bl w:val="nil"/>
                  </w:tcBorders>
                  <w:vAlign w:val="center"/>
                </w:tcPr>
                <w:p>
                  <w:pPr>
                    <w:pStyle w:val="35"/>
                    <w:jc w:val="center"/>
                    <w:rPr>
                      <w:rFonts w:cs="Times New Roman"/>
                    </w:rPr>
                  </w:pPr>
                  <w:r>
                    <w:rPr>
                      <w:rFonts w:cs="Times New Roman"/>
                    </w:rPr>
                    <w:t>合计</w:t>
                  </w:r>
                </w:p>
              </w:tc>
              <w:tc>
                <w:tcPr>
                  <w:tcW w:w="1389" w:type="dxa"/>
                  <w:tcBorders>
                    <w:tl2br w:val="nil"/>
                    <w:tr2bl w:val="nil"/>
                  </w:tcBorders>
                  <w:vAlign w:val="center"/>
                </w:tcPr>
                <w:p>
                  <w:pPr>
                    <w:pStyle w:val="35"/>
                    <w:jc w:val="center"/>
                    <w:rPr>
                      <w:rFonts w:cs="Times New Roman"/>
                    </w:rPr>
                  </w:pPr>
                  <w:r>
                    <w:rPr>
                      <w:rFonts w:hint="eastAsia" w:cs="Times New Roman"/>
                    </w:rPr>
                    <w:t>500030.32</w:t>
                  </w:r>
                </w:p>
              </w:tc>
              <w:tc>
                <w:tcPr>
                  <w:tcW w:w="2555" w:type="dxa"/>
                  <w:tcBorders>
                    <w:tl2br w:val="nil"/>
                    <w:tr2bl w:val="nil"/>
                  </w:tcBorders>
                  <w:vAlign w:val="center"/>
                </w:tcPr>
                <w:p>
                  <w:pPr>
                    <w:pStyle w:val="35"/>
                    <w:jc w:val="center"/>
                    <w:rPr>
                      <w:rFonts w:cs="Times New Roman"/>
                    </w:rPr>
                  </w:pPr>
                  <w:r>
                    <w:rPr>
                      <w:rFonts w:cs="Times New Roman"/>
                    </w:rPr>
                    <w:t>合计</w:t>
                  </w:r>
                </w:p>
              </w:tc>
              <w:tc>
                <w:tcPr>
                  <w:tcW w:w="2349" w:type="dxa"/>
                  <w:tcBorders>
                    <w:tl2br w:val="nil"/>
                    <w:tr2bl w:val="nil"/>
                  </w:tcBorders>
                  <w:vAlign w:val="center"/>
                </w:tcPr>
                <w:p>
                  <w:pPr>
                    <w:pStyle w:val="35"/>
                    <w:jc w:val="center"/>
                    <w:rPr>
                      <w:rFonts w:cs="Times New Roman"/>
                    </w:rPr>
                  </w:pPr>
                  <w:r>
                    <w:rPr>
                      <w:rFonts w:hint="eastAsia" w:cs="Times New Roman"/>
                    </w:rPr>
                    <w:t>500030.32</w:t>
                  </w:r>
                </w:p>
              </w:tc>
            </w:tr>
          </w:tbl>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2.8水平衡</w:t>
            </w:r>
          </w:p>
          <w:p>
            <w:pPr>
              <w:ind w:firstLine="480"/>
              <w:rPr>
                <w:rFonts w:cs="Times New Roman"/>
              </w:rPr>
            </w:pPr>
            <w:r>
              <w:rPr>
                <w:rFonts w:cs="Times New Roman"/>
              </w:rPr>
              <w:t>本项目的用水生产用水来自山涧水，生活用水来自市政供给。</w:t>
            </w:r>
          </w:p>
          <w:p>
            <w:pPr>
              <w:ind w:firstLine="480"/>
              <w:rPr>
                <w:rFonts w:cs="Times New Roman"/>
              </w:rPr>
            </w:pPr>
            <w:r>
              <w:rPr>
                <w:rFonts w:cs="Times New Roman"/>
              </w:rPr>
              <w:t>（1）生产用水</w:t>
            </w:r>
          </w:p>
          <w:p>
            <w:pPr>
              <w:tabs>
                <w:tab w:val="left" w:pos="5337"/>
              </w:tabs>
              <w:ind w:firstLine="480" w:firstLineChars="0"/>
              <w:rPr>
                <w:rFonts w:cs="Times New Roman"/>
              </w:rPr>
            </w:pPr>
            <w:r>
              <w:rPr>
                <w:rFonts w:cs="Times New Roman"/>
              </w:rPr>
              <w:t>项目生产用水主要为喷淋除尘用水，根据业主原有实际生产情况估算，喷淋除尘用水量约为3.0m</w:t>
            </w:r>
            <w:r>
              <w:rPr>
                <w:rFonts w:cs="Times New Roman"/>
                <w:vertAlign w:val="superscript"/>
              </w:rPr>
              <w:t>3</w:t>
            </w:r>
            <w:r>
              <w:rPr>
                <w:rFonts w:cs="Times New Roman"/>
              </w:rPr>
              <w:t>/d，喷淋除尘用水均自然蒸发，无生产废水外排。</w:t>
            </w:r>
          </w:p>
          <w:p>
            <w:pPr>
              <w:tabs>
                <w:tab w:val="left" w:pos="5337"/>
              </w:tabs>
              <w:ind w:firstLine="480" w:firstLineChars="0"/>
              <w:rPr>
                <w:rFonts w:cs="Times New Roman"/>
              </w:rPr>
            </w:pPr>
            <w:r>
              <w:rPr>
                <w:rFonts w:cs="Times New Roman"/>
              </w:rPr>
              <w:t>（2）生活用水</w:t>
            </w:r>
          </w:p>
          <w:p>
            <w:pPr>
              <w:ind w:firstLine="480"/>
              <w:rPr>
                <w:rFonts w:cs="Times New Roman"/>
              </w:rPr>
            </w:pPr>
            <w:r>
              <w:rPr>
                <w:rFonts w:cs="Times New Roman"/>
              </w:rPr>
              <w:t>生产职工8人，年工作日300天，均不住厂。根据《建筑给水排水设计标准》（GB50015-2019），《福建省用水定额标准》，不住厂职工生活用水取50L/（d·人），则生活用水量为0.4m</w:t>
            </w:r>
            <w:r>
              <w:rPr>
                <w:rFonts w:cs="Times New Roman"/>
                <w:vertAlign w:val="superscript"/>
              </w:rPr>
              <w:t>3</w:t>
            </w:r>
            <w:r>
              <w:rPr>
                <w:rFonts w:cs="Times New Roman"/>
              </w:rPr>
              <w:t>/d（120t/a）。产污系数以80%计，则生活污水产生量为0.32t/d（96t/a）。</w:t>
            </w:r>
          </w:p>
          <w:p>
            <w:pPr>
              <w:ind w:firstLine="480"/>
              <w:rPr>
                <w:rFonts w:cs="Times New Roman"/>
              </w:rPr>
            </w:pPr>
            <w:r>
              <w:rPr>
                <w:rFonts w:cs="Times New Roman"/>
              </w:rPr>
              <w:t>综上，项目新鲜水用量为3.4t/d，废水排放量为0.32t/d，项目水平衡见图2-1。</w:t>
            </w:r>
          </w:p>
          <w:p>
            <w:pPr>
              <w:ind w:firstLine="480"/>
              <w:rPr>
                <w:rFonts w:cs="Times New Roman"/>
              </w:rPr>
            </w:pPr>
            <w:r>
              <w:rPr>
                <w:rFonts w:cs="Times New Roman"/>
              </w:rPr>
              <w:pict>
                <v:shape id="_x0000_i1025" o:spt="75" type="#_x0000_t75" style="height:121.5pt;width:336pt;" filled="f" o:preferrelative="t" stroked="f" coordsize="21600,21600">
                  <v:path/>
                  <v:fill on="f" focussize="0,0"/>
                  <v:stroke on="f" joinstyle="miter"/>
                  <v:imagedata r:id="rId15" o:title=""/>
                  <o:lock v:ext="edit" aspectratio="t"/>
                  <w10:wrap type="none"/>
                  <w10:anchorlock/>
                </v:shape>
              </w:pict>
            </w:r>
          </w:p>
          <w:p>
            <w:pPr>
              <w:ind w:firstLine="482"/>
              <w:jc w:val="center"/>
              <w:rPr>
                <w:rFonts w:cs="Times New Roman"/>
                <w:b/>
                <w:bCs/>
              </w:rPr>
            </w:pPr>
            <w:r>
              <w:rPr>
                <w:rFonts w:cs="Times New Roman"/>
                <w:b/>
                <w:bCs/>
              </w:rPr>
              <w:t>图2-</w:t>
            </w:r>
            <w:r>
              <w:rPr>
                <w:rFonts w:hint="eastAsia" w:cs="Times New Roman"/>
                <w:b/>
                <w:bCs/>
              </w:rPr>
              <w:t xml:space="preserve">1  </w:t>
            </w:r>
            <w:r>
              <w:rPr>
                <w:rFonts w:cs="Times New Roman"/>
                <w:b/>
                <w:bCs/>
              </w:rPr>
              <w:t>项目水平衡图（单位t/d）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rPr>
                <w:rFonts w:cs="Times New Roman"/>
              </w:rPr>
            </w:pPr>
            <w:r>
              <w:rPr>
                <w:rFonts w:cs="Times New Roman"/>
              </w:rPr>
              <w:t>工艺流程和产排污环节</w:t>
            </w:r>
          </w:p>
        </w:tc>
        <w:tc>
          <w:tcPr>
            <w:tcW w:w="7705" w:type="dxa"/>
            <w:vAlign w:val="center"/>
          </w:tcPr>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2.9工艺流程和产污环节</w:t>
            </w:r>
          </w:p>
          <w:p>
            <w:pPr>
              <w:ind w:firstLine="0" w:firstLineChars="0"/>
              <w:rPr>
                <w:rFonts w:cs="Times New Roman"/>
                <w:b/>
                <w:sz w:val="30"/>
                <w:szCs w:val="30"/>
              </w:rPr>
            </w:pPr>
            <w:r>
              <w:rPr>
                <w:rFonts w:cs="Times New Roman"/>
                <w:b/>
                <w:sz w:val="30"/>
                <w:szCs w:val="30"/>
              </w:rPr>
              <w:t>2.9.1工艺流程</w:t>
            </w:r>
          </w:p>
          <w:p>
            <w:pPr>
              <w:ind w:firstLine="480"/>
              <w:rPr>
                <w:rFonts w:cs="Times New Roman"/>
              </w:rPr>
            </w:pPr>
            <w:r>
              <w:rPr>
                <w:rFonts w:cs="Times New Roman"/>
              </w:rPr>
              <w:t>本项目主要从事石灰石破碎加工，生产工艺流程及产污环节详见图2-2。</w:t>
            </w:r>
          </w:p>
          <w:p>
            <w:pPr>
              <w:pStyle w:val="2"/>
              <w:spacing w:after="0" w:line="360" w:lineRule="auto"/>
              <w:ind w:left="0" w:leftChars="0" w:firstLine="0" w:firstLineChars="0"/>
              <w:jc w:val="center"/>
              <w:rPr>
                <w:rFonts w:ascii="Times New Roman" w:hAnsi="Times New Roman" w:eastAsia="宋体" w:cs="Times New Roman"/>
              </w:rPr>
            </w:pPr>
            <w:r>
              <w:rPr>
                <w:rFonts w:ascii="Times New Roman" w:hAnsi="Times New Roman" w:eastAsia="宋体" w:cs="Times New Roman"/>
                <w:b/>
                <w:bCs/>
                <w:sz w:val="24"/>
                <w:szCs w:val="24"/>
              </w:rPr>
              <w:pict>
                <v:shape id="_x0000_i1026" o:spt="75" type="#_x0000_t75" style="height:244.5pt;width:374.25pt;" filled="f" o:preferrelative="t" stroked="f" coordsize="21600,21600">
                  <v:path/>
                  <v:fill on="f" focussize="0,0"/>
                  <v:stroke on="f" joinstyle="miter"/>
                  <v:imagedata r:id="rId16" o:title=""/>
                  <o:lock v:ext="edit" aspectratio="t"/>
                  <w10:wrap type="none"/>
                  <w10:anchorlock/>
                </v:shape>
              </w:pict>
            </w:r>
            <w:r>
              <w:rPr>
                <w:rFonts w:ascii="Times New Roman" w:hAnsi="Times New Roman" w:eastAsia="宋体" w:cs="Times New Roman"/>
                <w:b/>
                <w:bCs/>
                <w:sz w:val="24"/>
                <w:szCs w:val="24"/>
              </w:rPr>
              <w:t>图2-2破碎石生产工艺及产污环节图</w:t>
            </w:r>
          </w:p>
          <w:p>
            <w:pPr>
              <w:pStyle w:val="47"/>
              <w:ind w:firstLine="480"/>
            </w:pPr>
            <w:r>
              <w:t>工艺流程简述如下：</w:t>
            </w:r>
          </w:p>
          <w:p>
            <w:pPr>
              <w:pStyle w:val="47"/>
              <w:ind w:firstLine="480"/>
            </w:pPr>
            <w:r>
              <w:t>本项目利用矿山</w:t>
            </w:r>
            <w:r>
              <w:rPr>
                <w:kern w:val="0"/>
                <w:szCs w:val="21"/>
              </w:rPr>
              <w:t>废石及低品位石灰石作为原料，石料经汽车运输至喂料机进料口，由输送带输送至颚式破碎机进厂破碎，破碎后进入一次圆滚筛进行筛分，一次筛分出4-8cm石子、8~12cm石子、12cm以上石子作为成品输送至料仓，12cm以上石子返回颚式破碎机进行回破，4cm以下石子进入二次圆滚筛筛分出0-1cm石子、1~2cm石子、2~4cm石子成品输送至料仓，成品经料仓卸料口卸料至汽车后运出厂区。原料及成品不在厂区内存放，因此不设置原料、成品堆场，厂区东侧预留空地作为临时存储区临时存放未能及时转运的成品。</w:t>
            </w:r>
          </w:p>
          <w:p>
            <w:pPr>
              <w:ind w:firstLine="0" w:firstLineChars="0"/>
              <w:rPr>
                <w:rFonts w:cs="Times New Roman"/>
                <w:b/>
                <w:sz w:val="30"/>
                <w:szCs w:val="30"/>
              </w:rPr>
            </w:pPr>
            <w:r>
              <w:rPr>
                <w:rFonts w:cs="Times New Roman"/>
                <w:b/>
                <w:sz w:val="30"/>
                <w:szCs w:val="30"/>
              </w:rPr>
              <w:t>2.9.2产污环节</w:t>
            </w:r>
          </w:p>
          <w:p>
            <w:pPr>
              <w:ind w:firstLine="480"/>
              <w:jc w:val="both"/>
              <w:rPr>
                <w:rFonts w:cs="Times New Roman"/>
              </w:rPr>
            </w:pPr>
            <w:r>
              <w:rPr>
                <w:rFonts w:cs="Times New Roman"/>
              </w:rPr>
              <w:t>废气：喂料机、颚式破碎机、圆滚筛等破碎设备在破碎和筛分过程中产生的粉尘，以及运输、装卸过程中产生的扬尘。</w:t>
            </w:r>
          </w:p>
          <w:p>
            <w:pPr>
              <w:ind w:firstLine="480"/>
              <w:jc w:val="both"/>
              <w:rPr>
                <w:rFonts w:cs="Times New Roman"/>
              </w:rPr>
            </w:pPr>
            <w:r>
              <w:rPr>
                <w:rFonts w:cs="Times New Roman"/>
              </w:rPr>
              <w:t>废水：喷淋废水均蒸发损耗，无生产废水产生。废水主要来源于员工生活污水。</w:t>
            </w:r>
          </w:p>
          <w:p>
            <w:pPr>
              <w:ind w:firstLine="480"/>
              <w:jc w:val="both"/>
              <w:rPr>
                <w:rFonts w:cs="Times New Roman"/>
              </w:rPr>
            </w:pPr>
            <w:r>
              <w:rPr>
                <w:rFonts w:cs="Times New Roman"/>
              </w:rPr>
              <w:t>噪声：各生产设备运行时机械设备噪声。</w:t>
            </w:r>
          </w:p>
          <w:p>
            <w:pPr>
              <w:ind w:firstLine="480"/>
              <w:jc w:val="both"/>
              <w:rPr>
                <w:rFonts w:cs="Times New Roman"/>
              </w:rPr>
            </w:pPr>
            <w:r>
              <w:rPr>
                <w:rFonts w:cs="Times New Roman"/>
              </w:rPr>
              <w:t>固废：办公生活垃圾。</w:t>
            </w:r>
          </w:p>
          <w:p>
            <w:pPr>
              <w:pStyle w:val="47"/>
              <w:ind w:firstLine="480"/>
            </w:pPr>
            <w:r>
              <w:t>项目生产过程主要污染物的产污环节及采取的污染防治措施见表2-6。</w:t>
            </w:r>
          </w:p>
          <w:p>
            <w:pPr>
              <w:ind w:firstLine="0" w:firstLineChars="0"/>
              <w:jc w:val="center"/>
              <w:rPr>
                <w:rFonts w:cs="Times New Roman"/>
                <w:b/>
              </w:rPr>
            </w:pPr>
            <w:r>
              <w:rPr>
                <w:rFonts w:cs="Times New Roman"/>
                <w:b/>
              </w:rPr>
              <w:t>表</w:t>
            </w:r>
            <w:r>
              <w:rPr>
                <w:rFonts w:hint="eastAsia" w:cs="Times New Roman"/>
                <w:b/>
              </w:rPr>
              <w:t>2-6</w:t>
            </w:r>
            <w:r>
              <w:rPr>
                <w:rFonts w:cs="Times New Roman"/>
                <w:b/>
              </w:rPr>
              <w:t xml:space="preserve"> 产污环节一览表</w:t>
            </w:r>
          </w:p>
          <w:tbl>
            <w:tblPr>
              <w:tblStyle w:val="2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92"/>
              <w:gridCol w:w="1716"/>
              <w:gridCol w:w="1559"/>
              <w:gridCol w:w="308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92" w:type="dxa"/>
                  <w:vAlign w:val="center"/>
                </w:tcPr>
                <w:p>
                  <w:pPr>
                    <w:ind w:firstLine="0" w:firstLineChars="0"/>
                    <w:jc w:val="center"/>
                    <w:rPr>
                      <w:rFonts w:cs="Times New Roman"/>
                      <w:b/>
                      <w:sz w:val="21"/>
                      <w:szCs w:val="21"/>
                    </w:rPr>
                  </w:pPr>
                  <w:r>
                    <w:rPr>
                      <w:rFonts w:cs="Times New Roman"/>
                      <w:b/>
                      <w:sz w:val="21"/>
                      <w:szCs w:val="21"/>
                    </w:rPr>
                    <w:t>污染因素</w:t>
                  </w:r>
                </w:p>
              </w:tc>
              <w:tc>
                <w:tcPr>
                  <w:tcW w:w="1716" w:type="dxa"/>
                  <w:vAlign w:val="center"/>
                </w:tcPr>
                <w:p>
                  <w:pPr>
                    <w:ind w:firstLine="0" w:firstLineChars="0"/>
                    <w:jc w:val="center"/>
                    <w:rPr>
                      <w:rFonts w:cs="Times New Roman"/>
                      <w:b/>
                      <w:sz w:val="21"/>
                      <w:szCs w:val="21"/>
                    </w:rPr>
                  </w:pPr>
                  <w:r>
                    <w:rPr>
                      <w:rFonts w:cs="Times New Roman"/>
                      <w:b/>
                      <w:sz w:val="21"/>
                      <w:szCs w:val="21"/>
                    </w:rPr>
                    <w:t>产污环节</w:t>
                  </w:r>
                </w:p>
              </w:tc>
              <w:tc>
                <w:tcPr>
                  <w:tcW w:w="1559" w:type="dxa"/>
                  <w:vAlign w:val="center"/>
                </w:tcPr>
                <w:p>
                  <w:pPr>
                    <w:ind w:firstLine="0" w:firstLineChars="0"/>
                    <w:jc w:val="center"/>
                    <w:rPr>
                      <w:rFonts w:cs="Times New Roman"/>
                      <w:b/>
                      <w:sz w:val="21"/>
                      <w:szCs w:val="21"/>
                    </w:rPr>
                  </w:pPr>
                  <w:r>
                    <w:rPr>
                      <w:rFonts w:cs="Times New Roman"/>
                      <w:b/>
                      <w:sz w:val="21"/>
                      <w:szCs w:val="21"/>
                    </w:rPr>
                    <w:t>污染物</w:t>
                  </w:r>
                </w:p>
              </w:tc>
              <w:tc>
                <w:tcPr>
                  <w:tcW w:w="3083" w:type="dxa"/>
                  <w:vAlign w:val="center"/>
                </w:tcPr>
                <w:p>
                  <w:pPr>
                    <w:ind w:firstLine="0" w:firstLineChars="0"/>
                    <w:jc w:val="center"/>
                    <w:rPr>
                      <w:rFonts w:cs="Times New Roman"/>
                      <w:b/>
                      <w:sz w:val="21"/>
                      <w:szCs w:val="21"/>
                    </w:rPr>
                  </w:pPr>
                  <w:r>
                    <w:rPr>
                      <w:rFonts w:cs="Times New Roman"/>
                      <w:b/>
                      <w:sz w:val="21"/>
                      <w:szCs w:val="21"/>
                    </w:rPr>
                    <w:t>防治措施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92" w:type="dxa"/>
                  <w:vMerge w:val="restart"/>
                  <w:vAlign w:val="center"/>
                </w:tcPr>
                <w:p>
                  <w:pPr>
                    <w:ind w:firstLine="0" w:firstLineChars="0"/>
                    <w:jc w:val="center"/>
                    <w:rPr>
                      <w:rFonts w:cs="Times New Roman"/>
                      <w:sz w:val="21"/>
                      <w:szCs w:val="21"/>
                    </w:rPr>
                  </w:pPr>
                  <w:r>
                    <w:rPr>
                      <w:rFonts w:cs="Times New Roman"/>
                      <w:sz w:val="21"/>
                      <w:szCs w:val="21"/>
                    </w:rPr>
                    <w:t>废气</w:t>
                  </w:r>
                </w:p>
              </w:tc>
              <w:tc>
                <w:tcPr>
                  <w:tcW w:w="1716" w:type="dxa"/>
                  <w:vAlign w:val="center"/>
                </w:tcPr>
                <w:p>
                  <w:pPr>
                    <w:ind w:firstLine="0" w:firstLineChars="0"/>
                    <w:jc w:val="center"/>
                    <w:rPr>
                      <w:rFonts w:cs="Times New Roman"/>
                      <w:sz w:val="21"/>
                      <w:szCs w:val="21"/>
                    </w:rPr>
                  </w:pPr>
                  <w:r>
                    <w:rPr>
                      <w:rFonts w:cs="Times New Roman"/>
                      <w:sz w:val="21"/>
                      <w:szCs w:val="21"/>
                    </w:rPr>
                    <w:t>破碎</w:t>
                  </w:r>
                  <w:r>
                    <w:rPr>
                      <w:rFonts w:hint="eastAsia" w:cs="Times New Roman"/>
                      <w:sz w:val="21"/>
                      <w:szCs w:val="21"/>
                    </w:rPr>
                    <w:t>、筛分</w:t>
                  </w:r>
                  <w:r>
                    <w:rPr>
                      <w:rFonts w:cs="Times New Roman"/>
                      <w:sz w:val="21"/>
                      <w:szCs w:val="21"/>
                    </w:rPr>
                    <w:t>粉尘</w:t>
                  </w:r>
                </w:p>
              </w:tc>
              <w:tc>
                <w:tcPr>
                  <w:tcW w:w="1559" w:type="dxa"/>
                  <w:vMerge w:val="restart"/>
                  <w:vAlign w:val="center"/>
                </w:tcPr>
                <w:p>
                  <w:pPr>
                    <w:ind w:firstLine="0" w:firstLineChars="0"/>
                    <w:jc w:val="center"/>
                    <w:rPr>
                      <w:rFonts w:cs="Times New Roman"/>
                      <w:sz w:val="21"/>
                      <w:szCs w:val="21"/>
                    </w:rPr>
                  </w:pPr>
                  <w:r>
                    <w:rPr>
                      <w:rFonts w:cs="Times New Roman"/>
                      <w:sz w:val="21"/>
                      <w:szCs w:val="21"/>
                    </w:rPr>
                    <w:t>颗粒物</w:t>
                  </w:r>
                </w:p>
              </w:tc>
              <w:tc>
                <w:tcPr>
                  <w:tcW w:w="3083" w:type="dxa"/>
                  <w:vMerge w:val="restart"/>
                  <w:vAlign w:val="center"/>
                </w:tcPr>
                <w:p>
                  <w:pPr>
                    <w:snapToGrid w:val="0"/>
                    <w:ind w:firstLine="0" w:firstLineChars="0"/>
                    <w:jc w:val="center"/>
                    <w:rPr>
                      <w:rFonts w:cs="Times New Roman"/>
                      <w:sz w:val="21"/>
                      <w:szCs w:val="21"/>
                    </w:rPr>
                  </w:pPr>
                  <w:r>
                    <w:rPr>
                      <w:rFonts w:hint="eastAsia" w:cs="Times New Roman"/>
                      <w:sz w:val="21"/>
                      <w:szCs w:val="21"/>
                    </w:rPr>
                    <w:t>主要破碎区封闭，</w:t>
                  </w:r>
                  <w:r>
                    <w:rPr>
                      <w:rFonts w:cs="Times New Roman"/>
                      <w:sz w:val="21"/>
                      <w:szCs w:val="21"/>
                    </w:rPr>
                    <w:t>各</w:t>
                  </w:r>
                  <w:r>
                    <w:rPr>
                      <w:rFonts w:hint="eastAsia" w:cs="Times New Roman"/>
                      <w:sz w:val="21"/>
                      <w:szCs w:val="21"/>
                    </w:rPr>
                    <w:t>主要</w:t>
                  </w:r>
                  <w:r>
                    <w:rPr>
                      <w:rFonts w:cs="Times New Roman"/>
                      <w:sz w:val="21"/>
                      <w:szCs w:val="21"/>
                    </w:rPr>
                    <w:t>设备、输送带、进出料口设置喷淋洒水除尘</w:t>
                  </w:r>
                  <w:r>
                    <w:rPr>
                      <w:rFonts w:hint="eastAsia" w:cs="Times New Roman"/>
                      <w:sz w:val="21"/>
                      <w:szCs w:val="21"/>
                    </w:rPr>
                    <w:t>装置</w:t>
                  </w:r>
                  <w:r>
                    <w:rPr>
                      <w:rFonts w:cs="Times New Roman"/>
                      <w:sz w:val="21"/>
                      <w:szCs w:val="21"/>
                    </w:rPr>
                    <w:t>，运输、装卸过程中采取定期洒水降尘，运输车辆顶部遮盖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92" w:type="dxa"/>
                  <w:vMerge w:val="continue"/>
                  <w:vAlign w:val="center"/>
                </w:tcPr>
                <w:p>
                  <w:pPr>
                    <w:ind w:firstLine="0" w:firstLineChars="0"/>
                    <w:jc w:val="center"/>
                    <w:rPr>
                      <w:rFonts w:cs="Times New Roman"/>
                      <w:sz w:val="21"/>
                      <w:szCs w:val="21"/>
                    </w:rPr>
                  </w:pPr>
                </w:p>
              </w:tc>
              <w:tc>
                <w:tcPr>
                  <w:tcW w:w="1716" w:type="dxa"/>
                  <w:vAlign w:val="center"/>
                </w:tcPr>
                <w:p>
                  <w:pPr>
                    <w:ind w:firstLine="0" w:firstLineChars="0"/>
                    <w:jc w:val="center"/>
                    <w:rPr>
                      <w:rFonts w:cs="Times New Roman"/>
                      <w:sz w:val="21"/>
                      <w:szCs w:val="21"/>
                    </w:rPr>
                  </w:pPr>
                  <w:r>
                    <w:rPr>
                      <w:rFonts w:cs="Times New Roman"/>
                      <w:sz w:val="21"/>
                      <w:szCs w:val="21"/>
                    </w:rPr>
                    <w:t>运输、装卸粉尘</w:t>
                  </w:r>
                </w:p>
              </w:tc>
              <w:tc>
                <w:tcPr>
                  <w:tcW w:w="1559" w:type="dxa"/>
                  <w:vMerge w:val="continue"/>
                  <w:vAlign w:val="center"/>
                </w:tcPr>
                <w:p>
                  <w:pPr>
                    <w:ind w:firstLine="0" w:firstLineChars="0"/>
                    <w:jc w:val="center"/>
                    <w:rPr>
                      <w:rFonts w:cs="Times New Roman"/>
                      <w:sz w:val="21"/>
                      <w:szCs w:val="21"/>
                    </w:rPr>
                  </w:pPr>
                </w:p>
              </w:tc>
              <w:tc>
                <w:tcPr>
                  <w:tcW w:w="3083" w:type="dxa"/>
                  <w:vMerge w:val="continue"/>
                  <w:vAlign w:val="center"/>
                </w:tcPr>
                <w:p>
                  <w:pPr>
                    <w:snapToGrid w:val="0"/>
                    <w:ind w:firstLine="0" w:firstLineChars="0"/>
                    <w:jc w:val="center"/>
                    <w:rPr>
                      <w:rFonts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92" w:type="dxa"/>
                  <w:vMerge w:val="restart"/>
                  <w:vAlign w:val="center"/>
                </w:tcPr>
                <w:p>
                  <w:pPr>
                    <w:ind w:firstLine="0" w:firstLineChars="0"/>
                    <w:jc w:val="center"/>
                    <w:rPr>
                      <w:rFonts w:cs="Times New Roman"/>
                      <w:sz w:val="21"/>
                      <w:szCs w:val="21"/>
                    </w:rPr>
                  </w:pPr>
                  <w:r>
                    <w:rPr>
                      <w:rFonts w:cs="Times New Roman"/>
                      <w:sz w:val="21"/>
                      <w:szCs w:val="21"/>
                    </w:rPr>
                    <w:t>废水</w:t>
                  </w:r>
                </w:p>
              </w:tc>
              <w:tc>
                <w:tcPr>
                  <w:tcW w:w="1716" w:type="dxa"/>
                  <w:vAlign w:val="center"/>
                </w:tcPr>
                <w:p>
                  <w:pPr>
                    <w:ind w:firstLine="0" w:firstLineChars="0"/>
                    <w:jc w:val="center"/>
                    <w:rPr>
                      <w:rFonts w:cs="Times New Roman"/>
                      <w:sz w:val="21"/>
                      <w:szCs w:val="21"/>
                    </w:rPr>
                  </w:pPr>
                  <w:r>
                    <w:rPr>
                      <w:rFonts w:cs="Times New Roman"/>
                      <w:sz w:val="21"/>
                      <w:szCs w:val="21"/>
                    </w:rPr>
                    <w:t>生活污水</w:t>
                  </w:r>
                </w:p>
              </w:tc>
              <w:tc>
                <w:tcPr>
                  <w:tcW w:w="1559" w:type="dxa"/>
                  <w:vAlign w:val="center"/>
                </w:tcPr>
                <w:p>
                  <w:pPr>
                    <w:ind w:firstLine="0" w:firstLineChars="0"/>
                    <w:jc w:val="center"/>
                    <w:rPr>
                      <w:rFonts w:cs="Times New Roman"/>
                      <w:sz w:val="21"/>
                      <w:szCs w:val="21"/>
                    </w:rPr>
                  </w:pPr>
                  <w:r>
                    <w:rPr>
                      <w:rFonts w:cs="Times New Roman"/>
                      <w:sz w:val="21"/>
                      <w:szCs w:val="21"/>
                    </w:rPr>
                    <w:t>COD、BOD</w:t>
                  </w:r>
                  <w:r>
                    <w:rPr>
                      <w:rFonts w:cs="Times New Roman"/>
                      <w:sz w:val="21"/>
                      <w:szCs w:val="21"/>
                      <w:vertAlign w:val="subscript"/>
                    </w:rPr>
                    <w:t>5</w:t>
                  </w:r>
                  <w:r>
                    <w:rPr>
                      <w:rFonts w:cs="Times New Roman"/>
                      <w:sz w:val="21"/>
                      <w:szCs w:val="21"/>
                    </w:rPr>
                    <w:t>、SS、氨氮</w:t>
                  </w:r>
                </w:p>
              </w:tc>
              <w:tc>
                <w:tcPr>
                  <w:tcW w:w="3083" w:type="dxa"/>
                  <w:vAlign w:val="center"/>
                </w:tcPr>
                <w:p>
                  <w:pPr>
                    <w:ind w:firstLine="0" w:firstLineChars="0"/>
                    <w:jc w:val="center"/>
                    <w:rPr>
                      <w:rFonts w:cs="Times New Roman"/>
                      <w:sz w:val="21"/>
                      <w:szCs w:val="21"/>
                    </w:rPr>
                  </w:pPr>
                  <w:r>
                    <w:rPr>
                      <w:rFonts w:cs="Times New Roman"/>
                      <w:sz w:val="21"/>
                      <w:szCs w:val="21"/>
                    </w:rPr>
                    <w:t>生活污水经化粪池处理后作为</w:t>
                  </w:r>
                  <w:r>
                    <w:rPr>
                      <w:rFonts w:hint="eastAsia" w:cs="Times New Roman"/>
                      <w:sz w:val="21"/>
                      <w:szCs w:val="21"/>
                    </w:rPr>
                    <w:t>周边林地施肥使用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92" w:type="dxa"/>
                  <w:vMerge w:val="continue"/>
                  <w:vAlign w:val="center"/>
                </w:tcPr>
                <w:p>
                  <w:pPr>
                    <w:ind w:firstLine="0" w:firstLineChars="0"/>
                    <w:jc w:val="center"/>
                    <w:rPr>
                      <w:rFonts w:cs="Times New Roman"/>
                      <w:sz w:val="21"/>
                      <w:szCs w:val="21"/>
                    </w:rPr>
                  </w:pPr>
                </w:p>
              </w:tc>
              <w:tc>
                <w:tcPr>
                  <w:tcW w:w="1716" w:type="dxa"/>
                  <w:vAlign w:val="center"/>
                </w:tcPr>
                <w:p>
                  <w:pPr>
                    <w:ind w:firstLine="0" w:firstLineChars="0"/>
                    <w:jc w:val="center"/>
                    <w:rPr>
                      <w:rFonts w:cs="Times New Roman"/>
                      <w:sz w:val="21"/>
                      <w:szCs w:val="21"/>
                    </w:rPr>
                  </w:pPr>
                  <w:r>
                    <w:rPr>
                      <w:rFonts w:cs="Times New Roman"/>
                      <w:sz w:val="21"/>
                      <w:szCs w:val="21"/>
                    </w:rPr>
                    <w:t>生产废水</w:t>
                  </w:r>
                </w:p>
              </w:tc>
              <w:tc>
                <w:tcPr>
                  <w:tcW w:w="1559" w:type="dxa"/>
                  <w:vAlign w:val="center"/>
                </w:tcPr>
                <w:p>
                  <w:pPr>
                    <w:ind w:firstLine="0" w:firstLineChars="0"/>
                    <w:jc w:val="center"/>
                    <w:rPr>
                      <w:rFonts w:cs="Times New Roman"/>
                      <w:sz w:val="21"/>
                      <w:szCs w:val="21"/>
                    </w:rPr>
                  </w:pPr>
                  <w:r>
                    <w:rPr>
                      <w:rFonts w:cs="Times New Roman"/>
                      <w:sz w:val="21"/>
                      <w:szCs w:val="21"/>
                    </w:rPr>
                    <w:t>喷淋除尘水</w:t>
                  </w:r>
                </w:p>
              </w:tc>
              <w:tc>
                <w:tcPr>
                  <w:tcW w:w="3083" w:type="dxa"/>
                  <w:vAlign w:val="center"/>
                </w:tcPr>
                <w:p>
                  <w:pPr>
                    <w:ind w:firstLine="0" w:firstLineChars="0"/>
                    <w:jc w:val="center"/>
                    <w:rPr>
                      <w:rFonts w:cs="Times New Roman"/>
                      <w:sz w:val="21"/>
                      <w:szCs w:val="21"/>
                    </w:rPr>
                  </w:pPr>
                  <w:r>
                    <w:rPr>
                      <w:rFonts w:cs="Times New Roman"/>
                      <w:sz w:val="21"/>
                      <w:szCs w:val="21"/>
                    </w:rPr>
                    <w:t>全部蒸发损耗</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92" w:type="dxa"/>
                  <w:vAlign w:val="center"/>
                </w:tcPr>
                <w:p>
                  <w:pPr>
                    <w:ind w:firstLine="0" w:firstLineChars="0"/>
                    <w:jc w:val="center"/>
                    <w:rPr>
                      <w:rFonts w:cs="Times New Roman"/>
                      <w:sz w:val="21"/>
                      <w:szCs w:val="21"/>
                    </w:rPr>
                  </w:pPr>
                  <w:r>
                    <w:rPr>
                      <w:rFonts w:cs="Times New Roman"/>
                      <w:sz w:val="21"/>
                      <w:szCs w:val="21"/>
                    </w:rPr>
                    <w:t>噪声</w:t>
                  </w:r>
                </w:p>
              </w:tc>
              <w:tc>
                <w:tcPr>
                  <w:tcW w:w="1716" w:type="dxa"/>
                  <w:vAlign w:val="center"/>
                </w:tcPr>
                <w:p>
                  <w:pPr>
                    <w:ind w:firstLine="0" w:firstLineChars="0"/>
                    <w:jc w:val="center"/>
                    <w:rPr>
                      <w:rFonts w:cs="Times New Roman"/>
                      <w:sz w:val="21"/>
                      <w:szCs w:val="21"/>
                    </w:rPr>
                  </w:pPr>
                  <w:r>
                    <w:rPr>
                      <w:rFonts w:cs="Times New Roman"/>
                      <w:sz w:val="21"/>
                      <w:szCs w:val="21"/>
                    </w:rPr>
                    <w:t>机械设备</w:t>
                  </w:r>
                </w:p>
              </w:tc>
              <w:tc>
                <w:tcPr>
                  <w:tcW w:w="1559" w:type="dxa"/>
                  <w:vAlign w:val="center"/>
                </w:tcPr>
                <w:p>
                  <w:pPr>
                    <w:ind w:firstLine="0" w:firstLineChars="0"/>
                    <w:jc w:val="center"/>
                    <w:rPr>
                      <w:rFonts w:cs="Times New Roman"/>
                      <w:sz w:val="21"/>
                      <w:szCs w:val="21"/>
                    </w:rPr>
                  </w:pPr>
                  <w:r>
                    <w:rPr>
                      <w:rFonts w:cs="Times New Roman"/>
                      <w:sz w:val="21"/>
                      <w:szCs w:val="21"/>
                    </w:rPr>
                    <w:t>噪声</w:t>
                  </w:r>
                </w:p>
              </w:tc>
              <w:tc>
                <w:tcPr>
                  <w:tcW w:w="3083" w:type="dxa"/>
                  <w:vAlign w:val="center"/>
                </w:tcPr>
                <w:p>
                  <w:pPr>
                    <w:ind w:firstLine="0" w:firstLineChars="0"/>
                    <w:jc w:val="center"/>
                    <w:rPr>
                      <w:rFonts w:cs="Times New Roman"/>
                      <w:sz w:val="21"/>
                      <w:szCs w:val="21"/>
                    </w:rPr>
                  </w:pPr>
                  <w:r>
                    <w:rPr>
                      <w:rFonts w:cs="Times New Roman"/>
                      <w:sz w:val="21"/>
                      <w:szCs w:val="21"/>
                    </w:rPr>
                    <w:t>减震基础、</w:t>
                  </w:r>
                  <w:r>
                    <w:rPr>
                      <w:rFonts w:hint="eastAsia" w:cs="Times New Roman"/>
                      <w:sz w:val="21"/>
                      <w:szCs w:val="21"/>
                    </w:rPr>
                    <w:t>厂房吸声、隔声等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92" w:type="dxa"/>
                  <w:vAlign w:val="center"/>
                </w:tcPr>
                <w:p>
                  <w:pPr>
                    <w:ind w:firstLine="0" w:firstLineChars="0"/>
                    <w:jc w:val="center"/>
                    <w:rPr>
                      <w:rFonts w:cs="Times New Roman"/>
                      <w:sz w:val="21"/>
                      <w:szCs w:val="21"/>
                    </w:rPr>
                  </w:pPr>
                  <w:r>
                    <w:rPr>
                      <w:rFonts w:cs="Times New Roman"/>
                      <w:sz w:val="21"/>
                      <w:szCs w:val="21"/>
                    </w:rPr>
                    <w:t>固废</w:t>
                  </w:r>
                </w:p>
              </w:tc>
              <w:tc>
                <w:tcPr>
                  <w:tcW w:w="1716" w:type="dxa"/>
                  <w:vAlign w:val="center"/>
                </w:tcPr>
                <w:p>
                  <w:pPr>
                    <w:ind w:firstLine="0" w:firstLineChars="0"/>
                    <w:jc w:val="center"/>
                    <w:rPr>
                      <w:rFonts w:cs="Times New Roman"/>
                      <w:sz w:val="21"/>
                      <w:szCs w:val="21"/>
                    </w:rPr>
                  </w:pPr>
                  <w:r>
                    <w:rPr>
                      <w:rFonts w:cs="Times New Roman"/>
                      <w:sz w:val="21"/>
                      <w:szCs w:val="21"/>
                    </w:rPr>
                    <w:t>办公生活</w:t>
                  </w:r>
                </w:p>
              </w:tc>
              <w:tc>
                <w:tcPr>
                  <w:tcW w:w="1559" w:type="dxa"/>
                  <w:vAlign w:val="center"/>
                </w:tcPr>
                <w:p>
                  <w:pPr>
                    <w:ind w:firstLine="0" w:firstLineChars="0"/>
                    <w:jc w:val="center"/>
                    <w:rPr>
                      <w:rFonts w:cs="Times New Roman"/>
                      <w:sz w:val="21"/>
                      <w:szCs w:val="21"/>
                    </w:rPr>
                  </w:pPr>
                  <w:r>
                    <w:rPr>
                      <w:rFonts w:cs="Times New Roman"/>
                      <w:sz w:val="21"/>
                      <w:szCs w:val="21"/>
                    </w:rPr>
                    <w:t>生活垃圾</w:t>
                  </w:r>
                </w:p>
              </w:tc>
              <w:tc>
                <w:tcPr>
                  <w:tcW w:w="3083" w:type="dxa"/>
                  <w:vAlign w:val="center"/>
                </w:tcPr>
                <w:p>
                  <w:pPr>
                    <w:ind w:firstLine="0" w:firstLineChars="0"/>
                    <w:jc w:val="center"/>
                    <w:rPr>
                      <w:rFonts w:cs="Times New Roman"/>
                      <w:sz w:val="21"/>
                      <w:szCs w:val="21"/>
                    </w:rPr>
                  </w:pPr>
                  <w:r>
                    <w:rPr>
                      <w:rFonts w:cs="Times New Roman"/>
                      <w:sz w:val="21"/>
                      <w:szCs w:val="21"/>
                    </w:rPr>
                    <w:t>交由环卫部门统一清运处置</w:t>
                  </w:r>
                </w:p>
              </w:tc>
            </w:tr>
          </w:tbl>
          <w:p>
            <w:pPr>
              <w:ind w:firstLine="48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cs="Times New Roman"/>
              </w:rPr>
            </w:pPr>
            <w:r>
              <w:rPr>
                <w:rFonts w:cs="Times New Roman"/>
              </w:rPr>
              <w:t>项目有关的原有环境污染问题</w:t>
            </w:r>
          </w:p>
        </w:tc>
        <w:tc>
          <w:tcPr>
            <w:tcW w:w="7705" w:type="dxa"/>
            <w:vAlign w:val="center"/>
          </w:tcPr>
          <w:p>
            <w:pPr>
              <w:pStyle w:val="47"/>
              <w:ind w:firstLine="480"/>
            </w:pPr>
            <w:r>
              <w:t>本项目为新建项目，</w:t>
            </w:r>
            <w:r>
              <w:rPr>
                <w:rFonts w:hint="eastAsia"/>
              </w:rPr>
              <w:t>本项目租用明溪县城关村王桥村叶厝坑江际坪山场</w:t>
            </w:r>
            <w:r>
              <w:t>原有矿区用地</w:t>
            </w:r>
            <w:r>
              <w:rPr>
                <w:rFonts w:hint="eastAsia"/>
              </w:rPr>
              <w:t>，根据现场勘察目前厂区范围内主要存在以下环境问题：</w:t>
            </w:r>
          </w:p>
          <w:p>
            <w:pPr>
              <w:pStyle w:val="47"/>
              <w:ind w:firstLine="480"/>
            </w:pPr>
            <w:r>
              <w:rPr>
                <w:rFonts w:hint="eastAsia"/>
              </w:rPr>
              <w:t>（1）厂区内遗留有部分原有矿区设备，截排水沟设置不明确；</w:t>
            </w:r>
          </w:p>
          <w:p>
            <w:pPr>
              <w:pStyle w:val="47"/>
              <w:ind w:firstLine="480"/>
            </w:pPr>
            <w:r>
              <w:rPr>
                <w:rFonts w:hint="eastAsia"/>
              </w:rPr>
              <w:t>（2）厂区内原有矿区沉淀池容积较小，且堆放有其他杂物。</w:t>
            </w:r>
          </w:p>
          <w:p>
            <w:pPr>
              <w:pStyle w:val="47"/>
              <w:ind w:firstLine="480"/>
            </w:pPr>
            <w:r>
              <w:rPr>
                <w:rFonts w:hint="eastAsia"/>
              </w:rPr>
              <w:t>本项目建设过程中将对以上环境问题进行整改，规范化建设截排水沟，按本评价要求建立符合容积要求的沉淀池。</w:t>
            </w:r>
          </w:p>
        </w:tc>
      </w:tr>
    </w:tbl>
    <w:p>
      <w:pPr>
        <w:ind w:firstLine="0" w:firstLineChars="0"/>
        <w:rPr>
          <w:rFonts w:cs="Times New Roman"/>
        </w:rPr>
      </w:pPr>
    </w:p>
    <w:p>
      <w:pPr>
        <w:pStyle w:val="6"/>
        <w:ind w:firstLine="602"/>
        <w:jc w:val="center"/>
        <w:rPr>
          <w:rFonts w:cs="Times New Roman"/>
        </w:rPr>
        <w:sectPr>
          <w:pgSz w:w="11906" w:h="16838"/>
          <w:pgMar w:top="1440" w:right="1800" w:bottom="1440" w:left="1800" w:header="851" w:footer="992" w:gutter="0"/>
          <w:cols w:space="720" w:num="1"/>
          <w:docGrid w:type="lines" w:linePitch="312" w:charSpace="0"/>
        </w:sectPr>
      </w:pPr>
    </w:p>
    <w:p>
      <w:pPr>
        <w:pStyle w:val="6"/>
        <w:ind w:firstLine="602"/>
        <w:jc w:val="center"/>
        <w:rPr>
          <w:rFonts w:cs="Times New Roman"/>
        </w:rPr>
      </w:pPr>
      <w:r>
        <w:rPr>
          <w:rFonts w:cs="Times New Roman"/>
        </w:rPr>
        <w:t>区域环境质量现状、环境保护目标及评价标准</w:t>
      </w:r>
    </w:p>
    <w:tbl>
      <w:tblPr>
        <w:tblStyle w:val="24"/>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cs="Times New Roman"/>
              </w:rPr>
            </w:pPr>
            <w:r>
              <w:rPr>
                <w:rFonts w:cs="Times New Roman"/>
              </w:rPr>
              <w:t>区域环境质量现状</w:t>
            </w:r>
          </w:p>
        </w:tc>
        <w:tc>
          <w:tcPr>
            <w:tcW w:w="7652" w:type="dxa"/>
            <w:vAlign w:val="center"/>
          </w:tcPr>
          <w:p>
            <w:pPr>
              <w:pStyle w:val="7"/>
              <w:ind w:firstLine="0" w:firstLineChars="0"/>
              <w:rPr>
                <w:rFonts w:ascii="Times New Roman" w:hAnsi="Times New Roman" w:eastAsia="宋体" w:cs="Times New Roman"/>
              </w:rPr>
            </w:pPr>
            <w:r>
              <w:rPr>
                <w:rFonts w:ascii="Times New Roman" w:hAnsi="Times New Roman" w:eastAsia="宋体" w:cs="Times New Roman"/>
              </w:rPr>
              <w:t>3.1水环境质量现状</w:t>
            </w:r>
          </w:p>
          <w:p>
            <w:pPr>
              <w:ind w:firstLine="480"/>
              <w:jc w:val="both"/>
              <w:rPr>
                <w:rFonts w:cs="Times New Roman"/>
              </w:rPr>
            </w:pPr>
            <w:r>
              <w:rPr>
                <w:rFonts w:cs="Times New Roman"/>
              </w:rPr>
              <w:t>（1）地表水水质现状调查</w:t>
            </w:r>
          </w:p>
          <w:p>
            <w:pPr>
              <w:widowControl/>
              <w:ind w:firstLine="480"/>
              <w:rPr>
                <w:rFonts w:cs="Times New Roman"/>
                <w:kern w:val="0"/>
              </w:rPr>
            </w:pPr>
            <w:r>
              <w:rPr>
                <w:rFonts w:cs="Times New Roman"/>
                <w:kern w:val="0"/>
              </w:rPr>
              <w:t>本项目周边地表水体为渔塘溪，根据三明市监测站提供的渔塘溪瀚仙及吉口断面的监测结果，渔塘溪水质监测因子可满足《地表水环境质量标准》（GB3838-2002）中</w:t>
            </w:r>
            <w:r>
              <w:rPr>
                <w:rFonts w:hint="eastAsia" w:ascii="宋体" w:hAnsi="宋体" w:cs="宋体"/>
                <w:kern w:val="0"/>
              </w:rPr>
              <w:t>Ⅲ</w:t>
            </w:r>
            <w:r>
              <w:rPr>
                <w:rFonts w:cs="Times New Roman"/>
                <w:kern w:val="0"/>
              </w:rPr>
              <w:t xml:space="preserve">类标准。 </w:t>
            </w:r>
          </w:p>
          <w:p>
            <w:pPr>
              <w:pStyle w:val="12"/>
              <w:adjustRightInd w:val="0"/>
              <w:snapToGrid w:val="0"/>
              <w:spacing w:before="156" w:beforeLines="50" w:after="93" w:afterLines="30"/>
              <w:ind w:firstLine="0" w:firstLineChars="0"/>
              <w:jc w:val="center"/>
              <w:rPr>
                <w:rFonts w:cs="Times New Roman"/>
                <w:b/>
                <w:bCs/>
                <w:kern w:val="0"/>
              </w:rPr>
            </w:pPr>
            <w:r>
              <w:rPr>
                <w:rFonts w:cs="Times New Roman"/>
                <w:b/>
                <w:bCs/>
                <w:kern w:val="0"/>
              </w:rPr>
              <w:t>表3-1</w:t>
            </w:r>
            <w:r>
              <w:rPr>
                <w:rFonts w:hint="eastAsia" w:cs="Times New Roman"/>
                <w:b/>
                <w:bCs/>
                <w:kern w:val="0"/>
              </w:rPr>
              <w:t xml:space="preserve"> </w:t>
            </w:r>
            <w:r>
              <w:rPr>
                <w:rFonts w:cs="Times New Roman"/>
                <w:b/>
                <w:bCs/>
                <w:kern w:val="0"/>
              </w:rPr>
              <w:t xml:space="preserve">鱼塘溪水质监测一览表 </w:t>
            </w:r>
            <w:r>
              <w:rPr>
                <w:rFonts w:hint="eastAsia" w:cs="Times New Roman"/>
                <w:b/>
                <w:bCs/>
                <w:kern w:val="0"/>
              </w:rPr>
              <w:t xml:space="preserve"> </w:t>
            </w:r>
            <w:r>
              <w:rPr>
                <w:rFonts w:cs="Times New Roman"/>
                <w:b/>
                <w:bCs/>
                <w:kern w:val="0"/>
              </w:rPr>
              <w:t>单位：mg/L</w:t>
            </w:r>
          </w:p>
          <w:tbl>
            <w:tblPr>
              <w:tblStyle w:val="24"/>
              <w:tblW w:w="74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55"/>
              <w:gridCol w:w="935"/>
              <w:gridCol w:w="908"/>
              <w:gridCol w:w="1391"/>
              <w:gridCol w:w="761"/>
              <w:gridCol w:w="747"/>
              <w:gridCol w:w="7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5" w:type="dxa"/>
                  <w:vAlign w:val="center"/>
                </w:tcPr>
                <w:p>
                  <w:pPr>
                    <w:pStyle w:val="35"/>
                    <w:jc w:val="center"/>
                    <w:rPr>
                      <w:rFonts w:cs="Times New Roman"/>
                      <w:b/>
                    </w:rPr>
                  </w:pPr>
                  <w:r>
                    <w:rPr>
                      <w:rFonts w:cs="Times New Roman"/>
                      <w:b/>
                    </w:rPr>
                    <w:t>采样日期</w:t>
                  </w:r>
                </w:p>
              </w:tc>
              <w:tc>
                <w:tcPr>
                  <w:tcW w:w="855" w:type="dxa"/>
                  <w:vAlign w:val="center"/>
                </w:tcPr>
                <w:p>
                  <w:pPr>
                    <w:pStyle w:val="35"/>
                    <w:jc w:val="center"/>
                    <w:rPr>
                      <w:rFonts w:cs="Times New Roman"/>
                      <w:b/>
                    </w:rPr>
                  </w:pPr>
                  <w:r>
                    <w:rPr>
                      <w:rFonts w:cs="Times New Roman"/>
                      <w:b/>
                    </w:rPr>
                    <w:t>监测断面名称</w:t>
                  </w:r>
                </w:p>
              </w:tc>
              <w:tc>
                <w:tcPr>
                  <w:tcW w:w="935" w:type="dxa"/>
                  <w:vAlign w:val="center"/>
                </w:tcPr>
                <w:p>
                  <w:pPr>
                    <w:pStyle w:val="35"/>
                    <w:jc w:val="center"/>
                    <w:rPr>
                      <w:rFonts w:cs="Times New Roman"/>
                      <w:b/>
                    </w:rPr>
                  </w:pPr>
                  <w:r>
                    <w:rPr>
                      <w:rFonts w:hint="eastAsia" w:cs="Times New Roman"/>
                      <w:b/>
                    </w:rPr>
                    <w:t>p</w:t>
                  </w:r>
                  <w:r>
                    <w:rPr>
                      <w:rFonts w:cs="Times New Roman"/>
                      <w:b/>
                    </w:rPr>
                    <w:t>H（无纲量）</w:t>
                  </w:r>
                </w:p>
              </w:tc>
              <w:tc>
                <w:tcPr>
                  <w:tcW w:w="908" w:type="dxa"/>
                  <w:vAlign w:val="center"/>
                </w:tcPr>
                <w:p>
                  <w:pPr>
                    <w:pStyle w:val="35"/>
                    <w:jc w:val="center"/>
                    <w:rPr>
                      <w:rFonts w:cs="Times New Roman"/>
                      <w:b/>
                    </w:rPr>
                  </w:pPr>
                  <w:r>
                    <w:rPr>
                      <w:rFonts w:cs="Times New Roman"/>
                      <w:b/>
                    </w:rPr>
                    <w:t>溶解氧</w:t>
                  </w:r>
                </w:p>
              </w:tc>
              <w:tc>
                <w:tcPr>
                  <w:tcW w:w="1391" w:type="dxa"/>
                  <w:vAlign w:val="center"/>
                </w:tcPr>
                <w:p>
                  <w:pPr>
                    <w:pStyle w:val="35"/>
                    <w:jc w:val="center"/>
                    <w:rPr>
                      <w:rFonts w:cs="Times New Roman"/>
                      <w:b/>
                    </w:rPr>
                  </w:pPr>
                  <w:r>
                    <w:rPr>
                      <w:rFonts w:cs="Times New Roman"/>
                      <w:b/>
                    </w:rPr>
                    <w:t>高锰酸钾指数</w:t>
                  </w:r>
                </w:p>
              </w:tc>
              <w:tc>
                <w:tcPr>
                  <w:tcW w:w="761" w:type="dxa"/>
                  <w:vAlign w:val="center"/>
                </w:tcPr>
                <w:p>
                  <w:pPr>
                    <w:pStyle w:val="35"/>
                    <w:jc w:val="center"/>
                    <w:rPr>
                      <w:rFonts w:cs="Times New Roman"/>
                      <w:b/>
                    </w:rPr>
                  </w:pPr>
                  <w:r>
                    <w:rPr>
                      <w:rFonts w:cs="Times New Roman"/>
                      <w:b/>
                    </w:rPr>
                    <w:t>氨氮</w:t>
                  </w:r>
                </w:p>
              </w:tc>
              <w:tc>
                <w:tcPr>
                  <w:tcW w:w="747" w:type="dxa"/>
                  <w:vAlign w:val="center"/>
                </w:tcPr>
                <w:p>
                  <w:pPr>
                    <w:pStyle w:val="35"/>
                    <w:jc w:val="center"/>
                    <w:rPr>
                      <w:rFonts w:cs="Times New Roman"/>
                      <w:b/>
                    </w:rPr>
                  </w:pPr>
                  <w:r>
                    <w:rPr>
                      <w:rFonts w:cs="Times New Roman"/>
                      <w:b/>
                    </w:rPr>
                    <w:t>总磷</w:t>
                  </w:r>
                </w:p>
              </w:tc>
              <w:tc>
                <w:tcPr>
                  <w:tcW w:w="705" w:type="dxa"/>
                  <w:vAlign w:val="center"/>
                </w:tcPr>
                <w:p>
                  <w:pPr>
                    <w:pStyle w:val="35"/>
                    <w:jc w:val="center"/>
                    <w:rPr>
                      <w:rFonts w:cs="Times New Roman"/>
                      <w:b/>
                    </w:rPr>
                  </w:pPr>
                  <w:r>
                    <w:rPr>
                      <w:rFonts w:cs="Times New Roman"/>
                      <w:b/>
                    </w:rPr>
                    <w:t>总氮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5" w:type="dxa"/>
                  <w:vMerge w:val="restart"/>
                  <w:vAlign w:val="center"/>
                </w:tcPr>
                <w:p>
                  <w:pPr>
                    <w:pStyle w:val="35"/>
                    <w:jc w:val="center"/>
                    <w:rPr>
                      <w:rFonts w:cs="Times New Roman"/>
                      <w:b/>
                      <w:bCs/>
                      <w:kern w:val="0"/>
                    </w:rPr>
                  </w:pPr>
                  <w:r>
                    <w:rPr>
                      <w:rFonts w:cs="Times New Roman"/>
                    </w:rPr>
                    <w:t>2021.01.05</w:t>
                  </w:r>
                </w:p>
              </w:tc>
              <w:tc>
                <w:tcPr>
                  <w:tcW w:w="855" w:type="dxa"/>
                  <w:vAlign w:val="center"/>
                </w:tcPr>
                <w:p>
                  <w:pPr>
                    <w:pStyle w:val="35"/>
                    <w:jc w:val="center"/>
                    <w:rPr>
                      <w:rFonts w:cs="Times New Roman"/>
                    </w:rPr>
                  </w:pPr>
                  <w:r>
                    <w:rPr>
                      <w:rFonts w:cs="Times New Roman"/>
                    </w:rPr>
                    <w:t>瀚仙</w:t>
                  </w:r>
                </w:p>
              </w:tc>
              <w:tc>
                <w:tcPr>
                  <w:tcW w:w="935" w:type="dxa"/>
                  <w:vAlign w:val="center"/>
                </w:tcPr>
                <w:p>
                  <w:pPr>
                    <w:pStyle w:val="35"/>
                    <w:jc w:val="center"/>
                    <w:rPr>
                      <w:rFonts w:cs="Times New Roman"/>
                      <w:kern w:val="0"/>
                    </w:rPr>
                  </w:pPr>
                  <w:r>
                    <w:rPr>
                      <w:rFonts w:cs="Times New Roman"/>
                      <w:kern w:val="0"/>
                    </w:rPr>
                    <w:t>7.93</w:t>
                  </w:r>
                </w:p>
              </w:tc>
              <w:tc>
                <w:tcPr>
                  <w:tcW w:w="908" w:type="dxa"/>
                  <w:vAlign w:val="center"/>
                </w:tcPr>
                <w:p>
                  <w:pPr>
                    <w:pStyle w:val="35"/>
                    <w:jc w:val="center"/>
                    <w:rPr>
                      <w:rFonts w:cs="Times New Roman"/>
                      <w:kern w:val="0"/>
                    </w:rPr>
                  </w:pPr>
                  <w:r>
                    <w:rPr>
                      <w:rFonts w:cs="Times New Roman"/>
                      <w:kern w:val="0"/>
                    </w:rPr>
                    <w:t>7.95</w:t>
                  </w:r>
                </w:p>
              </w:tc>
              <w:tc>
                <w:tcPr>
                  <w:tcW w:w="1391" w:type="dxa"/>
                  <w:vAlign w:val="center"/>
                </w:tcPr>
                <w:p>
                  <w:pPr>
                    <w:pStyle w:val="35"/>
                    <w:jc w:val="center"/>
                    <w:rPr>
                      <w:rFonts w:cs="Times New Roman"/>
                      <w:kern w:val="0"/>
                    </w:rPr>
                  </w:pPr>
                  <w:r>
                    <w:rPr>
                      <w:rFonts w:cs="Times New Roman"/>
                      <w:kern w:val="0"/>
                    </w:rPr>
                    <w:t>1.5</w:t>
                  </w:r>
                </w:p>
              </w:tc>
              <w:tc>
                <w:tcPr>
                  <w:tcW w:w="761" w:type="dxa"/>
                  <w:vAlign w:val="center"/>
                </w:tcPr>
                <w:p>
                  <w:pPr>
                    <w:pStyle w:val="35"/>
                    <w:jc w:val="center"/>
                    <w:rPr>
                      <w:rFonts w:cs="Times New Roman"/>
                      <w:kern w:val="0"/>
                    </w:rPr>
                  </w:pPr>
                  <w:r>
                    <w:rPr>
                      <w:rFonts w:cs="Times New Roman"/>
                      <w:kern w:val="0"/>
                    </w:rPr>
                    <w:t>0.374</w:t>
                  </w:r>
                </w:p>
              </w:tc>
              <w:tc>
                <w:tcPr>
                  <w:tcW w:w="747" w:type="dxa"/>
                  <w:vAlign w:val="center"/>
                </w:tcPr>
                <w:p>
                  <w:pPr>
                    <w:pStyle w:val="35"/>
                    <w:jc w:val="center"/>
                    <w:rPr>
                      <w:rFonts w:cs="Times New Roman"/>
                      <w:kern w:val="0"/>
                    </w:rPr>
                  </w:pPr>
                  <w:r>
                    <w:rPr>
                      <w:rFonts w:cs="Times New Roman"/>
                      <w:kern w:val="0"/>
                    </w:rPr>
                    <w:t>0.11</w:t>
                  </w:r>
                </w:p>
              </w:tc>
              <w:tc>
                <w:tcPr>
                  <w:tcW w:w="705" w:type="dxa"/>
                  <w:vAlign w:val="center"/>
                </w:tcPr>
                <w:p>
                  <w:pPr>
                    <w:pStyle w:val="35"/>
                    <w:jc w:val="center"/>
                    <w:rPr>
                      <w:rFonts w:cs="Times New Roman"/>
                      <w:kern w:val="0"/>
                    </w:rPr>
                  </w:pPr>
                  <w:r>
                    <w:rPr>
                      <w:rFonts w:cs="Times New Roman"/>
                      <w:kern w:val="0"/>
                    </w:rPr>
                    <w:t>1.73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5" w:type="dxa"/>
                  <w:vMerge w:val="continue"/>
                  <w:vAlign w:val="center"/>
                </w:tcPr>
                <w:p>
                  <w:pPr>
                    <w:pStyle w:val="35"/>
                    <w:jc w:val="center"/>
                    <w:rPr>
                      <w:rFonts w:cs="Times New Roman"/>
                      <w:b/>
                      <w:bCs/>
                      <w:kern w:val="0"/>
                    </w:rPr>
                  </w:pPr>
                </w:p>
              </w:tc>
              <w:tc>
                <w:tcPr>
                  <w:tcW w:w="855" w:type="dxa"/>
                  <w:vAlign w:val="center"/>
                </w:tcPr>
                <w:p>
                  <w:pPr>
                    <w:pStyle w:val="35"/>
                    <w:jc w:val="center"/>
                    <w:rPr>
                      <w:rFonts w:cs="Times New Roman"/>
                    </w:rPr>
                  </w:pPr>
                  <w:r>
                    <w:rPr>
                      <w:rFonts w:cs="Times New Roman"/>
                    </w:rPr>
                    <w:t>吉口</w:t>
                  </w:r>
                </w:p>
              </w:tc>
              <w:tc>
                <w:tcPr>
                  <w:tcW w:w="935" w:type="dxa"/>
                  <w:vAlign w:val="center"/>
                </w:tcPr>
                <w:p>
                  <w:pPr>
                    <w:pStyle w:val="35"/>
                    <w:jc w:val="center"/>
                    <w:rPr>
                      <w:rFonts w:cs="Times New Roman"/>
                      <w:kern w:val="0"/>
                    </w:rPr>
                  </w:pPr>
                  <w:r>
                    <w:rPr>
                      <w:rFonts w:cs="Times New Roman"/>
                      <w:kern w:val="0"/>
                    </w:rPr>
                    <w:t>8.03</w:t>
                  </w:r>
                </w:p>
              </w:tc>
              <w:tc>
                <w:tcPr>
                  <w:tcW w:w="908" w:type="dxa"/>
                  <w:vAlign w:val="center"/>
                </w:tcPr>
                <w:p>
                  <w:pPr>
                    <w:pStyle w:val="35"/>
                    <w:jc w:val="center"/>
                    <w:rPr>
                      <w:rFonts w:cs="Times New Roman"/>
                      <w:kern w:val="0"/>
                    </w:rPr>
                  </w:pPr>
                  <w:r>
                    <w:rPr>
                      <w:rFonts w:cs="Times New Roman"/>
                      <w:kern w:val="0"/>
                    </w:rPr>
                    <w:t>9.96</w:t>
                  </w:r>
                </w:p>
              </w:tc>
              <w:tc>
                <w:tcPr>
                  <w:tcW w:w="1391" w:type="dxa"/>
                  <w:vAlign w:val="center"/>
                </w:tcPr>
                <w:p>
                  <w:pPr>
                    <w:pStyle w:val="35"/>
                    <w:jc w:val="center"/>
                    <w:rPr>
                      <w:rFonts w:cs="Times New Roman"/>
                      <w:kern w:val="0"/>
                    </w:rPr>
                  </w:pPr>
                  <w:r>
                    <w:rPr>
                      <w:rFonts w:cs="Times New Roman"/>
                      <w:kern w:val="0"/>
                    </w:rPr>
                    <w:t>2.4</w:t>
                  </w:r>
                </w:p>
              </w:tc>
              <w:tc>
                <w:tcPr>
                  <w:tcW w:w="761" w:type="dxa"/>
                  <w:vAlign w:val="center"/>
                </w:tcPr>
                <w:p>
                  <w:pPr>
                    <w:pStyle w:val="35"/>
                    <w:jc w:val="center"/>
                    <w:rPr>
                      <w:rFonts w:cs="Times New Roman"/>
                      <w:kern w:val="0"/>
                    </w:rPr>
                  </w:pPr>
                  <w:r>
                    <w:rPr>
                      <w:rFonts w:cs="Times New Roman"/>
                      <w:kern w:val="0"/>
                    </w:rPr>
                    <w:t>0.031</w:t>
                  </w:r>
                </w:p>
              </w:tc>
              <w:tc>
                <w:tcPr>
                  <w:tcW w:w="747" w:type="dxa"/>
                  <w:vAlign w:val="center"/>
                </w:tcPr>
                <w:p>
                  <w:pPr>
                    <w:pStyle w:val="35"/>
                    <w:jc w:val="center"/>
                    <w:rPr>
                      <w:rFonts w:cs="Times New Roman"/>
                      <w:kern w:val="0"/>
                    </w:rPr>
                  </w:pPr>
                  <w:r>
                    <w:rPr>
                      <w:rFonts w:cs="Times New Roman"/>
                      <w:kern w:val="0"/>
                    </w:rPr>
                    <w:t>0.08</w:t>
                  </w:r>
                </w:p>
              </w:tc>
              <w:tc>
                <w:tcPr>
                  <w:tcW w:w="705" w:type="dxa"/>
                  <w:vAlign w:val="center"/>
                </w:tcPr>
                <w:p>
                  <w:pPr>
                    <w:pStyle w:val="35"/>
                    <w:jc w:val="center"/>
                    <w:rPr>
                      <w:rFonts w:cs="Times New Roman"/>
                      <w:kern w:val="0"/>
                    </w:rPr>
                  </w:pPr>
                  <w:r>
                    <w:rPr>
                      <w:rFonts w:cs="Times New Roman"/>
                      <w:kern w:val="0"/>
                    </w:rPr>
                    <w:t>1.23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5" w:type="dxa"/>
                  <w:vMerge w:val="restart"/>
                  <w:vAlign w:val="center"/>
                </w:tcPr>
                <w:p>
                  <w:pPr>
                    <w:pStyle w:val="35"/>
                    <w:jc w:val="center"/>
                    <w:rPr>
                      <w:rFonts w:cs="Times New Roman"/>
                      <w:b/>
                      <w:bCs/>
                      <w:kern w:val="0"/>
                    </w:rPr>
                  </w:pPr>
                  <w:r>
                    <w:rPr>
                      <w:rFonts w:cs="Times New Roman"/>
                    </w:rPr>
                    <w:t>2021.03.01</w:t>
                  </w:r>
                </w:p>
              </w:tc>
              <w:tc>
                <w:tcPr>
                  <w:tcW w:w="855" w:type="dxa"/>
                  <w:vAlign w:val="center"/>
                </w:tcPr>
                <w:p>
                  <w:pPr>
                    <w:pStyle w:val="35"/>
                    <w:jc w:val="center"/>
                    <w:rPr>
                      <w:rFonts w:cs="Times New Roman"/>
                      <w:b/>
                      <w:bCs/>
                      <w:kern w:val="0"/>
                    </w:rPr>
                  </w:pPr>
                  <w:r>
                    <w:rPr>
                      <w:rFonts w:cs="Times New Roman"/>
                    </w:rPr>
                    <w:t>瀚仙</w:t>
                  </w:r>
                </w:p>
              </w:tc>
              <w:tc>
                <w:tcPr>
                  <w:tcW w:w="935" w:type="dxa"/>
                  <w:vAlign w:val="center"/>
                </w:tcPr>
                <w:p>
                  <w:pPr>
                    <w:pStyle w:val="35"/>
                    <w:jc w:val="center"/>
                    <w:rPr>
                      <w:rFonts w:cs="Times New Roman"/>
                      <w:kern w:val="0"/>
                    </w:rPr>
                  </w:pPr>
                  <w:r>
                    <w:rPr>
                      <w:rFonts w:cs="Times New Roman"/>
                      <w:kern w:val="0"/>
                    </w:rPr>
                    <w:t>7.12</w:t>
                  </w:r>
                </w:p>
              </w:tc>
              <w:tc>
                <w:tcPr>
                  <w:tcW w:w="908" w:type="dxa"/>
                  <w:vAlign w:val="center"/>
                </w:tcPr>
                <w:p>
                  <w:pPr>
                    <w:pStyle w:val="35"/>
                    <w:jc w:val="center"/>
                    <w:rPr>
                      <w:rFonts w:cs="Times New Roman"/>
                      <w:kern w:val="0"/>
                    </w:rPr>
                  </w:pPr>
                  <w:r>
                    <w:rPr>
                      <w:rFonts w:cs="Times New Roman"/>
                      <w:kern w:val="0"/>
                    </w:rPr>
                    <w:t>6.6</w:t>
                  </w:r>
                </w:p>
              </w:tc>
              <w:tc>
                <w:tcPr>
                  <w:tcW w:w="1391" w:type="dxa"/>
                  <w:vAlign w:val="center"/>
                </w:tcPr>
                <w:p>
                  <w:pPr>
                    <w:pStyle w:val="35"/>
                    <w:jc w:val="center"/>
                    <w:rPr>
                      <w:rFonts w:cs="Times New Roman"/>
                      <w:kern w:val="0"/>
                    </w:rPr>
                  </w:pPr>
                  <w:r>
                    <w:rPr>
                      <w:rFonts w:cs="Times New Roman"/>
                      <w:kern w:val="0"/>
                    </w:rPr>
                    <w:t>2.8</w:t>
                  </w:r>
                </w:p>
              </w:tc>
              <w:tc>
                <w:tcPr>
                  <w:tcW w:w="761" w:type="dxa"/>
                  <w:vAlign w:val="center"/>
                </w:tcPr>
                <w:p>
                  <w:pPr>
                    <w:pStyle w:val="35"/>
                    <w:jc w:val="center"/>
                    <w:rPr>
                      <w:rFonts w:cs="Times New Roman"/>
                      <w:kern w:val="0"/>
                    </w:rPr>
                  </w:pPr>
                  <w:r>
                    <w:rPr>
                      <w:rFonts w:cs="Times New Roman"/>
                      <w:kern w:val="0"/>
                    </w:rPr>
                    <w:t>0.921</w:t>
                  </w:r>
                </w:p>
              </w:tc>
              <w:tc>
                <w:tcPr>
                  <w:tcW w:w="747" w:type="dxa"/>
                  <w:vAlign w:val="center"/>
                </w:tcPr>
                <w:p>
                  <w:pPr>
                    <w:pStyle w:val="35"/>
                    <w:jc w:val="center"/>
                    <w:rPr>
                      <w:rFonts w:cs="Times New Roman"/>
                      <w:kern w:val="0"/>
                    </w:rPr>
                  </w:pPr>
                  <w:r>
                    <w:rPr>
                      <w:rFonts w:cs="Times New Roman"/>
                      <w:kern w:val="0"/>
                    </w:rPr>
                    <w:t>0.11</w:t>
                  </w:r>
                </w:p>
              </w:tc>
              <w:tc>
                <w:tcPr>
                  <w:tcW w:w="705" w:type="dxa"/>
                  <w:vAlign w:val="center"/>
                </w:tcPr>
                <w:p>
                  <w:pPr>
                    <w:pStyle w:val="35"/>
                    <w:jc w:val="center"/>
                    <w:rPr>
                      <w:rFonts w:cs="Times New Roman"/>
                      <w:kern w:val="0"/>
                    </w:rPr>
                  </w:pPr>
                  <w:r>
                    <w:rPr>
                      <w:rFonts w:cs="Times New Roman"/>
                      <w:kern w:val="0"/>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5" w:type="dxa"/>
                  <w:vMerge w:val="continue"/>
                  <w:vAlign w:val="center"/>
                </w:tcPr>
                <w:p>
                  <w:pPr>
                    <w:pStyle w:val="35"/>
                    <w:jc w:val="center"/>
                    <w:rPr>
                      <w:rFonts w:cs="Times New Roman"/>
                      <w:b/>
                      <w:bCs/>
                      <w:kern w:val="0"/>
                    </w:rPr>
                  </w:pPr>
                </w:p>
              </w:tc>
              <w:tc>
                <w:tcPr>
                  <w:tcW w:w="855" w:type="dxa"/>
                  <w:vAlign w:val="center"/>
                </w:tcPr>
                <w:p>
                  <w:pPr>
                    <w:pStyle w:val="35"/>
                    <w:jc w:val="center"/>
                    <w:rPr>
                      <w:rFonts w:cs="Times New Roman"/>
                      <w:b/>
                      <w:bCs/>
                      <w:kern w:val="0"/>
                    </w:rPr>
                  </w:pPr>
                  <w:r>
                    <w:rPr>
                      <w:rFonts w:cs="Times New Roman"/>
                    </w:rPr>
                    <w:t>吉口</w:t>
                  </w:r>
                </w:p>
              </w:tc>
              <w:tc>
                <w:tcPr>
                  <w:tcW w:w="935" w:type="dxa"/>
                  <w:vAlign w:val="center"/>
                </w:tcPr>
                <w:p>
                  <w:pPr>
                    <w:pStyle w:val="35"/>
                    <w:jc w:val="center"/>
                    <w:rPr>
                      <w:rFonts w:cs="Times New Roman"/>
                      <w:kern w:val="0"/>
                    </w:rPr>
                  </w:pPr>
                  <w:r>
                    <w:rPr>
                      <w:rFonts w:cs="Times New Roman"/>
                      <w:kern w:val="0"/>
                    </w:rPr>
                    <w:t>7.47</w:t>
                  </w:r>
                </w:p>
              </w:tc>
              <w:tc>
                <w:tcPr>
                  <w:tcW w:w="908" w:type="dxa"/>
                  <w:vAlign w:val="center"/>
                </w:tcPr>
                <w:p>
                  <w:pPr>
                    <w:pStyle w:val="35"/>
                    <w:jc w:val="center"/>
                    <w:rPr>
                      <w:rFonts w:cs="Times New Roman"/>
                      <w:kern w:val="0"/>
                    </w:rPr>
                  </w:pPr>
                  <w:r>
                    <w:rPr>
                      <w:rFonts w:cs="Times New Roman"/>
                      <w:kern w:val="0"/>
                    </w:rPr>
                    <w:t>9.31</w:t>
                  </w:r>
                </w:p>
              </w:tc>
              <w:tc>
                <w:tcPr>
                  <w:tcW w:w="1391" w:type="dxa"/>
                  <w:vAlign w:val="center"/>
                </w:tcPr>
                <w:p>
                  <w:pPr>
                    <w:pStyle w:val="35"/>
                    <w:jc w:val="center"/>
                    <w:rPr>
                      <w:rFonts w:cs="Times New Roman"/>
                      <w:kern w:val="0"/>
                    </w:rPr>
                  </w:pPr>
                  <w:r>
                    <w:rPr>
                      <w:rFonts w:cs="Times New Roman"/>
                      <w:kern w:val="0"/>
                    </w:rPr>
                    <w:t>2.0</w:t>
                  </w:r>
                </w:p>
              </w:tc>
              <w:tc>
                <w:tcPr>
                  <w:tcW w:w="761" w:type="dxa"/>
                  <w:vAlign w:val="center"/>
                </w:tcPr>
                <w:p>
                  <w:pPr>
                    <w:pStyle w:val="35"/>
                    <w:jc w:val="center"/>
                    <w:rPr>
                      <w:rFonts w:cs="Times New Roman"/>
                      <w:kern w:val="0"/>
                    </w:rPr>
                  </w:pPr>
                  <w:r>
                    <w:rPr>
                      <w:rFonts w:cs="Times New Roman"/>
                      <w:kern w:val="0"/>
                    </w:rPr>
                    <w:t>0.238</w:t>
                  </w:r>
                </w:p>
              </w:tc>
              <w:tc>
                <w:tcPr>
                  <w:tcW w:w="747" w:type="dxa"/>
                  <w:vAlign w:val="center"/>
                </w:tcPr>
                <w:p>
                  <w:pPr>
                    <w:pStyle w:val="35"/>
                    <w:jc w:val="center"/>
                    <w:rPr>
                      <w:rFonts w:cs="Times New Roman"/>
                      <w:kern w:val="0"/>
                    </w:rPr>
                  </w:pPr>
                  <w:r>
                    <w:rPr>
                      <w:rFonts w:cs="Times New Roman"/>
                      <w:kern w:val="0"/>
                    </w:rPr>
                    <w:t>0.08</w:t>
                  </w:r>
                </w:p>
              </w:tc>
              <w:tc>
                <w:tcPr>
                  <w:tcW w:w="705" w:type="dxa"/>
                  <w:vAlign w:val="center"/>
                </w:tcPr>
                <w:p>
                  <w:pPr>
                    <w:pStyle w:val="35"/>
                    <w:jc w:val="center"/>
                    <w:rPr>
                      <w:rFonts w:cs="Times New Roman"/>
                      <w:kern w:val="0"/>
                    </w:rPr>
                  </w:pPr>
                  <w:r>
                    <w:rPr>
                      <w:rFonts w:cs="Times New Roman"/>
                      <w:kern w:val="0"/>
                    </w:rPr>
                    <w:t>1.83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5" w:type="dxa"/>
                  <w:vMerge w:val="restart"/>
                  <w:vAlign w:val="center"/>
                </w:tcPr>
                <w:p>
                  <w:pPr>
                    <w:pStyle w:val="35"/>
                    <w:jc w:val="center"/>
                    <w:rPr>
                      <w:rFonts w:cs="Times New Roman"/>
                      <w:b/>
                      <w:bCs/>
                      <w:kern w:val="0"/>
                    </w:rPr>
                  </w:pPr>
                  <w:r>
                    <w:rPr>
                      <w:rFonts w:cs="Times New Roman"/>
                    </w:rPr>
                    <w:t>2021.05.06</w:t>
                  </w:r>
                </w:p>
              </w:tc>
              <w:tc>
                <w:tcPr>
                  <w:tcW w:w="855" w:type="dxa"/>
                  <w:vAlign w:val="center"/>
                </w:tcPr>
                <w:p>
                  <w:pPr>
                    <w:pStyle w:val="35"/>
                    <w:jc w:val="center"/>
                    <w:rPr>
                      <w:rFonts w:cs="Times New Roman"/>
                      <w:b/>
                      <w:bCs/>
                      <w:kern w:val="0"/>
                    </w:rPr>
                  </w:pPr>
                  <w:r>
                    <w:rPr>
                      <w:rFonts w:cs="Times New Roman"/>
                    </w:rPr>
                    <w:t>瀚仙</w:t>
                  </w:r>
                </w:p>
              </w:tc>
              <w:tc>
                <w:tcPr>
                  <w:tcW w:w="935" w:type="dxa"/>
                  <w:vAlign w:val="center"/>
                </w:tcPr>
                <w:p>
                  <w:pPr>
                    <w:pStyle w:val="35"/>
                    <w:jc w:val="center"/>
                    <w:rPr>
                      <w:rFonts w:cs="Times New Roman"/>
                      <w:kern w:val="0"/>
                    </w:rPr>
                  </w:pPr>
                  <w:r>
                    <w:rPr>
                      <w:rFonts w:cs="Times New Roman"/>
                      <w:kern w:val="0"/>
                    </w:rPr>
                    <w:t>7.94</w:t>
                  </w:r>
                </w:p>
              </w:tc>
              <w:tc>
                <w:tcPr>
                  <w:tcW w:w="908" w:type="dxa"/>
                  <w:vAlign w:val="center"/>
                </w:tcPr>
                <w:p>
                  <w:pPr>
                    <w:pStyle w:val="35"/>
                    <w:jc w:val="center"/>
                    <w:rPr>
                      <w:rFonts w:cs="Times New Roman"/>
                      <w:kern w:val="0"/>
                    </w:rPr>
                  </w:pPr>
                  <w:r>
                    <w:rPr>
                      <w:rFonts w:cs="Times New Roman"/>
                      <w:kern w:val="0"/>
                    </w:rPr>
                    <w:t>7.17</w:t>
                  </w:r>
                </w:p>
              </w:tc>
              <w:tc>
                <w:tcPr>
                  <w:tcW w:w="1391" w:type="dxa"/>
                  <w:vAlign w:val="center"/>
                </w:tcPr>
                <w:p>
                  <w:pPr>
                    <w:pStyle w:val="35"/>
                    <w:jc w:val="center"/>
                    <w:rPr>
                      <w:rFonts w:cs="Times New Roman"/>
                      <w:kern w:val="0"/>
                    </w:rPr>
                  </w:pPr>
                  <w:r>
                    <w:rPr>
                      <w:rFonts w:cs="Times New Roman"/>
                      <w:kern w:val="0"/>
                    </w:rPr>
                    <w:t>4.6</w:t>
                  </w:r>
                </w:p>
              </w:tc>
              <w:tc>
                <w:tcPr>
                  <w:tcW w:w="761" w:type="dxa"/>
                  <w:vAlign w:val="center"/>
                </w:tcPr>
                <w:p>
                  <w:pPr>
                    <w:pStyle w:val="35"/>
                    <w:jc w:val="center"/>
                    <w:rPr>
                      <w:rFonts w:cs="Times New Roman"/>
                      <w:kern w:val="0"/>
                    </w:rPr>
                  </w:pPr>
                  <w:r>
                    <w:rPr>
                      <w:rFonts w:cs="Times New Roman"/>
                      <w:kern w:val="0"/>
                    </w:rPr>
                    <w:t>0.968</w:t>
                  </w:r>
                </w:p>
              </w:tc>
              <w:tc>
                <w:tcPr>
                  <w:tcW w:w="747" w:type="dxa"/>
                  <w:vAlign w:val="center"/>
                </w:tcPr>
                <w:p>
                  <w:pPr>
                    <w:pStyle w:val="35"/>
                    <w:jc w:val="center"/>
                    <w:rPr>
                      <w:rFonts w:cs="Times New Roman"/>
                      <w:kern w:val="0"/>
                    </w:rPr>
                  </w:pPr>
                  <w:r>
                    <w:rPr>
                      <w:rFonts w:cs="Times New Roman"/>
                      <w:kern w:val="0"/>
                    </w:rPr>
                    <w:t>0.1</w:t>
                  </w:r>
                </w:p>
              </w:tc>
              <w:tc>
                <w:tcPr>
                  <w:tcW w:w="705" w:type="dxa"/>
                  <w:vAlign w:val="center"/>
                </w:tcPr>
                <w:p>
                  <w:pPr>
                    <w:pStyle w:val="35"/>
                    <w:jc w:val="center"/>
                    <w:rPr>
                      <w:rFonts w:cs="Times New Roman"/>
                      <w:kern w:val="0"/>
                    </w:rPr>
                  </w:pPr>
                  <w:r>
                    <w:rPr>
                      <w:rFonts w:cs="Times New Roman"/>
                      <w:kern w:val="0"/>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5" w:type="dxa"/>
                  <w:vMerge w:val="continue"/>
                  <w:vAlign w:val="center"/>
                </w:tcPr>
                <w:p>
                  <w:pPr>
                    <w:pStyle w:val="35"/>
                    <w:jc w:val="center"/>
                    <w:rPr>
                      <w:rFonts w:cs="Times New Roman"/>
                      <w:b/>
                      <w:bCs/>
                      <w:kern w:val="0"/>
                    </w:rPr>
                  </w:pPr>
                </w:p>
              </w:tc>
              <w:tc>
                <w:tcPr>
                  <w:tcW w:w="855" w:type="dxa"/>
                  <w:vAlign w:val="center"/>
                </w:tcPr>
                <w:p>
                  <w:pPr>
                    <w:pStyle w:val="35"/>
                    <w:jc w:val="center"/>
                    <w:rPr>
                      <w:rFonts w:cs="Times New Roman"/>
                      <w:b/>
                      <w:bCs/>
                      <w:kern w:val="0"/>
                    </w:rPr>
                  </w:pPr>
                  <w:r>
                    <w:rPr>
                      <w:rFonts w:cs="Times New Roman"/>
                    </w:rPr>
                    <w:t>吉口</w:t>
                  </w:r>
                </w:p>
              </w:tc>
              <w:tc>
                <w:tcPr>
                  <w:tcW w:w="935" w:type="dxa"/>
                  <w:vAlign w:val="center"/>
                </w:tcPr>
                <w:p>
                  <w:pPr>
                    <w:pStyle w:val="35"/>
                    <w:jc w:val="center"/>
                    <w:rPr>
                      <w:rFonts w:cs="Times New Roman"/>
                      <w:kern w:val="0"/>
                    </w:rPr>
                  </w:pPr>
                  <w:r>
                    <w:rPr>
                      <w:rFonts w:cs="Times New Roman"/>
                      <w:kern w:val="0"/>
                    </w:rPr>
                    <w:t>7.87</w:t>
                  </w:r>
                </w:p>
              </w:tc>
              <w:tc>
                <w:tcPr>
                  <w:tcW w:w="908" w:type="dxa"/>
                  <w:vAlign w:val="center"/>
                </w:tcPr>
                <w:p>
                  <w:pPr>
                    <w:pStyle w:val="35"/>
                    <w:jc w:val="center"/>
                    <w:rPr>
                      <w:rFonts w:cs="Times New Roman"/>
                      <w:kern w:val="0"/>
                    </w:rPr>
                  </w:pPr>
                  <w:r>
                    <w:rPr>
                      <w:rFonts w:cs="Times New Roman"/>
                      <w:kern w:val="0"/>
                    </w:rPr>
                    <w:t>7.23</w:t>
                  </w:r>
                </w:p>
              </w:tc>
              <w:tc>
                <w:tcPr>
                  <w:tcW w:w="1391" w:type="dxa"/>
                  <w:vAlign w:val="center"/>
                </w:tcPr>
                <w:p>
                  <w:pPr>
                    <w:pStyle w:val="35"/>
                    <w:jc w:val="center"/>
                    <w:rPr>
                      <w:rFonts w:cs="Times New Roman"/>
                      <w:kern w:val="0"/>
                    </w:rPr>
                  </w:pPr>
                  <w:r>
                    <w:rPr>
                      <w:rFonts w:cs="Times New Roman"/>
                      <w:kern w:val="0"/>
                    </w:rPr>
                    <w:t>3.2</w:t>
                  </w:r>
                </w:p>
              </w:tc>
              <w:tc>
                <w:tcPr>
                  <w:tcW w:w="761" w:type="dxa"/>
                  <w:vAlign w:val="center"/>
                </w:tcPr>
                <w:p>
                  <w:pPr>
                    <w:pStyle w:val="35"/>
                    <w:jc w:val="center"/>
                    <w:rPr>
                      <w:rFonts w:cs="Times New Roman"/>
                      <w:kern w:val="0"/>
                    </w:rPr>
                  </w:pPr>
                  <w:r>
                    <w:rPr>
                      <w:rFonts w:cs="Times New Roman"/>
                      <w:kern w:val="0"/>
                    </w:rPr>
                    <w:t>0.085</w:t>
                  </w:r>
                </w:p>
              </w:tc>
              <w:tc>
                <w:tcPr>
                  <w:tcW w:w="747" w:type="dxa"/>
                  <w:vAlign w:val="center"/>
                </w:tcPr>
                <w:p>
                  <w:pPr>
                    <w:pStyle w:val="35"/>
                    <w:jc w:val="center"/>
                    <w:rPr>
                      <w:rFonts w:cs="Times New Roman"/>
                      <w:kern w:val="0"/>
                    </w:rPr>
                  </w:pPr>
                  <w:r>
                    <w:rPr>
                      <w:rFonts w:cs="Times New Roman"/>
                      <w:kern w:val="0"/>
                    </w:rPr>
                    <w:t>0.009</w:t>
                  </w:r>
                </w:p>
              </w:tc>
              <w:tc>
                <w:tcPr>
                  <w:tcW w:w="705" w:type="dxa"/>
                  <w:vAlign w:val="center"/>
                </w:tcPr>
                <w:p>
                  <w:pPr>
                    <w:pStyle w:val="35"/>
                    <w:jc w:val="center"/>
                    <w:rPr>
                      <w:rFonts w:cs="Times New Roman"/>
                      <w:kern w:val="0"/>
                    </w:rPr>
                  </w:pPr>
                  <w:r>
                    <w:rPr>
                      <w:rFonts w:cs="Times New Roman"/>
                      <w:kern w:val="0"/>
                    </w:rPr>
                    <w:t>1.83</w:t>
                  </w:r>
                </w:p>
              </w:tc>
            </w:tr>
          </w:tbl>
          <w:p>
            <w:pPr>
              <w:pStyle w:val="47"/>
              <w:ind w:firstLine="480"/>
            </w:pPr>
            <w:r>
              <w:t>（2）引用资料的有效性分析</w:t>
            </w:r>
          </w:p>
          <w:p>
            <w:pPr>
              <w:pStyle w:val="47"/>
              <w:ind w:firstLine="480"/>
            </w:pPr>
            <w:r>
              <w:t>根据《建设项目环境影响报告表编制技术指南(污染影响类)(试行)》(环办环评〔2020〕33号)的要求：“地表水环境区域环境质量现状引用与建设项目距离近的有效数据，包括近3年的规划环境影响评价的监测数据，所在流域控制单元内国家、地方控制断面监测数据，生态环境主管部门发布的水环境质量数据或地表水达标情况的结论”，本次评价引用</w:t>
            </w:r>
            <w:r>
              <w:rPr>
                <w:kern w:val="0"/>
              </w:rPr>
              <w:t>三明市监测站提供的渔塘溪瀚仙及吉口断面监测数据，属于流域控制单元内的地方控制断面监测数据</w:t>
            </w:r>
            <w:r>
              <w:t>，符合《建设项目环境影响报告表编制技术指南(污染影响类)(试行)》(环办环评〔2020〕33号)的要求。</w:t>
            </w:r>
          </w:p>
          <w:p>
            <w:pPr>
              <w:pStyle w:val="7"/>
              <w:ind w:firstLine="0" w:firstLineChars="0"/>
              <w:rPr>
                <w:rFonts w:ascii="Times New Roman" w:hAnsi="Times New Roman" w:eastAsia="宋体" w:cs="Times New Roman"/>
              </w:rPr>
            </w:pPr>
            <w:r>
              <w:rPr>
                <w:rFonts w:ascii="Times New Roman" w:hAnsi="Times New Roman" w:eastAsia="宋体" w:cs="Times New Roman"/>
              </w:rPr>
              <w:t>3.2大气环境质量现状</w:t>
            </w:r>
          </w:p>
          <w:p>
            <w:pPr>
              <w:pStyle w:val="47"/>
              <w:ind w:firstLine="480"/>
            </w:pPr>
            <w:r>
              <w:t>（1）区域环境空气质量现状</w:t>
            </w:r>
          </w:p>
          <w:p>
            <w:pPr>
              <w:pStyle w:val="47"/>
              <w:ind w:firstLine="480"/>
            </w:pPr>
            <w:r>
              <w:t>按《环境影响评价技术导则大气环境》（HJ2.2-2018）要求，城市环境空气质量达标情况评价指标为SO</w:t>
            </w:r>
            <w:r>
              <w:rPr>
                <w:vertAlign w:val="subscript"/>
              </w:rPr>
              <w:t>2</w:t>
            </w:r>
            <w:r>
              <w:t>、NO</w:t>
            </w:r>
            <w:r>
              <w:rPr>
                <w:vertAlign w:val="subscript"/>
              </w:rPr>
              <w:t>2</w:t>
            </w:r>
            <w:r>
              <w:t>、PM</w:t>
            </w:r>
            <w:r>
              <w:rPr>
                <w:vertAlign w:val="subscript"/>
              </w:rPr>
              <w:t>10</w:t>
            </w:r>
            <w:r>
              <w:t>、PM</w:t>
            </w:r>
            <w:r>
              <w:rPr>
                <w:vertAlign w:val="subscript"/>
              </w:rPr>
              <w:t>2.5</w:t>
            </w:r>
            <w:r>
              <w:t>、CO和O</w:t>
            </w:r>
            <w:r>
              <w:rPr>
                <w:vertAlign w:val="subscript"/>
              </w:rPr>
              <w:t>3</w:t>
            </w:r>
            <w:r>
              <w:t>，六项污染物全部达标即为城市环境空气质量达标。项目所在区域达标判定，优先采用国家或地方生态环境主管部门公开公布的评价基准年环境质量公告或环境质量报告中的数据或结论。</w:t>
            </w:r>
          </w:p>
          <w:p>
            <w:pPr>
              <w:pStyle w:val="47"/>
              <w:ind w:firstLine="480"/>
            </w:pPr>
            <w:r>
              <w:t>根据明溪县发布的2021年1月~2021年12月份明溪县环境空气质量月报，2021年连续1年的大气常规因子环境空气质量监测数据详见表3-2。</w:t>
            </w:r>
          </w:p>
          <w:p>
            <w:pPr>
              <w:pStyle w:val="12"/>
              <w:adjustRightInd w:val="0"/>
              <w:snapToGrid w:val="0"/>
              <w:spacing w:before="156" w:beforeLines="50" w:after="93" w:afterLines="30"/>
              <w:ind w:firstLine="0" w:firstLineChars="0"/>
              <w:jc w:val="center"/>
              <w:rPr>
                <w:rFonts w:cs="Times New Roman"/>
                <w:b/>
                <w:bCs/>
                <w:kern w:val="0"/>
                <w:vertAlign w:val="superscript"/>
              </w:rPr>
            </w:pPr>
            <w:r>
              <w:rPr>
                <w:rFonts w:cs="Times New Roman"/>
                <w:b/>
                <w:bCs/>
              </w:rPr>
              <w:t xml:space="preserve">表3-2 </w:t>
            </w:r>
            <w:r>
              <w:rPr>
                <w:rFonts w:cs="Times New Roman"/>
                <w:b/>
                <w:bCs/>
                <w:kern w:val="0"/>
              </w:rPr>
              <w:t>2021年度明溪县大气环境质量情况</w:t>
            </w:r>
          </w:p>
          <w:tbl>
            <w:tblPr>
              <w:tblStyle w:val="24"/>
              <w:tblW w:w="75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63"/>
              <w:gridCol w:w="904"/>
              <w:gridCol w:w="811"/>
              <w:gridCol w:w="858"/>
              <w:gridCol w:w="858"/>
              <w:gridCol w:w="998"/>
              <w:gridCol w:w="1063"/>
              <w:gridCol w:w="837"/>
              <w:gridCol w:w="7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vMerge w:val="restart"/>
                  <w:shd w:val="clear" w:color="auto" w:fill="FFFFFF"/>
                  <w:vAlign w:val="center"/>
                </w:tcPr>
                <w:p>
                  <w:pPr>
                    <w:pStyle w:val="35"/>
                    <w:jc w:val="center"/>
                    <w:rPr>
                      <w:rFonts w:cs="Times New Roman"/>
                      <w:b/>
                    </w:rPr>
                  </w:pPr>
                  <w:r>
                    <w:rPr>
                      <w:rFonts w:cs="Times New Roman"/>
                      <w:b/>
                    </w:rPr>
                    <w:t>监测时间</w:t>
                  </w:r>
                </w:p>
              </w:tc>
              <w:tc>
                <w:tcPr>
                  <w:tcW w:w="904"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监测</w:t>
                  </w:r>
                </w:p>
                <w:p>
                  <w:pPr>
                    <w:pStyle w:val="35"/>
                    <w:jc w:val="center"/>
                    <w:rPr>
                      <w:rFonts w:cs="Times New Roman"/>
                      <w:b/>
                    </w:rPr>
                  </w:pPr>
                  <w:r>
                    <w:rPr>
                      <w:rFonts w:cs="Times New Roman"/>
                      <w:b/>
                    </w:rPr>
                    <w:t>项目</w:t>
                  </w:r>
                </w:p>
              </w:tc>
              <w:tc>
                <w:tcPr>
                  <w:tcW w:w="811"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SO</w:t>
                  </w:r>
                  <w:r>
                    <w:rPr>
                      <w:rFonts w:cs="Times New Roman"/>
                      <w:b/>
                      <w:vertAlign w:val="subscript"/>
                    </w:rPr>
                    <w:t>2</w:t>
                  </w:r>
                </w:p>
              </w:tc>
              <w:tc>
                <w:tcPr>
                  <w:tcW w:w="858"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NO</w:t>
                  </w:r>
                  <w:r>
                    <w:rPr>
                      <w:rFonts w:cs="Times New Roman"/>
                      <w:b/>
                      <w:vertAlign w:val="subscript"/>
                    </w:rPr>
                    <w:t>2</w:t>
                  </w:r>
                </w:p>
              </w:tc>
              <w:tc>
                <w:tcPr>
                  <w:tcW w:w="858"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PM</w:t>
                  </w:r>
                  <w:r>
                    <w:rPr>
                      <w:rFonts w:cs="Times New Roman"/>
                      <w:b/>
                      <w:vertAlign w:val="subscript"/>
                    </w:rPr>
                    <w:t>10</w:t>
                  </w:r>
                </w:p>
              </w:tc>
              <w:tc>
                <w:tcPr>
                  <w:tcW w:w="998"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CO</w:t>
                  </w:r>
                </w:p>
              </w:tc>
              <w:tc>
                <w:tcPr>
                  <w:tcW w:w="1063"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O</w:t>
                  </w:r>
                  <w:r>
                    <w:rPr>
                      <w:rFonts w:cs="Times New Roman"/>
                      <w:b/>
                      <w:vertAlign w:val="subscript"/>
                    </w:rPr>
                    <w:t>3</w:t>
                  </w:r>
                  <w:r>
                    <w:rPr>
                      <w:rFonts w:cs="Times New Roman"/>
                      <w:b/>
                    </w:rPr>
                    <w:t>（8h）</w:t>
                  </w:r>
                </w:p>
              </w:tc>
              <w:tc>
                <w:tcPr>
                  <w:tcW w:w="837"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PM</w:t>
                  </w:r>
                  <w:r>
                    <w:rPr>
                      <w:rFonts w:cs="Times New Roman"/>
                      <w:b/>
                      <w:vertAlign w:val="subscript"/>
                    </w:rPr>
                    <w:t>2.5</w:t>
                  </w:r>
                </w:p>
              </w:tc>
              <w:tc>
                <w:tcPr>
                  <w:tcW w:w="734" w:type="dxa"/>
                  <w:vMerge w:val="restart"/>
                  <w:shd w:val="clear" w:color="auto" w:fill="FFFFFF"/>
                  <w:vAlign w:val="center"/>
                </w:tcPr>
                <w:p>
                  <w:pPr>
                    <w:pStyle w:val="35"/>
                    <w:jc w:val="center"/>
                    <w:rPr>
                      <w:rFonts w:cs="Times New Roman"/>
                      <w:b/>
                    </w:rPr>
                  </w:pPr>
                  <w:r>
                    <w:rPr>
                      <w:rFonts w:cs="Times New Roman"/>
                      <w:b/>
                    </w:rPr>
                    <w:t>达标天数</w:t>
                  </w:r>
                </w:p>
                <w:p>
                  <w:pPr>
                    <w:pStyle w:val="35"/>
                    <w:jc w:val="center"/>
                    <w:rPr>
                      <w:rFonts w:cs="Times New Roman"/>
                      <w:b/>
                    </w:rPr>
                  </w:pPr>
                  <w:r>
                    <w:rPr>
                      <w:rFonts w:cs="Times New Roman"/>
                      <w:b/>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vMerge w:val="continue"/>
                  <w:shd w:val="clear" w:color="auto" w:fill="FFFFFF"/>
                  <w:vAlign w:val="center"/>
                </w:tcPr>
                <w:p>
                  <w:pPr>
                    <w:pStyle w:val="35"/>
                    <w:jc w:val="center"/>
                    <w:rPr>
                      <w:rFonts w:cs="Times New Roman"/>
                    </w:rPr>
                  </w:pPr>
                </w:p>
              </w:tc>
              <w:tc>
                <w:tcPr>
                  <w:tcW w:w="904"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单位</w:t>
                  </w:r>
                </w:p>
              </w:tc>
              <w:tc>
                <w:tcPr>
                  <w:tcW w:w="811"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均值μg/m</w:t>
                  </w:r>
                  <w:r>
                    <w:rPr>
                      <w:rFonts w:cs="Times New Roman"/>
                      <w:b/>
                      <w:vertAlign w:val="superscript"/>
                    </w:rPr>
                    <w:t>3</w:t>
                  </w:r>
                </w:p>
              </w:tc>
              <w:tc>
                <w:tcPr>
                  <w:tcW w:w="858"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均值μg/m</w:t>
                  </w:r>
                  <w:r>
                    <w:rPr>
                      <w:rFonts w:cs="Times New Roman"/>
                      <w:b/>
                      <w:vertAlign w:val="superscript"/>
                    </w:rPr>
                    <w:t>3</w:t>
                  </w:r>
                </w:p>
              </w:tc>
              <w:tc>
                <w:tcPr>
                  <w:tcW w:w="858"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均值μg/m</w:t>
                  </w:r>
                  <w:r>
                    <w:rPr>
                      <w:rFonts w:cs="Times New Roman"/>
                      <w:b/>
                      <w:vertAlign w:val="superscript"/>
                    </w:rPr>
                    <w:t>3</w:t>
                  </w:r>
                </w:p>
              </w:tc>
              <w:tc>
                <w:tcPr>
                  <w:tcW w:w="998"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第95百分位数</w:t>
                  </w:r>
                </w:p>
                <w:p>
                  <w:pPr>
                    <w:pStyle w:val="35"/>
                    <w:jc w:val="center"/>
                    <w:rPr>
                      <w:rFonts w:cs="Times New Roman"/>
                      <w:b/>
                    </w:rPr>
                  </w:pPr>
                  <w:r>
                    <w:rPr>
                      <w:rFonts w:cs="Times New Roman"/>
                      <w:b/>
                    </w:rPr>
                    <w:t>mg/m</w:t>
                  </w:r>
                  <w:r>
                    <w:rPr>
                      <w:rFonts w:cs="Times New Roman"/>
                      <w:b/>
                      <w:vertAlign w:val="superscript"/>
                    </w:rPr>
                    <w:t>3</w:t>
                  </w:r>
                </w:p>
              </w:tc>
              <w:tc>
                <w:tcPr>
                  <w:tcW w:w="1063"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第90百分位数</w:t>
                  </w:r>
                </w:p>
                <w:p>
                  <w:pPr>
                    <w:pStyle w:val="35"/>
                    <w:jc w:val="center"/>
                    <w:rPr>
                      <w:rFonts w:cs="Times New Roman"/>
                      <w:b/>
                    </w:rPr>
                  </w:pPr>
                  <w:r>
                    <w:rPr>
                      <w:rFonts w:cs="Times New Roman"/>
                      <w:b/>
                    </w:rPr>
                    <w:t>μg/m</w:t>
                  </w:r>
                  <w:r>
                    <w:rPr>
                      <w:rFonts w:cs="Times New Roman"/>
                      <w:b/>
                      <w:vertAlign w:val="superscript"/>
                    </w:rPr>
                    <w:t>3</w:t>
                  </w:r>
                </w:p>
              </w:tc>
              <w:tc>
                <w:tcPr>
                  <w:tcW w:w="837" w:type="dxa"/>
                  <w:shd w:val="clear" w:color="auto" w:fill="FFFFFF"/>
                  <w:tcMar>
                    <w:top w:w="0" w:type="dxa"/>
                    <w:left w:w="108" w:type="dxa"/>
                    <w:bottom w:w="0" w:type="dxa"/>
                    <w:right w:w="108" w:type="dxa"/>
                  </w:tcMar>
                  <w:vAlign w:val="center"/>
                </w:tcPr>
                <w:p>
                  <w:pPr>
                    <w:pStyle w:val="35"/>
                    <w:jc w:val="center"/>
                    <w:rPr>
                      <w:rFonts w:cs="Times New Roman"/>
                      <w:b/>
                    </w:rPr>
                  </w:pPr>
                  <w:r>
                    <w:rPr>
                      <w:rFonts w:cs="Times New Roman"/>
                      <w:b/>
                    </w:rPr>
                    <w:t>均值μg/m</w:t>
                  </w:r>
                  <w:r>
                    <w:rPr>
                      <w:rFonts w:cs="Times New Roman"/>
                      <w:b/>
                      <w:vertAlign w:val="superscript"/>
                    </w:rPr>
                    <w:t>3</w:t>
                  </w:r>
                </w:p>
              </w:tc>
              <w:tc>
                <w:tcPr>
                  <w:tcW w:w="734" w:type="dxa"/>
                  <w:vMerge w:val="continue"/>
                  <w:shd w:val="clear" w:color="auto" w:fill="FFFFFF"/>
                  <w:vAlign w:val="center"/>
                </w:tcPr>
                <w:p>
                  <w:pPr>
                    <w:pStyle w:val="35"/>
                    <w:jc w:val="center"/>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1月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18</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47</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1.1</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86</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21</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2月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9</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36</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100</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17</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3月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5</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10</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35</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1.2</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79</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17</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4月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5</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8</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28</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75</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11</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5月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6</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8</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20</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58</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7</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6月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5</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17</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0.8</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68</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6</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7月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5</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6</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19</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0.8</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64</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6</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8月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5</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18</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0.8</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60</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8</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9月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5</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25</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0.5</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98</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12</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10月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23</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0.6</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76</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12</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11月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10</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28</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0.7</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84</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16</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463" w:type="dxa"/>
                  <w:shd w:val="clear" w:color="auto" w:fill="FFFFFF"/>
                  <w:vAlign w:val="center"/>
                </w:tcPr>
                <w:p>
                  <w:pPr>
                    <w:pStyle w:val="35"/>
                    <w:jc w:val="center"/>
                    <w:rPr>
                      <w:rFonts w:cs="Times New Roman"/>
                    </w:rPr>
                  </w:pPr>
                  <w:r>
                    <w:rPr>
                      <w:rFonts w:cs="Times New Roman"/>
                    </w:rPr>
                    <w:t>12月</w:t>
                  </w:r>
                </w:p>
              </w:tc>
              <w:tc>
                <w:tcPr>
                  <w:tcW w:w="904"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月均值</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3</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7</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36</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0.6</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86</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24</w:t>
                  </w:r>
                </w:p>
              </w:tc>
              <w:tc>
                <w:tcPr>
                  <w:tcW w:w="734" w:type="dxa"/>
                  <w:shd w:val="clear" w:color="auto" w:fill="FFFFFF"/>
                  <w:vAlign w:val="center"/>
                </w:tcPr>
                <w:p>
                  <w:pPr>
                    <w:pStyle w:val="35"/>
                    <w:jc w:val="center"/>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367" w:type="dxa"/>
                  <w:gridSpan w:val="2"/>
                  <w:shd w:val="clear" w:color="auto" w:fill="FFFFFF"/>
                  <w:vAlign w:val="center"/>
                </w:tcPr>
                <w:p>
                  <w:pPr>
                    <w:pStyle w:val="35"/>
                    <w:jc w:val="center"/>
                    <w:rPr>
                      <w:rFonts w:cs="Times New Roman"/>
                    </w:rPr>
                  </w:pPr>
                  <w:r>
                    <w:rPr>
                      <w:rFonts w:cs="Times New Roman"/>
                    </w:rPr>
                    <w:t>标准值（二级）</w:t>
                  </w:r>
                </w:p>
              </w:tc>
              <w:tc>
                <w:tcPr>
                  <w:tcW w:w="811"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150</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80</w:t>
                  </w:r>
                </w:p>
              </w:tc>
              <w:tc>
                <w:tcPr>
                  <w:tcW w:w="85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150</w:t>
                  </w:r>
                </w:p>
              </w:tc>
              <w:tc>
                <w:tcPr>
                  <w:tcW w:w="998"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4</w:t>
                  </w:r>
                </w:p>
              </w:tc>
              <w:tc>
                <w:tcPr>
                  <w:tcW w:w="1063"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160</w:t>
                  </w:r>
                </w:p>
              </w:tc>
              <w:tc>
                <w:tcPr>
                  <w:tcW w:w="837" w:type="dxa"/>
                  <w:shd w:val="clear" w:color="auto" w:fill="FFFFFF"/>
                  <w:tcMar>
                    <w:top w:w="0" w:type="dxa"/>
                    <w:left w:w="108" w:type="dxa"/>
                    <w:bottom w:w="0" w:type="dxa"/>
                    <w:right w:w="108" w:type="dxa"/>
                  </w:tcMar>
                  <w:vAlign w:val="center"/>
                </w:tcPr>
                <w:p>
                  <w:pPr>
                    <w:pStyle w:val="35"/>
                    <w:jc w:val="center"/>
                    <w:rPr>
                      <w:rFonts w:cs="Times New Roman"/>
                    </w:rPr>
                  </w:pPr>
                  <w:r>
                    <w:rPr>
                      <w:rFonts w:cs="Times New Roman"/>
                    </w:rPr>
                    <w:t>75</w:t>
                  </w:r>
                </w:p>
              </w:tc>
              <w:tc>
                <w:tcPr>
                  <w:tcW w:w="734" w:type="dxa"/>
                  <w:shd w:val="clear" w:color="auto" w:fill="FFFFFF"/>
                  <w:vAlign w:val="center"/>
                </w:tcPr>
                <w:p>
                  <w:pPr>
                    <w:pStyle w:val="35"/>
                    <w:jc w:val="center"/>
                    <w:rPr>
                      <w:rFonts w:cs="Times New Roman"/>
                    </w:rPr>
                  </w:pPr>
                </w:p>
              </w:tc>
            </w:tr>
          </w:tbl>
          <w:p>
            <w:pPr>
              <w:pStyle w:val="50"/>
              <w:ind w:firstLine="480"/>
              <w:rPr>
                <w:rFonts w:hAnsi="Times New Roman"/>
              </w:rPr>
            </w:pPr>
            <w:r>
              <w:rPr>
                <w:rFonts w:hAnsi="Times New Roman"/>
              </w:rPr>
              <w:t>由上表可知，明溪县2021年1月~2021年12月份空气环境中SO</w:t>
            </w:r>
            <w:r>
              <w:rPr>
                <w:rFonts w:hAnsi="Times New Roman"/>
                <w:vertAlign w:val="subscript"/>
              </w:rPr>
              <w:t>2</w:t>
            </w:r>
            <w:r>
              <w:rPr>
                <w:rFonts w:hAnsi="Times New Roman"/>
              </w:rPr>
              <w:t>、NO</w:t>
            </w:r>
            <w:r>
              <w:rPr>
                <w:rFonts w:hAnsi="Times New Roman"/>
                <w:vertAlign w:val="subscript"/>
              </w:rPr>
              <w:t>2</w:t>
            </w:r>
            <w:r>
              <w:rPr>
                <w:rFonts w:hAnsi="Times New Roman"/>
              </w:rPr>
              <w:t>、PM</w:t>
            </w:r>
            <w:r>
              <w:rPr>
                <w:rFonts w:hAnsi="Times New Roman"/>
                <w:vertAlign w:val="subscript"/>
              </w:rPr>
              <w:t>10</w:t>
            </w:r>
            <w:r>
              <w:rPr>
                <w:rFonts w:hAnsi="Times New Roman"/>
              </w:rPr>
              <w:t>和PM</w:t>
            </w:r>
            <w:r>
              <w:rPr>
                <w:rFonts w:hAnsi="Times New Roman"/>
                <w:vertAlign w:val="subscript"/>
              </w:rPr>
              <w:t>2.5</w:t>
            </w:r>
            <w:r>
              <w:rPr>
                <w:rFonts w:hAnsi="Times New Roman"/>
              </w:rPr>
              <w:t>均未超过国家二级标准，CO日均值第95百分数和O</w:t>
            </w:r>
            <w:r>
              <w:rPr>
                <w:rFonts w:hAnsi="Times New Roman"/>
                <w:vertAlign w:val="subscript"/>
              </w:rPr>
              <w:t>3</w:t>
            </w:r>
            <w:r>
              <w:rPr>
                <w:rFonts w:hAnsi="Times New Roman"/>
              </w:rPr>
              <w:t>最大8小时值第90百分数未超过国家二级标准，明溪县环境空气质量属于达标区。</w:t>
            </w:r>
          </w:p>
          <w:p>
            <w:pPr>
              <w:ind w:firstLine="480"/>
              <w:rPr>
                <w:rFonts w:cs="Times New Roman"/>
              </w:rPr>
            </w:pPr>
            <w:r>
              <w:rPr>
                <w:rFonts w:cs="Times New Roman"/>
              </w:rPr>
              <w:t>（2）引用资料的可行性分析</w:t>
            </w:r>
          </w:p>
          <w:p>
            <w:pPr>
              <w:widowControl/>
              <w:ind w:firstLine="480"/>
              <w:rPr>
                <w:rFonts w:cs="Times New Roman"/>
                <w:kern w:val="0"/>
              </w:rPr>
            </w:pPr>
            <w:r>
              <w:rPr>
                <w:rFonts w:cs="Times New Roman"/>
                <w:kern w:val="0"/>
              </w:rPr>
              <w:t>根据《建设项目环境影响报告表编制技术指南(污染影响类)(试行)》(环办环评〔2020〕33号)的要求：“大气环境区域环境质量现状常规污染物引用与建设项目距离近的有效数据，包括近3年的规划环境影响评价的监测数据，国家、地方环境空气质量监测网数据或生态环境主管部门公开发布的质量数据等</w:t>
            </w:r>
            <w:r>
              <w:rPr>
                <w:rFonts w:hint="eastAsia" w:cs="Times New Roman"/>
                <w:kern w:val="0"/>
              </w:rPr>
              <w:t>，</w:t>
            </w:r>
            <w:r>
              <w:rPr>
                <w:rFonts w:cs="Times New Roman"/>
                <w:kern w:val="0"/>
              </w:rPr>
              <w:t>排放国家、地方环境空气质量标准中有标准限值要求的特征污染物时，引用建设项目周边5千米范围内近3年的现有监测数据”。</w:t>
            </w:r>
          </w:p>
          <w:p>
            <w:pPr>
              <w:ind w:firstLine="480"/>
              <w:jc w:val="both"/>
              <w:rPr>
                <w:rFonts w:cs="Times New Roman"/>
              </w:rPr>
            </w:pPr>
            <w:r>
              <w:rPr>
                <w:rFonts w:cs="Times New Roman"/>
              </w:rPr>
              <w:t>本评价</w:t>
            </w:r>
            <w:r>
              <w:rPr>
                <w:rFonts w:cs="Times New Roman"/>
                <w:kern w:val="0"/>
              </w:rPr>
              <w:t>常规污染物</w:t>
            </w:r>
            <w:r>
              <w:rPr>
                <w:rFonts w:cs="Times New Roman"/>
              </w:rPr>
              <w:t>选取明溪县生态环境局发布的环境空气质量现状信息，符合《建设项目环境影响报告表编制技术指南(污染影响类)(试行)》(环办环评〔2020〕33号)的要求。</w:t>
            </w:r>
          </w:p>
          <w:p>
            <w:pPr>
              <w:pStyle w:val="7"/>
              <w:ind w:firstLine="0" w:firstLineChars="0"/>
              <w:rPr>
                <w:rFonts w:ascii="Times New Roman" w:hAnsi="Times New Roman" w:eastAsia="宋体" w:cs="Times New Roman"/>
              </w:rPr>
            </w:pPr>
            <w:r>
              <w:rPr>
                <w:rFonts w:ascii="Times New Roman" w:hAnsi="Times New Roman" w:eastAsia="宋体" w:cs="Times New Roman"/>
              </w:rPr>
              <w:t>3.3声环境质量现状</w:t>
            </w:r>
          </w:p>
          <w:p>
            <w:pPr>
              <w:ind w:firstLine="480"/>
              <w:jc w:val="both"/>
              <w:rPr>
                <w:rFonts w:cs="Times New Roman"/>
              </w:rPr>
            </w:pPr>
            <w:r>
              <w:rPr>
                <w:rFonts w:cs="Times New Roman"/>
              </w:rPr>
              <w:t>项目位于明溪县城关乡王桥村叶厝坑，</w:t>
            </w:r>
            <w:r>
              <w:rPr>
                <w:rFonts w:hint="eastAsia" w:cs="Times New Roman"/>
              </w:rPr>
              <w:t>属于</w:t>
            </w:r>
            <w:r>
              <w:rPr>
                <w:rFonts w:cs="Times New Roman"/>
              </w:rPr>
              <w:t>山区</w:t>
            </w:r>
            <w:r>
              <w:rPr>
                <w:rFonts w:hint="eastAsia" w:cs="Times New Roman"/>
              </w:rPr>
              <w:t>环境</w:t>
            </w:r>
            <w:r>
              <w:rPr>
                <w:rFonts w:cs="Times New Roman"/>
              </w:rPr>
              <w:t>，因此区域声环境执行《声环境质量标准》（GB3096-2008）中的2类标准。</w:t>
            </w:r>
          </w:p>
          <w:p>
            <w:pPr>
              <w:pStyle w:val="47"/>
              <w:ind w:firstLine="480"/>
            </w:pPr>
            <w:r>
              <w:t>根据《建设项目环境影响报告表编制技术指南（污染影响类）（试行）》（环办环评〔2020〕33号）的要求：厂界外周边50米范围内存在声环境保护目标的建设项目，应监测保护目标声环境质量现状并评价达标情况。根据环境影响评价网（生态环境部环境工程评估中心）关于《建设项目环境影响报告表》内容、格式及编制技术指南常见问题解答：“厂界外周边50米范围内存在声环境保护目标的建设项目，应监测声环境质量现状，监测点位为声环境保护目标处。厂界外周边50米范围内无声环境保护目标的建设项目，不再要求提供声环境质量现状监测数据”。根据现场调查，项目厂界外50m范围内无声环境保护目标（最近敏感目标为南侧817m的王桥村），因此本评价不进行声环境质量现状监测。</w:t>
            </w:r>
          </w:p>
          <w:p>
            <w:pPr>
              <w:adjustRightInd w:val="0"/>
              <w:snapToGrid w:val="0"/>
              <w:spacing w:before="156" w:beforeLines="50" w:after="156" w:afterLines="50"/>
              <w:ind w:firstLine="0" w:firstLineChars="0"/>
              <w:rPr>
                <w:rFonts w:cs="Times New Roman"/>
                <w:b/>
                <w:sz w:val="28"/>
                <w:szCs w:val="28"/>
              </w:rPr>
            </w:pPr>
            <w:r>
              <w:rPr>
                <w:rFonts w:cs="Times New Roman"/>
                <w:b/>
                <w:sz w:val="28"/>
                <w:szCs w:val="28"/>
              </w:rPr>
              <w:t>3.4生态现状调查</w:t>
            </w:r>
          </w:p>
          <w:p>
            <w:pPr>
              <w:spacing w:before="156" w:beforeLines="50"/>
              <w:ind w:firstLine="480"/>
              <w:rPr>
                <w:rFonts w:cs="Times New Roman"/>
              </w:rPr>
            </w:pPr>
            <w:r>
              <w:rPr>
                <w:rFonts w:cs="Times New Roman"/>
              </w:rPr>
              <w:t>本项目位于租用</w:t>
            </w:r>
            <w:r>
              <w:rPr>
                <w:rFonts w:hint="eastAsia" w:cs="Times New Roman"/>
              </w:rPr>
              <w:t>明溪县城关村王桥村叶厝坑江际坪山场</w:t>
            </w:r>
            <w:r>
              <w:rPr>
                <w:rFonts w:cs="Times New Roman"/>
              </w:rPr>
              <w:t>原有矿区用地进行建设，未新增用地且用地范围内未含有生态保护目标，故不进行生态现状调查。</w:t>
            </w:r>
          </w:p>
          <w:p>
            <w:pPr>
              <w:adjustRightInd w:val="0"/>
              <w:snapToGrid w:val="0"/>
              <w:spacing w:before="156" w:beforeLines="50" w:after="156" w:afterLines="50"/>
              <w:ind w:firstLine="0" w:firstLineChars="0"/>
              <w:rPr>
                <w:rFonts w:cs="Times New Roman"/>
                <w:b/>
                <w:sz w:val="28"/>
                <w:szCs w:val="28"/>
              </w:rPr>
            </w:pPr>
            <w:r>
              <w:rPr>
                <w:rFonts w:cs="Times New Roman"/>
                <w:b/>
                <w:sz w:val="28"/>
                <w:szCs w:val="28"/>
              </w:rPr>
              <w:t>3.5地下水、土壤环境质量现状</w:t>
            </w:r>
          </w:p>
          <w:p>
            <w:pPr>
              <w:pStyle w:val="47"/>
              <w:ind w:firstLine="480"/>
            </w:pPr>
            <w:r>
              <w:t>根据《建设项目环境影响报告表编制技术指南(污染影响类)（试行)》(环办环评〔2020〕33号)规定，“原则上不开展环境质量现状调查。建设项目存在土壤、地下水环境污染途径的，应结合污染源、保护目标分布情况开展现状调查以留作背景值。</w:t>
            </w:r>
          </w:p>
          <w:p>
            <w:pPr>
              <w:pStyle w:val="47"/>
              <w:ind w:firstLine="480"/>
            </w:pPr>
            <w:r>
              <w:t>项目位于福建省三明市区明溪县城关乡王桥村叶厝坑（租用</w:t>
            </w:r>
            <w:r>
              <w:rPr>
                <w:rFonts w:hint="eastAsia"/>
              </w:rPr>
              <w:t>明溪县城关村王桥村叶厝坑江际坪山场</w:t>
            </w:r>
            <w:r>
              <w:t>原有矿区用地），根据现场勘查，周边以工矿企业为主；项目周边地下水、土壤环境相对不敏感，基本不存在土壤、地下水环境污染途径，因此，本评价不对项目地下水、土壤环境质量进行补充监测。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cs="Times New Roman"/>
              </w:rPr>
            </w:pPr>
            <w:r>
              <w:rPr>
                <w:rFonts w:cs="Times New Roman"/>
              </w:rPr>
              <w:t>环境保护目标</w:t>
            </w:r>
          </w:p>
        </w:tc>
        <w:tc>
          <w:tcPr>
            <w:tcW w:w="7652" w:type="dxa"/>
            <w:vAlign w:val="center"/>
          </w:tcPr>
          <w:p>
            <w:pPr>
              <w:pStyle w:val="47"/>
              <w:ind w:firstLine="480"/>
            </w:pPr>
            <w:r>
              <w:t>本工程不在自然保护区、森林公园、风景名胜区以及特种林区内，没有占用生态公益林及基本农田，</w:t>
            </w:r>
            <w:r>
              <w:rPr>
                <w:kern w:val="0"/>
              </w:rPr>
              <w:t>主要</w:t>
            </w:r>
            <w:r>
              <w:t>环境保护目标为环境空气质量、水环境质量、声环境质量等。</w:t>
            </w:r>
          </w:p>
          <w:p>
            <w:pPr>
              <w:pStyle w:val="47"/>
              <w:ind w:firstLine="480"/>
            </w:pPr>
            <w:r>
              <w:t>（1）大气环境</w:t>
            </w:r>
          </w:p>
          <w:p>
            <w:pPr>
              <w:pStyle w:val="47"/>
              <w:ind w:firstLine="480"/>
            </w:pPr>
            <w:r>
              <w:t>本项目厂界500m范围内主要以工矿企业为主，距离最近的敏感目标为南侧817m的王桥村，因此500m范围内不涉及居住区、自然保护区、风景名胜区等环境保护目标。</w:t>
            </w:r>
          </w:p>
          <w:p>
            <w:pPr>
              <w:pStyle w:val="47"/>
              <w:ind w:firstLine="480"/>
            </w:pPr>
            <w:r>
              <w:t>（2）声环境</w:t>
            </w:r>
          </w:p>
          <w:p>
            <w:pPr>
              <w:pStyle w:val="47"/>
              <w:ind w:firstLine="480"/>
            </w:pPr>
            <w:r>
              <w:t>本项目建设区域50m范围内无声环境敏感目标。</w:t>
            </w:r>
          </w:p>
          <w:p>
            <w:pPr>
              <w:pStyle w:val="47"/>
              <w:ind w:firstLine="480"/>
            </w:pPr>
            <w:r>
              <w:t>（3）</w:t>
            </w:r>
            <w:r>
              <w:rPr>
                <w:kern w:val="0"/>
              </w:rPr>
              <w:t>地下水</w:t>
            </w:r>
          </w:p>
          <w:p>
            <w:pPr>
              <w:autoSpaceDE w:val="0"/>
              <w:autoSpaceDN w:val="0"/>
              <w:adjustRightInd w:val="0"/>
              <w:snapToGrid w:val="0"/>
              <w:ind w:firstLine="480"/>
              <w:rPr>
                <w:rFonts w:cs="Times New Roman"/>
              </w:rPr>
            </w:pPr>
            <w:r>
              <w:rPr>
                <w:rFonts w:cs="Times New Roman"/>
              </w:rPr>
              <w:t>本项目厂界外500m范围内不涉及地下水集中式饮用水水源和热水、矿泉水、温泉等特殊地下水资源。</w:t>
            </w:r>
          </w:p>
          <w:p>
            <w:pPr>
              <w:autoSpaceDE w:val="0"/>
              <w:autoSpaceDN w:val="0"/>
              <w:adjustRightInd w:val="0"/>
              <w:snapToGrid w:val="0"/>
              <w:ind w:firstLine="480"/>
              <w:rPr>
                <w:rFonts w:cs="Times New Roman"/>
              </w:rPr>
            </w:pPr>
            <w:r>
              <w:rPr>
                <w:rFonts w:cs="Times New Roman"/>
              </w:rPr>
              <w:t>（4）生态</w:t>
            </w:r>
          </w:p>
          <w:p>
            <w:pPr>
              <w:pStyle w:val="47"/>
              <w:ind w:firstLine="480"/>
            </w:pPr>
            <w:r>
              <w:t>本项目位于租用</w:t>
            </w:r>
            <w:r>
              <w:rPr>
                <w:rFonts w:hint="eastAsia"/>
              </w:rPr>
              <w:t>明溪县城关村王桥村叶厝坑江际坪山场</w:t>
            </w:r>
            <w:r>
              <w:t>原有矿区用地进行建设，未新增用地且用地范围内未含有生态保护目标。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cs="Times New Roman"/>
              </w:rPr>
            </w:pPr>
            <w:r>
              <w:rPr>
                <w:rFonts w:cs="Times New Roman"/>
              </w:rPr>
              <w:t>污染物排放控制标准</w:t>
            </w:r>
          </w:p>
        </w:tc>
        <w:tc>
          <w:tcPr>
            <w:tcW w:w="7652" w:type="dxa"/>
            <w:vAlign w:val="center"/>
          </w:tcPr>
          <w:p>
            <w:pPr>
              <w:pStyle w:val="7"/>
              <w:ind w:firstLine="0" w:firstLineChars="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污染物排放标准</w:t>
            </w:r>
          </w:p>
          <w:p>
            <w:pPr>
              <w:pStyle w:val="47"/>
              <w:ind w:firstLine="0" w:firstLineChars="0"/>
              <w:rPr>
                <w:b/>
                <w:sz w:val="30"/>
                <w:szCs w:val="30"/>
              </w:rPr>
            </w:pPr>
            <w:r>
              <w:rPr>
                <w:b/>
                <w:sz w:val="30"/>
                <w:szCs w:val="30"/>
              </w:rPr>
              <w:t>3.</w:t>
            </w:r>
            <w:r>
              <w:rPr>
                <w:rFonts w:hint="eastAsia"/>
                <w:b/>
                <w:sz w:val="30"/>
                <w:szCs w:val="30"/>
              </w:rPr>
              <w:t>6</w:t>
            </w:r>
            <w:r>
              <w:rPr>
                <w:b/>
                <w:sz w:val="30"/>
                <w:szCs w:val="30"/>
              </w:rPr>
              <w:t>.1废水排放标准</w:t>
            </w:r>
          </w:p>
          <w:p>
            <w:pPr>
              <w:ind w:firstLine="480"/>
              <w:jc w:val="both"/>
              <w:rPr>
                <w:rFonts w:cs="Times New Roman"/>
              </w:rPr>
            </w:pPr>
            <w:r>
              <w:rPr>
                <w:rFonts w:cs="Times New Roman"/>
              </w:rPr>
              <w:t>本项目生产废水主要是喷淋除尘用水，均自然蒸发损耗，不生产废水外排，生活污水经三</w:t>
            </w:r>
            <w:r>
              <w:rPr>
                <w:rFonts w:hint="eastAsia" w:cs="Times New Roman"/>
              </w:rPr>
              <w:t>格</w:t>
            </w:r>
            <w:r>
              <w:rPr>
                <w:rFonts w:cs="Times New Roman"/>
              </w:rPr>
              <w:t>化粪池处理后用于周边林地施肥。</w:t>
            </w:r>
          </w:p>
          <w:p>
            <w:pPr>
              <w:pStyle w:val="47"/>
              <w:ind w:firstLine="0" w:firstLineChars="0"/>
              <w:rPr>
                <w:b/>
                <w:sz w:val="30"/>
                <w:szCs w:val="30"/>
              </w:rPr>
            </w:pPr>
            <w:r>
              <w:rPr>
                <w:b/>
                <w:sz w:val="30"/>
                <w:szCs w:val="30"/>
              </w:rPr>
              <w:t>3.</w:t>
            </w:r>
            <w:r>
              <w:rPr>
                <w:rFonts w:hint="eastAsia"/>
                <w:b/>
                <w:sz w:val="30"/>
                <w:szCs w:val="30"/>
              </w:rPr>
              <w:t>6</w:t>
            </w:r>
            <w:r>
              <w:rPr>
                <w:b/>
                <w:sz w:val="30"/>
                <w:szCs w:val="30"/>
              </w:rPr>
              <w:t>.2废气排放标准</w:t>
            </w:r>
          </w:p>
          <w:p>
            <w:pPr>
              <w:pStyle w:val="47"/>
              <w:ind w:firstLine="480"/>
            </w:pPr>
            <w:r>
              <w:t>本项目大气污染物主要为破碎石生产、运输、装卸过程中产生的粉尘，执行《大气污染物综合排放标准》（GB16297-1996）中的无组织排放浓度。</w:t>
            </w:r>
          </w:p>
          <w:p>
            <w:pPr>
              <w:snapToGrid w:val="0"/>
              <w:spacing w:before="156" w:beforeLines="50"/>
              <w:ind w:firstLine="0" w:firstLineChars="0"/>
              <w:jc w:val="center"/>
              <w:rPr>
                <w:rFonts w:cs="Times New Roman"/>
                <w:b/>
              </w:rPr>
            </w:pPr>
            <w:r>
              <w:rPr>
                <w:rFonts w:cs="Times New Roman"/>
                <w:b/>
              </w:rPr>
              <w:t>表3-</w:t>
            </w:r>
            <w:r>
              <w:rPr>
                <w:rFonts w:hint="eastAsia" w:cs="Times New Roman"/>
                <w:b/>
              </w:rPr>
              <w:t>3</w:t>
            </w:r>
            <w:r>
              <w:rPr>
                <w:rFonts w:cs="Times New Roman"/>
                <w:b/>
              </w:rPr>
              <w:t xml:space="preserve"> </w:t>
            </w:r>
            <w:r>
              <w:rPr>
                <w:rFonts w:hint="eastAsia" w:cs="Times New Roman"/>
                <w:b/>
              </w:rPr>
              <w:t xml:space="preserve"> </w:t>
            </w:r>
            <w:r>
              <w:rPr>
                <w:rFonts w:cs="Times New Roman"/>
                <w:b/>
              </w:rPr>
              <w:t>项目废气排放执行标准</w:t>
            </w:r>
          </w:p>
          <w:tbl>
            <w:tblPr>
              <w:tblStyle w:val="24"/>
              <w:tblW w:w="74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375"/>
              <w:gridCol w:w="2375"/>
              <w:gridCol w:w="16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3" w:type="dxa"/>
                  <w:vMerge w:val="restart"/>
                  <w:tcBorders>
                    <w:tl2br w:val="nil"/>
                    <w:tr2bl w:val="nil"/>
                  </w:tcBorders>
                  <w:vAlign w:val="center"/>
                </w:tcPr>
                <w:p>
                  <w:pPr>
                    <w:pStyle w:val="35"/>
                    <w:jc w:val="center"/>
                    <w:rPr>
                      <w:rFonts w:cs="Times New Roman"/>
                      <w:b/>
                    </w:rPr>
                  </w:pPr>
                  <w:r>
                    <w:rPr>
                      <w:rFonts w:cs="Times New Roman"/>
                      <w:b/>
                    </w:rPr>
                    <w:t>污染物</w:t>
                  </w:r>
                </w:p>
              </w:tc>
              <w:tc>
                <w:tcPr>
                  <w:tcW w:w="2375" w:type="dxa"/>
                  <w:vMerge w:val="restart"/>
                  <w:tcBorders>
                    <w:tl2br w:val="nil"/>
                    <w:tr2bl w:val="nil"/>
                  </w:tcBorders>
                  <w:vAlign w:val="center"/>
                </w:tcPr>
                <w:p>
                  <w:pPr>
                    <w:pStyle w:val="35"/>
                    <w:jc w:val="center"/>
                    <w:rPr>
                      <w:rFonts w:cs="Times New Roman"/>
                      <w:b/>
                    </w:rPr>
                  </w:pPr>
                  <w:r>
                    <w:rPr>
                      <w:rFonts w:cs="Times New Roman"/>
                      <w:b/>
                    </w:rPr>
                    <w:t>执行标准</w:t>
                  </w:r>
                </w:p>
              </w:tc>
              <w:tc>
                <w:tcPr>
                  <w:tcW w:w="3978" w:type="dxa"/>
                  <w:gridSpan w:val="2"/>
                  <w:tcBorders>
                    <w:tl2br w:val="nil"/>
                    <w:tr2bl w:val="nil"/>
                  </w:tcBorders>
                  <w:vAlign w:val="center"/>
                </w:tcPr>
                <w:p>
                  <w:pPr>
                    <w:pStyle w:val="35"/>
                    <w:jc w:val="center"/>
                    <w:rPr>
                      <w:rFonts w:cs="Times New Roman"/>
                      <w:b/>
                    </w:rPr>
                  </w:pPr>
                  <w:r>
                    <w:rPr>
                      <w:rFonts w:cs="Times New Roman"/>
                      <w:b/>
                    </w:rPr>
                    <w:t>无组织排放浓度限值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3" w:type="dxa"/>
                  <w:vMerge w:val="continue"/>
                  <w:tcBorders>
                    <w:tl2br w:val="nil"/>
                    <w:tr2bl w:val="nil"/>
                  </w:tcBorders>
                  <w:vAlign w:val="center"/>
                </w:tcPr>
                <w:p>
                  <w:pPr>
                    <w:pStyle w:val="35"/>
                    <w:jc w:val="center"/>
                    <w:rPr>
                      <w:rFonts w:cs="Times New Roman"/>
                      <w:b/>
                    </w:rPr>
                  </w:pPr>
                </w:p>
              </w:tc>
              <w:tc>
                <w:tcPr>
                  <w:tcW w:w="2375" w:type="dxa"/>
                  <w:vMerge w:val="continue"/>
                  <w:tcBorders>
                    <w:tl2br w:val="nil"/>
                    <w:tr2bl w:val="nil"/>
                  </w:tcBorders>
                  <w:vAlign w:val="center"/>
                </w:tcPr>
                <w:p>
                  <w:pPr>
                    <w:pStyle w:val="35"/>
                    <w:jc w:val="center"/>
                    <w:rPr>
                      <w:rFonts w:cs="Times New Roman"/>
                      <w:b/>
                    </w:rPr>
                  </w:pPr>
                </w:p>
              </w:tc>
              <w:tc>
                <w:tcPr>
                  <w:tcW w:w="2375" w:type="dxa"/>
                  <w:tcBorders>
                    <w:tl2br w:val="nil"/>
                    <w:tr2bl w:val="nil"/>
                  </w:tcBorders>
                  <w:vAlign w:val="center"/>
                </w:tcPr>
                <w:p>
                  <w:pPr>
                    <w:pStyle w:val="35"/>
                    <w:jc w:val="center"/>
                    <w:rPr>
                      <w:rFonts w:cs="Times New Roman"/>
                      <w:b/>
                    </w:rPr>
                  </w:pPr>
                  <w:r>
                    <w:rPr>
                      <w:rFonts w:cs="Times New Roman"/>
                      <w:b/>
                    </w:rPr>
                    <w:t>监控点</w:t>
                  </w:r>
                </w:p>
              </w:tc>
              <w:tc>
                <w:tcPr>
                  <w:tcW w:w="1603" w:type="dxa"/>
                  <w:tcBorders>
                    <w:tl2br w:val="nil"/>
                    <w:tr2bl w:val="nil"/>
                  </w:tcBorders>
                  <w:vAlign w:val="center"/>
                </w:tcPr>
                <w:p>
                  <w:pPr>
                    <w:pStyle w:val="35"/>
                    <w:jc w:val="center"/>
                    <w:rPr>
                      <w:rFonts w:cs="Times New Roman"/>
                      <w:b/>
                    </w:rPr>
                  </w:pPr>
                  <w:r>
                    <w:rPr>
                      <w:rFonts w:cs="Times New Roman"/>
                      <w:b/>
                    </w:rPr>
                    <w:t>浓度mg/m</w:t>
                  </w:r>
                  <w:r>
                    <w:rPr>
                      <w:rFonts w:cs="Times New Roman"/>
                      <w:b/>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3" w:type="dxa"/>
                  <w:tcBorders>
                    <w:tl2br w:val="nil"/>
                    <w:tr2bl w:val="nil"/>
                  </w:tcBorders>
                  <w:vAlign w:val="center"/>
                </w:tcPr>
                <w:p>
                  <w:pPr>
                    <w:pStyle w:val="35"/>
                    <w:jc w:val="center"/>
                    <w:rPr>
                      <w:rFonts w:cs="Times New Roman"/>
                    </w:rPr>
                  </w:pPr>
                  <w:r>
                    <w:rPr>
                      <w:rFonts w:cs="Times New Roman"/>
                    </w:rPr>
                    <w:t>颗粒物</w:t>
                  </w:r>
                </w:p>
              </w:tc>
              <w:tc>
                <w:tcPr>
                  <w:tcW w:w="2375" w:type="dxa"/>
                  <w:tcBorders>
                    <w:tl2br w:val="nil"/>
                    <w:tr2bl w:val="nil"/>
                  </w:tcBorders>
                  <w:vAlign w:val="center"/>
                </w:tcPr>
                <w:p>
                  <w:pPr>
                    <w:pStyle w:val="35"/>
                    <w:jc w:val="center"/>
                    <w:rPr>
                      <w:rFonts w:cs="Times New Roman"/>
                    </w:rPr>
                  </w:pPr>
                  <w:r>
                    <w:rPr>
                      <w:rFonts w:cs="Times New Roman"/>
                    </w:rPr>
                    <w:t>《大气污染物综合排放标准》（GB16297-1996）</w:t>
                  </w:r>
                </w:p>
              </w:tc>
              <w:tc>
                <w:tcPr>
                  <w:tcW w:w="2375" w:type="dxa"/>
                  <w:tcBorders>
                    <w:tl2br w:val="nil"/>
                    <w:tr2bl w:val="nil"/>
                  </w:tcBorders>
                  <w:vAlign w:val="center"/>
                </w:tcPr>
                <w:p>
                  <w:pPr>
                    <w:pStyle w:val="35"/>
                    <w:jc w:val="center"/>
                    <w:rPr>
                      <w:rFonts w:cs="Times New Roman"/>
                    </w:rPr>
                  </w:pPr>
                  <w:r>
                    <w:rPr>
                      <w:rFonts w:cs="Times New Roman"/>
                    </w:rPr>
                    <w:t>周界外浓度最高点</w:t>
                  </w:r>
                </w:p>
              </w:tc>
              <w:tc>
                <w:tcPr>
                  <w:tcW w:w="1603" w:type="dxa"/>
                  <w:tcBorders>
                    <w:tl2br w:val="nil"/>
                    <w:tr2bl w:val="nil"/>
                  </w:tcBorders>
                  <w:vAlign w:val="center"/>
                </w:tcPr>
                <w:p>
                  <w:pPr>
                    <w:pStyle w:val="35"/>
                    <w:jc w:val="center"/>
                    <w:rPr>
                      <w:rFonts w:cs="Times New Roman"/>
                    </w:rPr>
                  </w:pPr>
                  <w:r>
                    <w:rPr>
                      <w:rFonts w:cs="Times New Roman"/>
                    </w:rPr>
                    <w:t>1.0</w:t>
                  </w:r>
                </w:p>
              </w:tc>
            </w:tr>
          </w:tbl>
          <w:p>
            <w:pPr>
              <w:pStyle w:val="47"/>
              <w:ind w:firstLine="0" w:firstLineChars="0"/>
              <w:rPr>
                <w:b/>
                <w:sz w:val="30"/>
                <w:szCs w:val="30"/>
              </w:rPr>
            </w:pPr>
            <w:r>
              <w:rPr>
                <w:b/>
                <w:sz w:val="30"/>
                <w:szCs w:val="30"/>
              </w:rPr>
              <w:t>3.</w:t>
            </w:r>
            <w:r>
              <w:rPr>
                <w:rFonts w:hint="eastAsia"/>
                <w:b/>
                <w:sz w:val="30"/>
                <w:szCs w:val="30"/>
              </w:rPr>
              <w:t>6</w:t>
            </w:r>
            <w:r>
              <w:rPr>
                <w:b/>
                <w:sz w:val="30"/>
                <w:szCs w:val="30"/>
              </w:rPr>
              <w:t>.3</w:t>
            </w:r>
            <w:r>
              <w:rPr>
                <w:rFonts w:hint="eastAsia"/>
                <w:b/>
                <w:sz w:val="30"/>
                <w:szCs w:val="30"/>
              </w:rPr>
              <w:t>噪声</w:t>
            </w:r>
            <w:r>
              <w:rPr>
                <w:b/>
                <w:sz w:val="30"/>
                <w:szCs w:val="30"/>
              </w:rPr>
              <w:t>排放标准</w:t>
            </w:r>
          </w:p>
          <w:p>
            <w:pPr>
              <w:ind w:firstLine="480"/>
              <w:jc w:val="both"/>
              <w:rPr>
                <w:rFonts w:cs="Times New Roman"/>
              </w:rPr>
            </w:pPr>
            <w:r>
              <w:rPr>
                <w:rFonts w:cs="Times New Roman"/>
              </w:rPr>
              <w:t>项目厂界噪声执行《工业企业厂界环境噪声排放标准》（GB12348-2008）表1中2类标准。即昼间≤60dB（A），夜间≤50dB（A）。</w:t>
            </w:r>
          </w:p>
          <w:p>
            <w:pPr>
              <w:autoSpaceDE w:val="0"/>
              <w:autoSpaceDN w:val="0"/>
              <w:adjustRightInd w:val="0"/>
              <w:spacing w:before="156" w:beforeLines="50"/>
              <w:ind w:firstLine="0" w:firstLineChars="0"/>
              <w:jc w:val="center"/>
              <w:rPr>
                <w:rFonts w:cs="Times New Roman"/>
                <w:b/>
                <w:kern w:val="0"/>
              </w:rPr>
            </w:pPr>
            <w:r>
              <w:rPr>
                <w:rFonts w:cs="Times New Roman"/>
                <w:b/>
                <w:kern w:val="0"/>
              </w:rPr>
              <w:t>表3-</w:t>
            </w:r>
            <w:r>
              <w:rPr>
                <w:rFonts w:hint="eastAsia" w:cs="Times New Roman"/>
                <w:b/>
                <w:kern w:val="0"/>
              </w:rPr>
              <w:t>4</w:t>
            </w:r>
            <w:r>
              <w:rPr>
                <w:rFonts w:cs="Times New Roman"/>
                <w:b/>
                <w:kern w:val="0"/>
              </w:rPr>
              <w:t xml:space="preserve">  项目噪声排放标准</w:t>
            </w:r>
          </w:p>
          <w:tbl>
            <w:tblPr>
              <w:tblStyle w:val="24"/>
              <w:tblW w:w="745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226"/>
              <w:gridCol w:w="3378"/>
              <w:gridCol w:w="1034"/>
              <w:gridCol w:w="18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3" w:hRule="atLeast"/>
                <w:jc w:val="center"/>
              </w:trPr>
              <w:tc>
                <w:tcPr>
                  <w:tcW w:w="1226" w:type="dxa"/>
                  <w:vAlign w:val="center"/>
                </w:tcPr>
                <w:p>
                  <w:pPr>
                    <w:pStyle w:val="35"/>
                    <w:jc w:val="center"/>
                    <w:rPr>
                      <w:rFonts w:cs="Times New Roman"/>
                    </w:rPr>
                  </w:pPr>
                  <w:r>
                    <w:rPr>
                      <w:rFonts w:cs="Times New Roman"/>
                    </w:rPr>
                    <w:t>类型</w:t>
                  </w:r>
                </w:p>
              </w:tc>
              <w:tc>
                <w:tcPr>
                  <w:tcW w:w="3378" w:type="dxa"/>
                  <w:vAlign w:val="center"/>
                </w:tcPr>
                <w:p>
                  <w:pPr>
                    <w:pStyle w:val="35"/>
                    <w:jc w:val="center"/>
                    <w:rPr>
                      <w:rFonts w:cs="Times New Roman"/>
                    </w:rPr>
                  </w:pPr>
                  <w:r>
                    <w:rPr>
                      <w:rFonts w:cs="Times New Roman"/>
                    </w:rPr>
                    <w:t>执行排放标准</w:t>
                  </w:r>
                </w:p>
              </w:tc>
              <w:tc>
                <w:tcPr>
                  <w:tcW w:w="1034" w:type="dxa"/>
                  <w:vAlign w:val="center"/>
                </w:tcPr>
                <w:p>
                  <w:pPr>
                    <w:pStyle w:val="35"/>
                    <w:jc w:val="center"/>
                    <w:rPr>
                      <w:rFonts w:cs="Times New Roman"/>
                    </w:rPr>
                  </w:pPr>
                  <w:r>
                    <w:rPr>
                      <w:rFonts w:cs="Times New Roman"/>
                    </w:rPr>
                    <w:t>项目</w:t>
                  </w:r>
                </w:p>
              </w:tc>
              <w:tc>
                <w:tcPr>
                  <w:tcW w:w="1813" w:type="dxa"/>
                  <w:vAlign w:val="center"/>
                </w:tcPr>
                <w:p>
                  <w:pPr>
                    <w:pStyle w:val="35"/>
                    <w:jc w:val="center"/>
                    <w:rPr>
                      <w:rFonts w:cs="Times New Roman"/>
                    </w:rPr>
                  </w:pPr>
                  <w:r>
                    <w:rPr>
                      <w:rFonts w:cs="Times New Roman"/>
                    </w:rPr>
                    <w:t>标准限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3" w:hRule="atLeast"/>
                <w:jc w:val="center"/>
              </w:trPr>
              <w:tc>
                <w:tcPr>
                  <w:tcW w:w="1226" w:type="dxa"/>
                  <w:vMerge w:val="restart"/>
                  <w:vAlign w:val="center"/>
                </w:tcPr>
                <w:p>
                  <w:pPr>
                    <w:pStyle w:val="35"/>
                    <w:jc w:val="center"/>
                    <w:rPr>
                      <w:rFonts w:cs="Times New Roman"/>
                    </w:rPr>
                  </w:pPr>
                  <w:r>
                    <w:rPr>
                      <w:rFonts w:cs="Times New Roman"/>
                    </w:rPr>
                    <w:t>运营期噪声</w:t>
                  </w:r>
                </w:p>
              </w:tc>
              <w:tc>
                <w:tcPr>
                  <w:tcW w:w="3378" w:type="dxa"/>
                  <w:vMerge w:val="restart"/>
                  <w:vAlign w:val="center"/>
                </w:tcPr>
                <w:p>
                  <w:pPr>
                    <w:pStyle w:val="35"/>
                    <w:jc w:val="center"/>
                    <w:rPr>
                      <w:rFonts w:cs="Times New Roman"/>
                    </w:rPr>
                  </w:pPr>
                  <w:r>
                    <w:rPr>
                      <w:rFonts w:cs="Times New Roman"/>
                    </w:rPr>
                    <w:t>《工业企业厂界环境噪声排放标准》（GB12348-2008）中2类标准</w:t>
                  </w:r>
                </w:p>
              </w:tc>
              <w:tc>
                <w:tcPr>
                  <w:tcW w:w="1034" w:type="dxa"/>
                  <w:vAlign w:val="center"/>
                </w:tcPr>
                <w:p>
                  <w:pPr>
                    <w:pStyle w:val="35"/>
                    <w:jc w:val="center"/>
                    <w:rPr>
                      <w:rFonts w:cs="Times New Roman"/>
                    </w:rPr>
                  </w:pPr>
                  <w:r>
                    <w:rPr>
                      <w:rFonts w:cs="Times New Roman"/>
                    </w:rPr>
                    <w:t>昼间</w:t>
                  </w:r>
                </w:p>
              </w:tc>
              <w:tc>
                <w:tcPr>
                  <w:tcW w:w="1813" w:type="dxa"/>
                  <w:vAlign w:val="center"/>
                </w:tcPr>
                <w:p>
                  <w:pPr>
                    <w:pStyle w:val="35"/>
                    <w:jc w:val="center"/>
                    <w:rPr>
                      <w:rFonts w:cs="Times New Roman"/>
                    </w:rPr>
                  </w:pPr>
                  <w:r>
                    <w:rPr>
                      <w:rFonts w:cs="Times New Roman"/>
                    </w:rPr>
                    <w:t>≤60dB(A)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3" w:hRule="atLeast"/>
                <w:jc w:val="center"/>
              </w:trPr>
              <w:tc>
                <w:tcPr>
                  <w:tcW w:w="1226" w:type="dxa"/>
                  <w:vMerge w:val="continue"/>
                  <w:vAlign w:val="center"/>
                </w:tcPr>
                <w:p>
                  <w:pPr>
                    <w:pStyle w:val="35"/>
                    <w:jc w:val="center"/>
                    <w:rPr>
                      <w:rFonts w:cs="Times New Roman"/>
                    </w:rPr>
                  </w:pPr>
                </w:p>
              </w:tc>
              <w:tc>
                <w:tcPr>
                  <w:tcW w:w="3378" w:type="dxa"/>
                  <w:vMerge w:val="continue"/>
                  <w:vAlign w:val="center"/>
                </w:tcPr>
                <w:p>
                  <w:pPr>
                    <w:pStyle w:val="35"/>
                    <w:jc w:val="center"/>
                    <w:rPr>
                      <w:rFonts w:cs="Times New Roman"/>
                    </w:rPr>
                  </w:pPr>
                </w:p>
              </w:tc>
              <w:tc>
                <w:tcPr>
                  <w:tcW w:w="1034" w:type="dxa"/>
                  <w:vAlign w:val="center"/>
                </w:tcPr>
                <w:p>
                  <w:pPr>
                    <w:pStyle w:val="35"/>
                    <w:jc w:val="center"/>
                    <w:rPr>
                      <w:rFonts w:cs="Times New Roman"/>
                    </w:rPr>
                  </w:pPr>
                  <w:r>
                    <w:rPr>
                      <w:rFonts w:cs="Times New Roman"/>
                    </w:rPr>
                    <w:t>夜间</w:t>
                  </w:r>
                </w:p>
              </w:tc>
              <w:tc>
                <w:tcPr>
                  <w:tcW w:w="1813" w:type="dxa"/>
                  <w:vAlign w:val="center"/>
                </w:tcPr>
                <w:p>
                  <w:pPr>
                    <w:pStyle w:val="35"/>
                    <w:jc w:val="center"/>
                    <w:rPr>
                      <w:rFonts w:cs="Times New Roman"/>
                    </w:rPr>
                  </w:pPr>
                  <w:r>
                    <w:rPr>
                      <w:rFonts w:cs="Times New Roman"/>
                    </w:rPr>
                    <w:t>≤50dB(A)</w:t>
                  </w:r>
                </w:p>
              </w:tc>
            </w:tr>
          </w:tbl>
          <w:p>
            <w:pPr>
              <w:pStyle w:val="47"/>
              <w:ind w:firstLine="0" w:firstLineChars="0"/>
              <w:rPr>
                <w:b/>
                <w:sz w:val="30"/>
                <w:szCs w:val="30"/>
              </w:rPr>
            </w:pPr>
            <w:r>
              <w:rPr>
                <w:b/>
                <w:sz w:val="30"/>
                <w:szCs w:val="30"/>
              </w:rPr>
              <w:t>3.</w:t>
            </w:r>
            <w:r>
              <w:rPr>
                <w:rFonts w:hint="eastAsia"/>
                <w:b/>
                <w:sz w:val="30"/>
                <w:szCs w:val="30"/>
              </w:rPr>
              <w:t>6</w:t>
            </w:r>
            <w:r>
              <w:rPr>
                <w:b/>
                <w:sz w:val="30"/>
                <w:szCs w:val="30"/>
              </w:rPr>
              <w:t>.</w:t>
            </w:r>
            <w:r>
              <w:rPr>
                <w:rFonts w:hint="eastAsia"/>
                <w:b/>
                <w:sz w:val="30"/>
                <w:szCs w:val="30"/>
              </w:rPr>
              <w:t>4</w:t>
            </w:r>
            <w:r>
              <w:rPr>
                <w:b/>
                <w:sz w:val="30"/>
                <w:szCs w:val="30"/>
              </w:rPr>
              <w:t>固体废物排放标准</w:t>
            </w:r>
          </w:p>
          <w:p>
            <w:pPr>
              <w:pStyle w:val="47"/>
              <w:ind w:firstLine="480"/>
            </w:pPr>
            <w:r>
              <w:t>项目一般固废按照《一般工业固体废物贮存和填埋污染控制标准》（GB18599-2020）的要求处置。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cs="Times New Roman"/>
              </w:rPr>
            </w:pPr>
            <w:r>
              <w:rPr>
                <w:rFonts w:cs="Times New Roman"/>
              </w:rPr>
              <w:t>总量控制指标</w:t>
            </w:r>
          </w:p>
        </w:tc>
        <w:tc>
          <w:tcPr>
            <w:tcW w:w="7652" w:type="dxa"/>
            <w:vAlign w:val="center"/>
          </w:tcPr>
          <w:p>
            <w:pPr>
              <w:pStyle w:val="47"/>
              <w:spacing w:line="336" w:lineRule="auto"/>
              <w:ind w:firstLine="480"/>
            </w:pPr>
            <w:r>
              <w:t>根据国家“十三五”期间污染物总量控制要求及《福建省“十三五”环境保护规划》（闽环保财[2016]51号）、《福建省人民政府关于推进排污权有偿使用和交易工作的意见(试行)》（闽政[2014]24号）、《福建省环保厅关于贯彻落实&lt;推进排污权有偿使用和交易工作的意见（试行）&gt;的通知》（闽环发[2014]9号）、《福建省人民政府关于全面实施排污权有偿使用和交易工作的意见》（闽政〔2016〕54号）等有关文件要求，需进行排放总量控制的污染物为COD、NH</w:t>
            </w:r>
            <w:r>
              <w:rPr>
                <w:vertAlign w:val="subscript"/>
              </w:rPr>
              <w:t>3</w:t>
            </w:r>
            <w:r>
              <w:t>-N、SO</w:t>
            </w:r>
            <w:r>
              <w:rPr>
                <w:vertAlign w:val="subscript"/>
              </w:rPr>
              <w:t>2</w:t>
            </w:r>
            <w:r>
              <w:t>、NO</w:t>
            </w:r>
            <w:r>
              <w:rPr>
                <w:vertAlign w:val="subscript"/>
              </w:rPr>
              <w:t>X</w:t>
            </w:r>
            <w:r>
              <w:t>。</w:t>
            </w:r>
          </w:p>
          <w:p>
            <w:pPr>
              <w:pStyle w:val="27"/>
              <w:spacing w:line="360" w:lineRule="auto"/>
              <w:ind w:firstLine="480" w:firstLineChars="200"/>
              <w:jc w:val="both"/>
              <w:rPr>
                <w:rFonts w:ascii="Times New Roman" w:cs="Times New Roman"/>
                <w:color w:val="auto"/>
              </w:rPr>
            </w:pPr>
            <w:r>
              <w:rPr>
                <w:rFonts w:ascii="Times New Roman" w:cs="Times New Roman"/>
                <w:color w:val="auto"/>
              </w:rPr>
              <w:t>（1）大气污染物排放总量计算：本项目大气污染物主要为颗粒物，排放量为</w:t>
            </w:r>
            <w:r>
              <w:rPr>
                <w:rFonts w:hint="eastAsia" w:ascii="Times New Roman" w:cs="Times New Roman"/>
                <w:color w:val="auto"/>
              </w:rPr>
              <w:t>6.065</w:t>
            </w:r>
            <w:r>
              <w:rPr>
                <w:rFonts w:ascii="Times New Roman" w:cs="Times New Roman"/>
                <w:color w:val="auto"/>
              </w:rPr>
              <w:t>t/a，不涉及总量控制指标。</w:t>
            </w:r>
          </w:p>
          <w:p>
            <w:pPr>
              <w:pStyle w:val="27"/>
              <w:spacing w:line="360" w:lineRule="auto"/>
              <w:ind w:firstLine="480" w:firstLineChars="200"/>
              <w:jc w:val="both"/>
              <w:rPr>
                <w:rFonts w:ascii="Times New Roman" w:cs="Times New Roman"/>
                <w:color w:val="auto"/>
              </w:rPr>
            </w:pPr>
            <w:r>
              <w:rPr>
                <w:rFonts w:ascii="Times New Roman" w:cs="Times New Roman"/>
                <w:color w:val="auto"/>
              </w:rPr>
              <w:t>（2）水污染物排放总量计算：生产过程中生产废水均蒸发损耗，生活污水经化粪池处理后用于周边林地施肥，不外排。</w:t>
            </w:r>
          </w:p>
          <w:p>
            <w:pPr>
              <w:pStyle w:val="47"/>
              <w:ind w:firstLine="480"/>
            </w:pPr>
            <w:r>
              <w:t>综上所述，本项目不涉及总量控制指标。</w:t>
            </w:r>
          </w:p>
        </w:tc>
      </w:tr>
    </w:tbl>
    <w:p>
      <w:pPr>
        <w:ind w:firstLine="0" w:firstLineChars="0"/>
        <w:rPr>
          <w:rFonts w:cs="Times New Roman"/>
        </w:rPr>
      </w:pPr>
    </w:p>
    <w:p>
      <w:pPr>
        <w:pStyle w:val="6"/>
        <w:ind w:firstLine="602"/>
        <w:jc w:val="center"/>
        <w:rPr>
          <w:rFonts w:cs="Times New Roman"/>
        </w:rPr>
        <w:sectPr>
          <w:pgSz w:w="11906" w:h="16838"/>
          <w:pgMar w:top="1440" w:right="1800" w:bottom="1440" w:left="1800" w:header="851" w:footer="992" w:gutter="0"/>
          <w:cols w:space="720" w:num="1"/>
          <w:docGrid w:type="lines" w:linePitch="312" w:charSpace="0"/>
        </w:sectPr>
      </w:pPr>
    </w:p>
    <w:p>
      <w:pPr>
        <w:pStyle w:val="6"/>
        <w:ind w:firstLine="602"/>
        <w:jc w:val="center"/>
        <w:rPr>
          <w:rFonts w:cs="Times New Roman"/>
        </w:rPr>
      </w:pPr>
      <w:r>
        <w:rPr>
          <w:rFonts w:cs="Times New Roman"/>
        </w:rPr>
        <w:t>主要环境影响和保护措施</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cs="Times New Roman"/>
              </w:rPr>
            </w:pPr>
            <w:r>
              <w:rPr>
                <w:rFonts w:cs="Times New Roman"/>
              </w:rPr>
              <w:t>施工期环境保护措施</w:t>
            </w:r>
          </w:p>
        </w:tc>
        <w:tc>
          <w:tcPr>
            <w:tcW w:w="7705" w:type="dxa"/>
            <w:vAlign w:val="center"/>
          </w:tcPr>
          <w:p>
            <w:pPr>
              <w:ind w:firstLine="480"/>
              <w:rPr>
                <w:rFonts w:cs="Times New Roman"/>
              </w:rPr>
            </w:pPr>
            <w:r>
              <w:rPr>
                <w:rFonts w:cs="Times New Roman"/>
              </w:rPr>
              <w:t>本项目租用</w:t>
            </w:r>
            <w:r>
              <w:rPr>
                <w:rFonts w:hint="eastAsia" w:cs="Times New Roman"/>
              </w:rPr>
              <w:t>明溪县城关村王桥村叶厝坑江际坪山场</w:t>
            </w:r>
            <w:r>
              <w:rPr>
                <w:rFonts w:cs="Times New Roman"/>
              </w:rPr>
              <w:t>原有矿区用地进行生产，场地已基本三通一平，施工期主要包括截排水沟、沉淀池、办公楼建设，组装生产设备。</w:t>
            </w:r>
          </w:p>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4.1施工期环境保护措施</w:t>
            </w:r>
          </w:p>
          <w:p>
            <w:pPr>
              <w:pStyle w:val="47"/>
              <w:ind w:firstLine="0" w:firstLineChars="0"/>
              <w:rPr>
                <w:b/>
                <w:sz w:val="30"/>
                <w:szCs w:val="30"/>
              </w:rPr>
            </w:pPr>
            <w:r>
              <w:rPr>
                <w:b/>
                <w:sz w:val="30"/>
                <w:szCs w:val="30"/>
              </w:rPr>
              <w:t>4.1.1</w:t>
            </w:r>
            <w:r>
              <w:rPr>
                <w:b/>
                <w:bCs/>
                <w:sz w:val="30"/>
                <w:szCs w:val="30"/>
                <w:lang w:val="zh-CN"/>
              </w:rPr>
              <w:t>废水</w:t>
            </w:r>
          </w:p>
          <w:p>
            <w:pPr>
              <w:ind w:firstLine="480"/>
              <w:rPr>
                <w:rFonts w:cs="Times New Roman"/>
              </w:rPr>
            </w:pPr>
            <w:r>
              <w:rPr>
                <w:rFonts w:cs="Times New Roman"/>
              </w:rPr>
              <w:t>本项目施工期废水主要为施工人员生活污水和施工过程产生的生产废水。</w:t>
            </w:r>
          </w:p>
          <w:p>
            <w:pPr>
              <w:pStyle w:val="47"/>
              <w:ind w:firstLine="480"/>
            </w:pPr>
            <w:r>
              <w:t>（1）施工废水</w:t>
            </w:r>
          </w:p>
          <w:p>
            <w:pPr>
              <w:pStyle w:val="47"/>
              <w:ind w:firstLine="480"/>
            </w:pPr>
            <w:r>
              <w:t>施工废水主要来自进出施工场地的运输车辆、施工机械和工具沖洗水，根据类比调查一般工程的测算，项目施工过程废水产生了较少，施工废水中主要污染物为SS（浓度约400~1000mg/L）、pH（约6~8）及石油类（约20mg/L），不含有害物质和其他有机物。项目施工废水回用于施工场地内及道路洒水降尘、车辆冲洗用水，不外排。</w:t>
            </w:r>
          </w:p>
          <w:p>
            <w:pPr>
              <w:pStyle w:val="47"/>
              <w:ind w:firstLine="480"/>
            </w:pPr>
            <w:r>
              <w:rPr>
                <w:kern w:val="28"/>
                <w:szCs w:val="20"/>
              </w:rPr>
              <w:t>（2）</w:t>
            </w:r>
            <w:r>
              <w:t>施工生活废水</w:t>
            </w:r>
          </w:p>
          <w:p>
            <w:pPr>
              <w:pStyle w:val="47"/>
              <w:ind w:firstLine="480"/>
            </w:pPr>
            <w:r>
              <w:t>项目施工期间高峰期人员总数约为10人，废水产生量按50L/d﹒人计，那么施工期生活废水产生量为</w:t>
            </w:r>
            <w:r>
              <w:rPr>
                <w:rFonts w:hint="eastAsia"/>
              </w:rPr>
              <w:t>0.5</w:t>
            </w:r>
            <w:r>
              <w:t>m</w:t>
            </w:r>
            <w:r>
              <w:rPr>
                <w:vertAlign w:val="superscript"/>
              </w:rPr>
              <w:t>3</w:t>
            </w:r>
            <w:r>
              <w:t>/d。本项目施工期施工人员住宿依托厂区周边居民点，生活污水依托居民点污水处理设施处理。</w:t>
            </w:r>
          </w:p>
          <w:p>
            <w:pPr>
              <w:pStyle w:val="47"/>
              <w:ind w:firstLine="0" w:firstLineChars="0"/>
              <w:rPr>
                <w:b/>
                <w:sz w:val="30"/>
                <w:szCs w:val="30"/>
              </w:rPr>
            </w:pPr>
            <w:r>
              <w:rPr>
                <w:b/>
                <w:sz w:val="30"/>
                <w:szCs w:val="30"/>
              </w:rPr>
              <w:t>4.1.2</w:t>
            </w:r>
            <w:r>
              <w:rPr>
                <w:b/>
                <w:bCs/>
                <w:sz w:val="30"/>
                <w:szCs w:val="30"/>
                <w:lang w:val="zh-CN"/>
              </w:rPr>
              <w:t>废气</w:t>
            </w:r>
          </w:p>
          <w:p>
            <w:pPr>
              <w:ind w:firstLine="480"/>
              <w:rPr>
                <w:rFonts w:cs="Times New Roman"/>
              </w:rPr>
            </w:pPr>
            <w:r>
              <w:rPr>
                <w:rFonts w:cs="Times New Roman"/>
              </w:rPr>
              <w:t>项目施工过程产生的废气有施工扬尘和机动车尾气。</w:t>
            </w:r>
          </w:p>
          <w:p>
            <w:pPr>
              <w:ind w:firstLine="480"/>
              <w:rPr>
                <w:rFonts w:cs="Times New Roman"/>
              </w:rPr>
            </w:pPr>
            <w:r>
              <w:rPr>
                <w:rFonts w:cs="Times New Roman"/>
              </w:rPr>
              <w:t>（1）施工扬尘</w:t>
            </w:r>
          </w:p>
          <w:p>
            <w:pPr>
              <w:ind w:firstLine="480"/>
              <w:rPr>
                <w:rFonts w:cs="Times New Roman"/>
              </w:rPr>
            </w:pPr>
            <w:r>
              <w:rPr>
                <w:rFonts w:cs="Times New Roman"/>
              </w:rPr>
              <w:t>本项目施工扬尘主要包括施工场地扬尘和车辆行驶扬尘。施工期主要内容为原料堆场和临时产品堆场建设、设备安装、场地硬化等建设。施工内容较简单，多以人工施工为主，辅以简单机械施工，且施工期较短，约90天，施工过程中定期洒水降尘，因此施工扬尘产生量较少。</w:t>
            </w:r>
          </w:p>
          <w:p>
            <w:pPr>
              <w:ind w:firstLine="480"/>
              <w:rPr>
                <w:rFonts w:cs="Times New Roman"/>
              </w:rPr>
            </w:pPr>
            <w:r>
              <w:rPr>
                <w:rFonts w:cs="Times New Roman"/>
              </w:rPr>
              <w:t>（2）汽车尾气</w:t>
            </w:r>
          </w:p>
          <w:p>
            <w:pPr>
              <w:ind w:firstLine="480"/>
              <w:rPr>
                <w:rFonts w:cs="Times New Roman"/>
              </w:rPr>
            </w:pPr>
            <w:r>
              <w:rPr>
                <w:rFonts w:cs="Times New Roman"/>
              </w:rPr>
              <w:t>施工使用的工程机械主要为载重汽车，以</w:t>
            </w:r>
            <w:r>
              <w:rPr>
                <w:rFonts w:hint="eastAsia" w:cs="Times New Roman"/>
              </w:rPr>
              <w:t>柴油</w:t>
            </w:r>
            <w:r>
              <w:rPr>
                <w:rFonts w:cs="Times New Roman"/>
              </w:rPr>
              <w:t>为燃料，其他机械主要为小型电力机械，汽车尾气排放主要污染物有SO</w:t>
            </w:r>
            <w:r>
              <w:rPr>
                <w:rFonts w:cs="Times New Roman"/>
                <w:vertAlign w:val="subscript"/>
              </w:rPr>
              <w:t>2</w:t>
            </w:r>
            <w:r>
              <w:rPr>
                <w:rFonts w:cs="Times New Roman"/>
              </w:rPr>
              <w:t>、NO</w:t>
            </w:r>
            <w:r>
              <w:rPr>
                <w:rFonts w:cs="Times New Roman"/>
                <w:vertAlign w:val="subscript"/>
              </w:rPr>
              <w:t>2</w:t>
            </w:r>
            <w:r>
              <w:rPr>
                <w:rFonts w:cs="Times New Roman"/>
              </w:rPr>
              <w:t>、HC、CO等，其特点是排放量小，且属间断性无组织排放，对环境影响较小。</w:t>
            </w:r>
          </w:p>
          <w:p>
            <w:pPr>
              <w:pStyle w:val="47"/>
              <w:ind w:firstLine="0" w:firstLineChars="0"/>
              <w:rPr>
                <w:b/>
                <w:sz w:val="30"/>
                <w:szCs w:val="30"/>
              </w:rPr>
            </w:pPr>
            <w:r>
              <w:rPr>
                <w:b/>
                <w:sz w:val="30"/>
                <w:szCs w:val="30"/>
              </w:rPr>
              <w:t>4.1.3</w:t>
            </w:r>
            <w:r>
              <w:rPr>
                <w:b/>
                <w:bCs/>
                <w:sz w:val="30"/>
                <w:szCs w:val="30"/>
                <w:lang w:val="zh-CN"/>
              </w:rPr>
              <w:t>噪声</w:t>
            </w:r>
          </w:p>
          <w:p>
            <w:pPr>
              <w:snapToGrid w:val="0"/>
              <w:ind w:firstLine="480"/>
              <w:rPr>
                <w:rFonts w:cs="Times New Roman"/>
              </w:rPr>
            </w:pPr>
            <w:r>
              <w:rPr>
                <w:rFonts w:cs="Times New Roman"/>
              </w:rPr>
              <w:t>施工期主要噪声源是运输车辆、施工机械(推土机、搅拌机、吊车等)。通过距离衰减，同时运输过程应通过合理安排运输时序，避开周边村庄村民休息时间等措施减少噪声对周边村庄的影响。施工期噪声严格执行《建筑施工场界环境噪声排放标准》（GB12523-2011）标准要求。</w:t>
            </w:r>
          </w:p>
          <w:p>
            <w:pPr>
              <w:pStyle w:val="47"/>
              <w:ind w:firstLine="0" w:firstLineChars="0"/>
              <w:rPr>
                <w:b/>
                <w:sz w:val="30"/>
                <w:szCs w:val="30"/>
              </w:rPr>
            </w:pPr>
            <w:r>
              <w:rPr>
                <w:b/>
                <w:sz w:val="30"/>
                <w:szCs w:val="30"/>
              </w:rPr>
              <w:t>4.1.4</w:t>
            </w:r>
            <w:r>
              <w:rPr>
                <w:b/>
                <w:bCs/>
                <w:sz w:val="30"/>
                <w:szCs w:val="30"/>
                <w:lang w:val="zh-CN"/>
              </w:rPr>
              <w:t>固体废物</w:t>
            </w:r>
          </w:p>
          <w:p>
            <w:pPr>
              <w:ind w:firstLine="480"/>
              <w:rPr>
                <w:rFonts w:cs="Times New Roman"/>
              </w:rPr>
            </w:pPr>
            <w:r>
              <w:rPr>
                <w:rFonts w:cs="Times New Roman"/>
              </w:rPr>
              <w:t>项目施工过程中产生的固体废弃物主要为建筑垃圾及施工人员生活垃圾。</w:t>
            </w:r>
          </w:p>
          <w:p>
            <w:pPr>
              <w:ind w:firstLine="480"/>
              <w:rPr>
                <w:rFonts w:cs="Times New Roman"/>
              </w:rPr>
            </w:pPr>
            <w:r>
              <w:rPr>
                <w:rFonts w:cs="Times New Roman"/>
              </w:rPr>
              <w:t>（1）建筑垃圾</w:t>
            </w:r>
          </w:p>
          <w:p>
            <w:pPr>
              <w:ind w:firstLine="480"/>
              <w:rPr>
                <w:rFonts w:cs="Times New Roman"/>
              </w:rPr>
            </w:pPr>
            <w:r>
              <w:rPr>
                <w:rFonts w:cs="Times New Roman"/>
              </w:rPr>
              <w:t>项目建筑垃圾包括基础建设、设备安装等过程产生的建筑废料，如石块、水泥、铁丝等杂物，由于项目建筑面积较少，因此产生的建筑垃圾较少。对于可回收利用的建筑材料，如废金属、废铁丝、废砖块等尽量回收利用，其他不能回收利用的建筑材料运至有关主管部门指定地点倾倒。</w:t>
            </w:r>
          </w:p>
          <w:p>
            <w:pPr>
              <w:ind w:firstLine="480"/>
              <w:rPr>
                <w:rFonts w:cs="Times New Roman"/>
              </w:rPr>
            </w:pPr>
            <w:r>
              <w:rPr>
                <w:rFonts w:cs="Times New Roman"/>
              </w:rPr>
              <w:t>（2）生活垃圾</w:t>
            </w:r>
          </w:p>
          <w:p>
            <w:pPr>
              <w:ind w:firstLine="480"/>
              <w:rPr>
                <w:rFonts w:cs="Times New Roman"/>
              </w:rPr>
            </w:pPr>
            <w:r>
              <w:rPr>
                <w:rFonts w:cs="Times New Roman"/>
              </w:rPr>
              <w:t>施工期固体废物主要为施工人员生活垃圾。施工人员不在厂内住宿。生活垃圾以每人0.5kg/d计，施工时高峰期的工作人员约10人，则施工期生活垃圾产生量约5kg/d，施工期为3个月，产生生活垃圾0.45t。项目产生的生活垃圾集中收集后，由环卫部门统一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trPr>
        <w:tc>
          <w:tcPr>
            <w:tcW w:w="817" w:type="dxa"/>
            <w:vAlign w:val="center"/>
          </w:tcPr>
          <w:p>
            <w:pPr>
              <w:ind w:firstLine="480"/>
              <w:jc w:val="center"/>
              <w:rPr>
                <w:rFonts w:cs="Times New Roman"/>
              </w:rPr>
            </w:pPr>
            <w:r>
              <w:rPr>
                <w:rFonts w:cs="Times New Roman"/>
              </w:rPr>
              <w:t>运营期环境影响和保护措施</w:t>
            </w:r>
          </w:p>
        </w:tc>
        <w:tc>
          <w:tcPr>
            <w:tcW w:w="7705" w:type="dxa"/>
            <w:vAlign w:val="center"/>
          </w:tcPr>
          <w:p>
            <w:pPr>
              <w:pStyle w:val="7"/>
              <w:spacing w:before="0" w:after="0" w:line="360" w:lineRule="auto"/>
              <w:ind w:firstLine="0" w:firstLineChars="0"/>
              <w:rPr>
                <w:rFonts w:ascii="Times New Roman" w:hAnsi="Times New Roman" w:eastAsia="宋体" w:cs="Times New Roman"/>
              </w:rPr>
            </w:pPr>
            <w:r>
              <w:rPr>
                <w:rFonts w:ascii="Times New Roman" w:hAnsi="Times New Roman" w:eastAsia="宋体" w:cs="Times New Roman"/>
              </w:rPr>
              <w:t>4.2运营期废水环境影响分析和污染防治措施</w:t>
            </w:r>
          </w:p>
          <w:p>
            <w:pPr>
              <w:pStyle w:val="47"/>
              <w:ind w:firstLine="0" w:firstLineChars="0"/>
              <w:rPr>
                <w:b/>
                <w:sz w:val="30"/>
                <w:szCs w:val="30"/>
              </w:rPr>
            </w:pPr>
            <w:r>
              <w:rPr>
                <w:b/>
                <w:sz w:val="30"/>
                <w:szCs w:val="30"/>
              </w:rPr>
              <w:t>4.2.1</w:t>
            </w:r>
            <w:r>
              <w:rPr>
                <w:b/>
                <w:sz w:val="30"/>
                <w:szCs w:val="30"/>
                <w:lang w:val="zh-CN"/>
              </w:rPr>
              <w:t>地表水</w:t>
            </w:r>
          </w:p>
          <w:p>
            <w:pPr>
              <w:ind w:firstLine="480"/>
              <w:rPr>
                <w:rFonts w:cs="Times New Roman"/>
              </w:rPr>
            </w:pPr>
            <w:r>
              <w:rPr>
                <w:rFonts w:cs="Times New Roman"/>
              </w:rPr>
              <w:t>（1）污染源强</w:t>
            </w:r>
          </w:p>
          <w:p>
            <w:pPr>
              <w:ind w:firstLine="480"/>
              <w:rPr>
                <w:rFonts w:cs="Times New Roman"/>
              </w:rPr>
            </w:pPr>
            <w:r>
              <w:rPr>
                <w:rFonts w:cs="Times New Roman"/>
              </w:rPr>
              <w:t>本项目废水包含生产废水、生活污水以及初期雨水。</w:t>
            </w:r>
          </w:p>
          <w:p>
            <w:pPr>
              <w:pStyle w:val="47"/>
              <w:ind w:firstLine="480"/>
            </w:pPr>
            <w:r>
              <w:rPr>
                <w:rFonts w:hint="eastAsia" w:ascii="宋体" w:hAnsi="宋体" w:cs="宋体"/>
              </w:rPr>
              <w:t>①</w:t>
            </w:r>
            <w:r>
              <w:t>生产废水</w:t>
            </w:r>
          </w:p>
          <w:p>
            <w:pPr>
              <w:pStyle w:val="47"/>
              <w:ind w:firstLine="480"/>
            </w:pPr>
            <w:r>
              <w:t>本项目生产用水主要是厂区内喷淋除尘用水，均自然蒸发损耗，无生产废水外排。</w:t>
            </w:r>
          </w:p>
          <w:p>
            <w:pPr>
              <w:pStyle w:val="47"/>
              <w:ind w:firstLine="480"/>
            </w:pPr>
            <w:r>
              <w:rPr>
                <w:rFonts w:hint="eastAsia" w:ascii="宋体" w:hAnsi="宋体" w:cs="宋体"/>
              </w:rPr>
              <w:t>②</w:t>
            </w:r>
            <w:r>
              <w:t>生活污水</w:t>
            </w:r>
          </w:p>
          <w:p>
            <w:pPr>
              <w:pStyle w:val="47"/>
              <w:ind w:firstLine="480"/>
            </w:pPr>
            <w:r>
              <w:t>本项目员工共8人，均不住厂。项目生活用水量取50L/人·d，则员工生活污水产生量为0.4t/d，排放系数按0.8计算，则生活污水排放量为0.32t/d。主要污染物浓度COD：400mg/L，BOD</w:t>
            </w:r>
            <w:r>
              <w:rPr>
                <w:vertAlign w:val="subscript"/>
              </w:rPr>
              <w:t>5</w:t>
            </w:r>
            <w:r>
              <w:t>：200mg/L，SS：220mg/L，NH</w:t>
            </w:r>
            <w:r>
              <w:rPr>
                <w:vertAlign w:val="subscript"/>
              </w:rPr>
              <w:t>3</w:t>
            </w:r>
            <w:r>
              <w:t>-N：35mg/L。员工生活污水经化粪池处理后用于周边林地施肥，生活污水产排量见下表4-1。</w:t>
            </w:r>
          </w:p>
          <w:p>
            <w:pPr>
              <w:pStyle w:val="47"/>
              <w:ind w:firstLine="0" w:firstLineChars="0"/>
              <w:jc w:val="center"/>
              <w:rPr>
                <w:b/>
              </w:rPr>
            </w:pPr>
            <w:r>
              <w:rPr>
                <w:b/>
              </w:rPr>
              <w:t>表4-1 项目废水产生及排放一览表</w:t>
            </w:r>
          </w:p>
          <w:tbl>
            <w:tblPr>
              <w:tblStyle w:val="24"/>
              <w:tblW w:w="75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134"/>
              <w:gridCol w:w="992"/>
              <w:gridCol w:w="993"/>
              <w:gridCol w:w="850"/>
              <w:gridCol w:w="709"/>
              <w:gridCol w:w="857"/>
              <w:gridCol w:w="726"/>
              <w:gridCol w:w="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2" w:type="dxa"/>
                  <w:vMerge w:val="restart"/>
                  <w:tcBorders>
                    <w:tl2br w:val="nil"/>
                    <w:tr2bl w:val="nil"/>
                  </w:tcBorders>
                  <w:tcMar>
                    <w:top w:w="0" w:type="dxa"/>
                    <w:left w:w="28" w:type="dxa"/>
                    <w:bottom w:w="0" w:type="dxa"/>
                    <w:right w:w="28" w:type="dxa"/>
                  </w:tcMar>
                  <w:vAlign w:val="center"/>
                </w:tcPr>
                <w:p>
                  <w:pPr>
                    <w:pStyle w:val="35"/>
                    <w:jc w:val="center"/>
                    <w:rPr>
                      <w:rFonts w:cs="Times New Roman"/>
                      <w:b/>
                      <w:szCs w:val="21"/>
                    </w:rPr>
                  </w:pPr>
                  <w:r>
                    <w:rPr>
                      <w:rFonts w:cs="Times New Roman"/>
                      <w:b/>
                      <w:szCs w:val="21"/>
                    </w:rPr>
                    <w:t>序</w:t>
                  </w:r>
                </w:p>
                <w:p>
                  <w:pPr>
                    <w:pStyle w:val="35"/>
                    <w:jc w:val="center"/>
                    <w:rPr>
                      <w:rFonts w:cs="Times New Roman"/>
                      <w:b/>
                      <w:szCs w:val="21"/>
                    </w:rPr>
                  </w:pPr>
                  <w:r>
                    <w:rPr>
                      <w:rFonts w:cs="Times New Roman"/>
                      <w:b/>
                      <w:szCs w:val="21"/>
                    </w:rPr>
                    <w:t>号</w:t>
                  </w:r>
                </w:p>
              </w:tc>
              <w:tc>
                <w:tcPr>
                  <w:tcW w:w="1134" w:type="dxa"/>
                  <w:vMerge w:val="restart"/>
                  <w:tcBorders>
                    <w:tl2br w:val="nil"/>
                    <w:tr2bl w:val="nil"/>
                  </w:tcBorders>
                  <w:vAlign w:val="center"/>
                </w:tcPr>
                <w:p>
                  <w:pPr>
                    <w:pStyle w:val="35"/>
                    <w:jc w:val="center"/>
                    <w:rPr>
                      <w:rFonts w:cs="Times New Roman"/>
                      <w:b/>
                      <w:szCs w:val="21"/>
                    </w:rPr>
                  </w:pPr>
                  <w:r>
                    <w:rPr>
                      <w:rFonts w:cs="Times New Roman"/>
                      <w:b/>
                      <w:szCs w:val="21"/>
                    </w:rPr>
                    <w:t>废水</w:t>
                  </w:r>
                </w:p>
                <w:p>
                  <w:pPr>
                    <w:pStyle w:val="35"/>
                    <w:jc w:val="center"/>
                    <w:rPr>
                      <w:rFonts w:cs="Times New Roman"/>
                      <w:b/>
                      <w:szCs w:val="21"/>
                    </w:rPr>
                  </w:pPr>
                  <w:r>
                    <w:rPr>
                      <w:rFonts w:cs="Times New Roman"/>
                      <w:b/>
                      <w:szCs w:val="21"/>
                    </w:rPr>
                    <w:t>污染源</w:t>
                  </w:r>
                </w:p>
              </w:tc>
              <w:tc>
                <w:tcPr>
                  <w:tcW w:w="1985" w:type="dxa"/>
                  <w:gridSpan w:val="2"/>
                  <w:tcBorders>
                    <w:tl2br w:val="nil"/>
                    <w:tr2bl w:val="nil"/>
                  </w:tcBorders>
                  <w:vAlign w:val="center"/>
                </w:tcPr>
                <w:p>
                  <w:pPr>
                    <w:pStyle w:val="35"/>
                    <w:jc w:val="center"/>
                    <w:rPr>
                      <w:rFonts w:cs="Times New Roman"/>
                      <w:b/>
                      <w:szCs w:val="21"/>
                    </w:rPr>
                  </w:pPr>
                  <w:r>
                    <w:rPr>
                      <w:rFonts w:cs="Times New Roman"/>
                      <w:b/>
                      <w:szCs w:val="21"/>
                    </w:rPr>
                    <w:t>水量</w:t>
                  </w:r>
                </w:p>
              </w:tc>
              <w:tc>
                <w:tcPr>
                  <w:tcW w:w="850" w:type="dxa"/>
                  <w:vMerge w:val="restart"/>
                  <w:tcBorders>
                    <w:tl2br w:val="nil"/>
                    <w:tr2bl w:val="nil"/>
                  </w:tcBorders>
                  <w:vAlign w:val="center"/>
                </w:tcPr>
                <w:p>
                  <w:pPr>
                    <w:pStyle w:val="35"/>
                    <w:jc w:val="center"/>
                    <w:rPr>
                      <w:rFonts w:cs="Times New Roman"/>
                      <w:b/>
                      <w:szCs w:val="21"/>
                    </w:rPr>
                  </w:pPr>
                  <w:r>
                    <w:rPr>
                      <w:rFonts w:cs="Times New Roman"/>
                      <w:b/>
                      <w:szCs w:val="21"/>
                    </w:rPr>
                    <w:t>单位</w:t>
                  </w:r>
                </w:p>
              </w:tc>
              <w:tc>
                <w:tcPr>
                  <w:tcW w:w="709" w:type="dxa"/>
                  <w:vMerge w:val="restart"/>
                  <w:tcBorders>
                    <w:tl2br w:val="nil"/>
                    <w:tr2bl w:val="nil"/>
                  </w:tcBorders>
                  <w:vAlign w:val="center"/>
                </w:tcPr>
                <w:p>
                  <w:pPr>
                    <w:pStyle w:val="35"/>
                    <w:jc w:val="center"/>
                    <w:rPr>
                      <w:rFonts w:cs="Times New Roman"/>
                      <w:b/>
                      <w:szCs w:val="21"/>
                    </w:rPr>
                  </w:pPr>
                  <w:r>
                    <w:rPr>
                      <w:rFonts w:cs="Times New Roman"/>
                      <w:b/>
                      <w:szCs w:val="21"/>
                    </w:rPr>
                    <w:t>COD</w:t>
                  </w:r>
                </w:p>
              </w:tc>
              <w:tc>
                <w:tcPr>
                  <w:tcW w:w="857" w:type="dxa"/>
                  <w:vMerge w:val="restart"/>
                  <w:tcBorders>
                    <w:tl2br w:val="nil"/>
                    <w:tr2bl w:val="nil"/>
                  </w:tcBorders>
                  <w:vAlign w:val="center"/>
                </w:tcPr>
                <w:p>
                  <w:pPr>
                    <w:pStyle w:val="35"/>
                    <w:jc w:val="center"/>
                    <w:rPr>
                      <w:rFonts w:cs="Times New Roman"/>
                      <w:b/>
                      <w:szCs w:val="21"/>
                    </w:rPr>
                  </w:pPr>
                  <w:r>
                    <w:rPr>
                      <w:rFonts w:cs="Times New Roman"/>
                      <w:b/>
                      <w:szCs w:val="21"/>
                    </w:rPr>
                    <w:t>BOD</w:t>
                  </w:r>
                  <w:r>
                    <w:rPr>
                      <w:rFonts w:cs="Times New Roman"/>
                      <w:b/>
                      <w:szCs w:val="21"/>
                      <w:vertAlign w:val="subscript"/>
                    </w:rPr>
                    <w:t>5</w:t>
                  </w:r>
                </w:p>
              </w:tc>
              <w:tc>
                <w:tcPr>
                  <w:tcW w:w="726" w:type="dxa"/>
                  <w:vMerge w:val="restart"/>
                  <w:tcBorders>
                    <w:tl2br w:val="nil"/>
                    <w:tr2bl w:val="nil"/>
                  </w:tcBorders>
                  <w:vAlign w:val="center"/>
                </w:tcPr>
                <w:p>
                  <w:pPr>
                    <w:pStyle w:val="35"/>
                    <w:jc w:val="center"/>
                    <w:rPr>
                      <w:rFonts w:cs="Times New Roman"/>
                      <w:b/>
                      <w:szCs w:val="21"/>
                    </w:rPr>
                  </w:pPr>
                  <w:r>
                    <w:rPr>
                      <w:rFonts w:cs="Times New Roman"/>
                      <w:b/>
                      <w:szCs w:val="21"/>
                    </w:rPr>
                    <w:t>SS</w:t>
                  </w:r>
                </w:p>
              </w:tc>
              <w:tc>
                <w:tcPr>
                  <w:tcW w:w="811" w:type="dxa"/>
                  <w:vMerge w:val="restart"/>
                  <w:tcBorders>
                    <w:tl2br w:val="nil"/>
                    <w:tr2bl w:val="nil"/>
                  </w:tcBorders>
                  <w:vAlign w:val="center"/>
                </w:tcPr>
                <w:p>
                  <w:pPr>
                    <w:pStyle w:val="35"/>
                    <w:jc w:val="center"/>
                    <w:rPr>
                      <w:rFonts w:cs="Times New Roman"/>
                      <w:b/>
                      <w:szCs w:val="21"/>
                    </w:rPr>
                  </w:pPr>
                  <w:r>
                    <w:rPr>
                      <w:rFonts w:cs="Times New Roman"/>
                      <w:b/>
                      <w:szCs w:val="21"/>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02" w:type="dxa"/>
                  <w:vMerge w:val="continue"/>
                  <w:tcBorders>
                    <w:tl2br w:val="nil"/>
                    <w:tr2bl w:val="nil"/>
                  </w:tcBorders>
                  <w:vAlign w:val="center"/>
                </w:tcPr>
                <w:p>
                  <w:pPr>
                    <w:pStyle w:val="35"/>
                    <w:jc w:val="center"/>
                    <w:rPr>
                      <w:rFonts w:cs="Times New Roman"/>
                      <w:b/>
                      <w:szCs w:val="21"/>
                    </w:rPr>
                  </w:pPr>
                </w:p>
              </w:tc>
              <w:tc>
                <w:tcPr>
                  <w:tcW w:w="1134" w:type="dxa"/>
                  <w:vMerge w:val="continue"/>
                  <w:tcBorders>
                    <w:tl2br w:val="nil"/>
                    <w:tr2bl w:val="nil"/>
                  </w:tcBorders>
                  <w:vAlign w:val="center"/>
                </w:tcPr>
                <w:p>
                  <w:pPr>
                    <w:pStyle w:val="35"/>
                    <w:jc w:val="center"/>
                    <w:rPr>
                      <w:rFonts w:cs="Times New Roman"/>
                      <w:b/>
                      <w:szCs w:val="21"/>
                    </w:rPr>
                  </w:pPr>
                </w:p>
              </w:tc>
              <w:tc>
                <w:tcPr>
                  <w:tcW w:w="992" w:type="dxa"/>
                  <w:tcBorders>
                    <w:tl2br w:val="nil"/>
                    <w:tr2bl w:val="nil"/>
                  </w:tcBorders>
                  <w:vAlign w:val="center"/>
                </w:tcPr>
                <w:p>
                  <w:pPr>
                    <w:pStyle w:val="35"/>
                    <w:jc w:val="center"/>
                    <w:rPr>
                      <w:rFonts w:cs="Times New Roman"/>
                      <w:b/>
                      <w:szCs w:val="21"/>
                    </w:rPr>
                  </w:pPr>
                  <w:r>
                    <w:rPr>
                      <w:rFonts w:cs="Times New Roman"/>
                      <w:b/>
                      <w:szCs w:val="21"/>
                    </w:rPr>
                    <w:t>（m</w:t>
                  </w:r>
                  <w:r>
                    <w:rPr>
                      <w:rFonts w:cs="Times New Roman"/>
                      <w:b/>
                      <w:szCs w:val="21"/>
                      <w:vertAlign w:val="superscript"/>
                    </w:rPr>
                    <w:t>3</w:t>
                  </w:r>
                  <w:r>
                    <w:rPr>
                      <w:rFonts w:cs="Times New Roman"/>
                      <w:b/>
                      <w:szCs w:val="21"/>
                    </w:rPr>
                    <w:t>/d）</w:t>
                  </w:r>
                </w:p>
              </w:tc>
              <w:tc>
                <w:tcPr>
                  <w:tcW w:w="993" w:type="dxa"/>
                  <w:tcBorders>
                    <w:tl2br w:val="nil"/>
                    <w:tr2bl w:val="nil"/>
                  </w:tcBorders>
                  <w:vAlign w:val="center"/>
                </w:tcPr>
                <w:p>
                  <w:pPr>
                    <w:pStyle w:val="35"/>
                    <w:jc w:val="center"/>
                    <w:rPr>
                      <w:rFonts w:cs="Times New Roman"/>
                      <w:b/>
                      <w:szCs w:val="21"/>
                    </w:rPr>
                  </w:pPr>
                  <w:r>
                    <w:rPr>
                      <w:rFonts w:cs="Times New Roman"/>
                      <w:b/>
                      <w:szCs w:val="21"/>
                    </w:rPr>
                    <w:t>（m</w:t>
                  </w:r>
                  <w:r>
                    <w:rPr>
                      <w:rFonts w:cs="Times New Roman"/>
                      <w:b/>
                      <w:szCs w:val="21"/>
                      <w:vertAlign w:val="superscript"/>
                    </w:rPr>
                    <w:t>3</w:t>
                  </w:r>
                  <w:r>
                    <w:rPr>
                      <w:rFonts w:cs="Times New Roman"/>
                      <w:b/>
                      <w:szCs w:val="21"/>
                    </w:rPr>
                    <w:t>/a）</w:t>
                  </w:r>
                </w:p>
              </w:tc>
              <w:tc>
                <w:tcPr>
                  <w:tcW w:w="850" w:type="dxa"/>
                  <w:vMerge w:val="continue"/>
                  <w:tcBorders>
                    <w:tl2br w:val="nil"/>
                    <w:tr2bl w:val="nil"/>
                  </w:tcBorders>
                  <w:vAlign w:val="center"/>
                </w:tcPr>
                <w:p>
                  <w:pPr>
                    <w:pStyle w:val="35"/>
                    <w:jc w:val="center"/>
                    <w:rPr>
                      <w:rFonts w:cs="Times New Roman"/>
                      <w:szCs w:val="21"/>
                    </w:rPr>
                  </w:pPr>
                </w:p>
              </w:tc>
              <w:tc>
                <w:tcPr>
                  <w:tcW w:w="709" w:type="dxa"/>
                  <w:vMerge w:val="continue"/>
                  <w:tcBorders>
                    <w:tl2br w:val="nil"/>
                    <w:tr2bl w:val="nil"/>
                  </w:tcBorders>
                  <w:vAlign w:val="center"/>
                </w:tcPr>
                <w:p>
                  <w:pPr>
                    <w:pStyle w:val="35"/>
                    <w:jc w:val="center"/>
                    <w:rPr>
                      <w:rFonts w:cs="Times New Roman"/>
                      <w:szCs w:val="21"/>
                    </w:rPr>
                  </w:pPr>
                </w:p>
              </w:tc>
              <w:tc>
                <w:tcPr>
                  <w:tcW w:w="857" w:type="dxa"/>
                  <w:vMerge w:val="continue"/>
                  <w:tcBorders>
                    <w:tl2br w:val="nil"/>
                    <w:tr2bl w:val="nil"/>
                  </w:tcBorders>
                  <w:vAlign w:val="center"/>
                </w:tcPr>
                <w:p>
                  <w:pPr>
                    <w:pStyle w:val="35"/>
                    <w:jc w:val="center"/>
                    <w:rPr>
                      <w:rFonts w:cs="Times New Roman"/>
                      <w:szCs w:val="21"/>
                    </w:rPr>
                  </w:pPr>
                </w:p>
              </w:tc>
              <w:tc>
                <w:tcPr>
                  <w:tcW w:w="726" w:type="dxa"/>
                  <w:vMerge w:val="continue"/>
                  <w:tcBorders>
                    <w:tl2br w:val="nil"/>
                    <w:tr2bl w:val="nil"/>
                  </w:tcBorders>
                  <w:vAlign w:val="center"/>
                </w:tcPr>
                <w:p>
                  <w:pPr>
                    <w:pStyle w:val="35"/>
                    <w:jc w:val="center"/>
                    <w:rPr>
                      <w:rFonts w:cs="Times New Roman"/>
                      <w:szCs w:val="21"/>
                    </w:rPr>
                  </w:pPr>
                </w:p>
              </w:tc>
              <w:tc>
                <w:tcPr>
                  <w:tcW w:w="811" w:type="dxa"/>
                  <w:vMerge w:val="continue"/>
                  <w:tcBorders>
                    <w:tl2br w:val="nil"/>
                    <w:tr2bl w:val="nil"/>
                  </w:tcBorders>
                  <w:vAlign w:val="center"/>
                </w:tcPr>
                <w:p>
                  <w:pPr>
                    <w:pStyle w:val="35"/>
                    <w:jc w:val="center"/>
                    <w:rPr>
                      <w:rFonts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4" w:type="dxa"/>
                  <w:gridSpan w:val="9"/>
                  <w:tcBorders>
                    <w:tl2br w:val="nil"/>
                    <w:tr2bl w:val="nil"/>
                  </w:tcBorders>
                  <w:vAlign w:val="center"/>
                </w:tcPr>
                <w:p>
                  <w:pPr>
                    <w:pStyle w:val="35"/>
                    <w:jc w:val="center"/>
                    <w:rPr>
                      <w:rFonts w:cs="Times New Roman"/>
                      <w:b/>
                      <w:szCs w:val="21"/>
                    </w:rPr>
                  </w:pPr>
                  <w:r>
                    <w:rPr>
                      <w:rFonts w:hint="eastAsia" w:cs="Times New Roman"/>
                      <w:b/>
                      <w:szCs w:val="21"/>
                    </w:rPr>
                    <w:t>一、产生情况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02" w:type="dxa"/>
                  <w:vMerge w:val="restart"/>
                  <w:tcBorders>
                    <w:tl2br w:val="nil"/>
                    <w:tr2bl w:val="nil"/>
                  </w:tcBorders>
                  <w:tcMar>
                    <w:top w:w="0" w:type="dxa"/>
                    <w:left w:w="28" w:type="dxa"/>
                    <w:bottom w:w="0" w:type="dxa"/>
                    <w:right w:w="28" w:type="dxa"/>
                  </w:tcMar>
                  <w:vAlign w:val="center"/>
                </w:tcPr>
                <w:p>
                  <w:pPr>
                    <w:pStyle w:val="35"/>
                    <w:jc w:val="center"/>
                    <w:rPr>
                      <w:rFonts w:cs="Times New Roman"/>
                      <w:szCs w:val="21"/>
                    </w:rPr>
                  </w:pPr>
                  <w:r>
                    <w:rPr>
                      <w:rFonts w:cs="Times New Roman"/>
                      <w:szCs w:val="21"/>
                    </w:rPr>
                    <w:t>1</w:t>
                  </w:r>
                </w:p>
              </w:tc>
              <w:tc>
                <w:tcPr>
                  <w:tcW w:w="1134" w:type="dxa"/>
                  <w:vMerge w:val="restart"/>
                  <w:tcBorders>
                    <w:tl2br w:val="nil"/>
                    <w:tr2bl w:val="nil"/>
                  </w:tcBorders>
                  <w:vAlign w:val="center"/>
                </w:tcPr>
                <w:p>
                  <w:pPr>
                    <w:pStyle w:val="35"/>
                    <w:jc w:val="center"/>
                    <w:rPr>
                      <w:rFonts w:cs="Times New Roman"/>
                      <w:szCs w:val="21"/>
                    </w:rPr>
                  </w:pPr>
                  <w:r>
                    <w:rPr>
                      <w:rFonts w:cs="Times New Roman"/>
                      <w:szCs w:val="21"/>
                    </w:rPr>
                    <w:t>生活污水</w:t>
                  </w:r>
                </w:p>
              </w:tc>
              <w:tc>
                <w:tcPr>
                  <w:tcW w:w="992" w:type="dxa"/>
                  <w:vMerge w:val="restart"/>
                  <w:tcBorders>
                    <w:tl2br w:val="nil"/>
                    <w:tr2bl w:val="nil"/>
                  </w:tcBorders>
                  <w:vAlign w:val="center"/>
                </w:tcPr>
                <w:p>
                  <w:pPr>
                    <w:pStyle w:val="35"/>
                    <w:jc w:val="center"/>
                    <w:rPr>
                      <w:rFonts w:cs="Times New Roman"/>
                      <w:szCs w:val="21"/>
                    </w:rPr>
                  </w:pPr>
                  <w:r>
                    <w:rPr>
                      <w:rFonts w:cs="Times New Roman"/>
                      <w:szCs w:val="21"/>
                    </w:rPr>
                    <w:t>0.32</w:t>
                  </w:r>
                </w:p>
              </w:tc>
              <w:tc>
                <w:tcPr>
                  <w:tcW w:w="993" w:type="dxa"/>
                  <w:vMerge w:val="restart"/>
                  <w:tcBorders>
                    <w:tl2br w:val="nil"/>
                    <w:tr2bl w:val="nil"/>
                  </w:tcBorders>
                  <w:vAlign w:val="center"/>
                </w:tcPr>
                <w:p>
                  <w:pPr>
                    <w:pStyle w:val="35"/>
                    <w:jc w:val="center"/>
                    <w:rPr>
                      <w:rFonts w:cs="Times New Roman"/>
                      <w:szCs w:val="21"/>
                    </w:rPr>
                  </w:pPr>
                  <w:r>
                    <w:rPr>
                      <w:rFonts w:cs="Times New Roman"/>
                      <w:szCs w:val="21"/>
                    </w:rPr>
                    <w:t>96</w:t>
                  </w:r>
                </w:p>
              </w:tc>
              <w:tc>
                <w:tcPr>
                  <w:tcW w:w="850" w:type="dxa"/>
                  <w:tcBorders>
                    <w:tl2br w:val="nil"/>
                    <w:tr2bl w:val="nil"/>
                  </w:tcBorders>
                  <w:vAlign w:val="center"/>
                </w:tcPr>
                <w:p>
                  <w:pPr>
                    <w:pStyle w:val="35"/>
                    <w:jc w:val="center"/>
                    <w:rPr>
                      <w:rFonts w:cs="Times New Roman"/>
                      <w:szCs w:val="21"/>
                    </w:rPr>
                  </w:pPr>
                  <w:r>
                    <w:rPr>
                      <w:rFonts w:cs="Times New Roman"/>
                      <w:szCs w:val="21"/>
                    </w:rPr>
                    <w:t>mg/L</w:t>
                  </w:r>
                </w:p>
              </w:tc>
              <w:tc>
                <w:tcPr>
                  <w:tcW w:w="709" w:type="dxa"/>
                  <w:tcBorders>
                    <w:tl2br w:val="nil"/>
                    <w:tr2bl w:val="nil"/>
                  </w:tcBorders>
                  <w:vAlign w:val="center"/>
                </w:tcPr>
                <w:p>
                  <w:pPr>
                    <w:pStyle w:val="35"/>
                    <w:jc w:val="center"/>
                    <w:rPr>
                      <w:rFonts w:cs="Times New Roman"/>
                      <w:szCs w:val="21"/>
                    </w:rPr>
                  </w:pPr>
                  <w:r>
                    <w:rPr>
                      <w:rFonts w:cs="Times New Roman"/>
                      <w:szCs w:val="21"/>
                    </w:rPr>
                    <w:t>400</w:t>
                  </w:r>
                </w:p>
              </w:tc>
              <w:tc>
                <w:tcPr>
                  <w:tcW w:w="857" w:type="dxa"/>
                  <w:tcBorders>
                    <w:tl2br w:val="nil"/>
                    <w:tr2bl w:val="nil"/>
                  </w:tcBorders>
                  <w:vAlign w:val="center"/>
                </w:tcPr>
                <w:p>
                  <w:pPr>
                    <w:pStyle w:val="35"/>
                    <w:jc w:val="center"/>
                    <w:rPr>
                      <w:rFonts w:cs="Times New Roman"/>
                      <w:szCs w:val="21"/>
                    </w:rPr>
                  </w:pPr>
                  <w:r>
                    <w:rPr>
                      <w:rFonts w:cs="Times New Roman"/>
                      <w:szCs w:val="21"/>
                    </w:rPr>
                    <w:t>220</w:t>
                  </w:r>
                </w:p>
              </w:tc>
              <w:tc>
                <w:tcPr>
                  <w:tcW w:w="726" w:type="dxa"/>
                  <w:tcBorders>
                    <w:tl2br w:val="nil"/>
                    <w:tr2bl w:val="nil"/>
                  </w:tcBorders>
                  <w:vAlign w:val="center"/>
                </w:tcPr>
                <w:p>
                  <w:pPr>
                    <w:pStyle w:val="35"/>
                    <w:jc w:val="center"/>
                    <w:rPr>
                      <w:rFonts w:cs="Times New Roman"/>
                      <w:szCs w:val="21"/>
                    </w:rPr>
                  </w:pPr>
                  <w:r>
                    <w:rPr>
                      <w:rFonts w:cs="Times New Roman"/>
                      <w:szCs w:val="21"/>
                    </w:rPr>
                    <w:t>200</w:t>
                  </w:r>
                </w:p>
              </w:tc>
              <w:tc>
                <w:tcPr>
                  <w:tcW w:w="811" w:type="dxa"/>
                  <w:tcBorders>
                    <w:tl2br w:val="nil"/>
                    <w:tr2bl w:val="nil"/>
                  </w:tcBorders>
                  <w:vAlign w:val="center"/>
                </w:tcPr>
                <w:p>
                  <w:pPr>
                    <w:pStyle w:val="35"/>
                    <w:jc w:val="center"/>
                    <w:rPr>
                      <w:rFonts w:cs="Times New Roman"/>
                      <w:szCs w:val="21"/>
                    </w:rPr>
                  </w:pPr>
                  <w:r>
                    <w:rPr>
                      <w:rFonts w:cs="Times New Roman"/>
                      <w:szCs w:val="21"/>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02" w:type="dxa"/>
                  <w:vMerge w:val="continue"/>
                  <w:tcBorders>
                    <w:tl2br w:val="nil"/>
                    <w:tr2bl w:val="nil"/>
                  </w:tcBorders>
                  <w:vAlign w:val="center"/>
                </w:tcPr>
                <w:p>
                  <w:pPr>
                    <w:pStyle w:val="35"/>
                    <w:jc w:val="center"/>
                    <w:rPr>
                      <w:rFonts w:cs="Times New Roman"/>
                      <w:szCs w:val="21"/>
                    </w:rPr>
                  </w:pPr>
                </w:p>
              </w:tc>
              <w:tc>
                <w:tcPr>
                  <w:tcW w:w="1134" w:type="dxa"/>
                  <w:vMerge w:val="continue"/>
                  <w:tcBorders>
                    <w:tl2br w:val="nil"/>
                    <w:tr2bl w:val="nil"/>
                  </w:tcBorders>
                  <w:vAlign w:val="center"/>
                </w:tcPr>
                <w:p>
                  <w:pPr>
                    <w:pStyle w:val="35"/>
                    <w:jc w:val="center"/>
                    <w:rPr>
                      <w:rFonts w:cs="Times New Roman"/>
                      <w:szCs w:val="21"/>
                    </w:rPr>
                  </w:pPr>
                </w:p>
              </w:tc>
              <w:tc>
                <w:tcPr>
                  <w:tcW w:w="992" w:type="dxa"/>
                  <w:vMerge w:val="continue"/>
                  <w:tcBorders>
                    <w:tl2br w:val="nil"/>
                    <w:tr2bl w:val="nil"/>
                  </w:tcBorders>
                  <w:vAlign w:val="center"/>
                </w:tcPr>
                <w:p>
                  <w:pPr>
                    <w:pStyle w:val="35"/>
                    <w:jc w:val="center"/>
                    <w:rPr>
                      <w:rFonts w:cs="Times New Roman"/>
                      <w:szCs w:val="21"/>
                    </w:rPr>
                  </w:pPr>
                </w:p>
              </w:tc>
              <w:tc>
                <w:tcPr>
                  <w:tcW w:w="993" w:type="dxa"/>
                  <w:vMerge w:val="continue"/>
                  <w:tcBorders>
                    <w:tl2br w:val="nil"/>
                    <w:tr2bl w:val="nil"/>
                  </w:tcBorders>
                  <w:vAlign w:val="center"/>
                </w:tcPr>
                <w:p>
                  <w:pPr>
                    <w:pStyle w:val="35"/>
                    <w:jc w:val="center"/>
                    <w:rPr>
                      <w:rFonts w:cs="Times New Roman"/>
                      <w:szCs w:val="21"/>
                    </w:rPr>
                  </w:pPr>
                </w:p>
              </w:tc>
              <w:tc>
                <w:tcPr>
                  <w:tcW w:w="850" w:type="dxa"/>
                  <w:tcBorders>
                    <w:tl2br w:val="nil"/>
                    <w:tr2bl w:val="nil"/>
                  </w:tcBorders>
                  <w:vAlign w:val="center"/>
                </w:tcPr>
                <w:p>
                  <w:pPr>
                    <w:pStyle w:val="35"/>
                    <w:jc w:val="center"/>
                    <w:rPr>
                      <w:rFonts w:cs="Times New Roman"/>
                      <w:szCs w:val="21"/>
                    </w:rPr>
                  </w:pPr>
                  <w:r>
                    <w:rPr>
                      <w:rFonts w:cs="Times New Roman"/>
                      <w:szCs w:val="21"/>
                    </w:rPr>
                    <w:t>t/a</w:t>
                  </w:r>
                </w:p>
              </w:tc>
              <w:tc>
                <w:tcPr>
                  <w:tcW w:w="709" w:type="dxa"/>
                  <w:tcBorders>
                    <w:tl2br w:val="nil"/>
                    <w:tr2bl w:val="nil"/>
                  </w:tcBorders>
                  <w:vAlign w:val="center"/>
                </w:tcPr>
                <w:p>
                  <w:pPr>
                    <w:pStyle w:val="35"/>
                    <w:jc w:val="center"/>
                    <w:rPr>
                      <w:rFonts w:cs="Times New Roman"/>
                      <w:szCs w:val="21"/>
                    </w:rPr>
                  </w:pPr>
                  <w:r>
                    <w:rPr>
                      <w:rFonts w:cs="Times New Roman"/>
                      <w:szCs w:val="21"/>
                    </w:rPr>
                    <w:t>0.038</w:t>
                  </w:r>
                </w:p>
              </w:tc>
              <w:tc>
                <w:tcPr>
                  <w:tcW w:w="857" w:type="dxa"/>
                  <w:tcBorders>
                    <w:tl2br w:val="nil"/>
                    <w:tr2bl w:val="nil"/>
                  </w:tcBorders>
                  <w:vAlign w:val="center"/>
                </w:tcPr>
                <w:p>
                  <w:pPr>
                    <w:pStyle w:val="35"/>
                    <w:jc w:val="center"/>
                    <w:rPr>
                      <w:rFonts w:cs="Times New Roman"/>
                      <w:szCs w:val="21"/>
                    </w:rPr>
                  </w:pPr>
                  <w:r>
                    <w:rPr>
                      <w:rFonts w:cs="Times New Roman"/>
                      <w:szCs w:val="21"/>
                    </w:rPr>
                    <w:t>0.021</w:t>
                  </w:r>
                </w:p>
              </w:tc>
              <w:tc>
                <w:tcPr>
                  <w:tcW w:w="726" w:type="dxa"/>
                  <w:tcBorders>
                    <w:tl2br w:val="nil"/>
                    <w:tr2bl w:val="nil"/>
                  </w:tcBorders>
                  <w:vAlign w:val="center"/>
                </w:tcPr>
                <w:p>
                  <w:pPr>
                    <w:pStyle w:val="35"/>
                    <w:jc w:val="center"/>
                    <w:rPr>
                      <w:rFonts w:cs="Times New Roman"/>
                      <w:szCs w:val="21"/>
                    </w:rPr>
                  </w:pPr>
                  <w:r>
                    <w:rPr>
                      <w:rFonts w:cs="Times New Roman"/>
                      <w:szCs w:val="21"/>
                    </w:rPr>
                    <w:t>0.019</w:t>
                  </w:r>
                </w:p>
              </w:tc>
              <w:tc>
                <w:tcPr>
                  <w:tcW w:w="811" w:type="dxa"/>
                  <w:tcBorders>
                    <w:tl2br w:val="nil"/>
                    <w:tr2bl w:val="nil"/>
                  </w:tcBorders>
                  <w:vAlign w:val="center"/>
                </w:tcPr>
                <w:p>
                  <w:pPr>
                    <w:pStyle w:val="35"/>
                    <w:jc w:val="center"/>
                    <w:rPr>
                      <w:rFonts w:cs="Times New Roman"/>
                      <w:szCs w:val="21"/>
                    </w:rPr>
                  </w:pPr>
                  <w:r>
                    <w:rPr>
                      <w:rFonts w:cs="Times New Roman"/>
                      <w:szCs w:val="21"/>
                    </w:rPr>
                    <w:t>0.0034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4" w:type="dxa"/>
                  <w:gridSpan w:val="9"/>
                  <w:tcBorders>
                    <w:tl2br w:val="nil"/>
                    <w:tr2bl w:val="nil"/>
                  </w:tcBorders>
                  <w:tcMar>
                    <w:top w:w="0" w:type="dxa"/>
                    <w:left w:w="28" w:type="dxa"/>
                    <w:bottom w:w="0" w:type="dxa"/>
                    <w:right w:w="28" w:type="dxa"/>
                  </w:tcMar>
                  <w:vAlign w:val="center"/>
                </w:tcPr>
                <w:p>
                  <w:pPr>
                    <w:pStyle w:val="35"/>
                    <w:jc w:val="center"/>
                    <w:rPr>
                      <w:rFonts w:cs="Times New Roman"/>
                      <w:b/>
                      <w:szCs w:val="21"/>
                    </w:rPr>
                  </w:pPr>
                  <w:r>
                    <w:rPr>
                      <w:rFonts w:hint="eastAsia" w:cs="Times New Roman"/>
                      <w:b/>
                      <w:szCs w:val="21"/>
                    </w:rPr>
                    <w:t>二、</w:t>
                  </w:r>
                  <w:r>
                    <w:rPr>
                      <w:rFonts w:cs="Times New Roman"/>
                      <w:b/>
                      <w:szCs w:val="21"/>
                    </w:rPr>
                    <w:t xml:space="preserve">治理措施及工艺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4" w:type="dxa"/>
                  <w:gridSpan w:val="9"/>
                  <w:tcBorders>
                    <w:tl2br w:val="nil"/>
                    <w:tr2bl w:val="nil"/>
                  </w:tcBorders>
                  <w:tcMar>
                    <w:top w:w="0" w:type="dxa"/>
                    <w:left w:w="28" w:type="dxa"/>
                    <w:bottom w:w="0" w:type="dxa"/>
                    <w:right w:w="28" w:type="dxa"/>
                  </w:tcMar>
                  <w:vAlign w:val="center"/>
                </w:tcPr>
                <w:p>
                  <w:pPr>
                    <w:pStyle w:val="35"/>
                    <w:jc w:val="center"/>
                    <w:rPr>
                      <w:rFonts w:cs="Times New Roman"/>
                      <w:szCs w:val="21"/>
                    </w:rPr>
                  </w:pPr>
                  <w:r>
                    <w:rPr>
                      <w:rFonts w:hint="eastAsia" w:cs="Times New Roman"/>
                      <w:szCs w:val="21"/>
                    </w:rPr>
                    <w:t>三格</w:t>
                  </w:r>
                  <w:r>
                    <w:rPr>
                      <w:rFonts w:cs="Times New Roman"/>
                      <w:szCs w:val="21"/>
                    </w:rPr>
                    <w:t>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4" w:type="dxa"/>
                  <w:gridSpan w:val="9"/>
                  <w:tcBorders>
                    <w:tl2br w:val="nil"/>
                    <w:tr2bl w:val="nil"/>
                  </w:tcBorders>
                  <w:tcMar>
                    <w:top w:w="0" w:type="dxa"/>
                    <w:left w:w="28" w:type="dxa"/>
                    <w:bottom w:w="0" w:type="dxa"/>
                    <w:right w:w="28" w:type="dxa"/>
                  </w:tcMar>
                  <w:vAlign w:val="center"/>
                </w:tcPr>
                <w:p>
                  <w:pPr>
                    <w:pStyle w:val="35"/>
                    <w:jc w:val="center"/>
                    <w:rPr>
                      <w:rFonts w:cs="Times New Roman"/>
                      <w:b/>
                      <w:szCs w:val="21"/>
                    </w:rPr>
                  </w:pPr>
                  <w:r>
                    <w:rPr>
                      <w:rFonts w:hint="eastAsia" w:cs="Times New Roman"/>
                      <w:b/>
                      <w:szCs w:val="21"/>
                    </w:rPr>
                    <w:t>三、排放情况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74" w:type="dxa"/>
                  <w:gridSpan w:val="9"/>
                  <w:tcBorders>
                    <w:tl2br w:val="nil"/>
                    <w:tr2bl w:val="nil"/>
                  </w:tcBorders>
                  <w:tcMar>
                    <w:top w:w="0" w:type="dxa"/>
                    <w:left w:w="28" w:type="dxa"/>
                    <w:bottom w:w="0" w:type="dxa"/>
                    <w:right w:w="28" w:type="dxa"/>
                  </w:tcMar>
                  <w:vAlign w:val="center"/>
                </w:tcPr>
                <w:p>
                  <w:pPr>
                    <w:pStyle w:val="35"/>
                    <w:jc w:val="center"/>
                    <w:rPr>
                      <w:rFonts w:cs="Times New Roman"/>
                      <w:szCs w:val="21"/>
                    </w:rPr>
                  </w:pPr>
                  <w:r>
                    <w:rPr>
                      <w:rFonts w:cs="Times New Roman"/>
                      <w:szCs w:val="21"/>
                    </w:rPr>
                    <w:t>经化粪池处理后用于周边林地</w:t>
                  </w:r>
                  <w:r>
                    <w:rPr>
                      <w:rFonts w:hint="eastAsia" w:cs="Times New Roman"/>
                      <w:szCs w:val="21"/>
                    </w:rPr>
                    <w:t>施肥使用</w:t>
                  </w:r>
                  <w:r>
                    <w:rPr>
                      <w:rFonts w:cs="Times New Roman"/>
                      <w:szCs w:val="21"/>
                    </w:rPr>
                    <w:t>，不外排</w:t>
                  </w:r>
                </w:p>
              </w:tc>
            </w:tr>
          </w:tbl>
          <w:p>
            <w:pPr>
              <w:ind w:firstLine="480"/>
              <w:rPr>
                <w:rFonts w:cs="Times New Roman"/>
              </w:rPr>
            </w:pPr>
            <w:r>
              <w:rPr>
                <w:rFonts w:hint="eastAsia" w:ascii="宋体" w:hAnsi="宋体" w:cs="宋体"/>
              </w:rPr>
              <w:t>③</w:t>
            </w:r>
            <w:r>
              <w:rPr>
                <w:rFonts w:cs="Times New Roman"/>
              </w:rPr>
              <w:t>初期雨水</w:t>
            </w:r>
          </w:p>
          <w:p>
            <w:pPr>
              <w:ind w:firstLine="480"/>
              <w:rPr>
                <w:rFonts w:cs="Times New Roman"/>
              </w:rPr>
            </w:pPr>
            <w:r>
              <w:rPr>
                <w:rFonts w:cs="Times New Roman"/>
              </w:rPr>
              <w:t>大量降水会使厂区道路、空地等产生一定的淋溶水，主要污染物为悬浮物，类比同类项目可知，淋滤液SS浓度为1000mg/L，对区域环境产生一定的影响。场区初期雨水可按下列公式计算：</w:t>
            </w:r>
          </w:p>
          <w:p>
            <w:pPr>
              <w:ind w:firstLine="480"/>
              <w:jc w:val="center"/>
              <w:rPr>
                <w:rFonts w:cs="Times New Roman"/>
              </w:rPr>
            </w:pPr>
            <w:r>
              <w:rPr>
                <w:rFonts w:cs="Times New Roman"/>
              </w:rPr>
              <w:t>Q=w·q·F·T</w:t>
            </w:r>
          </w:p>
          <w:p>
            <w:pPr>
              <w:ind w:firstLine="480"/>
              <w:jc w:val="both"/>
              <w:rPr>
                <w:rFonts w:cs="Times New Roman"/>
              </w:rPr>
            </w:pPr>
            <w:r>
              <w:rPr>
                <w:rFonts w:cs="Times New Roman"/>
              </w:rPr>
              <w:t>式中：Q—雨水设计流量（L）；</w:t>
            </w:r>
          </w:p>
          <w:p>
            <w:pPr>
              <w:ind w:firstLine="1200" w:firstLineChars="500"/>
              <w:rPr>
                <w:rFonts w:cs="Times New Roman"/>
              </w:rPr>
            </w:pPr>
            <w:r>
              <w:rPr>
                <w:rFonts w:cs="Times New Roman"/>
              </w:rPr>
              <w:t>q—暴雨强度（升/秒·公顷）三明市暴雨强度为209.336L/s·hm</w:t>
            </w:r>
            <w:r>
              <w:rPr>
                <w:rFonts w:cs="Times New Roman"/>
                <w:vertAlign w:val="superscript"/>
              </w:rPr>
              <w:t>2</w:t>
            </w:r>
            <w:r>
              <w:rPr>
                <w:rFonts w:cs="Times New Roman"/>
              </w:rPr>
              <w:t>；</w:t>
            </w:r>
          </w:p>
          <w:p>
            <w:pPr>
              <w:ind w:firstLine="1200" w:firstLineChars="500"/>
              <w:rPr>
                <w:rFonts w:cs="Times New Roman"/>
              </w:rPr>
            </w:pPr>
            <w:r>
              <w:rPr>
                <w:rFonts w:cs="Times New Roman"/>
              </w:rPr>
              <w:t>w—径流系数（0.1~0.9），本项目取0.9；</w:t>
            </w:r>
          </w:p>
          <w:p>
            <w:pPr>
              <w:ind w:firstLine="1200" w:firstLineChars="500"/>
              <w:rPr>
                <w:rFonts w:cs="Times New Roman"/>
              </w:rPr>
            </w:pPr>
            <w:r>
              <w:rPr>
                <w:rFonts w:cs="Times New Roman"/>
              </w:rPr>
              <w:t>F—汇水面积（公顷），项目占地面积约0.123公顷；</w:t>
            </w:r>
          </w:p>
          <w:p>
            <w:pPr>
              <w:ind w:firstLine="1200" w:firstLineChars="500"/>
              <w:rPr>
                <w:rFonts w:cs="Times New Roman"/>
              </w:rPr>
            </w:pPr>
            <w:r>
              <w:rPr>
                <w:rFonts w:cs="Times New Roman"/>
              </w:rPr>
              <w:t>T—收水时间，取15min；</w:t>
            </w:r>
          </w:p>
          <w:p>
            <w:pPr>
              <w:ind w:firstLine="480"/>
              <w:rPr>
                <w:rFonts w:cs="Times New Roman"/>
              </w:rPr>
            </w:pPr>
            <w:r>
              <w:rPr>
                <w:rFonts w:cs="Times New Roman"/>
              </w:rPr>
              <w:t>经计算，本项目初期雨水量约20.86m</w:t>
            </w:r>
            <w:r>
              <w:rPr>
                <w:rFonts w:cs="Times New Roman"/>
                <w:vertAlign w:val="superscript"/>
              </w:rPr>
              <w:t>3</w:t>
            </w:r>
            <w:r>
              <w:rPr>
                <w:rFonts w:hint="eastAsia" w:cs="Times New Roman"/>
              </w:rPr>
              <w:t>/次</w:t>
            </w:r>
            <w:r>
              <w:rPr>
                <w:rFonts w:cs="Times New Roman"/>
              </w:rPr>
              <w:t>。项目初期雨水经截排水沟进入沉淀池处理后回用于厂区内喷淋降尘用水，不外排。</w:t>
            </w:r>
          </w:p>
          <w:p>
            <w:pPr>
              <w:ind w:firstLine="480"/>
              <w:rPr>
                <w:rFonts w:cs="Times New Roman"/>
              </w:rPr>
            </w:pPr>
            <w:r>
              <w:rPr>
                <w:rFonts w:cs="Times New Roman"/>
              </w:rPr>
              <w:t>（2）废水治理措施可行性分析</w:t>
            </w:r>
          </w:p>
          <w:p>
            <w:pPr>
              <w:pStyle w:val="47"/>
              <w:ind w:firstLine="480"/>
            </w:pPr>
            <w:r>
              <w:rPr>
                <w:rFonts w:hint="eastAsia" w:ascii="宋体" w:hAnsi="宋体" w:cs="宋体"/>
              </w:rPr>
              <w:t>①</w:t>
            </w:r>
            <w:r>
              <w:t>生产废水</w:t>
            </w:r>
          </w:p>
          <w:p>
            <w:pPr>
              <w:pStyle w:val="47"/>
              <w:ind w:firstLine="480"/>
            </w:pPr>
            <w:r>
              <w:t>本项目生产用水主要是厂区内喷淋除尘用水，均自然蒸发损耗，无生产废水外排。</w:t>
            </w:r>
          </w:p>
          <w:p>
            <w:pPr>
              <w:pStyle w:val="47"/>
              <w:ind w:firstLine="480"/>
            </w:pPr>
            <w:r>
              <w:rPr>
                <w:rFonts w:hint="eastAsia" w:ascii="宋体" w:hAnsi="宋体" w:cs="宋体"/>
              </w:rPr>
              <w:t>②</w:t>
            </w:r>
            <w:r>
              <w:t>生活污水</w:t>
            </w:r>
          </w:p>
          <w:p>
            <w:pPr>
              <w:adjustRightInd w:val="0"/>
              <w:snapToGrid w:val="0"/>
              <w:ind w:firstLine="480"/>
              <w:rPr>
                <w:rFonts w:cs="Times New Roman"/>
              </w:rPr>
            </w:pPr>
            <w:r>
              <w:rPr>
                <w:rFonts w:cs="Times New Roman"/>
              </w:rPr>
              <w:t>根据前文工程分析，项目的生活污水产生量为0.32t/d（</w:t>
            </w:r>
            <w:r>
              <w:rPr>
                <w:rFonts w:cs="Times New Roman"/>
                <w:bCs/>
              </w:rPr>
              <w:t>96</w:t>
            </w:r>
            <w:r>
              <w:rPr>
                <w:rFonts w:cs="Times New Roman"/>
              </w:rPr>
              <w:t>t/a）。根据《建筑给水排水设计规范》（GB50015-2019）排水4.10.14化粪池的设置应符合下列规定：污水在化粪池中停留时间，应根据污水量确定，宜采12h-24h。由于本项目污水量较小，水质较为简单，项目设计生活污水在三格化粪池中停留时间为24h，三格化粪池的总容积采用以下计算公式计算：</w:t>
            </w:r>
          </w:p>
          <w:p>
            <w:pPr>
              <w:adjustRightInd w:val="0"/>
              <w:snapToGrid w:val="0"/>
              <w:ind w:firstLine="480"/>
              <w:jc w:val="center"/>
              <w:rPr>
                <w:rFonts w:cs="Times New Roman"/>
              </w:rPr>
            </w:pPr>
            <w:r>
              <w:rPr>
                <w:rFonts w:cs="Times New Roman"/>
              </w:rPr>
              <w:t>Q=V×t</w:t>
            </w:r>
          </w:p>
          <w:p>
            <w:pPr>
              <w:adjustRightInd w:val="0"/>
              <w:snapToGrid w:val="0"/>
              <w:ind w:firstLine="480"/>
              <w:rPr>
                <w:rFonts w:cs="Times New Roman"/>
              </w:rPr>
            </w:pPr>
            <w:r>
              <w:rPr>
                <w:rFonts w:cs="Times New Roman"/>
              </w:rPr>
              <w:t>其中：Q-三格化粪池的总容积，m</w:t>
            </w:r>
            <w:r>
              <w:rPr>
                <w:rFonts w:cs="Times New Roman"/>
                <w:vertAlign w:val="superscript"/>
              </w:rPr>
              <w:t>3</w:t>
            </w:r>
            <w:r>
              <w:rPr>
                <w:rFonts w:cs="Times New Roman"/>
              </w:rPr>
              <w:t>；</w:t>
            </w:r>
          </w:p>
          <w:p>
            <w:pPr>
              <w:adjustRightInd w:val="0"/>
              <w:snapToGrid w:val="0"/>
              <w:ind w:firstLine="1200" w:firstLineChars="500"/>
              <w:rPr>
                <w:rFonts w:cs="Times New Roman"/>
              </w:rPr>
            </w:pPr>
            <w:r>
              <w:rPr>
                <w:rFonts w:cs="Times New Roman"/>
              </w:rPr>
              <w:t>V-污水小时排放量，m</w:t>
            </w:r>
            <w:r>
              <w:rPr>
                <w:rFonts w:cs="Times New Roman"/>
                <w:vertAlign w:val="superscript"/>
              </w:rPr>
              <w:t>3</w:t>
            </w:r>
            <w:r>
              <w:rPr>
                <w:rFonts w:cs="Times New Roman"/>
              </w:rPr>
              <w:t>/h；</w:t>
            </w:r>
          </w:p>
          <w:p>
            <w:pPr>
              <w:adjustRightInd w:val="0"/>
              <w:snapToGrid w:val="0"/>
              <w:ind w:firstLine="1200" w:firstLineChars="500"/>
              <w:rPr>
                <w:rFonts w:cs="Times New Roman"/>
              </w:rPr>
            </w:pPr>
            <w:r>
              <w:rPr>
                <w:rFonts w:cs="Times New Roman"/>
              </w:rPr>
              <w:t>t-停留时间，h；</w:t>
            </w:r>
          </w:p>
          <w:p>
            <w:pPr>
              <w:adjustRightInd w:val="0"/>
              <w:snapToGrid w:val="0"/>
              <w:ind w:firstLine="480"/>
              <w:rPr>
                <w:rFonts w:cs="Times New Roman"/>
              </w:rPr>
            </w:pPr>
            <w:r>
              <w:rPr>
                <w:rFonts w:cs="Times New Roman"/>
              </w:rPr>
              <w:t>则Q=0.32÷24×24=0.32m</w:t>
            </w:r>
            <w:r>
              <w:rPr>
                <w:rFonts w:cs="Times New Roman"/>
                <w:vertAlign w:val="superscript"/>
              </w:rPr>
              <w:t>3</w:t>
            </w:r>
            <w:r>
              <w:rPr>
                <w:rFonts w:cs="Times New Roman"/>
              </w:rPr>
              <w:t>，则需要设置三格化粪池的总容积至少为0.32m</w:t>
            </w:r>
            <w:r>
              <w:rPr>
                <w:rFonts w:cs="Times New Roman"/>
                <w:vertAlign w:val="superscript"/>
              </w:rPr>
              <w:t>3</w:t>
            </w:r>
            <w:r>
              <w:rPr>
                <w:rFonts w:cs="Times New Roman"/>
              </w:rPr>
              <w:t>，项目设置1个三格化粪池，总容积约为2m</w:t>
            </w:r>
            <w:r>
              <w:rPr>
                <w:rFonts w:cs="Times New Roman"/>
                <w:vertAlign w:val="superscript"/>
              </w:rPr>
              <w:t>3</w:t>
            </w:r>
            <w:r>
              <w:rPr>
                <w:rFonts w:cs="Times New Roman"/>
              </w:rPr>
              <w:t>，三格化粪池处理量满足要求。</w:t>
            </w:r>
          </w:p>
          <w:p>
            <w:pPr>
              <w:ind w:firstLine="480"/>
              <w:jc w:val="both"/>
              <w:rPr>
                <w:rFonts w:cs="Times New Roman"/>
              </w:rPr>
            </w:pPr>
            <w:r>
              <w:rPr>
                <w:rFonts w:cs="Times New Roman"/>
              </w:rPr>
              <w:t>生活污水经化粪池处理后作为周边山林施肥，不外排。项目周边均为山林，足够消纳本项目的生活污水。</w:t>
            </w:r>
          </w:p>
          <w:p>
            <w:pPr>
              <w:ind w:firstLine="480"/>
              <w:rPr>
                <w:rFonts w:cs="Times New Roman"/>
              </w:rPr>
            </w:pPr>
            <w:r>
              <w:rPr>
                <w:rFonts w:hint="eastAsia" w:ascii="宋体" w:hAnsi="宋体" w:cs="宋体"/>
              </w:rPr>
              <w:t>③</w:t>
            </w:r>
            <w:r>
              <w:rPr>
                <w:rFonts w:cs="Times New Roman"/>
              </w:rPr>
              <w:t>初期雨水</w:t>
            </w:r>
          </w:p>
          <w:p>
            <w:pPr>
              <w:pStyle w:val="47"/>
              <w:ind w:firstLine="480"/>
            </w:pPr>
            <w:r>
              <w:t>项目初期雨水经截排水沟收集进入沉淀池处理后回用于喷淋降尘用水，沉淀池水力停留时间应不低于30min，折算沉淀池容积应不少于41.72m</w:t>
            </w:r>
            <w:r>
              <w:rPr>
                <w:vertAlign w:val="superscript"/>
              </w:rPr>
              <w:t>3</w:t>
            </w:r>
            <w:r>
              <w:t>。</w:t>
            </w:r>
            <w:r>
              <w:rPr>
                <w:rFonts w:hint="eastAsia"/>
              </w:rPr>
              <w:t>本评价要求建设单位建设1座不小于42</w:t>
            </w:r>
            <w:r>
              <w:t>m</w:t>
            </w:r>
            <w:r>
              <w:rPr>
                <w:vertAlign w:val="superscript"/>
              </w:rPr>
              <w:t>3</w:t>
            </w:r>
            <w:r>
              <w:rPr>
                <w:rFonts w:hint="eastAsia"/>
              </w:rPr>
              <w:t>的初期雨水沉淀池。</w:t>
            </w:r>
          </w:p>
          <w:p>
            <w:pPr>
              <w:widowControl/>
              <w:ind w:firstLine="480"/>
              <w:rPr>
                <w:rFonts w:cs="Times New Roman"/>
              </w:rPr>
            </w:pPr>
            <w:r>
              <w:rPr>
                <w:rFonts w:cs="Times New Roman"/>
              </w:rPr>
              <w:t>综上所述，采取上述排放废水的保护措施后对环境影响较小。</w:t>
            </w:r>
          </w:p>
          <w:p>
            <w:pPr>
              <w:pStyle w:val="47"/>
              <w:ind w:firstLine="480"/>
            </w:pPr>
            <w:r>
              <w:t>（3）自行监测计划</w:t>
            </w:r>
          </w:p>
          <w:p>
            <w:pPr>
              <w:pStyle w:val="47"/>
              <w:ind w:firstLine="480"/>
            </w:pPr>
            <w:r>
              <w:rPr>
                <w:rFonts w:hint="eastAsia"/>
              </w:rPr>
              <w:t>本项目无废水排放，因此无需制定自行监测计划。</w:t>
            </w:r>
          </w:p>
          <w:p>
            <w:pPr>
              <w:pStyle w:val="47"/>
              <w:ind w:firstLine="0" w:firstLineChars="0"/>
              <w:rPr>
                <w:b/>
                <w:sz w:val="30"/>
                <w:szCs w:val="30"/>
              </w:rPr>
            </w:pPr>
            <w:r>
              <w:rPr>
                <w:b/>
                <w:sz w:val="30"/>
                <w:szCs w:val="30"/>
              </w:rPr>
              <w:t>4.2.2</w:t>
            </w:r>
            <w:r>
              <w:rPr>
                <w:b/>
                <w:sz w:val="30"/>
                <w:szCs w:val="30"/>
                <w:lang w:val="zh-CN"/>
              </w:rPr>
              <w:t>大气</w:t>
            </w:r>
          </w:p>
          <w:p>
            <w:pPr>
              <w:pStyle w:val="47"/>
              <w:ind w:firstLine="480"/>
            </w:pPr>
            <w:r>
              <w:t>（1）污染源强</w:t>
            </w:r>
          </w:p>
          <w:p>
            <w:pPr>
              <w:pStyle w:val="47"/>
              <w:ind w:firstLine="480"/>
            </w:pPr>
            <w:r>
              <w:t>本项目原料由汽车运至下料口下料，成品经料仓卸料后由汽车运出厂区，原料及成品不在厂区内堆放，不设置原料、成品堆场，因此不涉及堆场扬尘。大气污染源主要是原料破碎、过筛过程产生的粉尘、皮带输送过程产生的粉尘、物料装卸过程产生的粉尘、车辆运输道路粉尘。</w:t>
            </w:r>
          </w:p>
          <w:p>
            <w:pPr>
              <w:ind w:firstLine="480"/>
              <w:rPr>
                <w:rFonts w:cs="Times New Roman"/>
              </w:rPr>
            </w:pPr>
            <w:r>
              <w:rPr>
                <w:rFonts w:hint="eastAsia" w:ascii="宋体" w:hAnsi="宋体" w:cs="宋体"/>
              </w:rPr>
              <w:t>①</w:t>
            </w:r>
            <w:r>
              <w:rPr>
                <w:rFonts w:cs="Times New Roman"/>
              </w:rPr>
              <w:t>装卸粉尘</w:t>
            </w:r>
          </w:p>
          <w:p>
            <w:pPr>
              <w:ind w:firstLine="480"/>
              <w:rPr>
                <w:rFonts w:cs="Times New Roman"/>
              </w:rPr>
            </w:pPr>
            <w:r>
              <w:rPr>
                <w:rFonts w:cs="Times New Roman"/>
              </w:rPr>
              <w:t>根据《逸散性工业粉尘控制技术》（中国环境科学出版社）中粒料加工厂的统计（碎石）原料卸料过程产生的无组织排放的粉尘量为0.02kg/t，产品装货过程产生的无组织排放的粉尘量为0.00145kg/t。项目年产50万吨破碎石，经计算卸料粉尘无组织产生量为10.0t/a，装货粉尘无组织产生量为0.725t/a。项目对装卸粉尘拟采用喷淋降尘措施，除尘效率可达80%，因此预计装卸的总排放量为2.145t/a。</w:t>
            </w:r>
          </w:p>
          <w:p>
            <w:pPr>
              <w:ind w:firstLine="480"/>
              <w:rPr>
                <w:rFonts w:cs="Times New Roman"/>
              </w:rPr>
            </w:pPr>
            <w:r>
              <w:rPr>
                <w:rFonts w:hint="eastAsia" w:ascii="宋体" w:hAnsi="宋体" w:cs="宋体"/>
              </w:rPr>
              <w:t>②</w:t>
            </w:r>
            <w:r>
              <w:rPr>
                <w:rFonts w:cs="Times New Roman"/>
              </w:rPr>
              <w:t>车辆扬尘</w:t>
            </w:r>
          </w:p>
          <w:p>
            <w:pPr>
              <w:ind w:firstLine="480"/>
              <w:rPr>
                <w:rFonts w:cs="Times New Roman"/>
              </w:rPr>
            </w:pPr>
            <w:r>
              <w:rPr>
                <w:rFonts w:cs="Times New Roman"/>
              </w:rPr>
              <w:t>项目进厂和出厂的物料约100万t/a，本项目拟采用20t的载重车，故总运输车次为50000次。车辆行驶产生的扬尘，可按下列经验公式计算：</w:t>
            </w:r>
          </w:p>
          <w:p>
            <w:pPr>
              <w:ind w:firstLine="480"/>
              <w:jc w:val="center"/>
              <w:rPr>
                <w:rFonts w:cs="Times New Roman"/>
              </w:rPr>
            </w:pPr>
            <w:r>
              <w:rPr>
                <w:rFonts w:cs="Times New Roman"/>
              </w:rPr>
              <w:object>
                <v:shape id="_x0000_i1027" o:spt="75" type="#_x0000_t75" style="height:18pt;width:183.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5" r:id="rId17">
                  <o:LockedField>false</o:LockedField>
                </o:OLEObject>
              </w:object>
            </w:r>
          </w:p>
          <w:p>
            <w:pPr>
              <w:ind w:firstLine="480"/>
              <w:jc w:val="both"/>
              <w:rPr>
                <w:rFonts w:cs="Times New Roman"/>
              </w:rPr>
            </w:pPr>
            <w:r>
              <w:rPr>
                <w:rFonts w:cs="Times New Roman"/>
              </w:rPr>
              <w:t>式中：Q—汽车行驶的扬尘，kg/km辆；</w:t>
            </w:r>
          </w:p>
          <w:p>
            <w:pPr>
              <w:ind w:firstLine="1200" w:firstLineChars="500"/>
              <w:jc w:val="both"/>
              <w:rPr>
                <w:rFonts w:cs="Times New Roman"/>
              </w:rPr>
            </w:pPr>
            <w:r>
              <w:rPr>
                <w:rFonts w:cs="Times New Roman"/>
              </w:rPr>
              <w:t>W—汽车载重量，t</w:t>
            </w:r>
          </w:p>
          <w:p>
            <w:pPr>
              <w:ind w:firstLine="1200" w:firstLineChars="500"/>
              <w:jc w:val="both"/>
              <w:rPr>
                <w:rFonts w:cs="Times New Roman"/>
              </w:rPr>
            </w:pPr>
            <w:r>
              <w:rPr>
                <w:rFonts w:cs="Times New Roman"/>
              </w:rPr>
              <w:t>V—汽车行驶速度，km/h；</w:t>
            </w:r>
          </w:p>
          <w:p>
            <w:pPr>
              <w:ind w:firstLine="1200" w:firstLineChars="500"/>
              <w:jc w:val="both"/>
              <w:rPr>
                <w:rFonts w:cs="Times New Roman"/>
              </w:rPr>
            </w:pPr>
            <w:r>
              <w:rPr>
                <w:rFonts w:cs="Times New Roman"/>
              </w:rPr>
              <w:t>P—道路表面粉尘量，kg/m</w:t>
            </w:r>
            <w:r>
              <w:rPr>
                <w:rFonts w:cs="Times New Roman"/>
                <w:vertAlign w:val="superscript"/>
              </w:rPr>
              <w:t>2</w:t>
            </w:r>
            <w:r>
              <w:rPr>
                <w:rFonts w:cs="Times New Roman"/>
              </w:rPr>
              <w:t>;</w:t>
            </w:r>
          </w:p>
          <w:p>
            <w:pPr>
              <w:ind w:firstLine="480"/>
              <w:rPr>
                <w:rFonts w:cs="Times New Roman"/>
              </w:rPr>
            </w:pPr>
            <w:r>
              <w:rPr>
                <w:rFonts w:cs="Times New Roman"/>
              </w:rPr>
              <w:t>车辆在厂区内行驶距离按200m计算，以速度10km/h在厂区内行驶，P值取0.1kg/m</w:t>
            </w:r>
            <w:r>
              <w:rPr>
                <w:rFonts w:cs="Times New Roman"/>
                <w:vertAlign w:val="superscript"/>
              </w:rPr>
              <w:t>2</w:t>
            </w:r>
            <w:r>
              <w:rPr>
                <w:rFonts w:cs="Times New Roman"/>
              </w:rPr>
              <w:t>，经计算Q=0.192kg/km·辆，故项目产生扬尘量约9.6t/a。本项目场区车辆进出车速较慢，车辆顶部进行遮盖，定期进行喷淋除尘，除尘效率取80%，则项目厂区运输扬尘排放总量为1.92t/a。</w:t>
            </w:r>
          </w:p>
          <w:p>
            <w:pPr>
              <w:ind w:firstLine="480"/>
              <w:rPr>
                <w:rFonts w:cs="Times New Roman"/>
              </w:rPr>
            </w:pPr>
            <w:r>
              <w:rPr>
                <w:rFonts w:hint="eastAsia" w:ascii="宋体" w:hAnsi="宋体" w:cs="宋体"/>
              </w:rPr>
              <w:t>③</w:t>
            </w:r>
            <w:r>
              <w:rPr>
                <w:rFonts w:cs="Times New Roman"/>
              </w:rPr>
              <w:t>破碎粉尘</w:t>
            </w:r>
          </w:p>
          <w:p>
            <w:pPr>
              <w:ind w:firstLine="480"/>
              <w:rPr>
                <w:rFonts w:cs="Times New Roman"/>
                <w:lang w:val="zh-CN"/>
              </w:rPr>
            </w:pPr>
            <w:r>
              <w:rPr>
                <w:rFonts w:cs="Times New Roman"/>
                <w:lang w:val="zh-CN"/>
              </w:rPr>
              <w:t>项目在破碎过程中会产生一定量的粉尘，根据《逸散性工业粉尘控制技术》，本项目主要的逸散尘源排放因子为0.01kg/t（破碎料），本项目年破碎石灰石约</w:t>
            </w:r>
            <w:r>
              <w:rPr>
                <w:rFonts w:cs="Times New Roman"/>
              </w:rPr>
              <w:t>50</w:t>
            </w:r>
            <w:r>
              <w:rPr>
                <w:rFonts w:cs="Times New Roman"/>
                <w:lang w:val="zh-CN"/>
              </w:rPr>
              <w:t>万吨</w:t>
            </w:r>
            <w:r>
              <w:rPr>
                <w:rFonts w:cs="Times New Roman"/>
              </w:rPr>
              <w:t>，</w:t>
            </w:r>
            <w:r>
              <w:rPr>
                <w:rFonts w:cs="Times New Roman"/>
                <w:lang w:val="zh-CN"/>
              </w:rPr>
              <w:t>则破碎工序粉尘产生量约</w:t>
            </w:r>
            <w:r>
              <w:rPr>
                <w:rFonts w:cs="Times New Roman"/>
              </w:rPr>
              <w:t>5.0</w:t>
            </w:r>
            <w:r>
              <w:rPr>
                <w:rFonts w:cs="Times New Roman"/>
                <w:lang w:val="zh-CN"/>
              </w:rPr>
              <w:t>t/a。建设单位拟</w:t>
            </w:r>
            <w:r>
              <w:rPr>
                <w:rFonts w:hint="eastAsia" w:cs="Times New Roman"/>
                <w:lang w:val="zh-CN"/>
              </w:rPr>
              <w:t>对主要破碎区域进行封闭，</w:t>
            </w:r>
            <w:r>
              <w:rPr>
                <w:rFonts w:cs="Times New Roman"/>
                <w:lang w:val="zh-CN"/>
              </w:rPr>
              <w:t>在设备上方安装</w:t>
            </w:r>
            <w:bookmarkStart w:id="0" w:name="_Hlk57314706"/>
            <w:r>
              <w:rPr>
                <w:rFonts w:cs="Times New Roman"/>
                <w:lang w:val="zh-CN"/>
              </w:rPr>
              <w:t>水喷淋装置降尘</w:t>
            </w:r>
            <w:bookmarkEnd w:id="0"/>
            <w:r>
              <w:rPr>
                <w:rFonts w:cs="Times New Roman"/>
                <w:lang w:val="zh-CN"/>
              </w:rPr>
              <w:t>，总降尘率达80%，颗粒物排放量</w:t>
            </w:r>
            <w:r>
              <w:rPr>
                <w:rFonts w:cs="Times New Roman"/>
              </w:rPr>
              <w:t>1.0</w:t>
            </w:r>
            <w:r>
              <w:rPr>
                <w:rFonts w:cs="Times New Roman"/>
                <w:lang w:val="zh-CN"/>
              </w:rPr>
              <w:t>t/a。</w:t>
            </w:r>
          </w:p>
          <w:p>
            <w:pPr>
              <w:autoSpaceDE w:val="0"/>
              <w:autoSpaceDN w:val="0"/>
              <w:ind w:right="179" w:firstLine="480"/>
              <w:rPr>
                <w:rFonts w:cs="Times New Roman"/>
                <w:lang w:val="zh-CN"/>
              </w:rPr>
            </w:pPr>
            <w:r>
              <w:rPr>
                <w:rFonts w:hint="eastAsia" w:ascii="宋体" w:hAnsi="宋体" w:cs="宋体"/>
              </w:rPr>
              <w:t>④</w:t>
            </w:r>
            <w:r>
              <w:rPr>
                <w:rFonts w:cs="Times New Roman"/>
                <w:lang w:val="zh-CN"/>
              </w:rPr>
              <w:t>筛分粉尘</w:t>
            </w:r>
          </w:p>
          <w:p>
            <w:pPr>
              <w:ind w:firstLine="480"/>
              <w:rPr>
                <w:rFonts w:cs="Times New Roman"/>
                <w:lang w:val="zh-CN"/>
              </w:rPr>
            </w:pPr>
            <w:r>
              <w:rPr>
                <w:rFonts w:cs="Times New Roman"/>
                <w:lang w:val="zh-CN"/>
              </w:rPr>
              <w:t>项目在筛分过程中会产生一定量的粉尘，根据《逸散性工业粉尘控制技术》，本项目主要的逸散尘源排放因子为</w:t>
            </w:r>
            <w:r>
              <w:rPr>
                <w:rFonts w:cs="Times New Roman"/>
              </w:rPr>
              <w:t>0.01kg/t（破碎料），</w:t>
            </w:r>
            <w:r>
              <w:rPr>
                <w:rFonts w:cs="Times New Roman"/>
                <w:lang w:val="zh-CN"/>
              </w:rPr>
              <w:t>本项目年破碎石灰石约</w:t>
            </w:r>
            <w:r>
              <w:rPr>
                <w:rFonts w:cs="Times New Roman"/>
              </w:rPr>
              <w:t>50</w:t>
            </w:r>
            <w:r>
              <w:rPr>
                <w:rFonts w:cs="Times New Roman"/>
                <w:lang w:val="zh-CN"/>
              </w:rPr>
              <w:t>万吨</w:t>
            </w:r>
            <w:r>
              <w:rPr>
                <w:rFonts w:cs="Times New Roman"/>
              </w:rPr>
              <w:t>，</w:t>
            </w:r>
            <w:r>
              <w:rPr>
                <w:rFonts w:cs="Times New Roman"/>
                <w:lang w:val="zh-CN"/>
              </w:rPr>
              <w:t>则筛分工序粉尘产生量约</w:t>
            </w:r>
            <w:r>
              <w:rPr>
                <w:rFonts w:cs="Times New Roman"/>
              </w:rPr>
              <w:t>5.0</w:t>
            </w:r>
            <w:r>
              <w:rPr>
                <w:rFonts w:cs="Times New Roman"/>
                <w:lang w:val="zh-CN"/>
              </w:rPr>
              <w:t>t/a。建设单位拟将圆滚筛上方安装水喷淋装置降尘，总降尘率达80%，颗粒物排放量</w:t>
            </w:r>
            <w:r>
              <w:rPr>
                <w:rFonts w:cs="Times New Roman"/>
              </w:rPr>
              <w:t>1.0</w:t>
            </w:r>
            <w:r>
              <w:rPr>
                <w:rFonts w:cs="Times New Roman"/>
                <w:lang w:val="zh-CN"/>
              </w:rPr>
              <w:t>t/a。</w:t>
            </w:r>
          </w:p>
          <w:p>
            <w:pPr>
              <w:widowControl/>
              <w:ind w:firstLine="480"/>
              <w:rPr>
                <w:rFonts w:cs="Times New Roman"/>
              </w:rPr>
            </w:pPr>
            <w:r>
              <w:rPr>
                <w:rFonts w:cs="Times New Roman"/>
              </w:rPr>
              <w:t>综上所述，项目废气具体排放情况见表4-2。</w:t>
            </w:r>
          </w:p>
          <w:p>
            <w:pPr>
              <w:ind w:firstLine="0" w:firstLineChars="0"/>
              <w:jc w:val="center"/>
              <w:rPr>
                <w:rFonts w:cs="Times New Roman"/>
                <w:b/>
              </w:rPr>
            </w:pPr>
            <w:r>
              <w:rPr>
                <w:rFonts w:cs="Times New Roman"/>
                <w:b/>
              </w:rPr>
              <w:t>表4-2</w:t>
            </w:r>
            <w:r>
              <w:rPr>
                <w:rFonts w:hint="eastAsia" w:cs="Times New Roman"/>
                <w:b/>
              </w:rPr>
              <w:t xml:space="preserve"> </w:t>
            </w:r>
            <w:r>
              <w:rPr>
                <w:rFonts w:cs="Times New Roman"/>
                <w:b/>
              </w:rPr>
              <w:t>废气排放汇总表</w:t>
            </w:r>
          </w:p>
          <w:tbl>
            <w:tblPr>
              <w:tblStyle w:val="24"/>
              <w:tblW w:w="755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386"/>
              <w:gridCol w:w="706"/>
              <w:gridCol w:w="807"/>
              <w:gridCol w:w="939"/>
              <w:gridCol w:w="1157"/>
              <w:gridCol w:w="1280"/>
              <w:gridCol w:w="12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 w:hRule="atLeast"/>
                <w:jc w:val="center"/>
              </w:trPr>
              <w:tc>
                <w:tcPr>
                  <w:tcW w:w="1386" w:type="dxa"/>
                  <w:vAlign w:val="center"/>
                </w:tcPr>
                <w:p>
                  <w:pPr>
                    <w:pStyle w:val="35"/>
                    <w:jc w:val="center"/>
                    <w:rPr>
                      <w:rFonts w:cs="Times New Roman"/>
                      <w:b/>
                    </w:rPr>
                  </w:pPr>
                  <w:r>
                    <w:rPr>
                      <w:rFonts w:cs="Times New Roman"/>
                      <w:b/>
                      <w:lang w:val="zh-CN"/>
                    </w:rPr>
                    <w:t>类型</w:t>
                  </w:r>
                </w:p>
              </w:tc>
              <w:tc>
                <w:tcPr>
                  <w:tcW w:w="706" w:type="dxa"/>
                  <w:vAlign w:val="center"/>
                </w:tcPr>
                <w:p>
                  <w:pPr>
                    <w:pStyle w:val="35"/>
                    <w:jc w:val="center"/>
                    <w:rPr>
                      <w:rFonts w:cs="Times New Roman"/>
                      <w:b/>
                    </w:rPr>
                  </w:pPr>
                  <w:r>
                    <w:rPr>
                      <w:rFonts w:cs="Times New Roman"/>
                      <w:b/>
                      <w:lang w:val="zh-CN"/>
                    </w:rPr>
                    <w:t>污染物</w:t>
                  </w:r>
                </w:p>
              </w:tc>
              <w:tc>
                <w:tcPr>
                  <w:tcW w:w="807" w:type="dxa"/>
                  <w:vAlign w:val="center"/>
                </w:tcPr>
                <w:p>
                  <w:pPr>
                    <w:pStyle w:val="35"/>
                    <w:jc w:val="center"/>
                    <w:rPr>
                      <w:rFonts w:cs="Times New Roman"/>
                      <w:b/>
                    </w:rPr>
                  </w:pPr>
                  <w:r>
                    <w:rPr>
                      <w:rFonts w:cs="Times New Roman"/>
                      <w:b/>
                      <w:lang w:val="zh-CN"/>
                    </w:rPr>
                    <w:t>产生量</w:t>
                  </w:r>
                  <w:r>
                    <w:rPr>
                      <w:rFonts w:cs="Times New Roman"/>
                      <w:b/>
                    </w:rPr>
                    <w:t xml:space="preserve"> t/a</w:t>
                  </w:r>
                </w:p>
              </w:tc>
              <w:tc>
                <w:tcPr>
                  <w:tcW w:w="939" w:type="dxa"/>
                  <w:vAlign w:val="center"/>
                </w:tcPr>
                <w:p>
                  <w:pPr>
                    <w:pStyle w:val="35"/>
                    <w:jc w:val="center"/>
                    <w:rPr>
                      <w:rFonts w:cs="Times New Roman"/>
                      <w:b/>
                    </w:rPr>
                  </w:pPr>
                  <w:r>
                    <w:rPr>
                      <w:rFonts w:cs="Times New Roman"/>
                      <w:b/>
                      <w:lang w:val="zh-CN"/>
                    </w:rPr>
                    <w:t>产生速率</w:t>
                  </w:r>
                </w:p>
                <w:p>
                  <w:pPr>
                    <w:pStyle w:val="35"/>
                    <w:jc w:val="center"/>
                    <w:rPr>
                      <w:rFonts w:cs="Times New Roman"/>
                      <w:b/>
                    </w:rPr>
                  </w:pPr>
                  <w:r>
                    <w:rPr>
                      <w:rFonts w:cs="Times New Roman"/>
                      <w:b/>
                    </w:rPr>
                    <w:t>kg/h</w:t>
                  </w:r>
                </w:p>
              </w:tc>
              <w:tc>
                <w:tcPr>
                  <w:tcW w:w="1157" w:type="dxa"/>
                  <w:vAlign w:val="center"/>
                </w:tcPr>
                <w:p>
                  <w:pPr>
                    <w:pStyle w:val="35"/>
                    <w:jc w:val="center"/>
                    <w:rPr>
                      <w:rFonts w:cs="Times New Roman"/>
                      <w:b/>
                    </w:rPr>
                  </w:pPr>
                  <w:r>
                    <w:rPr>
                      <w:rFonts w:cs="Times New Roman"/>
                      <w:b/>
                      <w:lang w:val="zh-CN"/>
                    </w:rPr>
                    <w:t>无组织排放量</w:t>
                  </w:r>
                  <w:r>
                    <w:rPr>
                      <w:rFonts w:cs="Times New Roman"/>
                      <w:b/>
                    </w:rPr>
                    <w:t>t/a</w:t>
                  </w:r>
                </w:p>
              </w:tc>
              <w:tc>
                <w:tcPr>
                  <w:tcW w:w="1280" w:type="dxa"/>
                  <w:vAlign w:val="center"/>
                </w:tcPr>
                <w:p>
                  <w:pPr>
                    <w:pStyle w:val="35"/>
                    <w:jc w:val="center"/>
                    <w:rPr>
                      <w:rFonts w:cs="Times New Roman"/>
                      <w:b/>
                      <w:lang w:val="zh-CN"/>
                    </w:rPr>
                  </w:pPr>
                  <w:r>
                    <w:rPr>
                      <w:rFonts w:cs="Times New Roman"/>
                      <w:b/>
                      <w:lang w:val="zh-CN"/>
                    </w:rPr>
                    <w:t>无组织排放速率kg/h</w:t>
                  </w:r>
                </w:p>
              </w:tc>
              <w:tc>
                <w:tcPr>
                  <w:tcW w:w="1280" w:type="dxa"/>
                  <w:vAlign w:val="center"/>
                </w:tcPr>
                <w:p>
                  <w:pPr>
                    <w:pStyle w:val="35"/>
                    <w:jc w:val="center"/>
                    <w:rPr>
                      <w:rFonts w:cs="Times New Roman"/>
                      <w:b/>
                      <w:lang w:val="zh-CN"/>
                    </w:rPr>
                  </w:pPr>
                  <w:r>
                    <w:rPr>
                      <w:rFonts w:cs="Times New Roman"/>
                      <w:b/>
                      <w:lang w:val="zh-CN"/>
                    </w:rPr>
                    <w:t>处理效率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 w:hRule="atLeast"/>
                <w:jc w:val="center"/>
              </w:trPr>
              <w:tc>
                <w:tcPr>
                  <w:tcW w:w="1386" w:type="dxa"/>
                  <w:vAlign w:val="center"/>
                </w:tcPr>
                <w:p>
                  <w:pPr>
                    <w:pStyle w:val="35"/>
                    <w:jc w:val="center"/>
                    <w:rPr>
                      <w:rFonts w:cs="Times New Roman"/>
                      <w:lang w:val="zh-CN"/>
                    </w:rPr>
                  </w:pPr>
                  <w:r>
                    <w:rPr>
                      <w:rFonts w:cs="Times New Roman"/>
                    </w:rPr>
                    <w:t>装卸粉尘</w:t>
                  </w:r>
                </w:p>
              </w:tc>
              <w:tc>
                <w:tcPr>
                  <w:tcW w:w="706" w:type="dxa"/>
                  <w:vMerge w:val="restart"/>
                  <w:vAlign w:val="center"/>
                </w:tcPr>
                <w:p>
                  <w:pPr>
                    <w:pStyle w:val="35"/>
                    <w:jc w:val="center"/>
                    <w:rPr>
                      <w:rFonts w:cs="Times New Roman"/>
                      <w:lang w:val="zh-CN"/>
                    </w:rPr>
                  </w:pPr>
                  <w:r>
                    <w:rPr>
                      <w:rFonts w:cs="Times New Roman"/>
                      <w:lang w:val="zh-CN"/>
                    </w:rPr>
                    <w:t>颗粒物</w:t>
                  </w:r>
                </w:p>
              </w:tc>
              <w:tc>
                <w:tcPr>
                  <w:tcW w:w="807" w:type="dxa"/>
                  <w:vAlign w:val="center"/>
                </w:tcPr>
                <w:p>
                  <w:pPr>
                    <w:pStyle w:val="35"/>
                    <w:jc w:val="center"/>
                    <w:rPr>
                      <w:rFonts w:cs="Times New Roman"/>
                    </w:rPr>
                  </w:pPr>
                  <w:r>
                    <w:rPr>
                      <w:rFonts w:cs="Times New Roman"/>
                    </w:rPr>
                    <w:t>10.725</w:t>
                  </w:r>
                </w:p>
              </w:tc>
              <w:tc>
                <w:tcPr>
                  <w:tcW w:w="939" w:type="dxa"/>
                  <w:vAlign w:val="center"/>
                </w:tcPr>
                <w:p>
                  <w:pPr>
                    <w:pStyle w:val="35"/>
                    <w:jc w:val="center"/>
                    <w:rPr>
                      <w:rFonts w:cs="Times New Roman"/>
                    </w:rPr>
                  </w:pPr>
                  <w:r>
                    <w:rPr>
                      <w:rFonts w:cs="Times New Roman"/>
                    </w:rPr>
                    <w:t>4.17</w:t>
                  </w:r>
                </w:p>
              </w:tc>
              <w:tc>
                <w:tcPr>
                  <w:tcW w:w="1157" w:type="dxa"/>
                  <w:vAlign w:val="center"/>
                </w:tcPr>
                <w:p>
                  <w:pPr>
                    <w:pStyle w:val="35"/>
                    <w:jc w:val="center"/>
                    <w:rPr>
                      <w:rFonts w:cs="Times New Roman"/>
                    </w:rPr>
                  </w:pPr>
                  <w:r>
                    <w:rPr>
                      <w:rFonts w:cs="Times New Roman"/>
                    </w:rPr>
                    <w:t>2.145</w:t>
                  </w:r>
                </w:p>
              </w:tc>
              <w:tc>
                <w:tcPr>
                  <w:tcW w:w="1280" w:type="dxa"/>
                  <w:vAlign w:val="center"/>
                </w:tcPr>
                <w:p>
                  <w:pPr>
                    <w:pStyle w:val="35"/>
                    <w:jc w:val="center"/>
                    <w:rPr>
                      <w:rFonts w:cs="Times New Roman"/>
                    </w:rPr>
                  </w:pPr>
                  <w:r>
                    <w:rPr>
                      <w:rFonts w:cs="Times New Roman"/>
                    </w:rPr>
                    <w:t>0.89</w:t>
                  </w:r>
                </w:p>
              </w:tc>
              <w:tc>
                <w:tcPr>
                  <w:tcW w:w="1280" w:type="dxa"/>
                  <w:vAlign w:val="center"/>
                </w:tcPr>
                <w:p>
                  <w:pPr>
                    <w:pStyle w:val="35"/>
                    <w:jc w:val="center"/>
                    <w:rPr>
                      <w:rFonts w:cs="Times New Roman"/>
                    </w:rPr>
                  </w:pPr>
                  <w:r>
                    <w:rPr>
                      <w:rFonts w:cs="Times New Roman"/>
                    </w:rPr>
                    <w:t>80%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 w:hRule="atLeast"/>
                <w:jc w:val="center"/>
              </w:trPr>
              <w:tc>
                <w:tcPr>
                  <w:tcW w:w="1386" w:type="dxa"/>
                  <w:vAlign w:val="center"/>
                </w:tcPr>
                <w:p>
                  <w:pPr>
                    <w:pStyle w:val="35"/>
                    <w:jc w:val="center"/>
                    <w:rPr>
                      <w:rFonts w:cs="Times New Roman"/>
                      <w:lang w:val="zh-CN"/>
                    </w:rPr>
                  </w:pPr>
                  <w:r>
                    <w:rPr>
                      <w:rFonts w:cs="Times New Roman"/>
                    </w:rPr>
                    <w:t>车辆扬尘</w:t>
                  </w:r>
                </w:p>
              </w:tc>
              <w:tc>
                <w:tcPr>
                  <w:tcW w:w="706" w:type="dxa"/>
                  <w:vMerge w:val="continue"/>
                  <w:vAlign w:val="center"/>
                </w:tcPr>
                <w:p>
                  <w:pPr>
                    <w:pStyle w:val="35"/>
                    <w:jc w:val="center"/>
                    <w:rPr>
                      <w:rFonts w:cs="Times New Roman"/>
                      <w:lang w:val="zh-CN"/>
                    </w:rPr>
                  </w:pPr>
                </w:p>
              </w:tc>
              <w:tc>
                <w:tcPr>
                  <w:tcW w:w="807" w:type="dxa"/>
                  <w:vAlign w:val="center"/>
                </w:tcPr>
                <w:p>
                  <w:pPr>
                    <w:pStyle w:val="35"/>
                    <w:jc w:val="center"/>
                    <w:rPr>
                      <w:rFonts w:cs="Times New Roman"/>
                    </w:rPr>
                  </w:pPr>
                  <w:r>
                    <w:rPr>
                      <w:rFonts w:cs="Times New Roman"/>
                    </w:rPr>
                    <w:t>9.6</w:t>
                  </w:r>
                </w:p>
              </w:tc>
              <w:tc>
                <w:tcPr>
                  <w:tcW w:w="939" w:type="dxa"/>
                  <w:vAlign w:val="center"/>
                </w:tcPr>
                <w:p>
                  <w:pPr>
                    <w:pStyle w:val="35"/>
                    <w:jc w:val="center"/>
                    <w:rPr>
                      <w:rFonts w:cs="Times New Roman"/>
                    </w:rPr>
                  </w:pPr>
                  <w:r>
                    <w:rPr>
                      <w:rFonts w:cs="Times New Roman"/>
                    </w:rPr>
                    <w:t>4.00</w:t>
                  </w:r>
                </w:p>
              </w:tc>
              <w:tc>
                <w:tcPr>
                  <w:tcW w:w="1157" w:type="dxa"/>
                  <w:vAlign w:val="center"/>
                </w:tcPr>
                <w:p>
                  <w:pPr>
                    <w:pStyle w:val="35"/>
                    <w:jc w:val="center"/>
                    <w:rPr>
                      <w:rFonts w:cs="Times New Roman"/>
                    </w:rPr>
                  </w:pPr>
                  <w:r>
                    <w:rPr>
                      <w:rFonts w:cs="Times New Roman"/>
                    </w:rPr>
                    <w:t>1.92</w:t>
                  </w:r>
                </w:p>
              </w:tc>
              <w:tc>
                <w:tcPr>
                  <w:tcW w:w="1280" w:type="dxa"/>
                  <w:vAlign w:val="center"/>
                </w:tcPr>
                <w:p>
                  <w:pPr>
                    <w:pStyle w:val="35"/>
                    <w:jc w:val="center"/>
                    <w:rPr>
                      <w:rFonts w:cs="Times New Roman"/>
                    </w:rPr>
                  </w:pPr>
                  <w:r>
                    <w:rPr>
                      <w:rFonts w:cs="Times New Roman"/>
                    </w:rPr>
                    <w:t>0.80</w:t>
                  </w:r>
                </w:p>
              </w:tc>
              <w:tc>
                <w:tcPr>
                  <w:tcW w:w="1280" w:type="dxa"/>
                  <w:vAlign w:val="center"/>
                </w:tcPr>
                <w:p>
                  <w:pPr>
                    <w:pStyle w:val="35"/>
                    <w:jc w:val="center"/>
                    <w:rPr>
                      <w:rFonts w:cs="Times New Roman"/>
                    </w:rPr>
                  </w:pPr>
                  <w:r>
                    <w:rPr>
                      <w:rFonts w:cs="Times New Roman"/>
                    </w:rPr>
                    <w:t>80%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 w:hRule="atLeast"/>
                <w:jc w:val="center"/>
              </w:trPr>
              <w:tc>
                <w:tcPr>
                  <w:tcW w:w="1386" w:type="dxa"/>
                  <w:vAlign w:val="center"/>
                </w:tcPr>
                <w:p>
                  <w:pPr>
                    <w:pStyle w:val="35"/>
                    <w:jc w:val="center"/>
                    <w:rPr>
                      <w:rFonts w:cs="Times New Roman"/>
                      <w:lang w:val="zh-CN"/>
                    </w:rPr>
                  </w:pPr>
                  <w:r>
                    <w:rPr>
                      <w:rFonts w:cs="Times New Roman"/>
                    </w:rPr>
                    <w:t>破碎粉尘</w:t>
                  </w:r>
                </w:p>
              </w:tc>
              <w:tc>
                <w:tcPr>
                  <w:tcW w:w="706" w:type="dxa"/>
                  <w:vMerge w:val="continue"/>
                  <w:vAlign w:val="center"/>
                </w:tcPr>
                <w:p>
                  <w:pPr>
                    <w:pStyle w:val="35"/>
                    <w:jc w:val="center"/>
                    <w:rPr>
                      <w:rFonts w:cs="Times New Roman"/>
                      <w:lang w:val="zh-CN"/>
                    </w:rPr>
                  </w:pPr>
                </w:p>
              </w:tc>
              <w:tc>
                <w:tcPr>
                  <w:tcW w:w="807" w:type="dxa"/>
                  <w:vAlign w:val="center"/>
                </w:tcPr>
                <w:p>
                  <w:pPr>
                    <w:pStyle w:val="35"/>
                    <w:jc w:val="center"/>
                    <w:rPr>
                      <w:rFonts w:cs="Times New Roman"/>
                    </w:rPr>
                  </w:pPr>
                  <w:r>
                    <w:rPr>
                      <w:rFonts w:cs="Times New Roman"/>
                    </w:rPr>
                    <w:t>5.0</w:t>
                  </w:r>
                </w:p>
              </w:tc>
              <w:tc>
                <w:tcPr>
                  <w:tcW w:w="939" w:type="dxa"/>
                  <w:vAlign w:val="center"/>
                </w:tcPr>
                <w:p>
                  <w:pPr>
                    <w:pStyle w:val="35"/>
                    <w:jc w:val="center"/>
                    <w:rPr>
                      <w:rFonts w:cs="Times New Roman"/>
                    </w:rPr>
                  </w:pPr>
                  <w:r>
                    <w:rPr>
                      <w:rFonts w:cs="Times New Roman"/>
                    </w:rPr>
                    <w:t>2.08</w:t>
                  </w:r>
                </w:p>
              </w:tc>
              <w:tc>
                <w:tcPr>
                  <w:tcW w:w="1157" w:type="dxa"/>
                  <w:vAlign w:val="center"/>
                </w:tcPr>
                <w:p>
                  <w:pPr>
                    <w:pStyle w:val="35"/>
                    <w:jc w:val="center"/>
                    <w:rPr>
                      <w:rFonts w:cs="Times New Roman"/>
                    </w:rPr>
                  </w:pPr>
                  <w:r>
                    <w:rPr>
                      <w:rFonts w:cs="Times New Roman"/>
                    </w:rPr>
                    <w:t>1.0</w:t>
                  </w:r>
                </w:p>
              </w:tc>
              <w:tc>
                <w:tcPr>
                  <w:tcW w:w="1280" w:type="dxa"/>
                  <w:vAlign w:val="center"/>
                </w:tcPr>
                <w:p>
                  <w:pPr>
                    <w:pStyle w:val="35"/>
                    <w:jc w:val="center"/>
                    <w:rPr>
                      <w:rFonts w:cs="Times New Roman"/>
                    </w:rPr>
                  </w:pPr>
                  <w:r>
                    <w:rPr>
                      <w:rFonts w:cs="Times New Roman"/>
                    </w:rPr>
                    <w:t>0.42</w:t>
                  </w:r>
                </w:p>
              </w:tc>
              <w:tc>
                <w:tcPr>
                  <w:tcW w:w="1280" w:type="dxa"/>
                  <w:vAlign w:val="center"/>
                </w:tcPr>
                <w:p>
                  <w:pPr>
                    <w:pStyle w:val="35"/>
                    <w:jc w:val="center"/>
                    <w:rPr>
                      <w:rFonts w:cs="Times New Roman"/>
                    </w:rPr>
                  </w:pPr>
                  <w:r>
                    <w:rPr>
                      <w:rFonts w:cs="Times New Roman"/>
                    </w:rPr>
                    <w:t>80%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 w:hRule="atLeast"/>
                <w:jc w:val="center"/>
              </w:trPr>
              <w:tc>
                <w:tcPr>
                  <w:tcW w:w="1386" w:type="dxa"/>
                  <w:vAlign w:val="center"/>
                </w:tcPr>
                <w:p>
                  <w:pPr>
                    <w:pStyle w:val="35"/>
                    <w:jc w:val="center"/>
                    <w:rPr>
                      <w:rFonts w:cs="Times New Roman"/>
                    </w:rPr>
                  </w:pPr>
                  <w:r>
                    <w:rPr>
                      <w:rFonts w:cs="Times New Roman"/>
                    </w:rPr>
                    <w:t>筛分粉尘</w:t>
                  </w:r>
                </w:p>
              </w:tc>
              <w:tc>
                <w:tcPr>
                  <w:tcW w:w="706" w:type="dxa"/>
                  <w:vMerge w:val="continue"/>
                  <w:vAlign w:val="center"/>
                </w:tcPr>
                <w:p>
                  <w:pPr>
                    <w:pStyle w:val="35"/>
                    <w:jc w:val="center"/>
                    <w:rPr>
                      <w:rFonts w:cs="Times New Roman"/>
                      <w:lang w:val="zh-CN"/>
                    </w:rPr>
                  </w:pPr>
                </w:p>
              </w:tc>
              <w:tc>
                <w:tcPr>
                  <w:tcW w:w="807" w:type="dxa"/>
                  <w:vAlign w:val="center"/>
                </w:tcPr>
                <w:p>
                  <w:pPr>
                    <w:pStyle w:val="35"/>
                    <w:jc w:val="center"/>
                    <w:rPr>
                      <w:rFonts w:cs="Times New Roman"/>
                    </w:rPr>
                  </w:pPr>
                  <w:r>
                    <w:rPr>
                      <w:rFonts w:cs="Times New Roman"/>
                    </w:rPr>
                    <w:t>5.0</w:t>
                  </w:r>
                </w:p>
              </w:tc>
              <w:tc>
                <w:tcPr>
                  <w:tcW w:w="939" w:type="dxa"/>
                  <w:vAlign w:val="center"/>
                </w:tcPr>
                <w:p>
                  <w:pPr>
                    <w:pStyle w:val="35"/>
                    <w:jc w:val="center"/>
                    <w:rPr>
                      <w:rFonts w:cs="Times New Roman"/>
                    </w:rPr>
                  </w:pPr>
                  <w:r>
                    <w:rPr>
                      <w:rFonts w:cs="Times New Roman"/>
                    </w:rPr>
                    <w:t>2.08</w:t>
                  </w:r>
                </w:p>
              </w:tc>
              <w:tc>
                <w:tcPr>
                  <w:tcW w:w="1157" w:type="dxa"/>
                  <w:vAlign w:val="center"/>
                </w:tcPr>
                <w:p>
                  <w:pPr>
                    <w:pStyle w:val="35"/>
                    <w:jc w:val="center"/>
                    <w:rPr>
                      <w:rFonts w:cs="Times New Roman"/>
                    </w:rPr>
                  </w:pPr>
                  <w:r>
                    <w:rPr>
                      <w:rFonts w:cs="Times New Roman"/>
                    </w:rPr>
                    <w:t>1.0</w:t>
                  </w:r>
                </w:p>
              </w:tc>
              <w:tc>
                <w:tcPr>
                  <w:tcW w:w="1280" w:type="dxa"/>
                  <w:vAlign w:val="center"/>
                </w:tcPr>
                <w:p>
                  <w:pPr>
                    <w:pStyle w:val="35"/>
                    <w:jc w:val="center"/>
                    <w:rPr>
                      <w:rFonts w:cs="Times New Roman"/>
                    </w:rPr>
                  </w:pPr>
                  <w:r>
                    <w:rPr>
                      <w:rFonts w:cs="Times New Roman"/>
                    </w:rPr>
                    <w:t>0.42</w:t>
                  </w:r>
                </w:p>
              </w:tc>
              <w:tc>
                <w:tcPr>
                  <w:tcW w:w="1280" w:type="dxa"/>
                  <w:vAlign w:val="center"/>
                </w:tcPr>
                <w:p>
                  <w:pPr>
                    <w:pStyle w:val="35"/>
                    <w:jc w:val="center"/>
                    <w:rPr>
                      <w:rFonts w:cs="Times New Roman"/>
                    </w:rPr>
                  </w:pPr>
                  <w:r>
                    <w:rPr>
                      <w:rFonts w:cs="Times New Roman"/>
                    </w:rPr>
                    <w:t>80%</w:t>
                  </w:r>
                </w:p>
              </w:tc>
            </w:tr>
          </w:tbl>
          <w:p>
            <w:pPr>
              <w:ind w:firstLine="480"/>
              <w:rPr>
                <w:rFonts w:cs="Times New Roman"/>
              </w:rPr>
            </w:pPr>
            <w:r>
              <w:rPr>
                <w:rFonts w:cs="Times New Roman"/>
              </w:rPr>
              <w:t>根据工程分析，项目无组织面源排放量约为6.065t/a。</w:t>
            </w:r>
          </w:p>
          <w:p>
            <w:pPr>
              <w:pStyle w:val="47"/>
              <w:ind w:firstLine="480"/>
            </w:pPr>
            <w:r>
              <w:t>（2）大气环境影响分析</w:t>
            </w:r>
          </w:p>
          <w:p>
            <w:pPr>
              <w:pStyle w:val="47"/>
              <w:ind w:firstLine="480"/>
            </w:pPr>
            <w:r>
              <w:rPr>
                <w:rFonts w:hint="eastAsia" w:ascii="宋体" w:hAnsi="宋体" w:cs="宋体"/>
              </w:rPr>
              <w:t>①</w:t>
            </w:r>
            <w:r>
              <w:t>大气环境影响预测</w:t>
            </w:r>
          </w:p>
          <w:p>
            <w:pPr>
              <w:pStyle w:val="47"/>
              <w:ind w:firstLine="480"/>
            </w:pPr>
            <w:r>
              <w:t>根据工程分析可知项目废气排放情况，预测参数详见表4-3。</w:t>
            </w:r>
          </w:p>
          <w:p>
            <w:pPr>
              <w:pStyle w:val="47"/>
              <w:ind w:firstLine="480"/>
            </w:pPr>
          </w:p>
          <w:p>
            <w:pPr>
              <w:pStyle w:val="47"/>
              <w:ind w:firstLine="480"/>
            </w:pPr>
          </w:p>
          <w:p>
            <w:pPr>
              <w:pStyle w:val="47"/>
              <w:ind w:firstLine="480"/>
            </w:pPr>
          </w:p>
          <w:p>
            <w:pPr>
              <w:ind w:firstLine="482"/>
              <w:jc w:val="center"/>
              <w:rPr>
                <w:rFonts w:cs="Times New Roman"/>
                <w:b/>
              </w:rPr>
            </w:pPr>
            <w:r>
              <w:rPr>
                <w:rFonts w:cs="Times New Roman"/>
                <w:b/>
              </w:rPr>
              <w:t>表4-3 废气污染源强及计算参数一览表</w:t>
            </w:r>
          </w:p>
          <w:tbl>
            <w:tblPr>
              <w:tblStyle w:val="24"/>
              <w:tblW w:w="759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971"/>
              <w:gridCol w:w="1817"/>
              <w:gridCol w:w="36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68" w:type="dxa"/>
                  <w:vAlign w:val="center"/>
                </w:tcPr>
                <w:p>
                  <w:pPr>
                    <w:pStyle w:val="35"/>
                    <w:jc w:val="center"/>
                    <w:rPr>
                      <w:rFonts w:cs="Times New Roman"/>
                      <w:b/>
                    </w:rPr>
                  </w:pPr>
                  <w:r>
                    <w:rPr>
                      <w:rFonts w:cs="Times New Roman"/>
                      <w:b/>
                    </w:rPr>
                    <w:t>产污环节</w:t>
                  </w:r>
                </w:p>
              </w:tc>
              <w:tc>
                <w:tcPr>
                  <w:tcW w:w="971" w:type="dxa"/>
                  <w:vAlign w:val="center"/>
                </w:tcPr>
                <w:p>
                  <w:pPr>
                    <w:pStyle w:val="35"/>
                    <w:jc w:val="center"/>
                    <w:rPr>
                      <w:rFonts w:cs="Times New Roman"/>
                      <w:b/>
                    </w:rPr>
                  </w:pPr>
                  <w:r>
                    <w:rPr>
                      <w:rFonts w:cs="Times New Roman"/>
                      <w:b/>
                    </w:rPr>
                    <w:t>污染物</w:t>
                  </w:r>
                </w:p>
              </w:tc>
              <w:tc>
                <w:tcPr>
                  <w:tcW w:w="1817" w:type="dxa"/>
                  <w:vAlign w:val="center"/>
                </w:tcPr>
                <w:p>
                  <w:pPr>
                    <w:pStyle w:val="35"/>
                    <w:jc w:val="center"/>
                    <w:rPr>
                      <w:rFonts w:cs="Times New Roman"/>
                      <w:b/>
                    </w:rPr>
                  </w:pPr>
                  <w:r>
                    <w:rPr>
                      <w:rFonts w:cs="Times New Roman"/>
                      <w:b/>
                    </w:rPr>
                    <w:t>排放速率kg/h</w:t>
                  </w:r>
                </w:p>
              </w:tc>
              <w:tc>
                <w:tcPr>
                  <w:tcW w:w="3635" w:type="dxa"/>
                  <w:vAlign w:val="center"/>
                </w:tcPr>
                <w:p>
                  <w:pPr>
                    <w:pStyle w:val="35"/>
                    <w:jc w:val="center"/>
                    <w:rPr>
                      <w:rFonts w:cs="Times New Roman"/>
                      <w:b/>
                    </w:rPr>
                  </w:pPr>
                  <w:r>
                    <w:rPr>
                      <w:rFonts w:cs="Times New Roman"/>
                      <w:b/>
                    </w:rPr>
                    <w:t>排放参数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68" w:type="dxa"/>
                  <w:vAlign w:val="center"/>
                </w:tcPr>
                <w:p>
                  <w:pPr>
                    <w:pStyle w:val="35"/>
                    <w:jc w:val="center"/>
                    <w:rPr>
                      <w:rFonts w:cs="Times New Roman"/>
                    </w:rPr>
                  </w:pPr>
                  <w:r>
                    <w:rPr>
                      <w:rFonts w:cs="Times New Roman"/>
                    </w:rPr>
                    <w:t>厂区</w:t>
                  </w:r>
                </w:p>
              </w:tc>
              <w:tc>
                <w:tcPr>
                  <w:tcW w:w="971" w:type="dxa"/>
                  <w:vAlign w:val="center"/>
                </w:tcPr>
                <w:p>
                  <w:pPr>
                    <w:pStyle w:val="35"/>
                    <w:jc w:val="center"/>
                    <w:rPr>
                      <w:rFonts w:cs="Times New Roman"/>
                    </w:rPr>
                  </w:pPr>
                  <w:r>
                    <w:rPr>
                      <w:rFonts w:cs="Times New Roman"/>
                    </w:rPr>
                    <w:t>颗粒物</w:t>
                  </w:r>
                </w:p>
              </w:tc>
              <w:tc>
                <w:tcPr>
                  <w:tcW w:w="1817" w:type="dxa"/>
                  <w:vAlign w:val="center"/>
                </w:tcPr>
                <w:p>
                  <w:pPr>
                    <w:pStyle w:val="35"/>
                    <w:jc w:val="center"/>
                    <w:rPr>
                      <w:rFonts w:cs="Times New Roman"/>
                    </w:rPr>
                  </w:pPr>
                  <w:r>
                    <w:rPr>
                      <w:rFonts w:cs="Times New Roman"/>
                    </w:rPr>
                    <w:t>2.53</w:t>
                  </w:r>
                </w:p>
              </w:tc>
              <w:tc>
                <w:tcPr>
                  <w:tcW w:w="3635" w:type="dxa"/>
                  <w:vAlign w:val="center"/>
                </w:tcPr>
                <w:p>
                  <w:pPr>
                    <w:pStyle w:val="35"/>
                    <w:jc w:val="center"/>
                    <w:rPr>
                      <w:rFonts w:cs="Times New Roman"/>
                    </w:rPr>
                  </w:pPr>
                  <w:r>
                    <w:rPr>
                      <w:rFonts w:cs="Times New Roman"/>
                    </w:rPr>
                    <w:t>长174m，宽73m，高5m</w:t>
                  </w:r>
                </w:p>
              </w:tc>
            </w:tr>
          </w:tbl>
          <w:p>
            <w:pPr>
              <w:pStyle w:val="47"/>
              <w:ind w:firstLine="480"/>
            </w:pPr>
            <w:r>
              <w:t>本次预测应用估算模式采用《环境影响评价技术导则 大气环境》（HJ2.2-2018）推荐模型AERDCREEN对表4-3中的大气污染源进行计算，估算模型参数见表4-4，具体预测结果详见表4-5。</w:t>
            </w:r>
          </w:p>
          <w:p>
            <w:pPr>
              <w:pStyle w:val="54"/>
              <w:ind w:firstLine="480"/>
              <w:rPr>
                <w:color w:val="auto"/>
              </w:rPr>
            </w:pPr>
            <w:r>
              <w:rPr>
                <w:color w:val="auto"/>
              </w:rPr>
              <w:t>表4-4 估算模型参数一览表</w:t>
            </w:r>
          </w:p>
          <w:tbl>
            <w:tblPr>
              <w:tblStyle w:val="24"/>
              <w:tblW w:w="75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533"/>
              <w:gridCol w:w="25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64" w:type="dxa"/>
                  <w:gridSpan w:val="2"/>
                  <w:vAlign w:val="center"/>
                </w:tcPr>
                <w:p>
                  <w:pPr>
                    <w:pStyle w:val="48"/>
                    <w:spacing w:line="360" w:lineRule="auto"/>
                    <w:rPr>
                      <w:b/>
                    </w:rPr>
                  </w:pPr>
                  <w:r>
                    <w:rPr>
                      <w:b/>
                    </w:rPr>
                    <w:t>参数</w:t>
                  </w:r>
                </w:p>
              </w:tc>
              <w:tc>
                <w:tcPr>
                  <w:tcW w:w="2533" w:type="dxa"/>
                  <w:vAlign w:val="center"/>
                </w:tcPr>
                <w:p>
                  <w:pPr>
                    <w:pStyle w:val="48"/>
                    <w:spacing w:line="360" w:lineRule="auto"/>
                    <w:rPr>
                      <w:b/>
                    </w:rPr>
                  </w:pPr>
                  <w:r>
                    <w:rPr>
                      <w:b/>
                    </w:rPr>
                    <w:t>取值</w:t>
                  </w:r>
                </w:p>
              </w:tc>
            </w:tr>
            <w:tr>
              <w:tblPrEx>
                <w:tblCellMar>
                  <w:top w:w="0" w:type="dxa"/>
                  <w:left w:w="108" w:type="dxa"/>
                  <w:bottom w:w="0" w:type="dxa"/>
                  <w:right w:w="108" w:type="dxa"/>
                </w:tblCellMar>
              </w:tblPrEx>
              <w:trPr>
                <w:trHeight w:val="410" w:hRule="atLeast"/>
                <w:jc w:val="center"/>
              </w:trPr>
              <w:tc>
                <w:tcPr>
                  <w:tcW w:w="2532" w:type="dxa"/>
                  <w:vMerge w:val="restart"/>
                  <w:vAlign w:val="center"/>
                </w:tcPr>
                <w:p>
                  <w:pPr>
                    <w:pStyle w:val="48"/>
                    <w:spacing w:line="360" w:lineRule="auto"/>
                  </w:pPr>
                  <w:r>
                    <w:t>城市/农村选项</w:t>
                  </w:r>
                </w:p>
              </w:tc>
              <w:tc>
                <w:tcPr>
                  <w:tcW w:w="2533" w:type="dxa"/>
                  <w:vAlign w:val="center"/>
                </w:tcPr>
                <w:p>
                  <w:pPr>
                    <w:pStyle w:val="48"/>
                    <w:spacing w:line="360" w:lineRule="auto"/>
                  </w:pPr>
                  <w:r>
                    <w:t>城市/农村</w:t>
                  </w:r>
                </w:p>
              </w:tc>
              <w:tc>
                <w:tcPr>
                  <w:tcW w:w="2533" w:type="dxa"/>
                  <w:vAlign w:val="center"/>
                </w:tcPr>
                <w:p>
                  <w:pPr>
                    <w:pStyle w:val="48"/>
                    <w:spacing w:line="360" w:lineRule="auto"/>
                  </w:pPr>
                  <w: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532" w:type="dxa"/>
                  <w:vMerge w:val="continue"/>
                  <w:vAlign w:val="center"/>
                </w:tcPr>
                <w:p>
                  <w:pPr>
                    <w:pStyle w:val="48"/>
                    <w:spacing w:line="360" w:lineRule="auto"/>
                  </w:pPr>
                </w:p>
              </w:tc>
              <w:tc>
                <w:tcPr>
                  <w:tcW w:w="2533" w:type="dxa"/>
                  <w:vAlign w:val="center"/>
                </w:tcPr>
                <w:p>
                  <w:pPr>
                    <w:pStyle w:val="48"/>
                    <w:spacing w:line="360" w:lineRule="auto"/>
                  </w:pPr>
                  <w:r>
                    <w:t>人口数（城市选项时）</w:t>
                  </w:r>
                </w:p>
              </w:tc>
              <w:tc>
                <w:tcPr>
                  <w:tcW w:w="2533" w:type="dxa"/>
                  <w:vAlign w:val="center"/>
                </w:tcPr>
                <w:p>
                  <w:pPr>
                    <w:spacing w:line="280" w:lineRule="exact"/>
                    <w:ind w:firstLine="420"/>
                    <w:jc w:val="center"/>
                    <w:rPr>
                      <w:rFonts w:cs="Times New Roman"/>
                      <w:sz w:val="21"/>
                      <w:szCs w:val="21"/>
                    </w:rPr>
                  </w:pPr>
                  <w:r>
                    <w:rPr>
                      <w:rFonts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64" w:type="dxa"/>
                  <w:gridSpan w:val="2"/>
                  <w:vAlign w:val="center"/>
                </w:tcPr>
                <w:p>
                  <w:pPr>
                    <w:pStyle w:val="48"/>
                    <w:spacing w:line="360" w:lineRule="auto"/>
                  </w:pPr>
                  <w:r>
                    <w:t>最高环境温度/</w:t>
                  </w:r>
                  <w:r>
                    <w:rPr>
                      <w:rFonts w:hint="eastAsia" w:ascii="宋体" w:hAnsi="宋体" w:cs="宋体"/>
                    </w:rPr>
                    <w:t>℃</w:t>
                  </w:r>
                </w:p>
              </w:tc>
              <w:tc>
                <w:tcPr>
                  <w:tcW w:w="2533" w:type="dxa"/>
                  <w:vAlign w:val="center"/>
                </w:tcPr>
                <w:p>
                  <w:pPr>
                    <w:pStyle w:val="48"/>
                    <w:spacing w:line="360" w:lineRule="auto"/>
                  </w:pPr>
                  <w:r>
                    <w:t>38.7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64" w:type="dxa"/>
                  <w:gridSpan w:val="2"/>
                  <w:vAlign w:val="center"/>
                </w:tcPr>
                <w:p>
                  <w:pPr>
                    <w:pStyle w:val="48"/>
                    <w:spacing w:line="360" w:lineRule="auto"/>
                  </w:pPr>
                  <w:r>
                    <w:t>最低环境温度/</w:t>
                  </w:r>
                  <w:r>
                    <w:rPr>
                      <w:rFonts w:hint="eastAsia" w:ascii="宋体" w:hAnsi="宋体" w:cs="宋体"/>
                    </w:rPr>
                    <w:t>℃</w:t>
                  </w:r>
                </w:p>
              </w:tc>
              <w:tc>
                <w:tcPr>
                  <w:tcW w:w="2533" w:type="dxa"/>
                  <w:vAlign w:val="center"/>
                </w:tcPr>
                <w:p>
                  <w:pPr>
                    <w:pStyle w:val="48"/>
                    <w:spacing w:line="360" w:lineRule="auto"/>
                  </w:pPr>
                  <w: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64" w:type="dxa"/>
                  <w:gridSpan w:val="2"/>
                  <w:vAlign w:val="center"/>
                </w:tcPr>
                <w:p>
                  <w:pPr>
                    <w:pStyle w:val="48"/>
                    <w:spacing w:line="360" w:lineRule="auto"/>
                  </w:pPr>
                  <w:r>
                    <w:t>土地利用类型</w:t>
                  </w:r>
                </w:p>
              </w:tc>
              <w:tc>
                <w:tcPr>
                  <w:tcW w:w="2533" w:type="dxa"/>
                  <w:vAlign w:val="center"/>
                </w:tcPr>
                <w:p>
                  <w:pPr>
                    <w:pStyle w:val="48"/>
                    <w:spacing w:line="360" w:lineRule="auto"/>
                  </w:pPr>
                  <w:r>
                    <w:t>建设用地</w:t>
                  </w:r>
                </w:p>
              </w:tc>
            </w:tr>
            <w:tr>
              <w:tblPrEx>
                <w:tblCellMar>
                  <w:top w:w="0" w:type="dxa"/>
                  <w:left w:w="108" w:type="dxa"/>
                  <w:bottom w:w="0" w:type="dxa"/>
                  <w:right w:w="108" w:type="dxa"/>
                </w:tblCellMar>
              </w:tblPrEx>
              <w:trPr>
                <w:trHeight w:val="410" w:hRule="atLeast"/>
                <w:jc w:val="center"/>
              </w:trPr>
              <w:tc>
                <w:tcPr>
                  <w:tcW w:w="5064" w:type="dxa"/>
                  <w:gridSpan w:val="2"/>
                  <w:vAlign w:val="center"/>
                </w:tcPr>
                <w:p>
                  <w:pPr>
                    <w:pStyle w:val="48"/>
                    <w:spacing w:line="360" w:lineRule="auto"/>
                  </w:pPr>
                  <w:r>
                    <w:t>区域湿度条件</w:t>
                  </w:r>
                </w:p>
              </w:tc>
              <w:tc>
                <w:tcPr>
                  <w:tcW w:w="2533" w:type="dxa"/>
                  <w:vAlign w:val="center"/>
                </w:tcPr>
                <w:p>
                  <w:pPr>
                    <w:pStyle w:val="48"/>
                    <w:spacing w:line="360" w:lineRule="auto"/>
                  </w:pPr>
                  <w:r>
                    <w:t>湿润区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532" w:type="dxa"/>
                  <w:vMerge w:val="restart"/>
                  <w:vAlign w:val="center"/>
                </w:tcPr>
                <w:p>
                  <w:pPr>
                    <w:pStyle w:val="48"/>
                    <w:spacing w:line="360" w:lineRule="auto"/>
                  </w:pPr>
                  <w:r>
                    <w:t>是否考虑地形</w:t>
                  </w:r>
                </w:p>
              </w:tc>
              <w:tc>
                <w:tcPr>
                  <w:tcW w:w="2533" w:type="dxa"/>
                  <w:vAlign w:val="center"/>
                </w:tcPr>
                <w:p>
                  <w:pPr>
                    <w:pStyle w:val="48"/>
                    <w:spacing w:line="360" w:lineRule="auto"/>
                  </w:pPr>
                  <w:r>
                    <w:t>考虑地形</w:t>
                  </w:r>
                </w:p>
              </w:tc>
              <w:tc>
                <w:tcPr>
                  <w:tcW w:w="2533" w:type="dxa"/>
                  <w:vAlign w:val="center"/>
                </w:tcPr>
                <w:p>
                  <w:pPr>
                    <w:pStyle w:val="51"/>
                    <w:kinsoku w:val="0"/>
                    <w:overflowPunct w:val="0"/>
                    <w:spacing w:line="280" w:lineRule="exact"/>
                    <w:jc w:val="center"/>
                    <w:rPr>
                      <w:rFonts w:ascii="Times New Roman" w:hAnsi="Times New Roman"/>
                      <w:sz w:val="21"/>
                      <w:szCs w:val="21"/>
                      <w:lang w:eastAsia="zh-CN"/>
                    </w:rPr>
                  </w:pPr>
                  <w:r>
                    <w:rPr>
                      <w:rFonts w:ascii="Times New Roman" w:hAnsi="Times New Roman"/>
                      <w:sz w:val="21"/>
                      <w:szCs w:val="21"/>
                      <w:lang w:eastAsia="zh-CN"/>
                    </w:rPr>
                    <w:t>是</w:t>
                  </w:r>
                  <w:r>
                    <w:rPr>
                      <w:rFonts w:ascii="Times New Roman" w:hAnsi="Times New Roman"/>
                      <w:sz w:val="21"/>
                      <w:szCs w:val="21"/>
                    </w:rPr>
                    <w:sym w:font="Wingdings 2" w:char="00A3"/>
                  </w:r>
                  <w:r>
                    <w:rPr>
                      <w:rFonts w:ascii="Times New Roman" w:hAnsi="Times New Roman"/>
                      <w:sz w:val="21"/>
                      <w:szCs w:val="21"/>
                      <w:lang w:eastAsia="zh-CN"/>
                    </w:rPr>
                    <w:t xml:space="preserve">    否</w:t>
                  </w:r>
                  <w:r>
                    <w:rPr>
                      <w:rFonts w:ascii="Times New Roman" w:hAnsi="Times New Roman"/>
                      <w:sz w:val="21"/>
                      <w:szCs w:val="21"/>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532" w:type="dxa"/>
                  <w:vMerge w:val="continue"/>
                  <w:vAlign w:val="center"/>
                </w:tcPr>
                <w:p>
                  <w:pPr>
                    <w:pStyle w:val="48"/>
                    <w:spacing w:line="360" w:lineRule="auto"/>
                  </w:pPr>
                </w:p>
              </w:tc>
              <w:tc>
                <w:tcPr>
                  <w:tcW w:w="2533" w:type="dxa"/>
                  <w:vAlign w:val="center"/>
                </w:tcPr>
                <w:p>
                  <w:pPr>
                    <w:pStyle w:val="48"/>
                    <w:spacing w:line="360" w:lineRule="auto"/>
                  </w:pPr>
                  <w:r>
                    <w:t>地形数据分辨率/m</w:t>
                  </w:r>
                </w:p>
              </w:tc>
              <w:tc>
                <w:tcPr>
                  <w:tcW w:w="2533" w:type="dxa"/>
                  <w:vAlign w:val="center"/>
                </w:tcPr>
                <w:p>
                  <w:pPr>
                    <w:spacing w:line="280" w:lineRule="exact"/>
                    <w:ind w:firstLine="420"/>
                    <w:jc w:val="center"/>
                    <w:rPr>
                      <w:rFonts w:cs="Times New Roman"/>
                      <w:sz w:val="21"/>
                      <w:szCs w:val="21"/>
                    </w:rPr>
                  </w:pPr>
                  <w:r>
                    <w:rPr>
                      <w:rFonts w:cs="Times New Roman"/>
                      <w:sz w:val="21"/>
                      <w:szCs w:val="21"/>
                    </w:rPr>
                    <w:t>90m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32" w:type="dxa"/>
                  <w:vMerge w:val="restart"/>
                  <w:vAlign w:val="center"/>
                </w:tcPr>
                <w:p>
                  <w:pPr>
                    <w:pStyle w:val="48"/>
                    <w:spacing w:line="360" w:lineRule="auto"/>
                  </w:pPr>
                  <w:r>
                    <w:t>是否考虑岸线熏烟</w:t>
                  </w:r>
                </w:p>
              </w:tc>
              <w:tc>
                <w:tcPr>
                  <w:tcW w:w="2533" w:type="dxa"/>
                  <w:vAlign w:val="center"/>
                </w:tcPr>
                <w:p>
                  <w:pPr>
                    <w:pStyle w:val="48"/>
                    <w:spacing w:line="360" w:lineRule="auto"/>
                  </w:pPr>
                  <w:r>
                    <w:t>考虑岸线熏烟</w:t>
                  </w:r>
                </w:p>
              </w:tc>
              <w:tc>
                <w:tcPr>
                  <w:tcW w:w="2533" w:type="dxa"/>
                  <w:vAlign w:val="center"/>
                </w:tcPr>
                <w:p>
                  <w:pPr>
                    <w:pStyle w:val="51"/>
                    <w:kinsoku w:val="0"/>
                    <w:overflowPunct w:val="0"/>
                    <w:spacing w:line="280" w:lineRule="exact"/>
                    <w:jc w:val="center"/>
                    <w:rPr>
                      <w:rFonts w:ascii="Times New Roman" w:hAnsi="Times New Roman"/>
                      <w:sz w:val="21"/>
                      <w:szCs w:val="21"/>
                      <w:lang w:eastAsia="zh-CN"/>
                    </w:rPr>
                  </w:pPr>
                  <w:r>
                    <w:rPr>
                      <w:rFonts w:ascii="Times New Roman" w:hAnsi="Times New Roman"/>
                      <w:sz w:val="21"/>
                      <w:szCs w:val="21"/>
                      <w:lang w:eastAsia="zh-CN"/>
                    </w:rPr>
                    <w:t>是</w:t>
                  </w:r>
                  <w:r>
                    <w:rPr>
                      <w:rFonts w:ascii="Times New Roman" w:hAnsi="Times New Roman"/>
                      <w:sz w:val="21"/>
                      <w:szCs w:val="21"/>
                    </w:rPr>
                    <w:sym w:font="Wingdings 2" w:char="00A3"/>
                  </w:r>
                  <w:r>
                    <w:rPr>
                      <w:rFonts w:ascii="Times New Roman" w:hAnsi="Times New Roman"/>
                      <w:sz w:val="21"/>
                      <w:szCs w:val="21"/>
                      <w:lang w:eastAsia="zh-CN"/>
                    </w:rPr>
                    <w:t xml:space="preserve">    否</w:t>
                  </w:r>
                  <w:r>
                    <w:rPr>
                      <w:rFonts w:ascii="Times New Roman" w:hAnsi="Times New Roman"/>
                      <w:sz w:val="21"/>
                      <w:szCs w:val="21"/>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532" w:type="dxa"/>
                  <w:vMerge w:val="continue"/>
                  <w:vAlign w:val="center"/>
                </w:tcPr>
                <w:p>
                  <w:pPr>
                    <w:pStyle w:val="48"/>
                    <w:spacing w:line="360" w:lineRule="auto"/>
                  </w:pPr>
                </w:p>
              </w:tc>
              <w:tc>
                <w:tcPr>
                  <w:tcW w:w="2533" w:type="dxa"/>
                  <w:vAlign w:val="center"/>
                </w:tcPr>
                <w:p>
                  <w:pPr>
                    <w:pStyle w:val="48"/>
                    <w:spacing w:line="360" w:lineRule="auto"/>
                  </w:pPr>
                  <w:r>
                    <w:t>岸线距离/km</w:t>
                  </w:r>
                </w:p>
              </w:tc>
              <w:tc>
                <w:tcPr>
                  <w:tcW w:w="2533" w:type="dxa"/>
                  <w:vAlign w:val="center"/>
                </w:tcPr>
                <w:p>
                  <w:pPr>
                    <w:spacing w:line="280" w:lineRule="exact"/>
                    <w:ind w:firstLine="420"/>
                    <w:jc w:val="center"/>
                    <w:rPr>
                      <w:rFonts w:cs="Times New Roman"/>
                      <w:sz w:val="21"/>
                      <w:szCs w:val="21"/>
                    </w:rPr>
                  </w:pPr>
                  <w:r>
                    <w:rPr>
                      <w:rFonts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532" w:type="dxa"/>
                  <w:vMerge w:val="continue"/>
                  <w:vAlign w:val="center"/>
                </w:tcPr>
                <w:p>
                  <w:pPr>
                    <w:pStyle w:val="48"/>
                    <w:spacing w:line="360" w:lineRule="auto"/>
                  </w:pPr>
                </w:p>
              </w:tc>
              <w:tc>
                <w:tcPr>
                  <w:tcW w:w="2533" w:type="dxa"/>
                  <w:vAlign w:val="center"/>
                </w:tcPr>
                <w:p>
                  <w:pPr>
                    <w:pStyle w:val="48"/>
                    <w:spacing w:line="360" w:lineRule="auto"/>
                  </w:pPr>
                  <w:r>
                    <w:t>岸线方向/º</w:t>
                  </w:r>
                </w:p>
              </w:tc>
              <w:tc>
                <w:tcPr>
                  <w:tcW w:w="2533" w:type="dxa"/>
                  <w:vAlign w:val="center"/>
                </w:tcPr>
                <w:p>
                  <w:pPr>
                    <w:spacing w:line="280" w:lineRule="exact"/>
                    <w:ind w:firstLine="420"/>
                    <w:jc w:val="center"/>
                    <w:rPr>
                      <w:rFonts w:cs="Times New Roman"/>
                      <w:sz w:val="21"/>
                      <w:szCs w:val="21"/>
                    </w:rPr>
                  </w:pPr>
                  <w:r>
                    <w:rPr>
                      <w:rFonts w:cs="Times New Roman"/>
                      <w:sz w:val="21"/>
                      <w:szCs w:val="21"/>
                    </w:rPr>
                    <w:t>/</w:t>
                  </w:r>
                </w:p>
              </w:tc>
            </w:tr>
          </w:tbl>
          <w:p>
            <w:pPr>
              <w:pStyle w:val="54"/>
              <w:ind w:firstLine="480"/>
              <w:rPr>
                <w:color w:val="auto"/>
              </w:rPr>
            </w:pPr>
            <w:r>
              <w:rPr>
                <w:color w:val="auto"/>
              </w:rPr>
              <w:t>表4-5 项目大气污染物最大落地浓度预测一览表</w:t>
            </w:r>
          </w:p>
          <w:tbl>
            <w:tblPr>
              <w:tblStyle w:val="24"/>
              <w:tblW w:w="765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797"/>
              <w:gridCol w:w="1158"/>
              <w:gridCol w:w="1080"/>
              <w:gridCol w:w="1093"/>
              <w:gridCol w:w="915"/>
              <w:gridCol w:w="1030"/>
              <w:gridCol w:w="5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988" w:type="dxa"/>
                  <w:vAlign w:val="center"/>
                </w:tcPr>
                <w:p>
                  <w:pPr>
                    <w:pStyle w:val="35"/>
                    <w:jc w:val="center"/>
                    <w:rPr>
                      <w:rFonts w:cs="Times New Roman"/>
                      <w:b/>
                    </w:rPr>
                  </w:pPr>
                  <w:r>
                    <w:rPr>
                      <w:rFonts w:cs="Times New Roman"/>
                      <w:b/>
                    </w:rPr>
                    <w:t>排放源名称</w:t>
                  </w:r>
                </w:p>
              </w:tc>
              <w:tc>
                <w:tcPr>
                  <w:tcW w:w="797" w:type="dxa"/>
                  <w:vAlign w:val="center"/>
                </w:tcPr>
                <w:p>
                  <w:pPr>
                    <w:pStyle w:val="35"/>
                    <w:jc w:val="center"/>
                    <w:rPr>
                      <w:rFonts w:cs="Times New Roman"/>
                      <w:b/>
                    </w:rPr>
                  </w:pPr>
                  <w:r>
                    <w:rPr>
                      <w:rFonts w:cs="Times New Roman"/>
                      <w:b/>
                    </w:rPr>
                    <w:t>污染因子</w:t>
                  </w:r>
                </w:p>
              </w:tc>
              <w:tc>
                <w:tcPr>
                  <w:tcW w:w="1158" w:type="dxa"/>
                  <w:vAlign w:val="center"/>
                </w:tcPr>
                <w:p>
                  <w:pPr>
                    <w:pStyle w:val="35"/>
                    <w:jc w:val="center"/>
                    <w:rPr>
                      <w:rFonts w:cs="Times New Roman"/>
                      <w:b/>
                    </w:rPr>
                  </w:pPr>
                  <w:r>
                    <w:rPr>
                      <w:rFonts w:cs="Times New Roman"/>
                      <w:b/>
                    </w:rPr>
                    <w:t>评级标准（mg/m</w:t>
                  </w:r>
                  <w:r>
                    <w:rPr>
                      <w:rFonts w:cs="Times New Roman"/>
                      <w:b/>
                      <w:vertAlign w:val="superscript"/>
                    </w:rPr>
                    <w:t>3</w:t>
                  </w:r>
                  <w:r>
                    <w:rPr>
                      <w:rFonts w:cs="Times New Roman"/>
                      <w:b/>
                    </w:rPr>
                    <w:t>）</w:t>
                  </w:r>
                </w:p>
              </w:tc>
              <w:tc>
                <w:tcPr>
                  <w:tcW w:w="1080" w:type="dxa"/>
                  <w:vAlign w:val="center"/>
                </w:tcPr>
                <w:p>
                  <w:pPr>
                    <w:pStyle w:val="35"/>
                    <w:jc w:val="center"/>
                    <w:rPr>
                      <w:rFonts w:cs="Times New Roman"/>
                      <w:b/>
                    </w:rPr>
                  </w:pPr>
                  <w:r>
                    <w:rPr>
                      <w:rFonts w:cs="Times New Roman"/>
                      <w:b/>
                    </w:rPr>
                    <w:t>最大地面浓度（mg/m</w:t>
                  </w:r>
                  <w:r>
                    <w:rPr>
                      <w:rFonts w:cs="Times New Roman"/>
                      <w:b/>
                      <w:vertAlign w:val="superscript"/>
                    </w:rPr>
                    <w:t>3</w:t>
                  </w:r>
                  <w:r>
                    <w:rPr>
                      <w:rFonts w:cs="Times New Roman"/>
                      <w:b/>
                    </w:rPr>
                    <w:t>）</w:t>
                  </w:r>
                </w:p>
              </w:tc>
              <w:tc>
                <w:tcPr>
                  <w:tcW w:w="1093" w:type="dxa"/>
                  <w:vAlign w:val="center"/>
                </w:tcPr>
                <w:p>
                  <w:pPr>
                    <w:pStyle w:val="35"/>
                    <w:jc w:val="center"/>
                    <w:rPr>
                      <w:rFonts w:cs="Times New Roman"/>
                      <w:b/>
                    </w:rPr>
                  </w:pPr>
                  <w:r>
                    <w:rPr>
                      <w:rFonts w:cs="Times New Roman"/>
                      <w:b/>
                    </w:rPr>
                    <w:t>最大地面浓度占标率Pmax（%）</w:t>
                  </w:r>
                </w:p>
              </w:tc>
              <w:tc>
                <w:tcPr>
                  <w:tcW w:w="915" w:type="dxa"/>
                  <w:vAlign w:val="center"/>
                </w:tcPr>
                <w:p>
                  <w:pPr>
                    <w:pStyle w:val="35"/>
                    <w:jc w:val="center"/>
                    <w:rPr>
                      <w:rFonts w:cs="Times New Roman"/>
                      <w:b/>
                    </w:rPr>
                  </w:pPr>
                  <w:r>
                    <w:rPr>
                      <w:rFonts w:cs="Times New Roman"/>
                      <w:b/>
                    </w:rPr>
                    <w:t>最大值距源中心距离（m）</w:t>
                  </w:r>
                </w:p>
              </w:tc>
              <w:tc>
                <w:tcPr>
                  <w:tcW w:w="1030" w:type="dxa"/>
                  <w:vAlign w:val="center"/>
                </w:tcPr>
                <w:p>
                  <w:pPr>
                    <w:pStyle w:val="35"/>
                    <w:jc w:val="center"/>
                    <w:rPr>
                      <w:rFonts w:cs="Times New Roman"/>
                      <w:b/>
                    </w:rPr>
                  </w:pPr>
                  <w:r>
                    <w:rPr>
                      <w:rFonts w:cs="Times New Roman"/>
                      <w:b/>
                    </w:rPr>
                    <w:t>占标率10%的最远距离D</w:t>
                  </w:r>
                  <w:r>
                    <w:rPr>
                      <w:rFonts w:cs="Times New Roman"/>
                      <w:b/>
                      <w:vertAlign w:val="subscript"/>
                    </w:rPr>
                    <w:t>10%</w:t>
                  </w:r>
                  <w:r>
                    <w:rPr>
                      <w:rFonts w:cs="Times New Roman"/>
                      <w:b/>
                    </w:rPr>
                    <w:t>（m）</w:t>
                  </w:r>
                </w:p>
              </w:tc>
              <w:tc>
                <w:tcPr>
                  <w:tcW w:w="593" w:type="dxa"/>
                  <w:vAlign w:val="center"/>
                </w:tcPr>
                <w:p>
                  <w:pPr>
                    <w:pStyle w:val="35"/>
                    <w:jc w:val="center"/>
                    <w:rPr>
                      <w:rFonts w:cs="Times New Roman"/>
                      <w:b/>
                    </w:rPr>
                  </w:pPr>
                  <w:r>
                    <w:rPr>
                      <w:rFonts w:cs="Times New Roman"/>
                      <w:b/>
                    </w:rPr>
                    <w:t>评价等级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988" w:type="dxa"/>
                  <w:vAlign w:val="center"/>
                </w:tcPr>
                <w:p>
                  <w:pPr>
                    <w:pStyle w:val="35"/>
                    <w:jc w:val="center"/>
                    <w:rPr>
                      <w:rFonts w:cs="Times New Roman"/>
                    </w:rPr>
                  </w:pPr>
                  <w:r>
                    <w:rPr>
                      <w:rFonts w:cs="Times New Roman"/>
                    </w:rPr>
                    <w:t>厂区</w:t>
                  </w:r>
                </w:p>
              </w:tc>
              <w:tc>
                <w:tcPr>
                  <w:tcW w:w="797" w:type="dxa"/>
                  <w:vAlign w:val="center"/>
                </w:tcPr>
                <w:p>
                  <w:pPr>
                    <w:pStyle w:val="35"/>
                    <w:jc w:val="center"/>
                    <w:rPr>
                      <w:rFonts w:cs="Times New Roman"/>
                    </w:rPr>
                  </w:pPr>
                  <w:r>
                    <w:rPr>
                      <w:rFonts w:cs="Times New Roman"/>
                    </w:rPr>
                    <w:t>颗粒物</w:t>
                  </w:r>
                </w:p>
              </w:tc>
              <w:tc>
                <w:tcPr>
                  <w:tcW w:w="1158" w:type="dxa"/>
                  <w:vAlign w:val="center"/>
                </w:tcPr>
                <w:p>
                  <w:pPr>
                    <w:pStyle w:val="35"/>
                    <w:jc w:val="center"/>
                    <w:rPr>
                      <w:rFonts w:cs="Times New Roman"/>
                    </w:rPr>
                  </w:pPr>
                  <w:r>
                    <w:rPr>
                      <w:rFonts w:cs="Times New Roman"/>
                    </w:rPr>
                    <w:t>0.9</w:t>
                  </w:r>
                </w:p>
              </w:tc>
              <w:tc>
                <w:tcPr>
                  <w:tcW w:w="1080" w:type="dxa"/>
                  <w:vAlign w:val="center"/>
                </w:tcPr>
                <w:p>
                  <w:pPr>
                    <w:pStyle w:val="35"/>
                    <w:jc w:val="center"/>
                    <w:rPr>
                      <w:rFonts w:cs="Times New Roman"/>
                    </w:rPr>
                  </w:pPr>
                  <w:r>
                    <w:rPr>
                      <w:rFonts w:cs="Times New Roman"/>
                    </w:rPr>
                    <w:t>0.05608</w:t>
                  </w:r>
                </w:p>
              </w:tc>
              <w:tc>
                <w:tcPr>
                  <w:tcW w:w="1093" w:type="dxa"/>
                  <w:vAlign w:val="center"/>
                </w:tcPr>
                <w:p>
                  <w:pPr>
                    <w:pStyle w:val="35"/>
                    <w:jc w:val="center"/>
                    <w:rPr>
                      <w:rFonts w:cs="Times New Roman"/>
                    </w:rPr>
                  </w:pPr>
                  <w:r>
                    <w:rPr>
                      <w:rFonts w:cs="Times New Roman"/>
                    </w:rPr>
                    <w:t>6.23</w:t>
                  </w:r>
                </w:p>
              </w:tc>
              <w:tc>
                <w:tcPr>
                  <w:tcW w:w="915" w:type="dxa"/>
                  <w:vAlign w:val="center"/>
                </w:tcPr>
                <w:p>
                  <w:pPr>
                    <w:pStyle w:val="35"/>
                    <w:jc w:val="center"/>
                    <w:rPr>
                      <w:rFonts w:cs="Times New Roman"/>
                    </w:rPr>
                  </w:pPr>
                  <w:r>
                    <w:rPr>
                      <w:rFonts w:cs="Times New Roman"/>
                    </w:rPr>
                    <w:t>441</w:t>
                  </w:r>
                </w:p>
              </w:tc>
              <w:tc>
                <w:tcPr>
                  <w:tcW w:w="1030" w:type="dxa"/>
                  <w:vAlign w:val="center"/>
                </w:tcPr>
                <w:p>
                  <w:pPr>
                    <w:pStyle w:val="35"/>
                    <w:jc w:val="center"/>
                    <w:rPr>
                      <w:rFonts w:cs="Times New Roman"/>
                    </w:rPr>
                  </w:pPr>
                  <w:r>
                    <w:rPr>
                      <w:rFonts w:cs="Times New Roman"/>
                    </w:rPr>
                    <w:t>/</w:t>
                  </w:r>
                </w:p>
              </w:tc>
              <w:tc>
                <w:tcPr>
                  <w:tcW w:w="593" w:type="dxa"/>
                  <w:vAlign w:val="center"/>
                </w:tcPr>
                <w:p>
                  <w:pPr>
                    <w:pStyle w:val="35"/>
                    <w:jc w:val="center"/>
                    <w:rPr>
                      <w:rFonts w:cs="Times New Roman"/>
                    </w:rPr>
                  </w:pPr>
                  <w:r>
                    <w:rPr>
                      <w:rFonts w:cs="Times New Roman"/>
                    </w:rPr>
                    <w:t>二级</w:t>
                  </w:r>
                </w:p>
              </w:tc>
            </w:tr>
          </w:tbl>
          <w:p>
            <w:pPr>
              <w:pStyle w:val="47"/>
              <w:ind w:firstLine="480"/>
            </w:pPr>
            <w:r>
              <w:t>根据表4-</w:t>
            </w:r>
            <w:r>
              <w:rPr>
                <w:rFonts w:hint="eastAsia"/>
              </w:rPr>
              <w:t>5</w:t>
            </w:r>
            <w:r>
              <w:t>可知，本项目运营期间无组织排放的颗粒物的最大落地浓度为0.05608mg/m</w:t>
            </w:r>
            <w:r>
              <w:rPr>
                <w:vertAlign w:val="superscript"/>
              </w:rPr>
              <w:t>3</w:t>
            </w:r>
            <w:r>
              <w:t>，占标率为6.23%，污染物最大落地浓度,小于《环境空气质量标准》（GB3095-2012），说明项目废气的排放对项目所在地的环境空气质量影响较轻微。</w:t>
            </w:r>
          </w:p>
          <w:p>
            <w:pPr>
              <w:pStyle w:val="47"/>
              <w:ind w:firstLine="480"/>
            </w:pPr>
            <w:r>
              <w:t>从估算结果可知，面源的最大浓度占标率为6.23%，因此大气环境影响评价工作等级为二级。根据《环境影响评价技术导则——大气环境》（HJ2.2-2018），二级评价项目不进行进一步预测与评价，只对污染物排放量进行核算。</w:t>
            </w:r>
          </w:p>
          <w:p>
            <w:pPr>
              <w:pStyle w:val="47"/>
              <w:ind w:firstLine="480"/>
            </w:pPr>
            <w:r>
              <w:rPr>
                <w:rFonts w:hint="eastAsia" w:ascii="宋体" w:hAnsi="宋体" w:cs="宋体"/>
              </w:rPr>
              <w:t>②</w:t>
            </w:r>
            <w:r>
              <w:t>污染物排放量核算结果</w:t>
            </w:r>
          </w:p>
          <w:p>
            <w:pPr>
              <w:pStyle w:val="47"/>
              <w:ind w:firstLine="480"/>
            </w:pPr>
            <w:r>
              <w:t>根据污染源分析，本项目的无组织排放的污染物主要为颗粒物，大气污染物无组织排放量核算表见表4-6，项目大气污染物年排放量见表4-7。</w:t>
            </w:r>
          </w:p>
          <w:p>
            <w:pPr>
              <w:pStyle w:val="55"/>
              <w:ind w:firstLine="480"/>
              <w:rPr>
                <w:snapToGrid w:val="0"/>
              </w:rPr>
            </w:pPr>
            <w:r>
              <w:rPr>
                <w:snapToGrid w:val="0"/>
              </w:rPr>
              <w:t>表4-6 大气污染物无组织排放量核算一览表</w:t>
            </w:r>
          </w:p>
          <w:tbl>
            <w:tblPr>
              <w:tblStyle w:val="24"/>
              <w:tblW w:w="757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27"/>
              <w:gridCol w:w="750"/>
              <w:gridCol w:w="787"/>
              <w:gridCol w:w="809"/>
              <w:gridCol w:w="1851"/>
              <w:gridCol w:w="1110"/>
              <w:gridCol w:w="8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7" w:type="dxa"/>
                  <w:vMerge w:val="restart"/>
                  <w:vAlign w:val="center"/>
                </w:tcPr>
                <w:p>
                  <w:pPr>
                    <w:pStyle w:val="35"/>
                    <w:jc w:val="center"/>
                    <w:rPr>
                      <w:rFonts w:cs="Times New Roman"/>
                      <w:b/>
                    </w:rPr>
                  </w:pPr>
                  <w:r>
                    <w:rPr>
                      <w:rFonts w:cs="Times New Roman"/>
                      <w:b/>
                    </w:rPr>
                    <w:t>序号</w:t>
                  </w:r>
                </w:p>
              </w:tc>
              <w:tc>
                <w:tcPr>
                  <w:tcW w:w="927" w:type="dxa"/>
                  <w:vMerge w:val="restart"/>
                  <w:vAlign w:val="center"/>
                </w:tcPr>
                <w:p>
                  <w:pPr>
                    <w:pStyle w:val="35"/>
                    <w:jc w:val="center"/>
                    <w:rPr>
                      <w:rFonts w:cs="Times New Roman"/>
                      <w:b/>
                    </w:rPr>
                  </w:pPr>
                  <w:r>
                    <w:rPr>
                      <w:rFonts w:cs="Times New Roman"/>
                      <w:b/>
                    </w:rPr>
                    <w:t>排放口</w:t>
                  </w:r>
                </w:p>
                <w:p>
                  <w:pPr>
                    <w:pStyle w:val="35"/>
                    <w:jc w:val="center"/>
                    <w:rPr>
                      <w:rFonts w:cs="Times New Roman"/>
                      <w:b/>
                    </w:rPr>
                  </w:pPr>
                  <w:r>
                    <w:rPr>
                      <w:rFonts w:cs="Times New Roman"/>
                      <w:b/>
                    </w:rPr>
                    <w:t>编号</w:t>
                  </w:r>
                </w:p>
              </w:tc>
              <w:tc>
                <w:tcPr>
                  <w:tcW w:w="750" w:type="dxa"/>
                  <w:vMerge w:val="restart"/>
                  <w:vAlign w:val="center"/>
                </w:tcPr>
                <w:p>
                  <w:pPr>
                    <w:pStyle w:val="35"/>
                    <w:jc w:val="center"/>
                    <w:rPr>
                      <w:rFonts w:cs="Times New Roman"/>
                      <w:b/>
                    </w:rPr>
                  </w:pPr>
                  <w:r>
                    <w:rPr>
                      <w:rFonts w:cs="Times New Roman"/>
                      <w:b/>
                    </w:rPr>
                    <w:t>产污</w:t>
                  </w:r>
                </w:p>
                <w:p>
                  <w:pPr>
                    <w:pStyle w:val="35"/>
                    <w:jc w:val="center"/>
                    <w:rPr>
                      <w:rFonts w:cs="Times New Roman"/>
                      <w:b/>
                    </w:rPr>
                  </w:pPr>
                  <w:r>
                    <w:rPr>
                      <w:rFonts w:cs="Times New Roman"/>
                      <w:b/>
                    </w:rPr>
                    <w:t>环节</w:t>
                  </w:r>
                </w:p>
              </w:tc>
              <w:tc>
                <w:tcPr>
                  <w:tcW w:w="787" w:type="dxa"/>
                  <w:vMerge w:val="restart"/>
                  <w:vAlign w:val="center"/>
                </w:tcPr>
                <w:p>
                  <w:pPr>
                    <w:pStyle w:val="35"/>
                    <w:jc w:val="center"/>
                    <w:rPr>
                      <w:rFonts w:cs="Times New Roman"/>
                      <w:b/>
                    </w:rPr>
                  </w:pPr>
                  <w:r>
                    <w:rPr>
                      <w:rFonts w:cs="Times New Roman"/>
                      <w:b/>
                    </w:rPr>
                    <w:t>污染物</w:t>
                  </w:r>
                </w:p>
              </w:tc>
              <w:tc>
                <w:tcPr>
                  <w:tcW w:w="809" w:type="dxa"/>
                  <w:vMerge w:val="restart"/>
                  <w:vAlign w:val="center"/>
                </w:tcPr>
                <w:p>
                  <w:pPr>
                    <w:pStyle w:val="35"/>
                    <w:jc w:val="center"/>
                    <w:rPr>
                      <w:rFonts w:cs="Times New Roman"/>
                      <w:b/>
                    </w:rPr>
                  </w:pPr>
                  <w:r>
                    <w:rPr>
                      <w:rFonts w:cs="Times New Roman"/>
                      <w:b/>
                    </w:rPr>
                    <w:t>主要污染防治措施</w:t>
                  </w:r>
                </w:p>
              </w:tc>
              <w:tc>
                <w:tcPr>
                  <w:tcW w:w="2961" w:type="dxa"/>
                  <w:gridSpan w:val="2"/>
                  <w:vAlign w:val="center"/>
                </w:tcPr>
                <w:p>
                  <w:pPr>
                    <w:pStyle w:val="35"/>
                    <w:jc w:val="center"/>
                    <w:rPr>
                      <w:rFonts w:cs="Times New Roman"/>
                      <w:b/>
                    </w:rPr>
                  </w:pPr>
                  <w:r>
                    <w:rPr>
                      <w:rFonts w:cs="Times New Roman"/>
                      <w:b/>
                    </w:rPr>
                    <w:t>国家或地方污染物排放标准</w:t>
                  </w:r>
                </w:p>
              </w:tc>
              <w:tc>
                <w:tcPr>
                  <w:tcW w:w="849" w:type="dxa"/>
                  <w:vMerge w:val="restart"/>
                  <w:vAlign w:val="center"/>
                </w:tcPr>
                <w:p>
                  <w:pPr>
                    <w:pStyle w:val="35"/>
                    <w:jc w:val="center"/>
                    <w:rPr>
                      <w:rFonts w:cs="Times New Roman"/>
                      <w:b/>
                    </w:rPr>
                  </w:pPr>
                  <w:r>
                    <w:rPr>
                      <w:rFonts w:cs="Times New Roman"/>
                      <w:b/>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87" w:type="dxa"/>
                  <w:vMerge w:val="continue"/>
                  <w:vAlign w:val="center"/>
                </w:tcPr>
                <w:p>
                  <w:pPr>
                    <w:pStyle w:val="35"/>
                    <w:jc w:val="center"/>
                    <w:rPr>
                      <w:rFonts w:cs="Times New Roman"/>
                    </w:rPr>
                  </w:pPr>
                </w:p>
              </w:tc>
              <w:tc>
                <w:tcPr>
                  <w:tcW w:w="927" w:type="dxa"/>
                  <w:vMerge w:val="continue"/>
                  <w:vAlign w:val="center"/>
                </w:tcPr>
                <w:p>
                  <w:pPr>
                    <w:pStyle w:val="35"/>
                    <w:jc w:val="center"/>
                    <w:rPr>
                      <w:rFonts w:cs="Times New Roman"/>
                    </w:rPr>
                  </w:pPr>
                </w:p>
              </w:tc>
              <w:tc>
                <w:tcPr>
                  <w:tcW w:w="750" w:type="dxa"/>
                  <w:vMerge w:val="continue"/>
                  <w:vAlign w:val="center"/>
                </w:tcPr>
                <w:p>
                  <w:pPr>
                    <w:pStyle w:val="35"/>
                    <w:jc w:val="center"/>
                    <w:rPr>
                      <w:rFonts w:cs="Times New Roman"/>
                    </w:rPr>
                  </w:pPr>
                </w:p>
              </w:tc>
              <w:tc>
                <w:tcPr>
                  <w:tcW w:w="787" w:type="dxa"/>
                  <w:vMerge w:val="continue"/>
                  <w:vAlign w:val="center"/>
                </w:tcPr>
                <w:p>
                  <w:pPr>
                    <w:pStyle w:val="35"/>
                    <w:jc w:val="center"/>
                    <w:rPr>
                      <w:rFonts w:cs="Times New Roman"/>
                    </w:rPr>
                  </w:pPr>
                </w:p>
              </w:tc>
              <w:tc>
                <w:tcPr>
                  <w:tcW w:w="809" w:type="dxa"/>
                  <w:vMerge w:val="continue"/>
                  <w:vAlign w:val="center"/>
                </w:tcPr>
                <w:p>
                  <w:pPr>
                    <w:pStyle w:val="35"/>
                    <w:jc w:val="center"/>
                    <w:rPr>
                      <w:rFonts w:cs="Times New Roman"/>
                    </w:rPr>
                  </w:pPr>
                </w:p>
              </w:tc>
              <w:tc>
                <w:tcPr>
                  <w:tcW w:w="1851" w:type="dxa"/>
                  <w:vAlign w:val="center"/>
                </w:tcPr>
                <w:p>
                  <w:pPr>
                    <w:pStyle w:val="35"/>
                    <w:jc w:val="center"/>
                    <w:rPr>
                      <w:rFonts w:cs="Times New Roman"/>
                      <w:b/>
                    </w:rPr>
                  </w:pPr>
                  <w:r>
                    <w:rPr>
                      <w:rFonts w:cs="Times New Roman"/>
                      <w:b/>
                    </w:rPr>
                    <w:t>标准名称</w:t>
                  </w:r>
                </w:p>
              </w:tc>
              <w:tc>
                <w:tcPr>
                  <w:tcW w:w="1110" w:type="dxa"/>
                  <w:vAlign w:val="center"/>
                </w:tcPr>
                <w:p>
                  <w:pPr>
                    <w:pStyle w:val="35"/>
                    <w:jc w:val="center"/>
                    <w:rPr>
                      <w:rFonts w:cs="Times New Roman"/>
                      <w:b/>
                    </w:rPr>
                  </w:pPr>
                  <w:r>
                    <w:rPr>
                      <w:rFonts w:cs="Times New Roman"/>
                      <w:b/>
                    </w:rPr>
                    <w:t>浓度限值（mg/m</w:t>
                  </w:r>
                  <w:r>
                    <w:rPr>
                      <w:rFonts w:cs="Times New Roman"/>
                      <w:b/>
                      <w:vertAlign w:val="superscript"/>
                    </w:rPr>
                    <w:t>3</w:t>
                  </w:r>
                  <w:r>
                    <w:rPr>
                      <w:rFonts w:cs="Times New Roman"/>
                      <w:b/>
                    </w:rPr>
                    <w:t>）</w:t>
                  </w:r>
                </w:p>
              </w:tc>
              <w:tc>
                <w:tcPr>
                  <w:tcW w:w="849" w:type="dxa"/>
                  <w:vMerge w:val="continue"/>
                  <w:vAlign w:val="center"/>
                </w:tcPr>
                <w:p>
                  <w:pPr>
                    <w:pStyle w:val="35"/>
                    <w:jc w:val="center"/>
                    <w:rPr>
                      <w:rFonts w:cs="Times New Roman"/>
                      <w:b/>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87" w:type="dxa"/>
                  <w:vAlign w:val="center"/>
                </w:tcPr>
                <w:p>
                  <w:pPr>
                    <w:pStyle w:val="35"/>
                    <w:jc w:val="center"/>
                    <w:rPr>
                      <w:rFonts w:cs="Times New Roman"/>
                    </w:rPr>
                  </w:pPr>
                  <w:r>
                    <w:rPr>
                      <w:rFonts w:cs="Times New Roman"/>
                    </w:rPr>
                    <w:t>1</w:t>
                  </w:r>
                </w:p>
              </w:tc>
              <w:tc>
                <w:tcPr>
                  <w:tcW w:w="927" w:type="dxa"/>
                  <w:vAlign w:val="center"/>
                </w:tcPr>
                <w:p>
                  <w:pPr>
                    <w:pStyle w:val="35"/>
                    <w:jc w:val="center"/>
                    <w:rPr>
                      <w:rFonts w:cs="Times New Roman"/>
                    </w:rPr>
                  </w:pPr>
                  <w:r>
                    <w:rPr>
                      <w:rFonts w:cs="Times New Roman"/>
                    </w:rPr>
                    <w:t>厂区</w:t>
                  </w:r>
                </w:p>
              </w:tc>
              <w:tc>
                <w:tcPr>
                  <w:tcW w:w="750" w:type="dxa"/>
                  <w:vAlign w:val="center"/>
                </w:tcPr>
                <w:p>
                  <w:pPr>
                    <w:pStyle w:val="35"/>
                    <w:jc w:val="center"/>
                    <w:rPr>
                      <w:rFonts w:cs="Times New Roman"/>
                    </w:rPr>
                  </w:pPr>
                  <w:r>
                    <w:rPr>
                      <w:rFonts w:cs="Times New Roman"/>
                    </w:rPr>
                    <w:t>破碎、筛分、装卸</w:t>
                  </w:r>
                </w:p>
              </w:tc>
              <w:tc>
                <w:tcPr>
                  <w:tcW w:w="787" w:type="dxa"/>
                  <w:vAlign w:val="center"/>
                </w:tcPr>
                <w:p>
                  <w:pPr>
                    <w:pStyle w:val="35"/>
                    <w:jc w:val="center"/>
                    <w:rPr>
                      <w:rFonts w:cs="Times New Roman"/>
                    </w:rPr>
                  </w:pPr>
                  <w:r>
                    <w:rPr>
                      <w:rFonts w:cs="Times New Roman"/>
                      <w:szCs w:val="21"/>
                    </w:rPr>
                    <w:t>颗粒物</w:t>
                  </w:r>
                </w:p>
              </w:tc>
              <w:tc>
                <w:tcPr>
                  <w:tcW w:w="809" w:type="dxa"/>
                  <w:vAlign w:val="center"/>
                </w:tcPr>
                <w:p>
                  <w:pPr>
                    <w:pStyle w:val="35"/>
                    <w:jc w:val="center"/>
                    <w:rPr>
                      <w:rFonts w:cs="Times New Roman"/>
                    </w:rPr>
                  </w:pPr>
                  <w:r>
                    <w:rPr>
                      <w:rFonts w:cs="Times New Roman"/>
                    </w:rPr>
                    <w:t>喷淋除尘</w:t>
                  </w:r>
                </w:p>
              </w:tc>
              <w:tc>
                <w:tcPr>
                  <w:tcW w:w="1851" w:type="dxa"/>
                  <w:vAlign w:val="center"/>
                </w:tcPr>
                <w:p>
                  <w:pPr>
                    <w:pStyle w:val="35"/>
                    <w:jc w:val="center"/>
                    <w:rPr>
                      <w:rFonts w:cs="Times New Roman"/>
                    </w:rPr>
                  </w:pPr>
                  <w:r>
                    <w:rPr>
                      <w:rFonts w:cs="Times New Roman"/>
                    </w:rPr>
                    <w:t>《大气污染物综合排放标准》（GB16297-1996）</w:t>
                  </w:r>
                </w:p>
              </w:tc>
              <w:tc>
                <w:tcPr>
                  <w:tcW w:w="1110" w:type="dxa"/>
                  <w:vAlign w:val="center"/>
                </w:tcPr>
                <w:p>
                  <w:pPr>
                    <w:pStyle w:val="35"/>
                    <w:jc w:val="center"/>
                    <w:rPr>
                      <w:rFonts w:cs="Times New Roman"/>
                    </w:rPr>
                  </w:pPr>
                  <w:r>
                    <w:rPr>
                      <w:rFonts w:cs="Times New Roman"/>
                    </w:rPr>
                    <w:t>1.0</w:t>
                  </w:r>
                </w:p>
              </w:tc>
              <w:tc>
                <w:tcPr>
                  <w:tcW w:w="849" w:type="dxa"/>
                  <w:vAlign w:val="center"/>
                </w:tcPr>
                <w:p>
                  <w:pPr>
                    <w:pStyle w:val="35"/>
                    <w:jc w:val="center"/>
                    <w:rPr>
                      <w:rFonts w:cs="Times New Roman"/>
                      <w:szCs w:val="21"/>
                    </w:rPr>
                  </w:pPr>
                  <w:r>
                    <w:rPr>
                      <w:rFonts w:cs="Times New Roman"/>
                      <w:szCs w:val="21"/>
                    </w:rPr>
                    <w:t>6.065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70" w:type="dxa"/>
                  <w:gridSpan w:val="8"/>
                  <w:vAlign w:val="center"/>
                </w:tcPr>
                <w:p>
                  <w:pPr>
                    <w:pStyle w:val="35"/>
                    <w:jc w:val="center"/>
                    <w:rPr>
                      <w:rFonts w:cs="Times New Roman"/>
                    </w:rPr>
                  </w:pPr>
                  <w:r>
                    <w:rPr>
                      <w:rFonts w:cs="Times New Roman"/>
                    </w:rPr>
                    <w:t>无组织排放总计（t/a）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51" w:type="dxa"/>
                  <w:gridSpan w:val="4"/>
                  <w:vAlign w:val="center"/>
                </w:tcPr>
                <w:p>
                  <w:pPr>
                    <w:pStyle w:val="35"/>
                    <w:jc w:val="center"/>
                    <w:rPr>
                      <w:rFonts w:cs="Times New Roman"/>
                    </w:rPr>
                  </w:pPr>
                  <w:r>
                    <w:rPr>
                      <w:rFonts w:cs="Times New Roman"/>
                    </w:rPr>
                    <w:t>无组织排放总计</w:t>
                  </w:r>
                </w:p>
              </w:tc>
              <w:tc>
                <w:tcPr>
                  <w:tcW w:w="2660" w:type="dxa"/>
                  <w:gridSpan w:val="2"/>
                  <w:vAlign w:val="center"/>
                </w:tcPr>
                <w:p>
                  <w:pPr>
                    <w:pStyle w:val="35"/>
                    <w:jc w:val="center"/>
                    <w:rPr>
                      <w:rFonts w:cs="Times New Roman"/>
                    </w:rPr>
                  </w:pPr>
                  <w:r>
                    <w:rPr>
                      <w:rFonts w:cs="Times New Roman"/>
                    </w:rPr>
                    <w:t>颗粒物</w:t>
                  </w:r>
                </w:p>
              </w:tc>
              <w:tc>
                <w:tcPr>
                  <w:tcW w:w="1959" w:type="dxa"/>
                  <w:gridSpan w:val="2"/>
                  <w:vAlign w:val="center"/>
                </w:tcPr>
                <w:p>
                  <w:pPr>
                    <w:pStyle w:val="35"/>
                    <w:jc w:val="center"/>
                    <w:rPr>
                      <w:rFonts w:cs="Times New Roman"/>
                      <w:szCs w:val="21"/>
                    </w:rPr>
                  </w:pPr>
                  <w:r>
                    <w:rPr>
                      <w:rFonts w:cs="Times New Roman"/>
                      <w:szCs w:val="21"/>
                    </w:rPr>
                    <w:t>6.065</w:t>
                  </w:r>
                </w:p>
              </w:tc>
            </w:tr>
          </w:tbl>
          <w:p>
            <w:pPr>
              <w:pStyle w:val="55"/>
              <w:ind w:firstLine="480"/>
            </w:pPr>
            <w:r>
              <w:t>表4-7 项目大气污染物年排放量</w:t>
            </w:r>
          </w:p>
          <w:tbl>
            <w:tblPr>
              <w:tblStyle w:val="24"/>
              <w:tblW w:w="76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2545"/>
              <w:gridCol w:w="2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43" w:type="dxa"/>
                  <w:vAlign w:val="center"/>
                </w:tcPr>
                <w:p>
                  <w:pPr>
                    <w:pStyle w:val="35"/>
                    <w:jc w:val="center"/>
                    <w:rPr>
                      <w:rFonts w:cs="Times New Roman"/>
                      <w:b/>
                    </w:rPr>
                  </w:pPr>
                  <w:r>
                    <w:rPr>
                      <w:rFonts w:cs="Times New Roman"/>
                      <w:b/>
                    </w:rPr>
                    <w:t>序号</w:t>
                  </w:r>
                </w:p>
              </w:tc>
              <w:tc>
                <w:tcPr>
                  <w:tcW w:w="2545" w:type="dxa"/>
                  <w:vAlign w:val="center"/>
                </w:tcPr>
                <w:p>
                  <w:pPr>
                    <w:pStyle w:val="35"/>
                    <w:jc w:val="center"/>
                    <w:rPr>
                      <w:rFonts w:cs="Times New Roman"/>
                      <w:b/>
                    </w:rPr>
                  </w:pPr>
                  <w:r>
                    <w:rPr>
                      <w:rFonts w:cs="Times New Roman"/>
                      <w:b/>
                    </w:rPr>
                    <w:t>污染物</w:t>
                  </w:r>
                </w:p>
              </w:tc>
              <w:tc>
                <w:tcPr>
                  <w:tcW w:w="2544" w:type="dxa"/>
                  <w:vAlign w:val="center"/>
                </w:tcPr>
                <w:p>
                  <w:pPr>
                    <w:pStyle w:val="35"/>
                    <w:jc w:val="center"/>
                    <w:rPr>
                      <w:rFonts w:cs="Times New Roman"/>
                      <w:b/>
                    </w:rPr>
                  </w:pPr>
                  <w:r>
                    <w:rPr>
                      <w:rFonts w:cs="Times New Roman"/>
                      <w:b/>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43" w:type="dxa"/>
                  <w:vAlign w:val="center"/>
                </w:tcPr>
                <w:p>
                  <w:pPr>
                    <w:pStyle w:val="35"/>
                    <w:jc w:val="center"/>
                    <w:rPr>
                      <w:rFonts w:cs="Times New Roman"/>
                    </w:rPr>
                  </w:pPr>
                  <w:r>
                    <w:rPr>
                      <w:rFonts w:cs="Times New Roman"/>
                    </w:rPr>
                    <w:t>1</w:t>
                  </w:r>
                </w:p>
              </w:tc>
              <w:tc>
                <w:tcPr>
                  <w:tcW w:w="2545" w:type="dxa"/>
                  <w:vAlign w:val="center"/>
                </w:tcPr>
                <w:p>
                  <w:pPr>
                    <w:pStyle w:val="35"/>
                    <w:jc w:val="center"/>
                    <w:rPr>
                      <w:rFonts w:cs="Times New Roman"/>
                    </w:rPr>
                  </w:pPr>
                  <w:r>
                    <w:rPr>
                      <w:rFonts w:cs="Times New Roman"/>
                    </w:rPr>
                    <w:t>颗粒物</w:t>
                  </w:r>
                </w:p>
              </w:tc>
              <w:tc>
                <w:tcPr>
                  <w:tcW w:w="2544" w:type="dxa"/>
                  <w:vAlign w:val="center"/>
                </w:tcPr>
                <w:p>
                  <w:pPr>
                    <w:pStyle w:val="35"/>
                    <w:jc w:val="center"/>
                    <w:rPr>
                      <w:rFonts w:cs="Times New Roman"/>
                    </w:rPr>
                  </w:pPr>
                  <w:r>
                    <w:rPr>
                      <w:rFonts w:cs="Times New Roman"/>
                    </w:rPr>
                    <w:t>6.065</w:t>
                  </w:r>
                </w:p>
              </w:tc>
            </w:tr>
          </w:tbl>
          <w:p>
            <w:pPr>
              <w:pStyle w:val="47"/>
              <w:ind w:firstLine="480"/>
            </w:pPr>
            <w:r>
              <w:t>（3）大气污染防治措施可行性分析</w:t>
            </w:r>
          </w:p>
          <w:p>
            <w:pPr>
              <w:ind w:firstLine="480"/>
              <w:jc w:val="both"/>
              <w:rPr>
                <w:rFonts w:cs="Times New Roman"/>
              </w:rPr>
            </w:pPr>
            <w:r>
              <w:rPr>
                <w:rFonts w:cs="Times New Roman"/>
              </w:rPr>
              <w:t>为了减少生产过程的扬尘对环境的污染，提出以下措施：</w:t>
            </w:r>
          </w:p>
          <w:p>
            <w:pPr>
              <w:ind w:firstLine="480"/>
              <w:jc w:val="both"/>
              <w:rPr>
                <w:rFonts w:cs="Times New Roman"/>
              </w:rPr>
            </w:pPr>
            <w:r>
              <w:rPr>
                <w:rFonts w:hint="eastAsia" w:ascii="宋体" w:hAnsi="宋体" w:cs="宋体"/>
              </w:rPr>
              <w:t>①</w:t>
            </w:r>
            <w:r>
              <w:rPr>
                <w:rFonts w:cs="Times New Roman"/>
              </w:rPr>
              <w:t>在厂区采取道路表面洒水喷淋降尘措施后可有效抑制装卸时和车辆运输时产生的粉尘。</w:t>
            </w:r>
          </w:p>
          <w:p>
            <w:pPr>
              <w:ind w:firstLine="480"/>
              <w:jc w:val="both"/>
              <w:rPr>
                <w:rFonts w:cs="Times New Roman"/>
              </w:rPr>
            </w:pPr>
            <w:r>
              <w:rPr>
                <w:rFonts w:hint="eastAsia" w:ascii="宋体" w:hAnsi="宋体" w:cs="宋体"/>
              </w:rPr>
              <w:t>②项目对主要破碎区进行封闭，在各主要设备上方安装喷淋除尘装置进行喷淋洒水除尘。</w:t>
            </w:r>
          </w:p>
          <w:p>
            <w:pPr>
              <w:widowControl/>
              <w:wordWrap w:val="0"/>
              <w:ind w:firstLine="480"/>
              <w:rPr>
                <w:rFonts w:cs="Times New Roman"/>
              </w:rPr>
            </w:pPr>
            <w:r>
              <w:rPr>
                <w:rFonts w:cs="Times New Roman"/>
              </w:rPr>
              <w:t>项目采用以上措施后，可满足《大气污染物综合排放标准》(GB16297-1996)无组织排放浓度限值，对大气环境影响轻微。</w:t>
            </w:r>
          </w:p>
          <w:p>
            <w:pPr>
              <w:pStyle w:val="47"/>
              <w:ind w:firstLine="480"/>
            </w:pPr>
            <w:r>
              <w:t>（4）自行监测计划</w:t>
            </w:r>
          </w:p>
          <w:p>
            <w:pPr>
              <w:pStyle w:val="47"/>
              <w:ind w:firstLine="480"/>
            </w:pPr>
            <w:r>
              <w:rPr>
                <w:rFonts w:hint="eastAsia"/>
              </w:rPr>
              <w:t>本项目废气自行监测计划详见表4-8。</w:t>
            </w:r>
          </w:p>
          <w:p>
            <w:pPr>
              <w:pStyle w:val="55"/>
              <w:ind w:firstLine="480"/>
            </w:pPr>
            <w:r>
              <w:t>表4-</w:t>
            </w:r>
            <w:r>
              <w:rPr>
                <w:rFonts w:hint="eastAsia"/>
              </w:rPr>
              <w:t>8</w:t>
            </w:r>
            <w:r>
              <w:t xml:space="preserve"> 项目</w:t>
            </w:r>
            <w:r>
              <w:rPr>
                <w:rFonts w:hint="eastAsia"/>
              </w:rPr>
              <w:t>无组织废气监测计划表</w:t>
            </w:r>
          </w:p>
          <w:tbl>
            <w:tblPr>
              <w:tblStyle w:val="24"/>
              <w:tblW w:w="76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1438"/>
              <w:gridCol w:w="2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50" w:type="dxa"/>
                  <w:vAlign w:val="center"/>
                </w:tcPr>
                <w:p>
                  <w:pPr>
                    <w:pStyle w:val="35"/>
                    <w:jc w:val="center"/>
                    <w:rPr>
                      <w:rFonts w:cs="Times New Roman"/>
                      <w:b/>
                    </w:rPr>
                  </w:pPr>
                  <w:r>
                    <w:rPr>
                      <w:rFonts w:hint="eastAsia" w:cs="Times New Roman"/>
                      <w:b/>
                    </w:rPr>
                    <w:t>监测点位</w:t>
                  </w:r>
                </w:p>
              </w:tc>
              <w:tc>
                <w:tcPr>
                  <w:tcW w:w="1438" w:type="dxa"/>
                  <w:vAlign w:val="center"/>
                </w:tcPr>
                <w:p>
                  <w:pPr>
                    <w:pStyle w:val="35"/>
                    <w:jc w:val="center"/>
                    <w:rPr>
                      <w:rFonts w:cs="Times New Roman"/>
                      <w:b/>
                    </w:rPr>
                  </w:pPr>
                  <w:r>
                    <w:rPr>
                      <w:rFonts w:hint="eastAsia" w:cs="Times New Roman"/>
                      <w:b/>
                    </w:rPr>
                    <w:t>监测因子</w:t>
                  </w:r>
                </w:p>
              </w:tc>
              <w:tc>
                <w:tcPr>
                  <w:tcW w:w="2544" w:type="dxa"/>
                  <w:vAlign w:val="center"/>
                </w:tcPr>
                <w:p>
                  <w:pPr>
                    <w:pStyle w:val="35"/>
                    <w:jc w:val="center"/>
                    <w:rPr>
                      <w:rFonts w:cs="Times New Roman"/>
                      <w:b/>
                    </w:rPr>
                  </w:pPr>
                  <w:r>
                    <w:rPr>
                      <w:rFonts w:hint="eastAsia" w:cs="Times New Roman"/>
                      <w:b/>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50" w:type="dxa"/>
                  <w:vAlign w:val="center"/>
                </w:tcPr>
                <w:p>
                  <w:pPr>
                    <w:pStyle w:val="35"/>
                    <w:jc w:val="center"/>
                    <w:rPr>
                      <w:rFonts w:cs="Times New Roman"/>
                    </w:rPr>
                  </w:pPr>
                  <w:r>
                    <w:rPr>
                      <w:rFonts w:hint="eastAsia" w:cs="Times New Roman"/>
                    </w:rPr>
                    <w:t>厂界上风向1个点，下风向3个点</w:t>
                  </w:r>
                </w:p>
              </w:tc>
              <w:tc>
                <w:tcPr>
                  <w:tcW w:w="1438" w:type="dxa"/>
                  <w:vAlign w:val="center"/>
                </w:tcPr>
                <w:p>
                  <w:pPr>
                    <w:pStyle w:val="35"/>
                    <w:jc w:val="center"/>
                    <w:rPr>
                      <w:rFonts w:cs="Times New Roman"/>
                    </w:rPr>
                  </w:pPr>
                  <w:r>
                    <w:rPr>
                      <w:rFonts w:cs="Times New Roman"/>
                    </w:rPr>
                    <w:t>颗粒物</w:t>
                  </w:r>
                </w:p>
              </w:tc>
              <w:tc>
                <w:tcPr>
                  <w:tcW w:w="2544" w:type="dxa"/>
                  <w:vAlign w:val="center"/>
                </w:tcPr>
                <w:p>
                  <w:pPr>
                    <w:pStyle w:val="35"/>
                    <w:jc w:val="center"/>
                    <w:rPr>
                      <w:rFonts w:cs="Times New Roman"/>
                    </w:rPr>
                  </w:pPr>
                  <w:r>
                    <w:rPr>
                      <w:rFonts w:hint="eastAsia" w:cs="Times New Roman"/>
                    </w:rPr>
                    <w:t>1次/年</w:t>
                  </w:r>
                </w:p>
              </w:tc>
            </w:tr>
          </w:tbl>
          <w:p>
            <w:pPr>
              <w:pStyle w:val="47"/>
              <w:ind w:firstLine="0" w:firstLineChars="0"/>
              <w:rPr>
                <w:b/>
                <w:sz w:val="30"/>
                <w:szCs w:val="30"/>
              </w:rPr>
            </w:pPr>
            <w:r>
              <w:rPr>
                <w:b/>
                <w:sz w:val="30"/>
                <w:szCs w:val="30"/>
              </w:rPr>
              <w:t>4.2.</w:t>
            </w:r>
            <w:r>
              <w:rPr>
                <w:rFonts w:hint="eastAsia"/>
                <w:b/>
                <w:sz w:val="30"/>
                <w:szCs w:val="30"/>
              </w:rPr>
              <w:t>3</w:t>
            </w:r>
            <w:r>
              <w:rPr>
                <w:b/>
                <w:sz w:val="30"/>
                <w:szCs w:val="30"/>
                <w:lang w:val="zh-CN"/>
              </w:rPr>
              <w:t>噪声</w:t>
            </w:r>
          </w:p>
          <w:p>
            <w:pPr>
              <w:ind w:firstLine="480"/>
              <w:jc w:val="both"/>
              <w:rPr>
                <w:rFonts w:cs="Times New Roman"/>
              </w:rPr>
            </w:pPr>
            <w:r>
              <w:rPr>
                <w:rFonts w:cs="Times New Roman"/>
              </w:rPr>
              <w:t>（1）噪声源强</w:t>
            </w:r>
          </w:p>
          <w:p>
            <w:pPr>
              <w:ind w:firstLine="480"/>
              <w:jc w:val="both"/>
              <w:rPr>
                <w:rFonts w:cs="Times New Roman"/>
              </w:rPr>
            </w:pPr>
            <w:r>
              <w:rPr>
                <w:rFonts w:cs="Times New Roman"/>
              </w:rPr>
              <w:t>项目噪声主要是破碎机、圆滚筛、等设备运行时产生的，噪声级75-90dB（A），详见表2-4。</w:t>
            </w:r>
          </w:p>
          <w:p>
            <w:pPr>
              <w:pStyle w:val="47"/>
              <w:ind w:firstLine="480"/>
            </w:pPr>
            <w:r>
              <w:t>建设单位拟对各个设备进行减震处理，采用具减震、降噪装置设备，可降噪约10dB(A)。本评价采用噪声距离衰减和声值叠加的模式进行预测。</w:t>
            </w:r>
          </w:p>
          <w:p>
            <w:pPr>
              <w:pStyle w:val="47"/>
              <w:ind w:firstLine="480"/>
            </w:pPr>
            <w:r>
              <w:t>（2）噪声影响及达标分析</w:t>
            </w:r>
          </w:p>
          <w:p>
            <w:pPr>
              <w:widowControl/>
              <w:ind w:firstLine="480"/>
              <w:rPr>
                <w:rFonts w:cs="Times New Roman"/>
              </w:rPr>
            </w:pPr>
            <w:r>
              <w:rPr>
                <w:rFonts w:cs="Times New Roman"/>
              </w:rPr>
              <w:t>根据《环境影响评价技术导则 声环境》(HJ2.4—2009)要求，本评价采用噪声距离衰减和声值叠加的模式进行预测。</w:t>
            </w:r>
          </w:p>
          <w:p>
            <w:pPr>
              <w:ind w:firstLine="0" w:firstLineChars="0"/>
              <w:jc w:val="center"/>
              <w:rPr>
                <w:rFonts w:cs="Times New Roman"/>
              </w:rPr>
            </w:pPr>
            <w:r>
              <w:rPr>
                <w:rFonts w:cs="Times New Roman"/>
              </w:rPr>
              <w:t>噪声衰减公式：Lp=LP</w:t>
            </w:r>
            <w:r>
              <w:rPr>
                <w:rFonts w:cs="Times New Roman"/>
                <w:vertAlign w:val="subscript"/>
              </w:rPr>
              <w:t>0</w:t>
            </w:r>
            <w:r>
              <w:rPr>
                <w:rFonts w:cs="Times New Roman"/>
              </w:rPr>
              <w:t>－20Lg（r/r</w:t>
            </w:r>
            <w:r>
              <w:rPr>
                <w:rFonts w:cs="Times New Roman"/>
                <w:vertAlign w:val="subscript"/>
              </w:rPr>
              <w:t>0</w:t>
            </w:r>
            <w:r>
              <w:rPr>
                <w:rFonts w:cs="Times New Roman"/>
              </w:rPr>
              <w:t>）</w:t>
            </w:r>
          </w:p>
          <w:p>
            <w:pPr>
              <w:ind w:firstLine="480"/>
              <w:rPr>
                <w:rFonts w:cs="Times New Roman"/>
              </w:rPr>
            </w:pPr>
            <w:r>
              <w:rPr>
                <w:rFonts w:cs="Times New Roman"/>
              </w:rPr>
              <w:t>式中：Lp—距声源r米处的噪声预测值[dB（A）]；</w:t>
            </w:r>
          </w:p>
          <w:p>
            <w:pPr>
              <w:ind w:firstLine="1200" w:firstLineChars="500"/>
              <w:rPr>
                <w:rFonts w:cs="Times New Roman"/>
              </w:rPr>
            </w:pPr>
            <w:r>
              <w:rPr>
                <w:rFonts w:cs="Times New Roman"/>
              </w:rPr>
              <w:t>LP</w:t>
            </w:r>
            <w:r>
              <w:rPr>
                <w:rFonts w:cs="Times New Roman"/>
                <w:vertAlign w:val="subscript"/>
              </w:rPr>
              <w:t>0</w:t>
            </w:r>
            <w:r>
              <w:rPr>
                <w:rFonts w:cs="Times New Roman"/>
              </w:rPr>
              <w:t>—距声源r</w:t>
            </w:r>
            <w:r>
              <w:rPr>
                <w:rFonts w:cs="Times New Roman"/>
                <w:vertAlign w:val="subscript"/>
              </w:rPr>
              <w:t>0</w:t>
            </w:r>
            <w:r>
              <w:rPr>
                <w:rFonts w:cs="Times New Roman"/>
              </w:rPr>
              <w:t>米处的参考声级[dB（A）]。（r</w:t>
            </w:r>
            <w:r>
              <w:rPr>
                <w:rFonts w:cs="Times New Roman"/>
                <w:vertAlign w:val="subscript"/>
              </w:rPr>
              <w:t>0</w:t>
            </w:r>
            <w:r>
              <w:rPr>
                <w:rFonts w:cs="Times New Roman"/>
              </w:rPr>
              <w:t>=1m）</w:t>
            </w:r>
          </w:p>
          <w:p>
            <w:pPr>
              <w:ind w:firstLine="480"/>
              <w:rPr>
                <w:rFonts w:cs="Times New Roman"/>
              </w:rPr>
            </w:pPr>
            <w:r>
              <w:rPr>
                <w:rFonts w:cs="Times New Roman"/>
              </w:rPr>
              <w:t>噪声叠加公式：</w:t>
            </w:r>
          </w:p>
          <w:p>
            <w:pPr>
              <w:ind w:firstLine="480"/>
              <w:rPr>
                <w:rFonts w:cs="Times New Roman"/>
              </w:rPr>
            </w:pPr>
            <w:r>
              <w:rPr>
                <w:rFonts w:cs="Times New Roman"/>
              </w:rPr>
              <w:t>对于任何一个预测点，其总噪声叠加效应是多个叠加声级（各个声源分别在该点的贡献值和本底噪声值）的能量总和，其计算公式如下：</w:t>
            </w:r>
          </w:p>
          <w:p>
            <w:pPr>
              <w:ind w:firstLine="0" w:firstLineChars="0"/>
              <w:jc w:val="center"/>
              <w:rPr>
                <w:rFonts w:cs="Times New Roman"/>
              </w:rPr>
            </w:pPr>
            <w:r>
              <w:rPr>
                <w:rFonts w:cs="Times New Roman"/>
              </w:rPr>
              <w:object>
                <v:shape id="_x0000_i1028" o:spt="75" type="#_x0000_t75" style="height:36pt;width:95.2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6" r:id="rId19">
                  <o:LockedField>false</o:LockedField>
                </o:OLEObject>
              </w:object>
            </w:r>
          </w:p>
          <w:p>
            <w:pPr>
              <w:ind w:firstLine="480"/>
              <w:rPr>
                <w:rFonts w:cs="Times New Roman"/>
              </w:rPr>
            </w:pPr>
            <w:r>
              <w:rPr>
                <w:rFonts w:cs="Times New Roman"/>
              </w:rPr>
              <w:t>式中：L——某点噪声总叠加值，dB(A)；</w:t>
            </w:r>
          </w:p>
          <w:p>
            <w:pPr>
              <w:ind w:firstLine="480"/>
              <w:rPr>
                <w:rFonts w:cs="Times New Roman"/>
              </w:rPr>
            </w:pPr>
            <w:r>
              <w:rPr>
                <w:rFonts w:cs="Times New Roman"/>
              </w:rPr>
              <w:t xml:space="preserve">      Li——第i个声源的噪声值，dB(A)；                  </w:t>
            </w:r>
          </w:p>
          <w:p>
            <w:pPr>
              <w:ind w:firstLine="480"/>
              <w:rPr>
                <w:rFonts w:cs="Times New Roman"/>
              </w:rPr>
            </w:pPr>
            <w:r>
              <w:rPr>
                <w:rFonts w:cs="Times New Roman"/>
              </w:rPr>
              <w:t xml:space="preserve">      n——声源个数。</w:t>
            </w:r>
          </w:p>
          <w:p>
            <w:pPr>
              <w:ind w:firstLine="480"/>
              <w:rPr>
                <w:rFonts w:cs="Times New Roman"/>
              </w:rPr>
            </w:pPr>
            <w:r>
              <w:rPr>
                <w:rFonts w:cs="Times New Roman"/>
              </w:rPr>
              <w:t>预测结果如表4-</w:t>
            </w:r>
            <w:r>
              <w:rPr>
                <w:rFonts w:hint="eastAsia" w:cs="Times New Roman"/>
              </w:rPr>
              <w:t>9</w:t>
            </w:r>
            <w:r>
              <w:rPr>
                <w:rFonts w:cs="Times New Roman"/>
              </w:rPr>
              <w:t>所示。</w:t>
            </w:r>
          </w:p>
          <w:p>
            <w:pPr>
              <w:ind w:firstLine="482"/>
              <w:jc w:val="center"/>
              <w:rPr>
                <w:rFonts w:cs="Times New Roman"/>
                <w:b/>
              </w:rPr>
            </w:pPr>
            <w:r>
              <w:rPr>
                <w:rFonts w:cs="Times New Roman"/>
                <w:b/>
              </w:rPr>
              <w:t>表4-</w:t>
            </w:r>
            <w:r>
              <w:rPr>
                <w:rFonts w:hint="eastAsia" w:cs="Times New Roman"/>
                <w:b/>
              </w:rPr>
              <w:t xml:space="preserve">9 </w:t>
            </w:r>
            <w:r>
              <w:rPr>
                <w:rFonts w:cs="Times New Roman"/>
                <w:b/>
              </w:rPr>
              <w:t>厂界噪声影响预测结果 单位：dB（A）</w:t>
            </w:r>
          </w:p>
          <w:tbl>
            <w:tblPr>
              <w:tblStyle w:val="24"/>
              <w:tblW w:w="769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51"/>
              <w:gridCol w:w="1464"/>
              <w:gridCol w:w="1465"/>
              <w:gridCol w:w="1465"/>
              <w:gridCol w:w="184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451" w:type="dxa"/>
                  <w:tcBorders>
                    <w:tl2br w:val="nil"/>
                    <w:tr2bl w:val="nil"/>
                  </w:tcBorders>
                  <w:vAlign w:val="center"/>
                </w:tcPr>
                <w:p>
                  <w:pPr>
                    <w:pStyle w:val="35"/>
                    <w:jc w:val="center"/>
                    <w:rPr>
                      <w:rFonts w:cs="Times New Roman"/>
                      <w:b/>
                    </w:rPr>
                  </w:pPr>
                  <w:r>
                    <w:rPr>
                      <w:rFonts w:cs="Times New Roman"/>
                      <w:b/>
                    </w:rPr>
                    <w:t>名称</w:t>
                  </w:r>
                </w:p>
              </w:tc>
              <w:tc>
                <w:tcPr>
                  <w:tcW w:w="1464" w:type="dxa"/>
                  <w:tcBorders>
                    <w:tl2br w:val="nil"/>
                    <w:tr2bl w:val="nil"/>
                  </w:tcBorders>
                  <w:vAlign w:val="center"/>
                </w:tcPr>
                <w:p>
                  <w:pPr>
                    <w:pStyle w:val="35"/>
                    <w:jc w:val="center"/>
                    <w:rPr>
                      <w:rFonts w:cs="Times New Roman"/>
                      <w:b/>
                    </w:rPr>
                  </w:pPr>
                  <w:r>
                    <w:rPr>
                      <w:rFonts w:cs="Times New Roman"/>
                      <w:b/>
                    </w:rPr>
                    <w:t>东侧厂界</w:t>
                  </w:r>
                </w:p>
              </w:tc>
              <w:tc>
                <w:tcPr>
                  <w:tcW w:w="1465" w:type="dxa"/>
                  <w:tcBorders>
                    <w:tl2br w:val="nil"/>
                    <w:tr2bl w:val="nil"/>
                  </w:tcBorders>
                  <w:vAlign w:val="center"/>
                </w:tcPr>
                <w:p>
                  <w:pPr>
                    <w:pStyle w:val="35"/>
                    <w:jc w:val="center"/>
                    <w:rPr>
                      <w:rFonts w:cs="Times New Roman"/>
                      <w:b/>
                    </w:rPr>
                  </w:pPr>
                  <w:r>
                    <w:rPr>
                      <w:rFonts w:cs="Times New Roman"/>
                      <w:b/>
                    </w:rPr>
                    <w:t>西侧厂界</w:t>
                  </w:r>
                </w:p>
              </w:tc>
              <w:tc>
                <w:tcPr>
                  <w:tcW w:w="1465" w:type="dxa"/>
                  <w:tcBorders>
                    <w:tl2br w:val="nil"/>
                    <w:tr2bl w:val="nil"/>
                  </w:tcBorders>
                  <w:vAlign w:val="center"/>
                </w:tcPr>
                <w:p>
                  <w:pPr>
                    <w:pStyle w:val="35"/>
                    <w:jc w:val="center"/>
                    <w:rPr>
                      <w:rFonts w:cs="Times New Roman"/>
                      <w:b/>
                    </w:rPr>
                  </w:pPr>
                  <w:r>
                    <w:rPr>
                      <w:rFonts w:cs="Times New Roman"/>
                      <w:b/>
                    </w:rPr>
                    <w:t>南侧厂界</w:t>
                  </w:r>
                </w:p>
              </w:tc>
              <w:tc>
                <w:tcPr>
                  <w:tcW w:w="1849" w:type="dxa"/>
                  <w:tcBorders>
                    <w:tl2br w:val="nil"/>
                    <w:tr2bl w:val="nil"/>
                  </w:tcBorders>
                  <w:vAlign w:val="center"/>
                </w:tcPr>
                <w:p>
                  <w:pPr>
                    <w:pStyle w:val="35"/>
                    <w:jc w:val="center"/>
                    <w:rPr>
                      <w:rFonts w:cs="Times New Roman"/>
                      <w:b/>
                    </w:rPr>
                  </w:pPr>
                  <w:r>
                    <w:rPr>
                      <w:rFonts w:cs="Times New Roman"/>
                      <w:b/>
                    </w:rPr>
                    <w:t>北侧厂界</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51" w:type="dxa"/>
                  <w:tcBorders>
                    <w:tl2br w:val="nil"/>
                    <w:tr2bl w:val="nil"/>
                  </w:tcBorders>
                  <w:vAlign w:val="center"/>
                </w:tcPr>
                <w:p>
                  <w:pPr>
                    <w:pStyle w:val="35"/>
                    <w:jc w:val="center"/>
                    <w:rPr>
                      <w:rFonts w:cs="Times New Roman"/>
                    </w:rPr>
                  </w:pPr>
                  <w:r>
                    <w:rPr>
                      <w:rFonts w:cs="Times New Roman"/>
                    </w:rPr>
                    <w:t>与声源距离</w:t>
                  </w:r>
                </w:p>
              </w:tc>
              <w:tc>
                <w:tcPr>
                  <w:tcW w:w="1464" w:type="dxa"/>
                  <w:tcBorders>
                    <w:tl2br w:val="nil"/>
                    <w:tr2bl w:val="nil"/>
                  </w:tcBorders>
                  <w:vAlign w:val="center"/>
                </w:tcPr>
                <w:p>
                  <w:pPr>
                    <w:pStyle w:val="35"/>
                    <w:jc w:val="center"/>
                    <w:rPr>
                      <w:rFonts w:cs="Times New Roman"/>
                    </w:rPr>
                  </w:pPr>
                  <w:r>
                    <w:rPr>
                      <w:rFonts w:cs="Times New Roman"/>
                    </w:rPr>
                    <w:t>41m</w:t>
                  </w:r>
                </w:p>
              </w:tc>
              <w:tc>
                <w:tcPr>
                  <w:tcW w:w="1465" w:type="dxa"/>
                  <w:tcBorders>
                    <w:tl2br w:val="nil"/>
                    <w:tr2bl w:val="nil"/>
                  </w:tcBorders>
                  <w:vAlign w:val="center"/>
                </w:tcPr>
                <w:p>
                  <w:pPr>
                    <w:pStyle w:val="35"/>
                    <w:jc w:val="center"/>
                    <w:rPr>
                      <w:rFonts w:cs="Times New Roman"/>
                    </w:rPr>
                  </w:pPr>
                  <w:r>
                    <w:rPr>
                      <w:rFonts w:cs="Times New Roman"/>
                    </w:rPr>
                    <w:t>30m</w:t>
                  </w:r>
                </w:p>
              </w:tc>
              <w:tc>
                <w:tcPr>
                  <w:tcW w:w="1465" w:type="dxa"/>
                  <w:tcBorders>
                    <w:tl2br w:val="nil"/>
                    <w:tr2bl w:val="nil"/>
                  </w:tcBorders>
                  <w:vAlign w:val="center"/>
                </w:tcPr>
                <w:p>
                  <w:pPr>
                    <w:pStyle w:val="35"/>
                    <w:jc w:val="center"/>
                    <w:rPr>
                      <w:rFonts w:cs="Times New Roman"/>
                    </w:rPr>
                  </w:pPr>
                  <w:r>
                    <w:rPr>
                      <w:rFonts w:cs="Times New Roman"/>
                    </w:rPr>
                    <w:t>10m</w:t>
                  </w:r>
                </w:p>
              </w:tc>
              <w:tc>
                <w:tcPr>
                  <w:tcW w:w="1849" w:type="dxa"/>
                  <w:tcBorders>
                    <w:tl2br w:val="nil"/>
                    <w:tr2bl w:val="nil"/>
                  </w:tcBorders>
                  <w:vAlign w:val="center"/>
                </w:tcPr>
                <w:p>
                  <w:pPr>
                    <w:pStyle w:val="35"/>
                    <w:jc w:val="center"/>
                    <w:rPr>
                      <w:rFonts w:cs="Times New Roman"/>
                    </w:rPr>
                  </w:pPr>
                  <w:r>
                    <w:rPr>
                      <w:rFonts w:cs="Times New Roman"/>
                    </w:rPr>
                    <w:t>10m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451" w:type="dxa"/>
                  <w:tcBorders>
                    <w:tl2br w:val="nil"/>
                    <w:tr2bl w:val="nil"/>
                  </w:tcBorders>
                  <w:vAlign w:val="center"/>
                </w:tcPr>
                <w:p>
                  <w:pPr>
                    <w:pStyle w:val="35"/>
                    <w:jc w:val="center"/>
                    <w:rPr>
                      <w:rFonts w:cs="Times New Roman"/>
                    </w:rPr>
                  </w:pPr>
                  <w:r>
                    <w:rPr>
                      <w:rFonts w:cs="Times New Roman"/>
                    </w:rPr>
                    <w:t>厂界处噪声贡献值</w:t>
                  </w:r>
                </w:p>
              </w:tc>
              <w:tc>
                <w:tcPr>
                  <w:tcW w:w="1464" w:type="dxa"/>
                  <w:tcBorders>
                    <w:tl2br w:val="nil"/>
                    <w:tr2bl w:val="nil"/>
                  </w:tcBorders>
                  <w:vAlign w:val="center"/>
                </w:tcPr>
                <w:p>
                  <w:pPr>
                    <w:pStyle w:val="35"/>
                    <w:jc w:val="center"/>
                    <w:rPr>
                      <w:rFonts w:cs="Times New Roman"/>
                    </w:rPr>
                  </w:pPr>
                  <w:r>
                    <w:rPr>
                      <w:rFonts w:cs="Times New Roman"/>
                    </w:rPr>
                    <w:t>48.77</w:t>
                  </w:r>
                </w:p>
              </w:tc>
              <w:tc>
                <w:tcPr>
                  <w:tcW w:w="1465" w:type="dxa"/>
                  <w:tcBorders>
                    <w:tl2br w:val="nil"/>
                    <w:tr2bl w:val="nil"/>
                  </w:tcBorders>
                  <w:vAlign w:val="center"/>
                </w:tcPr>
                <w:p>
                  <w:pPr>
                    <w:pStyle w:val="35"/>
                    <w:jc w:val="center"/>
                    <w:rPr>
                      <w:rFonts w:cs="Times New Roman"/>
                    </w:rPr>
                  </w:pPr>
                  <w:r>
                    <w:rPr>
                      <w:rFonts w:cs="Times New Roman"/>
                    </w:rPr>
                    <w:t>52.19</w:t>
                  </w:r>
                </w:p>
              </w:tc>
              <w:tc>
                <w:tcPr>
                  <w:tcW w:w="1465" w:type="dxa"/>
                  <w:tcBorders>
                    <w:tl2br w:val="nil"/>
                    <w:tr2bl w:val="nil"/>
                  </w:tcBorders>
                  <w:vAlign w:val="center"/>
                </w:tcPr>
                <w:p>
                  <w:pPr>
                    <w:pStyle w:val="35"/>
                    <w:jc w:val="center"/>
                    <w:rPr>
                      <w:rFonts w:cs="Times New Roman"/>
                    </w:rPr>
                  </w:pPr>
                  <w:r>
                    <w:rPr>
                      <w:rFonts w:cs="Times New Roman"/>
                    </w:rPr>
                    <w:t>57.38</w:t>
                  </w:r>
                </w:p>
              </w:tc>
              <w:tc>
                <w:tcPr>
                  <w:tcW w:w="1849" w:type="dxa"/>
                  <w:tcBorders>
                    <w:tl2br w:val="nil"/>
                    <w:tr2bl w:val="nil"/>
                  </w:tcBorders>
                  <w:vAlign w:val="center"/>
                </w:tcPr>
                <w:p>
                  <w:pPr>
                    <w:pStyle w:val="35"/>
                    <w:jc w:val="center"/>
                    <w:rPr>
                      <w:rFonts w:cs="Times New Roman"/>
                    </w:rPr>
                  </w:pPr>
                  <w:r>
                    <w:rPr>
                      <w:rFonts w:cs="Times New Roman"/>
                    </w:rPr>
                    <w:t>57.38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451" w:type="dxa"/>
                  <w:tcBorders>
                    <w:tl2br w:val="nil"/>
                    <w:tr2bl w:val="nil"/>
                  </w:tcBorders>
                  <w:vAlign w:val="center"/>
                </w:tcPr>
                <w:p>
                  <w:pPr>
                    <w:pStyle w:val="35"/>
                    <w:jc w:val="center"/>
                    <w:rPr>
                      <w:rFonts w:cs="Times New Roman"/>
                    </w:rPr>
                  </w:pPr>
                  <w:r>
                    <w:rPr>
                      <w:rFonts w:cs="Times New Roman"/>
                    </w:rPr>
                    <w:t>执行标准</w:t>
                  </w:r>
                </w:p>
              </w:tc>
              <w:tc>
                <w:tcPr>
                  <w:tcW w:w="1464" w:type="dxa"/>
                  <w:tcBorders>
                    <w:tl2br w:val="nil"/>
                    <w:tr2bl w:val="nil"/>
                  </w:tcBorders>
                  <w:vAlign w:val="center"/>
                </w:tcPr>
                <w:p>
                  <w:pPr>
                    <w:pStyle w:val="35"/>
                    <w:jc w:val="center"/>
                    <w:rPr>
                      <w:rFonts w:cs="Times New Roman"/>
                    </w:rPr>
                  </w:pPr>
                  <w:r>
                    <w:rPr>
                      <w:rFonts w:cs="Times New Roman"/>
                    </w:rPr>
                    <w:t>昼间≤60</w:t>
                  </w:r>
                </w:p>
              </w:tc>
              <w:tc>
                <w:tcPr>
                  <w:tcW w:w="1465" w:type="dxa"/>
                  <w:tcBorders>
                    <w:tl2br w:val="nil"/>
                    <w:tr2bl w:val="nil"/>
                  </w:tcBorders>
                  <w:vAlign w:val="center"/>
                </w:tcPr>
                <w:p>
                  <w:pPr>
                    <w:pStyle w:val="35"/>
                    <w:jc w:val="center"/>
                    <w:rPr>
                      <w:rFonts w:cs="Times New Roman"/>
                    </w:rPr>
                  </w:pPr>
                  <w:r>
                    <w:rPr>
                      <w:rFonts w:cs="Times New Roman"/>
                    </w:rPr>
                    <w:t>昼间≤60</w:t>
                  </w:r>
                </w:p>
              </w:tc>
              <w:tc>
                <w:tcPr>
                  <w:tcW w:w="1465" w:type="dxa"/>
                  <w:tcBorders>
                    <w:tl2br w:val="nil"/>
                    <w:tr2bl w:val="nil"/>
                  </w:tcBorders>
                  <w:vAlign w:val="center"/>
                </w:tcPr>
                <w:p>
                  <w:pPr>
                    <w:pStyle w:val="35"/>
                    <w:jc w:val="center"/>
                    <w:rPr>
                      <w:rFonts w:cs="Times New Roman"/>
                    </w:rPr>
                  </w:pPr>
                  <w:r>
                    <w:rPr>
                      <w:rFonts w:cs="Times New Roman"/>
                    </w:rPr>
                    <w:t>昼间≤60</w:t>
                  </w:r>
                </w:p>
              </w:tc>
              <w:tc>
                <w:tcPr>
                  <w:tcW w:w="1849" w:type="dxa"/>
                  <w:tcBorders>
                    <w:tl2br w:val="nil"/>
                    <w:tr2bl w:val="nil"/>
                  </w:tcBorders>
                  <w:vAlign w:val="center"/>
                </w:tcPr>
                <w:p>
                  <w:pPr>
                    <w:pStyle w:val="35"/>
                    <w:jc w:val="center"/>
                    <w:rPr>
                      <w:rFonts w:cs="Times New Roman"/>
                    </w:rPr>
                  </w:pPr>
                  <w:r>
                    <w:rPr>
                      <w:rFonts w:cs="Times New Roman"/>
                    </w:rPr>
                    <w:t>昼间≤60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51" w:type="dxa"/>
                  <w:tcBorders>
                    <w:tl2br w:val="nil"/>
                    <w:tr2bl w:val="nil"/>
                  </w:tcBorders>
                  <w:vAlign w:val="center"/>
                </w:tcPr>
                <w:p>
                  <w:pPr>
                    <w:pStyle w:val="35"/>
                    <w:jc w:val="center"/>
                    <w:rPr>
                      <w:rFonts w:cs="Times New Roman"/>
                    </w:rPr>
                  </w:pPr>
                  <w:r>
                    <w:rPr>
                      <w:rFonts w:cs="Times New Roman"/>
                    </w:rPr>
                    <w:t>达标情况</w:t>
                  </w:r>
                </w:p>
              </w:tc>
              <w:tc>
                <w:tcPr>
                  <w:tcW w:w="1464" w:type="dxa"/>
                  <w:tcBorders>
                    <w:tl2br w:val="nil"/>
                    <w:tr2bl w:val="nil"/>
                  </w:tcBorders>
                  <w:vAlign w:val="center"/>
                </w:tcPr>
                <w:p>
                  <w:pPr>
                    <w:pStyle w:val="35"/>
                    <w:jc w:val="center"/>
                    <w:rPr>
                      <w:rFonts w:cs="Times New Roman"/>
                    </w:rPr>
                  </w:pPr>
                  <w:r>
                    <w:rPr>
                      <w:rFonts w:cs="Times New Roman"/>
                    </w:rPr>
                    <w:t>达标</w:t>
                  </w:r>
                </w:p>
              </w:tc>
              <w:tc>
                <w:tcPr>
                  <w:tcW w:w="1465" w:type="dxa"/>
                  <w:tcBorders>
                    <w:tl2br w:val="nil"/>
                    <w:tr2bl w:val="nil"/>
                  </w:tcBorders>
                  <w:vAlign w:val="center"/>
                </w:tcPr>
                <w:p>
                  <w:pPr>
                    <w:pStyle w:val="35"/>
                    <w:jc w:val="center"/>
                    <w:rPr>
                      <w:rFonts w:cs="Times New Roman"/>
                    </w:rPr>
                  </w:pPr>
                  <w:r>
                    <w:rPr>
                      <w:rFonts w:cs="Times New Roman"/>
                    </w:rPr>
                    <w:t>达标</w:t>
                  </w:r>
                </w:p>
              </w:tc>
              <w:tc>
                <w:tcPr>
                  <w:tcW w:w="1465" w:type="dxa"/>
                  <w:tcBorders>
                    <w:tl2br w:val="nil"/>
                    <w:tr2bl w:val="nil"/>
                  </w:tcBorders>
                  <w:vAlign w:val="center"/>
                </w:tcPr>
                <w:p>
                  <w:pPr>
                    <w:pStyle w:val="35"/>
                    <w:jc w:val="center"/>
                    <w:rPr>
                      <w:rFonts w:cs="Times New Roman"/>
                    </w:rPr>
                  </w:pPr>
                  <w:r>
                    <w:rPr>
                      <w:rFonts w:cs="Times New Roman"/>
                    </w:rPr>
                    <w:t>达标</w:t>
                  </w:r>
                </w:p>
              </w:tc>
              <w:tc>
                <w:tcPr>
                  <w:tcW w:w="1849" w:type="dxa"/>
                  <w:tcBorders>
                    <w:tl2br w:val="nil"/>
                    <w:tr2bl w:val="nil"/>
                  </w:tcBorders>
                  <w:vAlign w:val="center"/>
                </w:tcPr>
                <w:p>
                  <w:pPr>
                    <w:pStyle w:val="35"/>
                    <w:jc w:val="center"/>
                    <w:rPr>
                      <w:rFonts w:cs="Times New Roman"/>
                    </w:rPr>
                  </w:pPr>
                  <w:r>
                    <w:rPr>
                      <w:rFonts w:cs="Times New Roman"/>
                    </w:rPr>
                    <w:t>达标</w:t>
                  </w:r>
                </w:p>
              </w:tc>
            </w:tr>
          </w:tbl>
          <w:p>
            <w:pPr>
              <w:ind w:firstLine="480"/>
              <w:rPr>
                <w:rFonts w:cs="Times New Roman"/>
              </w:rPr>
            </w:pPr>
            <w:r>
              <w:rPr>
                <w:rFonts w:cs="Times New Roman"/>
              </w:rPr>
              <w:t>由上表可知，项目厂界昼间（夜间不生产）噪声预测结果均符合厂界排放标准。通过设备减振、合理安排作业时间、厂界植树绿化措施后，项目运营期间噪声能达到《工业企业厂界环境噪声排放标准》（GB12348-2008）的2类标准，即：昼间≤60dB（A），夜间≤50dB（A），对周边环境影响较小。</w:t>
            </w:r>
          </w:p>
          <w:p>
            <w:pPr>
              <w:pStyle w:val="47"/>
              <w:ind w:firstLine="480"/>
            </w:pPr>
            <w:r>
              <w:t>（3）噪声污染防治措施可行性分析</w:t>
            </w:r>
          </w:p>
          <w:p>
            <w:pPr>
              <w:ind w:firstLine="480"/>
              <w:rPr>
                <w:rFonts w:cs="Times New Roman"/>
              </w:rPr>
            </w:pPr>
            <w:r>
              <w:rPr>
                <w:rFonts w:hint="eastAsia" w:ascii="宋体" w:hAnsi="宋体" w:cs="宋体"/>
              </w:rPr>
              <w:t>①</w:t>
            </w:r>
            <w:r>
              <w:rPr>
                <w:rFonts w:cs="Times New Roman"/>
              </w:rPr>
              <w:t>合理布置噪声源的位置，对主要高噪声设备应加装减震和消声设施。</w:t>
            </w:r>
          </w:p>
          <w:p>
            <w:pPr>
              <w:ind w:firstLine="480"/>
              <w:rPr>
                <w:rFonts w:cs="Times New Roman"/>
              </w:rPr>
            </w:pPr>
            <w:r>
              <w:rPr>
                <w:rFonts w:hint="eastAsia" w:ascii="宋体" w:hAnsi="宋体" w:cs="宋体"/>
              </w:rPr>
              <w:t>②</w:t>
            </w:r>
            <w:r>
              <w:rPr>
                <w:rFonts w:cs="Times New Roman"/>
              </w:rPr>
              <w:t>对降噪设备应定期检查、维修，不合要求的要及时更换，防止机械噪声的升高。</w:t>
            </w:r>
          </w:p>
          <w:p>
            <w:pPr>
              <w:ind w:firstLine="480"/>
              <w:rPr>
                <w:rFonts w:cs="Times New Roman"/>
              </w:rPr>
            </w:pPr>
            <w:r>
              <w:rPr>
                <w:rFonts w:hint="eastAsia" w:ascii="宋体" w:hAnsi="宋体" w:cs="宋体"/>
              </w:rPr>
              <w:t>③</w:t>
            </w:r>
            <w:r>
              <w:rPr>
                <w:rFonts w:cs="Times New Roman"/>
              </w:rPr>
              <w:t>夜间不进行生产。</w:t>
            </w:r>
          </w:p>
          <w:p>
            <w:pPr>
              <w:ind w:firstLine="480"/>
              <w:rPr>
                <w:rFonts w:cs="Times New Roman"/>
              </w:rPr>
            </w:pPr>
            <w:r>
              <w:rPr>
                <w:rFonts w:hint="eastAsia" w:ascii="宋体" w:hAnsi="宋体" w:cs="宋体"/>
              </w:rPr>
              <w:t>④</w:t>
            </w:r>
            <w:r>
              <w:rPr>
                <w:rFonts w:cs="Times New Roman"/>
              </w:rPr>
              <w:t>加强对车辆的管理（减速、禁鸣），并尽量合理安排货物装卸时间和位置。</w:t>
            </w:r>
          </w:p>
          <w:p>
            <w:pPr>
              <w:ind w:firstLine="480"/>
              <w:rPr>
                <w:rFonts w:cs="Times New Roman"/>
              </w:rPr>
            </w:pPr>
            <w:r>
              <w:rPr>
                <w:rFonts w:hint="eastAsia" w:ascii="宋体" w:hAnsi="宋体" w:cs="宋体"/>
              </w:rPr>
              <w:t>⑤</w:t>
            </w:r>
            <w:r>
              <w:rPr>
                <w:rFonts w:cs="Times New Roman"/>
              </w:rPr>
              <w:t>厂区周围种植树木，以隔离和吸收噪声。</w:t>
            </w:r>
          </w:p>
          <w:p>
            <w:pPr>
              <w:widowControl/>
              <w:ind w:firstLine="480"/>
              <w:rPr>
                <w:rFonts w:cs="Times New Roman"/>
              </w:rPr>
            </w:pPr>
            <w:r>
              <w:rPr>
                <w:rFonts w:cs="Times New Roman"/>
              </w:rPr>
              <w:t>采取以上措施后，项目运营期间噪声能达到《工业企业厂界环境噪声排放标准》（GB12348-2008）的2类标准，即：昼间≤60dB（A），夜间≤50dB（A），对周边环境影响较小。</w:t>
            </w:r>
          </w:p>
          <w:p>
            <w:pPr>
              <w:pStyle w:val="47"/>
              <w:ind w:firstLine="480"/>
            </w:pPr>
            <w:r>
              <w:t>（4）自行监测计划</w:t>
            </w:r>
          </w:p>
          <w:p>
            <w:pPr>
              <w:pStyle w:val="47"/>
              <w:ind w:firstLine="480"/>
            </w:pPr>
            <w:r>
              <w:rPr>
                <w:rFonts w:hint="eastAsia"/>
              </w:rPr>
              <w:t>本项目噪声自行监测计划详见表4-10。</w:t>
            </w:r>
          </w:p>
          <w:p>
            <w:pPr>
              <w:pStyle w:val="47"/>
              <w:ind w:firstLine="480"/>
            </w:pPr>
          </w:p>
          <w:p>
            <w:pPr>
              <w:pStyle w:val="47"/>
              <w:ind w:firstLine="480"/>
            </w:pPr>
          </w:p>
          <w:p>
            <w:pPr>
              <w:pStyle w:val="55"/>
              <w:ind w:firstLine="480"/>
            </w:pPr>
            <w:r>
              <w:t>表4-</w:t>
            </w:r>
            <w:r>
              <w:rPr>
                <w:rFonts w:hint="eastAsia"/>
              </w:rPr>
              <w:t>10</w:t>
            </w:r>
            <w:r>
              <w:t xml:space="preserve"> 项目</w:t>
            </w:r>
            <w:r>
              <w:rPr>
                <w:rFonts w:hint="eastAsia"/>
              </w:rPr>
              <w:t>噪声监测计划表</w:t>
            </w:r>
          </w:p>
          <w:tbl>
            <w:tblPr>
              <w:tblStyle w:val="24"/>
              <w:tblW w:w="76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2289"/>
              <w:gridCol w:w="2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799" w:type="dxa"/>
                  <w:vAlign w:val="center"/>
                </w:tcPr>
                <w:p>
                  <w:pPr>
                    <w:pStyle w:val="35"/>
                    <w:jc w:val="center"/>
                    <w:rPr>
                      <w:rFonts w:cs="Times New Roman"/>
                      <w:b/>
                    </w:rPr>
                  </w:pPr>
                  <w:r>
                    <w:rPr>
                      <w:rFonts w:hint="eastAsia" w:cs="Times New Roman"/>
                      <w:b/>
                    </w:rPr>
                    <w:t>监测点位</w:t>
                  </w:r>
                </w:p>
              </w:tc>
              <w:tc>
                <w:tcPr>
                  <w:tcW w:w="2289" w:type="dxa"/>
                  <w:vAlign w:val="center"/>
                </w:tcPr>
                <w:p>
                  <w:pPr>
                    <w:pStyle w:val="35"/>
                    <w:jc w:val="center"/>
                    <w:rPr>
                      <w:rFonts w:cs="Times New Roman"/>
                      <w:b/>
                    </w:rPr>
                  </w:pPr>
                  <w:r>
                    <w:rPr>
                      <w:rFonts w:hint="eastAsia" w:cs="Times New Roman"/>
                      <w:b/>
                    </w:rPr>
                    <w:t>监测因子</w:t>
                  </w:r>
                </w:p>
              </w:tc>
              <w:tc>
                <w:tcPr>
                  <w:tcW w:w="2544" w:type="dxa"/>
                  <w:vAlign w:val="center"/>
                </w:tcPr>
                <w:p>
                  <w:pPr>
                    <w:pStyle w:val="35"/>
                    <w:jc w:val="center"/>
                    <w:rPr>
                      <w:rFonts w:cs="Times New Roman"/>
                      <w:b/>
                    </w:rPr>
                  </w:pPr>
                  <w:r>
                    <w:rPr>
                      <w:rFonts w:hint="eastAsia" w:cs="Times New Roman"/>
                      <w:b/>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799" w:type="dxa"/>
                  <w:vAlign w:val="center"/>
                </w:tcPr>
                <w:p>
                  <w:pPr>
                    <w:pStyle w:val="35"/>
                    <w:jc w:val="center"/>
                    <w:rPr>
                      <w:rFonts w:cs="Times New Roman"/>
                    </w:rPr>
                  </w:pPr>
                  <w:r>
                    <w:rPr>
                      <w:rFonts w:hint="eastAsia" w:cs="Times New Roman"/>
                    </w:rPr>
                    <w:t>厂界四周</w:t>
                  </w:r>
                </w:p>
              </w:tc>
              <w:tc>
                <w:tcPr>
                  <w:tcW w:w="2289" w:type="dxa"/>
                  <w:vAlign w:val="center"/>
                </w:tcPr>
                <w:p>
                  <w:pPr>
                    <w:pStyle w:val="35"/>
                    <w:jc w:val="center"/>
                    <w:rPr>
                      <w:rFonts w:cs="Times New Roman"/>
                    </w:rPr>
                  </w:pPr>
                  <w:r>
                    <w:rPr>
                      <w:rFonts w:hint="eastAsia" w:cs="Times New Roman"/>
                    </w:rPr>
                    <w:t>等效A声级</w:t>
                  </w:r>
                </w:p>
              </w:tc>
              <w:tc>
                <w:tcPr>
                  <w:tcW w:w="2544" w:type="dxa"/>
                  <w:vAlign w:val="center"/>
                </w:tcPr>
                <w:p>
                  <w:pPr>
                    <w:pStyle w:val="35"/>
                    <w:jc w:val="center"/>
                    <w:rPr>
                      <w:rFonts w:cs="Times New Roman"/>
                    </w:rPr>
                  </w:pPr>
                  <w:r>
                    <w:rPr>
                      <w:rFonts w:hint="eastAsia" w:cs="Times New Roman"/>
                    </w:rPr>
                    <w:t>1次/季</w:t>
                  </w:r>
                </w:p>
              </w:tc>
            </w:tr>
          </w:tbl>
          <w:p>
            <w:pPr>
              <w:pStyle w:val="47"/>
              <w:ind w:firstLine="0" w:firstLineChars="0"/>
              <w:rPr>
                <w:b/>
                <w:sz w:val="30"/>
                <w:szCs w:val="30"/>
              </w:rPr>
            </w:pPr>
            <w:r>
              <w:rPr>
                <w:b/>
                <w:sz w:val="30"/>
                <w:szCs w:val="30"/>
              </w:rPr>
              <w:t>4.2.</w:t>
            </w:r>
            <w:r>
              <w:rPr>
                <w:rFonts w:hint="eastAsia"/>
                <w:b/>
                <w:sz w:val="30"/>
                <w:szCs w:val="30"/>
              </w:rPr>
              <w:t>4</w:t>
            </w:r>
            <w:r>
              <w:rPr>
                <w:b/>
                <w:sz w:val="30"/>
                <w:szCs w:val="30"/>
                <w:lang w:val="zh-CN"/>
              </w:rPr>
              <w:t>固体废物</w:t>
            </w:r>
          </w:p>
          <w:p>
            <w:pPr>
              <w:ind w:firstLine="480"/>
              <w:jc w:val="both"/>
              <w:rPr>
                <w:rFonts w:cs="Times New Roman"/>
              </w:rPr>
            </w:pPr>
            <w:r>
              <w:rPr>
                <w:rFonts w:cs="Times New Roman"/>
              </w:rPr>
              <w:t>项目运营期间产生的固体废物为生活垃圾</w:t>
            </w:r>
          </w:p>
          <w:p>
            <w:pPr>
              <w:ind w:firstLine="480"/>
              <w:rPr>
                <w:rFonts w:cs="Times New Roman"/>
              </w:rPr>
            </w:pPr>
            <w:r>
              <w:rPr>
                <w:rFonts w:cs="Times New Roman"/>
              </w:rPr>
              <w:t>项目营运期职工人数为8人，均不在厂区食宿，年工作300天，产生的生活垃圾量按0.5kg/（人·日）计算，则生活垃圾产生量为1.2t/a，生活垃圾统一收集后于垃圾桶后交由环卫部门统一清运处理。</w:t>
            </w:r>
          </w:p>
          <w:p>
            <w:pPr>
              <w:ind w:firstLine="0" w:firstLineChars="0"/>
              <w:jc w:val="center"/>
              <w:rPr>
                <w:rFonts w:cs="Times New Roman"/>
                <w:b/>
              </w:rPr>
            </w:pPr>
            <w:r>
              <w:rPr>
                <w:rFonts w:cs="Times New Roman"/>
                <w:b/>
              </w:rPr>
              <w:t>表4-</w:t>
            </w:r>
            <w:r>
              <w:rPr>
                <w:rFonts w:hint="eastAsia" w:cs="Times New Roman"/>
                <w:b/>
              </w:rPr>
              <w:t>11</w:t>
            </w:r>
            <w:r>
              <w:rPr>
                <w:rFonts w:cs="Times New Roman"/>
                <w:b/>
              </w:rPr>
              <w:t xml:space="preserve"> 固废产生一览表</w:t>
            </w:r>
          </w:p>
          <w:tbl>
            <w:tblPr>
              <w:tblStyle w:val="24"/>
              <w:tblW w:w="743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7"/>
              <w:gridCol w:w="1660"/>
              <w:gridCol w:w="934"/>
              <w:gridCol w:w="28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4" w:type="dxa"/>
                  <w:tcBorders>
                    <w:tl2br w:val="nil"/>
                    <w:tr2bl w:val="nil"/>
                  </w:tcBorders>
                  <w:vAlign w:val="center"/>
                </w:tcPr>
                <w:p>
                  <w:pPr>
                    <w:pStyle w:val="35"/>
                    <w:jc w:val="center"/>
                    <w:rPr>
                      <w:rFonts w:cs="Times New Roman"/>
                      <w:b/>
                    </w:rPr>
                  </w:pPr>
                  <w:r>
                    <w:rPr>
                      <w:rFonts w:cs="Times New Roman"/>
                      <w:b/>
                    </w:rPr>
                    <w:t>序号</w:t>
                  </w:r>
                </w:p>
              </w:tc>
              <w:tc>
                <w:tcPr>
                  <w:tcW w:w="1347" w:type="dxa"/>
                  <w:tcBorders>
                    <w:tl2br w:val="nil"/>
                    <w:tr2bl w:val="nil"/>
                  </w:tcBorders>
                  <w:vAlign w:val="center"/>
                </w:tcPr>
                <w:p>
                  <w:pPr>
                    <w:pStyle w:val="35"/>
                    <w:jc w:val="center"/>
                    <w:rPr>
                      <w:rFonts w:cs="Times New Roman"/>
                      <w:b/>
                    </w:rPr>
                  </w:pPr>
                  <w:r>
                    <w:rPr>
                      <w:rFonts w:cs="Times New Roman"/>
                      <w:b/>
                    </w:rPr>
                    <w:t>项目</w:t>
                  </w:r>
                </w:p>
              </w:tc>
              <w:tc>
                <w:tcPr>
                  <w:tcW w:w="1660" w:type="dxa"/>
                  <w:tcBorders>
                    <w:tl2br w:val="nil"/>
                    <w:tr2bl w:val="nil"/>
                  </w:tcBorders>
                  <w:vAlign w:val="center"/>
                </w:tcPr>
                <w:p>
                  <w:pPr>
                    <w:pStyle w:val="35"/>
                    <w:jc w:val="center"/>
                    <w:rPr>
                      <w:rFonts w:cs="Times New Roman"/>
                      <w:b/>
                    </w:rPr>
                  </w:pPr>
                  <w:r>
                    <w:rPr>
                      <w:rFonts w:cs="Times New Roman"/>
                      <w:b/>
                    </w:rPr>
                    <w:t>产生量</w:t>
                  </w:r>
                </w:p>
              </w:tc>
              <w:tc>
                <w:tcPr>
                  <w:tcW w:w="934" w:type="dxa"/>
                  <w:tcBorders>
                    <w:tl2br w:val="nil"/>
                    <w:tr2bl w:val="nil"/>
                  </w:tcBorders>
                  <w:vAlign w:val="center"/>
                </w:tcPr>
                <w:p>
                  <w:pPr>
                    <w:pStyle w:val="35"/>
                    <w:jc w:val="center"/>
                    <w:rPr>
                      <w:rFonts w:cs="Times New Roman"/>
                      <w:b/>
                    </w:rPr>
                  </w:pPr>
                  <w:r>
                    <w:rPr>
                      <w:rFonts w:cs="Times New Roman"/>
                      <w:b/>
                    </w:rPr>
                    <w:t>排放量</w:t>
                  </w:r>
                </w:p>
              </w:tc>
              <w:tc>
                <w:tcPr>
                  <w:tcW w:w="2806" w:type="dxa"/>
                  <w:tcBorders>
                    <w:tl2br w:val="nil"/>
                    <w:tr2bl w:val="nil"/>
                  </w:tcBorders>
                  <w:vAlign w:val="center"/>
                </w:tcPr>
                <w:p>
                  <w:pPr>
                    <w:pStyle w:val="35"/>
                    <w:jc w:val="center"/>
                    <w:rPr>
                      <w:rFonts w:cs="Times New Roman"/>
                      <w:b/>
                    </w:rPr>
                  </w:pPr>
                  <w:r>
                    <w:rPr>
                      <w:rFonts w:cs="Times New Roman"/>
                      <w:b/>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4" w:type="dxa"/>
                  <w:tcBorders>
                    <w:tl2br w:val="nil"/>
                    <w:tr2bl w:val="nil"/>
                  </w:tcBorders>
                  <w:vAlign w:val="center"/>
                </w:tcPr>
                <w:p>
                  <w:pPr>
                    <w:pStyle w:val="35"/>
                    <w:jc w:val="center"/>
                    <w:rPr>
                      <w:rFonts w:cs="Times New Roman"/>
                    </w:rPr>
                  </w:pPr>
                  <w:r>
                    <w:rPr>
                      <w:rFonts w:cs="Times New Roman"/>
                    </w:rPr>
                    <w:t>1</w:t>
                  </w:r>
                </w:p>
              </w:tc>
              <w:tc>
                <w:tcPr>
                  <w:tcW w:w="1347" w:type="dxa"/>
                  <w:tcBorders>
                    <w:tl2br w:val="nil"/>
                    <w:tr2bl w:val="nil"/>
                  </w:tcBorders>
                  <w:vAlign w:val="center"/>
                </w:tcPr>
                <w:p>
                  <w:pPr>
                    <w:pStyle w:val="35"/>
                    <w:jc w:val="center"/>
                    <w:rPr>
                      <w:rFonts w:cs="Times New Roman"/>
                    </w:rPr>
                  </w:pPr>
                  <w:r>
                    <w:rPr>
                      <w:rFonts w:cs="Times New Roman"/>
                    </w:rPr>
                    <w:t>生活垃圾</w:t>
                  </w:r>
                </w:p>
              </w:tc>
              <w:tc>
                <w:tcPr>
                  <w:tcW w:w="1660" w:type="dxa"/>
                  <w:tcBorders>
                    <w:tl2br w:val="nil"/>
                    <w:tr2bl w:val="nil"/>
                  </w:tcBorders>
                  <w:vAlign w:val="center"/>
                </w:tcPr>
                <w:p>
                  <w:pPr>
                    <w:pStyle w:val="35"/>
                    <w:jc w:val="center"/>
                    <w:rPr>
                      <w:rFonts w:cs="Times New Roman"/>
                    </w:rPr>
                  </w:pPr>
                  <w:r>
                    <w:rPr>
                      <w:rFonts w:cs="Times New Roman"/>
                    </w:rPr>
                    <w:t>1.2t/a</w:t>
                  </w:r>
                </w:p>
              </w:tc>
              <w:tc>
                <w:tcPr>
                  <w:tcW w:w="934" w:type="dxa"/>
                  <w:tcBorders>
                    <w:tl2br w:val="nil"/>
                    <w:tr2bl w:val="nil"/>
                  </w:tcBorders>
                  <w:vAlign w:val="center"/>
                </w:tcPr>
                <w:p>
                  <w:pPr>
                    <w:pStyle w:val="35"/>
                    <w:jc w:val="center"/>
                    <w:rPr>
                      <w:rFonts w:cs="Times New Roman"/>
                    </w:rPr>
                  </w:pPr>
                  <w:r>
                    <w:rPr>
                      <w:rFonts w:cs="Times New Roman"/>
                    </w:rPr>
                    <w:t>0</w:t>
                  </w:r>
                </w:p>
              </w:tc>
              <w:tc>
                <w:tcPr>
                  <w:tcW w:w="2806" w:type="dxa"/>
                  <w:tcBorders>
                    <w:tl2br w:val="nil"/>
                    <w:tr2bl w:val="nil"/>
                  </w:tcBorders>
                  <w:vAlign w:val="center"/>
                </w:tcPr>
                <w:p>
                  <w:pPr>
                    <w:pStyle w:val="35"/>
                    <w:jc w:val="center"/>
                    <w:rPr>
                      <w:rFonts w:cs="Times New Roman"/>
                    </w:rPr>
                  </w:pPr>
                  <w:r>
                    <w:rPr>
                      <w:rFonts w:cs="Times New Roman"/>
                    </w:rPr>
                    <w:t>收集后交由环卫部门处理</w:t>
                  </w:r>
                </w:p>
              </w:tc>
            </w:tr>
          </w:tbl>
          <w:p>
            <w:pPr>
              <w:ind w:firstLine="480"/>
              <w:rPr>
                <w:rFonts w:cs="Times New Roman"/>
              </w:rPr>
            </w:pPr>
            <w:r>
              <w:rPr>
                <w:rFonts w:cs="Times New Roman"/>
              </w:rPr>
              <w:t>综上所述，项目固体废物采取治理措施后对外环境影响较小。</w:t>
            </w:r>
          </w:p>
          <w:p>
            <w:pPr>
              <w:pStyle w:val="47"/>
              <w:ind w:firstLine="0" w:firstLineChars="0"/>
              <w:rPr>
                <w:b/>
                <w:sz w:val="30"/>
                <w:szCs w:val="30"/>
              </w:rPr>
            </w:pPr>
            <w:r>
              <w:rPr>
                <w:b/>
                <w:sz w:val="30"/>
                <w:szCs w:val="30"/>
              </w:rPr>
              <w:t>4.2.</w:t>
            </w:r>
            <w:r>
              <w:rPr>
                <w:rFonts w:hint="eastAsia"/>
                <w:b/>
                <w:sz w:val="30"/>
                <w:szCs w:val="30"/>
              </w:rPr>
              <w:t>5</w:t>
            </w:r>
            <w:r>
              <w:rPr>
                <w:b/>
                <w:sz w:val="30"/>
                <w:szCs w:val="30"/>
                <w:lang w:val="zh-CN"/>
              </w:rPr>
              <w:t>地下水、土壤</w:t>
            </w:r>
          </w:p>
          <w:p>
            <w:pPr>
              <w:pStyle w:val="47"/>
              <w:ind w:firstLine="480"/>
            </w:pPr>
            <w:r>
              <w:t>（1）地下水</w:t>
            </w:r>
          </w:p>
          <w:p>
            <w:pPr>
              <w:pStyle w:val="47"/>
              <w:ind w:firstLine="480"/>
            </w:pPr>
            <w:r>
              <w:t>根据《环境影响评价技术导则 地下水环境》（HJ610-2016），本项目为石灰石废石及低品位石灰石破碎加工项目，属于</w:t>
            </w:r>
            <w:r>
              <w:rPr>
                <w:rFonts w:hint="eastAsia" w:ascii="宋体" w:hAnsi="宋体" w:cs="宋体"/>
              </w:rPr>
              <w:t>Ⅳ</w:t>
            </w:r>
            <w:r>
              <w:t>类建设项目。根据导则4.1</w:t>
            </w:r>
            <w:r>
              <w:rPr>
                <w:rFonts w:hint="eastAsia" w:ascii="宋体" w:hAnsi="宋体" w:cs="宋体"/>
              </w:rPr>
              <w:t>Ⅳ</w:t>
            </w:r>
            <w:r>
              <w:t>类建设项目不开展地下水环境影响评价，故本项目不进行地下水环境影响分析。</w:t>
            </w:r>
          </w:p>
          <w:p>
            <w:pPr>
              <w:pStyle w:val="47"/>
              <w:ind w:firstLine="480"/>
            </w:pPr>
            <w:r>
              <w:t>（2）土壤</w:t>
            </w:r>
          </w:p>
          <w:p>
            <w:pPr>
              <w:pStyle w:val="13"/>
              <w:ind w:firstLine="480"/>
              <w:rPr>
                <w:rFonts w:cs="Times New Roman"/>
              </w:rPr>
            </w:pPr>
            <w:r>
              <w:rPr>
                <w:rFonts w:cs="Times New Roman"/>
              </w:rPr>
              <w:t>根据《环境影响评价技术导则 土壤环境（试行）》（HJ964-2018），本项目属于其他行业，土壤环境影响评价项目类别为</w:t>
            </w:r>
            <w:r>
              <w:rPr>
                <w:rFonts w:hint="eastAsia" w:ascii="宋体" w:hAnsi="宋体" w:cs="宋体"/>
              </w:rPr>
              <w:t>Ⅳ</w:t>
            </w:r>
            <w:r>
              <w:rPr>
                <w:rFonts w:cs="Times New Roman"/>
              </w:rPr>
              <w:t>类。根据导则4.2.2</w:t>
            </w:r>
            <w:r>
              <w:rPr>
                <w:rFonts w:hint="eastAsia" w:ascii="宋体" w:hAnsi="宋体" w:cs="宋体"/>
              </w:rPr>
              <w:t>Ⅳ</w:t>
            </w:r>
            <w:r>
              <w:rPr>
                <w:rFonts w:cs="Times New Roman"/>
              </w:rPr>
              <w:t>类建设项目可不开展土壤环境影响评价，故本项目不进行土壤环境影响分析。</w:t>
            </w:r>
          </w:p>
          <w:p>
            <w:pPr>
              <w:pStyle w:val="47"/>
              <w:ind w:firstLine="0" w:firstLineChars="0"/>
              <w:rPr>
                <w:b/>
                <w:sz w:val="30"/>
                <w:szCs w:val="30"/>
              </w:rPr>
            </w:pPr>
            <w:r>
              <w:rPr>
                <w:b/>
                <w:sz w:val="30"/>
                <w:szCs w:val="30"/>
              </w:rPr>
              <w:t>4.2.</w:t>
            </w:r>
            <w:r>
              <w:rPr>
                <w:rFonts w:hint="eastAsia"/>
                <w:b/>
                <w:sz w:val="30"/>
                <w:szCs w:val="30"/>
              </w:rPr>
              <w:t>6</w:t>
            </w:r>
            <w:r>
              <w:rPr>
                <w:b/>
                <w:sz w:val="30"/>
                <w:szCs w:val="30"/>
                <w:lang w:val="zh-CN"/>
              </w:rPr>
              <w:t>环境风险</w:t>
            </w:r>
          </w:p>
          <w:p>
            <w:pPr>
              <w:pStyle w:val="38"/>
              <w:rPr>
                <w:rFonts w:cs="Times New Roman"/>
              </w:rPr>
            </w:pPr>
            <w:r>
              <w:rPr>
                <w:rFonts w:cs="Times New Roman"/>
              </w:rPr>
              <w:t>根据《建设项目环境风险评价技术导则》（HJ169-2018）以及《关于进一步加强环境影响评价管理防范环境风险的通知》（环发[2012]77号），环境风险评价应以突发性事故导致的危险物质环境急性损害防控为目标，对建设项目的环境风险进行分析、预测和评估，提出环境风险预防、控制、减缓措施。</w:t>
            </w:r>
          </w:p>
          <w:p>
            <w:pPr>
              <w:autoSpaceDE w:val="0"/>
              <w:autoSpaceDN w:val="0"/>
              <w:ind w:firstLine="452"/>
              <w:rPr>
                <w:rFonts w:cs="Times New Roman"/>
                <w:spacing w:val="-7"/>
                <w:lang w:val="zh-CN" w:bidi="zh-CN"/>
              </w:rPr>
            </w:pPr>
            <w:r>
              <w:rPr>
                <w:rFonts w:cs="Times New Roman"/>
                <w:spacing w:val="-7"/>
                <w:lang w:val="zh-CN" w:bidi="zh-CN"/>
              </w:rPr>
              <w:t>（</w:t>
            </w:r>
            <w:r>
              <w:rPr>
                <w:rFonts w:cs="Times New Roman"/>
                <w:spacing w:val="-7"/>
                <w:lang w:bidi="zh-CN"/>
              </w:rPr>
              <w:t>1</w:t>
            </w:r>
            <w:r>
              <w:rPr>
                <w:rFonts w:cs="Times New Roman"/>
                <w:spacing w:val="-7"/>
                <w:lang w:val="zh-CN" w:bidi="zh-CN"/>
              </w:rPr>
              <w:t>）评价工作等级</w:t>
            </w:r>
          </w:p>
          <w:p>
            <w:pPr>
              <w:pStyle w:val="63"/>
              <w:ind w:firstLine="480"/>
              <w:rPr>
                <w:color w:val="auto"/>
              </w:rPr>
            </w:pPr>
            <w:r>
              <w:rPr>
                <w:color w:val="auto"/>
              </w:rPr>
              <w:t>项目原料及产品不涉及易燃易爆、有毒有害、具氧反性的物质，涉及的主要风险物质为设备、和运输车辆使用的机油，均由外单位进场添加，厂区内不贮存机油，因此</w:t>
            </w:r>
            <w:r>
              <w:rPr>
                <w:snapToGrid w:val="0"/>
                <w:color w:val="auto"/>
                <w:szCs w:val="24"/>
              </w:rPr>
              <w:t>本项目Q值=0＜1，因此本项目环境风险潜势为I，评价工作等级划分为简单分析，等级划分依据见表4-1</w:t>
            </w:r>
            <w:r>
              <w:rPr>
                <w:rFonts w:hint="eastAsia"/>
                <w:snapToGrid w:val="0"/>
                <w:color w:val="auto"/>
                <w:szCs w:val="24"/>
              </w:rPr>
              <w:t>2</w:t>
            </w:r>
            <w:r>
              <w:rPr>
                <w:snapToGrid w:val="0"/>
                <w:color w:val="auto"/>
                <w:szCs w:val="24"/>
              </w:rPr>
              <w:t>，</w:t>
            </w:r>
            <w:r>
              <w:rPr>
                <w:color w:val="auto"/>
              </w:rPr>
              <w:t>分析内容见下表4-1</w:t>
            </w:r>
            <w:r>
              <w:rPr>
                <w:rFonts w:hint="eastAsia"/>
                <w:color w:val="auto"/>
              </w:rPr>
              <w:t>3</w:t>
            </w:r>
            <w:r>
              <w:rPr>
                <w:color w:val="auto"/>
              </w:rPr>
              <w:t>。</w:t>
            </w:r>
          </w:p>
          <w:p>
            <w:pPr>
              <w:pStyle w:val="63"/>
              <w:ind w:firstLine="2289" w:firstLineChars="950"/>
              <w:rPr>
                <w:b/>
                <w:color w:val="auto"/>
                <w:kern w:val="2"/>
                <w:szCs w:val="24"/>
              </w:rPr>
            </w:pPr>
            <w:r>
              <w:rPr>
                <w:b/>
                <w:color w:val="auto"/>
                <w:kern w:val="2"/>
                <w:szCs w:val="24"/>
              </w:rPr>
              <w:t>表4-1</w:t>
            </w:r>
            <w:r>
              <w:rPr>
                <w:rFonts w:hint="eastAsia"/>
                <w:b/>
                <w:color w:val="auto"/>
                <w:kern w:val="2"/>
                <w:szCs w:val="24"/>
              </w:rPr>
              <w:t>2</w:t>
            </w:r>
            <w:r>
              <w:rPr>
                <w:b/>
                <w:color w:val="auto"/>
                <w:kern w:val="2"/>
                <w:szCs w:val="24"/>
              </w:rPr>
              <w:t xml:space="preserve"> 风险评价等级划分一览表</w:t>
            </w:r>
          </w:p>
          <w:tbl>
            <w:tblPr>
              <w:tblStyle w:val="24"/>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1837"/>
              <w:gridCol w:w="1502"/>
              <w:gridCol w:w="1778"/>
              <w:gridCol w:w="1503"/>
              <w:gridCol w:w="10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65" w:hRule="atLeast"/>
              </w:trPr>
              <w:tc>
                <w:tcPr>
                  <w:tcW w:w="1837" w:type="dxa"/>
                  <w:vAlign w:val="center"/>
                </w:tcPr>
                <w:p>
                  <w:pPr>
                    <w:pStyle w:val="61"/>
                    <w:topLinePunct/>
                    <w:rPr>
                      <w:rFonts w:eastAsia="宋体"/>
                      <w:snapToGrid w:val="0"/>
                      <w:color w:val="auto"/>
                    </w:rPr>
                  </w:pPr>
                  <w:r>
                    <w:rPr>
                      <w:rFonts w:eastAsia="宋体"/>
                      <w:snapToGrid w:val="0"/>
                      <w:color w:val="auto"/>
                    </w:rPr>
                    <w:t>环境风险潜势</w:t>
                  </w:r>
                </w:p>
              </w:tc>
              <w:tc>
                <w:tcPr>
                  <w:tcW w:w="1502" w:type="dxa"/>
                  <w:vAlign w:val="center"/>
                </w:tcPr>
                <w:p>
                  <w:pPr>
                    <w:pStyle w:val="61"/>
                    <w:topLinePunct/>
                    <w:rPr>
                      <w:rFonts w:eastAsia="宋体"/>
                      <w:snapToGrid w:val="0"/>
                      <w:color w:val="auto"/>
                    </w:rPr>
                  </w:pPr>
                  <w:r>
                    <w:rPr>
                      <w:rFonts w:eastAsia="宋体"/>
                      <w:snapToGrid w:val="0"/>
                      <w:color w:val="auto"/>
                    </w:rPr>
                    <w:t>IV、IV+</w:t>
                  </w:r>
                </w:p>
              </w:tc>
              <w:tc>
                <w:tcPr>
                  <w:tcW w:w="1778" w:type="dxa"/>
                  <w:vAlign w:val="center"/>
                </w:tcPr>
                <w:p>
                  <w:pPr>
                    <w:pStyle w:val="61"/>
                    <w:topLinePunct/>
                    <w:rPr>
                      <w:rFonts w:eastAsia="宋体"/>
                      <w:snapToGrid w:val="0"/>
                      <w:color w:val="auto"/>
                    </w:rPr>
                  </w:pPr>
                  <w:r>
                    <w:rPr>
                      <w:rFonts w:eastAsia="宋体"/>
                      <w:snapToGrid w:val="0"/>
                      <w:color w:val="auto"/>
                    </w:rPr>
                    <w:t>III</w:t>
                  </w:r>
                </w:p>
              </w:tc>
              <w:tc>
                <w:tcPr>
                  <w:tcW w:w="1503" w:type="dxa"/>
                  <w:vAlign w:val="center"/>
                </w:tcPr>
                <w:p>
                  <w:pPr>
                    <w:pStyle w:val="61"/>
                    <w:topLinePunct/>
                    <w:rPr>
                      <w:rFonts w:eastAsia="宋体"/>
                      <w:snapToGrid w:val="0"/>
                      <w:color w:val="auto"/>
                    </w:rPr>
                  </w:pPr>
                  <w:r>
                    <w:rPr>
                      <w:rFonts w:eastAsia="宋体"/>
                      <w:snapToGrid w:val="0"/>
                      <w:color w:val="auto"/>
                    </w:rPr>
                    <w:t>II</w:t>
                  </w:r>
                </w:p>
              </w:tc>
              <w:tc>
                <w:tcPr>
                  <w:tcW w:w="1017" w:type="dxa"/>
                  <w:vAlign w:val="center"/>
                </w:tcPr>
                <w:p>
                  <w:pPr>
                    <w:pStyle w:val="61"/>
                    <w:topLinePunct/>
                    <w:rPr>
                      <w:rFonts w:eastAsia="宋体"/>
                      <w:snapToGrid w:val="0"/>
                      <w:color w:val="auto"/>
                    </w:rPr>
                  </w:pPr>
                  <w:r>
                    <w:rPr>
                      <w:rFonts w:eastAsia="宋体"/>
                      <w:snapToGrid w:val="0"/>
                      <w:color w:val="auto"/>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65" w:hRule="atLeast"/>
              </w:trPr>
              <w:tc>
                <w:tcPr>
                  <w:tcW w:w="1837" w:type="dxa"/>
                  <w:vAlign w:val="center"/>
                </w:tcPr>
                <w:p>
                  <w:pPr>
                    <w:pStyle w:val="61"/>
                    <w:topLinePunct/>
                    <w:rPr>
                      <w:rFonts w:eastAsia="宋体"/>
                      <w:snapToGrid w:val="0"/>
                      <w:color w:val="auto"/>
                    </w:rPr>
                  </w:pPr>
                  <w:r>
                    <w:rPr>
                      <w:rFonts w:eastAsia="宋体"/>
                      <w:snapToGrid w:val="0"/>
                      <w:color w:val="auto"/>
                    </w:rPr>
                    <w:t>评价工作等级</w:t>
                  </w:r>
                </w:p>
              </w:tc>
              <w:tc>
                <w:tcPr>
                  <w:tcW w:w="1502" w:type="dxa"/>
                  <w:vAlign w:val="center"/>
                </w:tcPr>
                <w:p>
                  <w:pPr>
                    <w:pStyle w:val="61"/>
                    <w:topLinePunct/>
                    <w:rPr>
                      <w:rFonts w:eastAsia="宋体"/>
                      <w:snapToGrid w:val="0"/>
                      <w:color w:val="auto"/>
                    </w:rPr>
                  </w:pPr>
                  <w:r>
                    <w:rPr>
                      <w:rFonts w:eastAsia="宋体"/>
                      <w:snapToGrid w:val="0"/>
                      <w:color w:val="auto"/>
                    </w:rPr>
                    <w:t>一</w:t>
                  </w:r>
                </w:p>
              </w:tc>
              <w:tc>
                <w:tcPr>
                  <w:tcW w:w="1778" w:type="dxa"/>
                  <w:vAlign w:val="center"/>
                </w:tcPr>
                <w:p>
                  <w:pPr>
                    <w:pStyle w:val="61"/>
                    <w:topLinePunct/>
                    <w:rPr>
                      <w:rFonts w:eastAsia="宋体"/>
                      <w:snapToGrid w:val="0"/>
                      <w:color w:val="auto"/>
                    </w:rPr>
                  </w:pPr>
                  <w:r>
                    <w:rPr>
                      <w:rFonts w:eastAsia="宋体"/>
                      <w:snapToGrid w:val="0"/>
                      <w:color w:val="auto"/>
                    </w:rPr>
                    <w:t>二</w:t>
                  </w:r>
                </w:p>
              </w:tc>
              <w:tc>
                <w:tcPr>
                  <w:tcW w:w="1503" w:type="dxa"/>
                  <w:vAlign w:val="center"/>
                </w:tcPr>
                <w:p>
                  <w:pPr>
                    <w:pStyle w:val="61"/>
                    <w:topLinePunct/>
                    <w:rPr>
                      <w:rFonts w:eastAsia="宋体"/>
                      <w:snapToGrid w:val="0"/>
                      <w:color w:val="auto"/>
                    </w:rPr>
                  </w:pPr>
                  <w:r>
                    <w:rPr>
                      <w:rFonts w:eastAsia="宋体"/>
                      <w:snapToGrid w:val="0"/>
                      <w:color w:val="auto"/>
                    </w:rPr>
                    <w:t>三</w:t>
                  </w:r>
                </w:p>
              </w:tc>
              <w:tc>
                <w:tcPr>
                  <w:tcW w:w="1017" w:type="dxa"/>
                  <w:vAlign w:val="center"/>
                </w:tcPr>
                <w:p>
                  <w:pPr>
                    <w:pStyle w:val="61"/>
                    <w:topLinePunct/>
                    <w:rPr>
                      <w:rFonts w:eastAsia="宋体"/>
                      <w:snapToGrid w:val="0"/>
                      <w:color w:val="auto"/>
                    </w:rPr>
                  </w:pPr>
                  <w:r>
                    <w:rPr>
                      <w:rFonts w:eastAsia="宋体"/>
                      <w:snapToGrid w:val="0"/>
                      <w:color w:val="auto"/>
                    </w:rPr>
                    <w:t>简单分析a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65" w:hRule="atLeast"/>
              </w:trPr>
              <w:tc>
                <w:tcPr>
                  <w:tcW w:w="7637" w:type="dxa"/>
                  <w:gridSpan w:val="5"/>
                  <w:vAlign w:val="center"/>
                </w:tcPr>
                <w:p>
                  <w:pPr>
                    <w:pStyle w:val="61"/>
                    <w:topLinePunct/>
                    <w:jc w:val="left"/>
                    <w:rPr>
                      <w:rFonts w:eastAsia="宋体"/>
                      <w:color w:val="auto"/>
                    </w:rPr>
                  </w:pPr>
                  <w:r>
                    <w:rPr>
                      <w:rFonts w:eastAsia="宋体"/>
                      <w:color w:val="auto"/>
                    </w:rPr>
                    <w:t>a：是相对于详细评价工作内容而言，在描述危险物质、环境影响途径、环境危害后果、风险防范措施等方面给出定性的说明</w:t>
                  </w:r>
                </w:p>
              </w:tc>
            </w:tr>
          </w:tbl>
          <w:p>
            <w:pPr>
              <w:pStyle w:val="63"/>
              <w:ind w:firstLine="480"/>
              <w:rPr>
                <w:color w:val="auto"/>
              </w:rPr>
            </w:pPr>
            <w:r>
              <w:rPr>
                <w:color w:val="auto"/>
              </w:rPr>
              <w:t>根据风险调查结果，本项目危险物质数量与临界值比值Q=0&lt;1，因此环境风险潜势为I，风险评价等级为简单评价。</w:t>
            </w:r>
          </w:p>
          <w:p>
            <w:pPr>
              <w:pStyle w:val="65"/>
              <w:ind w:firstLine="480"/>
            </w:pPr>
            <w:r>
              <w:t>表4-1</w:t>
            </w:r>
            <w:r>
              <w:rPr>
                <w:rFonts w:hint="eastAsia"/>
              </w:rPr>
              <w:t>3</w:t>
            </w:r>
            <w:r>
              <w:t xml:space="preserve"> 建设项目环境风险简单分析内容表</w:t>
            </w:r>
          </w:p>
          <w:tbl>
            <w:tblPr>
              <w:tblStyle w:val="24"/>
              <w:tblW w:w="789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1308"/>
              <w:gridCol w:w="1348"/>
              <w:gridCol w:w="2013"/>
              <w:gridCol w:w="993"/>
              <w:gridCol w:w="223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627" w:hRule="atLeast"/>
                <w:jc w:val="center"/>
              </w:trPr>
              <w:tc>
                <w:tcPr>
                  <w:tcW w:w="1308" w:type="dxa"/>
                  <w:vAlign w:val="center"/>
                </w:tcPr>
                <w:p>
                  <w:pPr>
                    <w:pStyle w:val="35"/>
                    <w:jc w:val="center"/>
                    <w:rPr>
                      <w:rFonts w:cs="Times New Roman"/>
                      <w:snapToGrid w:val="0"/>
                    </w:rPr>
                  </w:pPr>
                  <w:r>
                    <w:rPr>
                      <w:rFonts w:cs="Times New Roman"/>
                      <w:snapToGrid w:val="0"/>
                    </w:rPr>
                    <w:t>建设项目名称</w:t>
                  </w:r>
                </w:p>
              </w:tc>
              <w:tc>
                <w:tcPr>
                  <w:tcW w:w="6586" w:type="dxa"/>
                  <w:gridSpan w:val="4"/>
                  <w:vAlign w:val="center"/>
                </w:tcPr>
                <w:p>
                  <w:pPr>
                    <w:pStyle w:val="35"/>
                    <w:jc w:val="center"/>
                    <w:rPr>
                      <w:rFonts w:cs="Times New Roman"/>
                      <w:snapToGrid w:val="0"/>
                    </w:rPr>
                  </w:pPr>
                  <w:r>
                    <w:rPr>
                      <w:rFonts w:cs="Times New Roman"/>
                    </w:rPr>
                    <w:t>明溪县兴发矿业有限公司年产50万吨破碎石生产线建设项目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03" w:hRule="atLeast"/>
                <w:jc w:val="center"/>
              </w:trPr>
              <w:tc>
                <w:tcPr>
                  <w:tcW w:w="1308" w:type="dxa"/>
                  <w:vAlign w:val="center"/>
                </w:tcPr>
                <w:p>
                  <w:pPr>
                    <w:pStyle w:val="35"/>
                    <w:jc w:val="center"/>
                    <w:rPr>
                      <w:rFonts w:cs="Times New Roman"/>
                      <w:snapToGrid w:val="0"/>
                    </w:rPr>
                  </w:pPr>
                  <w:r>
                    <w:rPr>
                      <w:rFonts w:cs="Times New Roman"/>
                      <w:snapToGrid w:val="0"/>
                    </w:rPr>
                    <w:t>建设地点</w:t>
                  </w:r>
                </w:p>
              </w:tc>
              <w:tc>
                <w:tcPr>
                  <w:tcW w:w="3361" w:type="dxa"/>
                  <w:gridSpan w:val="2"/>
                  <w:vAlign w:val="center"/>
                </w:tcPr>
                <w:p>
                  <w:pPr>
                    <w:pStyle w:val="35"/>
                    <w:jc w:val="center"/>
                    <w:rPr>
                      <w:rFonts w:cs="Times New Roman"/>
                      <w:snapToGrid w:val="0"/>
                    </w:rPr>
                  </w:pPr>
                  <w:r>
                    <w:rPr>
                      <w:rFonts w:cs="Times New Roman"/>
                      <w:snapToGrid w:val="0"/>
                    </w:rPr>
                    <w:t>三明市</w:t>
                  </w:r>
                </w:p>
              </w:tc>
              <w:tc>
                <w:tcPr>
                  <w:tcW w:w="993" w:type="dxa"/>
                  <w:vAlign w:val="center"/>
                </w:tcPr>
                <w:p>
                  <w:pPr>
                    <w:pStyle w:val="35"/>
                    <w:jc w:val="center"/>
                    <w:rPr>
                      <w:rFonts w:cs="Times New Roman"/>
                      <w:snapToGrid w:val="0"/>
                    </w:rPr>
                  </w:pPr>
                  <w:r>
                    <w:rPr>
                      <w:rFonts w:cs="Times New Roman"/>
                      <w:snapToGrid w:val="0"/>
                    </w:rPr>
                    <w:t>明溪县</w:t>
                  </w:r>
                </w:p>
              </w:tc>
              <w:tc>
                <w:tcPr>
                  <w:tcW w:w="2232" w:type="dxa"/>
                  <w:vAlign w:val="center"/>
                </w:tcPr>
                <w:p>
                  <w:pPr>
                    <w:pStyle w:val="35"/>
                    <w:jc w:val="center"/>
                    <w:rPr>
                      <w:rFonts w:cs="Times New Roman"/>
                      <w:snapToGrid w:val="0"/>
                    </w:rPr>
                  </w:pPr>
                  <w:r>
                    <w:rPr>
                      <w:rFonts w:cs="Times New Roman"/>
                    </w:rPr>
                    <w:t>城关乡王桥村叶厝坑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1308" w:type="dxa"/>
                  <w:vAlign w:val="center"/>
                </w:tcPr>
                <w:p>
                  <w:pPr>
                    <w:pStyle w:val="35"/>
                    <w:jc w:val="center"/>
                    <w:rPr>
                      <w:rFonts w:cs="Times New Roman"/>
                      <w:snapToGrid w:val="0"/>
                    </w:rPr>
                  </w:pPr>
                  <w:r>
                    <w:rPr>
                      <w:rFonts w:cs="Times New Roman"/>
                      <w:snapToGrid w:val="0"/>
                    </w:rPr>
                    <w:t>地理坐标</w:t>
                  </w:r>
                </w:p>
              </w:tc>
              <w:tc>
                <w:tcPr>
                  <w:tcW w:w="1348" w:type="dxa"/>
                  <w:vAlign w:val="center"/>
                </w:tcPr>
                <w:p>
                  <w:pPr>
                    <w:pStyle w:val="35"/>
                    <w:jc w:val="center"/>
                    <w:rPr>
                      <w:rFonts w:cs="Times New Roman"/>
                      <w:snapToGrid w:val="0"/>
                    </w:rPr>
                  </w:pPr>
                  <w:r>
                    <w:rPr>
                      <w:rFonts w:cs="Times New Roman"/>
                      <w:snapToGrid w:val="0"/>
                    </w:rPr>
                    <w:t>经度（E）</w:t>
                  </w:r>
                </w:p>
              </w:tc>
              <w:tc>
                <w:tcPr>
                  <w:tcW w:w="2013" w:type="dxa"/>
                  <w:vAlign w:val="center"/>
                </w:tcPr>
                <w:p>
                  <w:pPr>
                    <w:pStyle w:val="35"/>
                    <w:jc w:val="center"/>
                    <w:rPr>
                      <w:rFonts w:cs="Times New Roman"/>
                      <w:snapToGrid w:val="0"/>
                    </w:rPr>
                  </w:pPr>
                  <w:r>
                    <w:rPr>
                      <w:rFonts w:cs="Times New Roman"/>
                    </w:rPr>
                    <w:t>117°10′53.67″</w:t>
                  </w:r>
                </w:p>
              </w:tc>
              <w:tc>
                <w:tcPr>
                  <w:tcW w:w="993" w:type="dxa"/>
                  <w:vAlign w:val="center"/>
                </w:tcPr>
                <w:p>
                  <w:pPr>
                    <w:pStyle w:val="35"/>
                    <w:jc w:val="center"/>
                    <w:rPr>
                      <w:rFonts w:cs="Times New Roman"/>
                      <w:snapToGrid w:val="0"/>
                    </w:rPr>
                  </w:pPr>
                  <w:r>
                    <w:rPr>
                      <w:rFonts w:cs="Times New Roman"/>
                      <w:snapToGrid w:val="0"/>
                    </w:rPr>
                    <w:t>纬度（N）</w:t>
                  </w:r>
                </w:p>
              </w:tc>
              <w:tc>
                <w:tcPr>
                  <w:tcW w:w="2232" w:type="dxa"/>
                  <w:vAlign w:val="center"/>
                </w:tcPr>
                <w:p>
                  <w:pPr>
                    <w:pStyle w:val="35"/>
                    <w:jc w:val="center"/>
                    <w:rPr>
                      <w:rFonts w:cs="Times New Roman"/>
                      <w:snapToGrid w:val="0"/>
                    </w:rPr>
                  </w:pPr>
                  <w:r>
                    <w:rPr>
                      <w:rFonts w:cs="Times New Roman"/>
                    </w:rPr>
                    <w:t>26°22′9.92″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627" w:hRule="atLeast"/>
                <w:jc w:val="center"/>
              </w:trPr>
              <w:tc>
                <w:tcPr>
                  <w:tcW w:w="1308" w:type="dxa"/>
                  <w:vAlign w:val="center"/>
                </w:tcPr>
                <w:p>
                  <w:pPr>
                    <w:pStyle w:val="35"/>
                    <w:jc w:val="center"/>
                    <w:rPr>
                      <w:rFonts w:cs="Times New Roman"/>
                      <w:snapToGrid w:val="0"/>
                    </w:rPr>
                  </w:pPr>
                  <w:r>
                    <w:rPr>
                      <w:rFonts w:cs="Times New Roman"/>
                      <w:snapToGrid w:val="0"/>
                    </w:rPr>
                    <w:t>主要危险物质及分布</w:t>
                  </w:r>
                </w:p>
              </w:tc>
              <w:tc>
                <w:tcPr>
                  <w:tcW w:w="6586" w:type="dxa"/>
                  <w:gridSpan w:val="4"/>
                  <w:vAlign w:val="center"/>
                </w:tcPr>
                <w:p>
                  <w:pPr>
                    <w:pStyle w:val="35"/>
                    <w:jc w:val="center"/>
                    <w:rPr>
                      <w:rFonts w:cs="Times New Roman"/>
                      <w:snapToGrid w:val="0"/>
                    </w:rPr>
                  </w:pPr>
                  <w:r>
                    <w:rPr>
                      <w:rFonts w:cs="Times New Roman"/>
                      <w:snapToGrid w:val="0"/>
                    </w:rPr>
                    <w:t>设备上使用的机油，项目机油使用量较少，不在厂房内储存。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657" w:hRule="atLeast"/>
                <w:jc w:val="center"/>
              </w:trPr>
              <w:tc>
                <w:tcPr>
                  <w:tcW w:w="1308" w:type="dxa"/>
                  <w:vAlign w:val="center"/>
                </w:tcPr>
                <w:p>
                  <w:pPr>
                    <w:pStyle w:val="35"/>
                    <w:jc w:val="center"/>
                    <w:rPr>
                      <w:rFonts w:cs="Times New Roman"/>
                      <w:snapToGrid w:val="0"/>
                    </w:rPr>
                  </w:pPr>
                  <w:r>
                    <w:rPr>
                      <w:rFonts w:cs="Times New Roman"/>
                      <w:snapToGrid w:val="0"/>
                    </w:rPr>
                    <w:t>环境影响途径及危害后果</w:t>
                  </w:r>
                </w:p>
              </w:tc>
              <w:tc>
                <w:tcPr>
                  <w:tcW w:w="6586" w:type="dxa"/>
                  <w:gridSpan w:val="4"/>
                  <w:vAlign w:val="center"/>
                </w:tcPr>
                <w:p>
                  <w:pPr>
                    <w:pStyle w:val="35"/>
                    <w:rPr>
                      <w:rFonts w:cs="Times New Roman"/>
                      <w:snapToGrid w:val="0"/>
                    </w:rPr>
                  </w:pPr>
                  <w:r>
                    <w:rPr>
                      <w:rFonts w:cs="Times New Roman"/>
                      <w:snapToGrid w:val="0"/>
                    </w:rPr>
                    <w:t>本项目机油属于矿物油类物质，泄漏遇明火具有一定可燃性，可能影响环境的途径主要是通过大气途径。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1660" w:hRule="atLeast"/>
                <w:jc w:val="center"/>
              </w:trPr>
              <w:tc>
                <w:tcPr>
                  <w:tcW w:w="1308" w:type="dxa"/>
                  <w:vAlign w:val="center"/>
                </w:tcPr>
                <w:p>
                  <w:pPr>
                    <w:pStyle w:val="35"/>
                    <w:jc w:val="center"/>
                    <w:rPr>
                      <w:rFonts w:cs="Times New Roman"/>
                      <w:snapToGrid w:val="0"/>
                    </w:rPr>
                  </w:pPr>
                  <w:r>
                    <w:rPr>
                      <w:rFonts w:cs="Times New Roman"/>
                      <w:snapToGrid w:val="0"/>
                    </w:rPr>
                    <w:t>风险防范措施要求及应急要求</w:t>
                  </w:r>
                </w:p>
              </w:tc>
              <w:tc>
                <w:tcPr>
                  <w:tcW w:w="6586" w:type="dxa"/>
                  <w:gridSpan w:val="4"/>
                  <w:vAlign w:val="center"/>
                </w:tcPr>
                <w:p>
                  <w:pPr>
                    <w:pStyle w:val="35"/>
                    <w:rPr>
                      <w:rFonts w:cs="Times New Roman"/>
                    </w:rPr>
                  </w:pPr>
                  <w:r>
                    <w:rPr>
                      <w:rFonts w:cs="Times New Roman"/>
                    </w:rPr>
                    <w:t>（1）严格按照相关设计规范和要求落实防护设施，制定安全操作规章制度，加强安全意识教育，加强监督管理，消除事故隐患。</w:t>
                  </w:r>
                </w:p>
                <w:p>
                  <w:pPr>
                    <w:pStyle w:val="35"/>
                    <w:rPr>
                      <w:rFonts w:cs="Times New Roman"/>
                    </w:rPr>
                  </w:pPr>
                  <w:r>
                    <w:rPr>
                      <w:rFonts w:cs="Times New Roman"/>
                    </w:rPr>
                    <w:t>（2）化学品一旦泄漏使用吸油棉、砂子等吸附或抽入容器内，委托有资质危废单位外运处置。</w:t>
                  </w:r>
                </w:p>
                <w:p>
                  <w:pPr>
                    <w:pStyle w:val="35"/>
                    <w:rPr>
                      <w:rFonts w:cs="Times New Roman"/>
                    </w:rPr>
                  </w:pPr>
                  <w:r>
                    <w:rPr>
                      <w:rFonts w:cs="Times New Roman"/>
                    </w:rPr>
                    <w:t>（3）建立程序、事故报告等管理制度，一旦发生事故应当及时上报，妥善进行事故的应急处置。</w:t>
                  </w:r>
                </w:p>
                <w:p>
                  <w:pPr>
                    <w:pStyle w:val="35"/>
                    <w:rPr>
                      <w:rFonts w:cs="Times New Roman"/>
                      <w:snapToGrid w:val="0"/>
                    </w:rPr>
                  </w:pPr>
                  <w:r>
                    <w:rPr>
                      <w:rFonts w:cs="Times New Roman"/>
                    </w:rPr>
                    <w:t>在采取以上措施后，本项目建设对厂区周围环境的影响可防控。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1498" w:hRule="atLeast"/>
                <w:jc w:val="center"/>
              </w:trPr>
              <w:tc>
                <w:tcPr>
                  <w:tcW w:w="1308" w:type="dxa"/>
                  <w:vAlign w:val="center"/>
                </w:tcPr>
                <w:p>
                  <w:pPr>
                    <w:pStyle w:val="35"/>
                    <w:jc w:val="center"/>
                    <w:rPr>
                      <w:rFonts w:cs="Times New Roman"/>
                      <w:snapToGrid w:val="0"/>
                    </w:rPr>
                  </w:pPr>
                  <w:r>
                    <w:rPr>
                      <w:rFonts w:cs="Times New Roman"/>
                      <w:snapToGrid w:val="0"/>
                    </w:rPr>
                    <w:t>填表说明</w:t>
                  </w:r>
                </w:p>
              </w:tc>
              <w:tc>
                <w:tcPr>
                  <w:tcW w:w="6586" w:type="dxa"/>
                  <w:gridSpan w:val="4"/>
                  <w:vAlign w:val="center"/>
                </w:tcPr>
                <w:p>
                  <w:pPr>
                    <w:pStyle w:val="35"/>
                    <w:rPr>
                      <w:rFonts w:cs="Times New Roman"/>
                    </w:rPr>
                  </w:pPr>
                  <w:r>
                    <w:rPr>
                      <w:rFonts w:cs="Times New Roman"/>
                    </w:rPr>
                    <w:t>本项目危险物质数量与临界值比值Q=0&lt;1，因此环境风险潜势为I，风险评价等级为简单评价。</w:t>
                  </w:r>
                </w:p>
                <w:p>
                  <w:pPr>
                    <w:pStyle w:val="35"/>
                    <w:rPr>
                      <w:rFonts w:cs="Times New Roman"/>
                    </w:rPr>
                  </w:pPr>
                  <w:r>
                    <w:rPr>
                      <w:rFonts w:cs="Times New Roman"/>
                    </w:rPr>
                    <w:t>在加强教育、规范使用的情况下，项目环境风险可防可控。在事故发生后，及时采取有效的处理措施，本项目环境风险处于可接受水平。</w:t>
                  </w:r>
                </w:p>
              </w:tc>
            </w:tr>
          </w:tbl>
          <w:p>
            <w:pPr>
              <w:pStyle w:val="47"/>
              <w:ind w:firstLine="0" w:firstLineChars="0"/>
              <w:rPr>
                <w:b/>
                <w:sz w:val="30"/>
                <w:szCs w:val="30"/>
              </w:rPr>
            </w:pPr>
            <w:r>
              <w:rPr>
                <w:b/>
                <w:sz w:val="30"/>
                <w:szCs w:val="30"/>
              </w:rPr>
              <w:t>4.2.7</w:t>
            </w:r>
            <w:r>
              <w:rPr>
                <w:b/>
                <w:bCs/>
                <w:sz w:val="30"/>
                <w:szCs w:val="30"/>
                <w:lang w:val="zh-CN"/>
              </w:rPr>
              <w:t>电磁辐射</w:t>
            </w:r>
          </w:p>
          <w:p>
            <w:pPr>
              <w:pStyle w:val="47"/>
              <w:ind w:firstLine="480"/>
            </w:pPr>
            <w:r>
              <w:t>本项目不涉及电磁辐射源。</w:t>
            </w:r>
          </w:p>
        </w:tc>
      </w:tr>
    </w:tbl>
    <w:p>
      <w:pPr>
        <w:ind w:firstLine="0" w:firstLineChars="0"/>
        <w:rPr>
          <w:rFonts w:cs="Times New Roman"/>
        </w:rPr>
      </w:pPr>
    </w:p>
    <w:p>
      <w:pPr>
        <w:pStyle w:val="6"/>
        <w:ind w:firstLine="602"/>
        <w:jc w:val="center"/>
        <w:rPr>
          <w:rFonts w:cs="Times New Roman"/>
        </w:rPr>
        <w:sectPr>
          <w:pgSz w:w="11906" w:h="16838"/>
          <w:pgMar w:top="1440" w:right="1800" w:bottom="1440" w:left="1800" w:header="851" w:footer="992" w:gutter="0"/>
          <w:cols w:space="720" w:num="1"/>
          <w:docGrid w:type="lines" w:linePitch="312" w:charSpace="0"/>
        </w:sectPr>
      </w:pPr>
    </w:p>
    <w:p>
      <w:pPr>
        <w:pStyle w:val="6"/>
        <w:ind w:firstLine="602"/>
        <w:jc w:val="center"/>
        <w:rPr>
          <w:rFonts w:cs="Times New Roman"/>
        </w:rPr>
      </w:pPr>
      <w:r>
        <w:rPr>
          <w:rFonts w:cs="Times New Roman"/>
        </w:rPr>
        <w:t>环境保护措施监督检查清单</w:t>
      </w:r>
    </w:p>
    <w:tbl>
      <w:tblPr>
        <w:tblStyle w:val="24"/>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80"/>
        <w:gridCol w:w="1020"/>
        <w:gridCol w:w="2055"/>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ind w:firstLine="0" w:firstLineChars="0"/>
              <w:jc w:val="center"/>
              <w:rPr>
                <w:rFonts w:cs="Times New Roman"/>
              </w:rPr>
            </w:pPr>
            <w:r>
              <w:rPr>
                <w:rFonts w:cs="Times New Roman"/>
              </w:rPr>
              <w:t>内容</w:t>
            </w:r>
          </w:p>
        </w:tc>
        <w:tc>
          <w:tcPr>
            <w:tcW w:w="1380" w:type="dxa"/>
            <w:vAlign w:val="center"/>
          </w:tcPr>
          <w:p>
            <w:pPr>
              <w:ind w:firstLine="0" w:firstLineChars="0"/>
              <w:jc w:val="center"/>
              <w:rPr>
                <w:rFonts w:cs="Times New Roman"/>
              </w:rPr>
            </w:pPr>
            <w:r>
              <w:rPr>
                <w:rFonts w:cs="Times New Roman"/>
              </w:rPr>
              <w:t>厂界污染源</w:t>
            </w:r>
          </w:p>
        </w:tc>
        <w:tc>
          <w:tcPr>
            <w:tcW w:w="1020" w:type="dxa"/>
            <w:vAlign w:val="center"/>
          </w:tcPr>
          <w:p>
            <w:pPr>
              <w:ind w:firstLine="0" w:firstLineChars="0"/>
              <w:jc w:val="center"/>
              <w:rPr>
                <w:rFonts w:cs="Times New Roman"/>
              </w:rPr>
            </w:pPr>
            <w:r>
              <w:rPr>
                <w:rFonts w:cs="Times New Roman"/>
              </w:rPr>
              <w:t>污染物</w:t>
            </w:r>
          </w:p>
        </w:tc>
        <w:tc>
          <w:tcPr>
            <w:tcW w:w="2055" w:type="dxa"/>
            <w:vAlign w:val="center"/>
          </w:tcPr>
          <w:p>
            <w:pPr>
              <w:ind w:firstLine="0" w:firstLineChars="0"/>
              <w:jc w:val="center"/>
              <w:rPr>
                <w:rFonts w:cs="Times New Roman"/>
              </w:rPr>
            </w:pPr>
            <w:r>
              <w:rPr>
                <w:rFonts w:cs="Times New Roman"/>
              </w:rPr>
              <w:t>环保措施</w:t>
            </w:r>
          </w:p>
        </w:tc>
        <w:tc>
          <w:tcPr>
            <w:tcW w:w="2733" w:type="dxa"/>
            <w:vAlign w:val="center"/>
          </w:tcPr>
          <w:p>
            <w:pPr>
              <w:ind w:firstLine="0" w:firstLineChars="0"/>
              <w:jc w:val="center"/>
              <w:rPr>
                <w:rFonts w:cs="Times New Roman"/>
              </w:rPr>
            </w:pPr>
            <w:r>
              <w:rPr>
                <w:rFonts w:cs="Times New Roma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vAlign w:val="center"/>
          </w:tcPr>
          <w:p>
            <w:pPr>
              <w:ind w:firstLine="0" w:firstLineChars="0"/>
              <w:jc w:val="center"/>
              <w:rPr>
                <w:rFonts w:cs="Times New Roman"/>
              </w:rPr>
            </w:pPr>
            <w:r>
              <w:rPr>
                <w:rFonts w:cs="Times New Roman"/>
              </w:rPr>
              <w:t>大气</w:t>
            </w:r>
          </w:p>
          <w:p>
            <w:pPr>
              <w:ind w:firstLine="0" w:firstLineChars="0"/>
              <w:jc w:val="center"/>
              <w:rPr>
                <w:rFonts w:cs="Times New Roman"/>
              </w:rPr>
            </w:pPr>
            <w:r>
              <w:rPr>
                <w:rFonts w:cs="Times New Roman"/>
              </w:rPr>
              <w:t>环境</w:t>
            </w:r>
          </w:p>
        </w:tc>
        <w:tc>
          <w:tcPr>
            <w:tcW w:w="1380" w:type="dxa"/>
            <w:vAlign w:val="center"/>
          </w:tcPr>
          <w:p>
            <w:pPr>
              <w:ind w:firstLine="0" w:firstLineChars="0"/>
              <w:jc w:val="center"/>
              <w:rPr>
                <w:rFonts w:cs="Times New Roman"/>
              </w:rPr>
            </w:pPr>
            <w:r>
              <w:rPr>
                <w:rFonts w:cs="Times New Roman"/>
              </w:rPr>
              <w:t>装卸粉尘</w:t>
            </w:r>
          </w:p>
        </w:tc>
        <w:tc>
          <w:tcPr>
            <w:tcW w:w="1020" w:type="dxa"/>
            <w:vMerge w:val="restart"/>
            <w:vAlign w:val="center"/>
          </w:tcPr>
          <w:p>
            <w:pPr>
              <w:ind w:firstLine="0" w:firstLineChars="0"/>
              <w:jc w:val="center"/>
              <w:rPr>
                <w:rFonts w:cs="Times New Roman"/>
              </w:rPr>
            </w:pPr>
            <w:r>
              <w:rPr>
                <w:rFonts w:cs="Times New Roman"/>
              </w:rPr>
              <w:t>颗粒物</w:t>
            </w:r>
          </w:p>
        </w:tc>
        <w:tc>
          <w:tcPr>
            <w:tcW w:w="2055" w:type="dxa"/>
            <w:vMerge w:val="restart"/>
            <w:vAlign w:val="center"/>
          </w:tcPr>
          <w:p>
            <w:pPr>
              <w:ind w:firstLine="0" w:firstLineChars="0"/>
              <w:jc w:val="center"/>
              <w:rPr>
                <w:rFonts w:cs="Times New Roman"/>
              </w:rPr>
            </w:pPr>
            <w:r>
              <w:rPr>
                <w:rFonts w:hint="eastAsia" w:cs="Times New Roman"/>
              </w:rPr>
              <w:t>对主要破碎区域封闭处理，各设备上方安装喷淋洒水除尘，</w:t>
            </w:r>
            <w:r>
              <w:rPr>
                <w:rFonts w:cs="Times New Roman"/>
              </w:rPr>
              <w:t>运输车辆加盖篷布</w:t>
            </w:r>
          </w:p>
        </w:tc>
        <w:tc>
          <w:tcPr>
            <w:tcW w:w="2733" w:type="dxa"/>
            <w:vMerge w:val="restart"/>
            <w:vAlign w:val="center"/>
          </w:tcPr>
          <w:p>
            <w:pPr>
              <w:ind w:firstLine="0" w:firstLineChars="0"/>
              <w:jc w:val="center"/>
              <w:rPr>
                <w:rFonts w:cs="Times New Roman"/>
                <w:vertAlign w:val="superscript"/>
              </w:rPr>
            </w:pPr>
            <w:r>
              <w:rPr>
                <w:rFonts w:cs="Times New Roman"/>
              </w:rPr>
              <w:t>《大气污染物综合排放标准》（GB16297-1996）中的无组织排放。即场区周界外最高点浓度≤1.0mg/m</w:t>
            </w:r>
            <w:r>
              <w:rPr>
                <w:rFonts w:cs="Times New Roman"/>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ind w:firstLine="0" w:firstLineChars="0"/>
              <w:jc w:val="center"/>
              <w:rPr>
                <w:rFonts w:cs="Times New Roman"/>
              </w:rPr>
            </w:pPr>
          </w:p>
        </w:tc>
        <w:tc>
          <w:tcPr>
            <w:tcW w:w="1380" w:type="dxa"/>
            <w:vAlign w:val="center"/>
          </w:tcPr>
          <w:p>
            <w:pPr>
              <w:ind w:firstLine="0" w:firstLineChars="0"/>
              <w:jc w:val="center"/>
              <w:rPr>
                <w:rFonts w:cs="Times New Roman"/>
              </w:rPr>
            </w:pPr>
            <w:r>
              <w:rPr>
                <w:rFonts w:cs="Times New Roman"/>
              </w:rPr>
              <w:t>车辆扬尘</w:t>
            </w:r>
          </w:p>
        </w:tc>
        <w:tc>
          <w:tcPr>
            <w:tcW w:w="1020" w:type="dxa"/>
            <w:vMerge w:val="continue"/>
            <w:vAlign w:val="center"/>
          </w:tcPr>
          <w:p>
            <w:pPr>
              <w:ind w:firstLine="0" w:firstLineChars="0"/>
              <w:jc w:val="center"/>
              <w:rPr>
                <w:rFonts w:cs="Times New Roman"/>
              </w:rPr>
            </w:pPr>
          </w:p>
        </w:tc>
        <w:tc>
          <w:tcPr>
            <w:tcW w:w="2055" w:type="dxa"/>
            <w:vMerge w:val="continue"/>
            <w:vAlign w:val="center"/>
          </w:tcPr>
          <w:p>
            <w:pPr>
              <w:ind w:firstLine="480"/>
              <w:jc w:val="center"/>
              <w:rPr>
                <w:rFonts w:cs="Times New Roman"/>
              </w:rPr>
            </w:pPr>
          </w:p>
        </w:tc>
        <w:tc>
          <w:tcPr>
            <w:tcW w:w="2733" w:type="dxa"/>
            <w:vMerge w:val="continue"/>
            <w:vAlign w:val="center"/>
          </w:tcPr>
          <w:p>
            <w:pPr>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ind w:firstLine="0" w:firstLineChars="0"/>
              <w:jc w:val="center"/>
              <w:rPr>
                <w:rFonts w:cs="Times New Roman"/>
              </w:rPr>
            </w:pPr>
          </w:p>
        </w:tc>
        <w:tc>
          <w:tcPr>
            <w:tcW w:w="1380" w:type="dxa"/>
            <w:vAlign w:val="center"/>
          </w:tcPr>
          <w:p>
            <w:pPr>
              <w:ind w:firstLine="0" w:firstLineChars="0"/>
              <w:jc w:val="center"/>
              <w:rPr>
                <w:rFonts w:cs="Times New Roman"/>
              </w:rPr>
            </w:pPr>
            <w:r>
              <w:rPr>
                <w:rFonts w:cs="Times New Roman"/>
              </w:rPr>
              <w:t>破碎粉尘</w:t>
            </w:r>
          </w:p>
        </w:tc>
        <w:tc>
          <w:tcPr>
            <w:tcW w:w="1020" w:type="dxa"/>
            <w:vMerge w:val="continue"/>
            <w:vAlign w:val="center"/>
          </w:tcPr>
          <w:p>
            <w:pPr>
              <w:ind w:firstLine="0" w:firstLineChars="0"/>
              <w:jc w:val="center"/>
              <w:rPr>
                <w:rFonts w:cs="Times New Roman"/>
              </w:rPr>
            </w:pPr>
          </w:p>
        </w:tc>
        <w:tc>
          <w:tcPr>
            <w:tcW w:w="2055" w:type="dxa"/>
            <w:vMerge w:val="continue"/>
            <w:vAlign w:val="center"/>
          </w:tcPr>
          <w:p>
            <w:pPr>
              <w:ind w:firstLine="480"/>
              <w:jc w:val="center"/>
              <w:rPr>
                <w:rFonts w:cs="Times New Roman"/>
              </w:rPr>
            </w:pPr>
          </w:p>
        </w:tc>
        <w:tc>
          <w:tcPr>
            <w:tcW w:w="2733" w:type="dxa"/>
            <w:vMerge w:val="continue"/>
            <w:vAlign w:val="center"/>
          </w:tcPr>
          <w:p>
            <w:pPr>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ind w:firstLine="0" w:firstLineChars="0"/>
              <w:jc w:val="center"/>
              <w:rPr>
                <w:rFonts w:cs="Times New Roman"/>
              </w:rPr>
            </w:pPr>
          </w:p>
        </w:tc>
        <w:tc>
          <w:tcPr>
            <w:tcW w:w="1380" w:type="dxa"/>
            <w:vAlign w:val="center"/>
          </w:tcPr>
          <w:p>
            <w:pPr>
              <w:ind w:firstLine="0" w:firstLineChars="0"/>
              <w:jc w:val="center"/>
              <w:rPr>
                <w:rFonts w:cs="Times New Roman"/>
              </w:rPr>
            </w:pPr>
            <w:r>
              <w:rPr>
                <w:rFonts w:cs="Times New Roman"/>
              </w:rPr>
              <w:t>筛分粉尘</w:t>
            </w:r>
          </w:p>
        </w:tc>
        <w:tc>
          <w:tcPr>
            <w:tcW w:w="1020" w:type="dxa"/>
            <w:vMerge w:val="continue"/>
            <w:vAlign w:val="center"/>
          </w:tcPr>
          <w:p>
            <w:pPr>
              <w:ind w:firstLine="0" w:firstLineChars="0"/>
              <w:jc w:val="center"/>
              <w:rPr>
                <w:rFonts w:cs="Times New Roman"/>
              </w:rPr>
            </w:pPr>
          </w:p>
        </w:tc>
        <w:tc>
          <w:tcPr>
            <w:tcW w:w="2055" w:type="dxa"/>
            <w:vMerge w:val="continue"/>
            <w:vAlign w:val="center"/>
          </w:tcPr>
          <w:p>
            <w:pPr>
              <w:ind w:firstLine="0" w:firstLineChars="0"/>
              <w:jc w:val="center"/>
              <w:rPr>
                <w:rFonts w:cs="Times New Roman"/>
              </w:rPr>
            </w:pPr>
          </w:p>
        </w:tc>
        <w:tc>
          <w:tcPr>
            <w:tcW w:w="2733" w:type="dxa"/>
            <w:vMerge w:val="continue"/>
            <w:vAlign w:val="center"/>
          </w:tcPr>
          <w:p>
            <w:pPr>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vAlign w:val="center"/>
          </w:tcPr>
          <w:p>
            <w:pPr>
              <w:ind w:firstLine="0" w:firstLineChars="0"/>
              <w:jc w:val="center"/>
              <w:rPr>
                <w:rFonts w:cs="Times New Roman"/>
              </w:rPr>
            </w:pPr>
            <w:r>
              <w:rPr>
                <w:rFonts w:cs="Times New Roman"/>
              </w:rPr>
              <w:t>水环境</w:t>
            </w:r>
          </w:p>
        </w:tc>
        <w:tc>
          <w:tcPr>
            <w:tcW w:w="1380" w:type="dxa"/>
            <w:vAlign w:val="center"/>
          </w:tcPr>
          <w:p>
            <w:pPr>
              <w:ind w:firstLine="0" w:firstLineChars="0"/>
              <w:jc w:val="center"/>
              <w:rPr>
                <w:rFonts w:cs="Times New Roman"/>
              </w:rPr>
            </w:pPr>
            <w:r>
              <w:rPr>
                <w:rFonts w:cs="Times New Roman"/>
              </w:rPr>
              <w:t>生活污水</w:t>
            </w:r>
          </w:p>
        </w:tc>
        <w:tc>
          <w:tcPr>
            <w:tcW w:w="1020" w:type="dxa"/>
            <w:vAlign w:val="center"/>
          </w:tcPr>
          <w:p>
            <w:pPr>
              <w:ind w:firstLine="0" w:firstLineChars="0"/>
              <w:jc w:val="center"/>
              <w:rPr>
                <w:rFonts w:cs="Times New Roman"/>
              </w:rPr>
            </w:pPr>
            <w:r>
              <w:rPr>
                <w:rFonts w:cs="Times New Roman"/>
              </w:rPr>
              <w:t>COD</w:t>
            </w:r>
          </w:p>
          <w:p>
            <w:pPr>
              <w:ind w:firstLine="0" w:firstLineChars="0"/>
              <w:jc w:val="center"/>
              <w:rPr>
                <w:rFonts w:cs="Times New Roman"/>
              </w:rPr>
            </w:pPr>
            <w:r>
              <w:rPr>
                <w:rFonts w:cs="Times New Roman"/>
              </w:rPr>
              <w:t>BOD</w:t>
            </w:r>
          </w:p>
          <w:p>
            <w:pPr>
              <w:ind w:firstLine="0" w:firstLineChars="0"/>
              <w:jc w:val="center"/>
              <w:rPr>
                <w:rFonts w:cs="Times New Roman"/>
              </w:rPr>
            </w:pPr>
            <w:r>
              <w:rPr>
                <w:rFonts w:cs="Times New Roman"/>
              </w:rPr>
              <w:t>NH</w:t>
            </w:r>
            <w:r>
              <w:rPr>
                <w:rFonts w:cs="Times New Roman"/>
                <w:vertAlign w:val="superscript"/>
              </w:rPr>
              <w:t>3</w:t>
            </w:r>
            <w:r>
              <w:rPr>
                <w:rFonts w:cs="Times New Roman"/>
              </w:rPr>
              <w:t>-N</w:t>
            </w:r>
          </w:p>
        </w:tc>
        <w:tc>
          <w:tcPr>
            <w:tcW w:w="2055" w:type="dxa"/>
            <w:vAlign w:val="center"/>
          </w:tcPr>
          <w:p>
            <w:pPr>
              <w:ind w:firstLine="0" w:firstLineChars="0"/>
              <w:jc w:val="center"/>
              <w:rPr>
                <w:rFonts w:cs="Times New Roman"/>
              </w:rPr>
            </w:pPr>
            <w:r>
              <w:rPr>
                <w:rFonts w:cs="Times New Roman"/>
              </w:rPr>
              <w:t>化粪池处理</w:t>
            </w:r>
            <w:r>
              <w:rPr>
                <w:rFonts w:hint="eastAsia" w:cs="Times New Roman"/>
              </w:rPr>
              <w:t>后用于周边林地施肥</w:t>
            </w:r>
          </w:p>
        </w:tc>
        <w:tc>
          <w:tcPr>
            <w:tcW w:w="2733" w:type="dxa"/>
            <w:vAlign w:val="center"/>
          </w:tcPr>
          <w:p>
            <w:pPr>
              <w:ind w:firstLine="0" w:firstLineChars="0"/>
              <w:jc w:val="center"/>
              <w:rPr>
                <w:rFonts w:cs="Times New Roman"/>
              </w:rPr>
            </w:pP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ind w:firstLine="0" w:firstLineChars="0"/>
              <w:jc w:val="center"/>
              <w:rPr>
                <w:rFonts w:cs="Times New Roman"/>
              </w:rPr>
            </w:pPr>
          </w:p>
        </w:tc>
        <w:tc>
          <w:tcPr>
            <w:tcW w:w="1380" w:type="dxa"/>
            <w:vAlign w:val="center"/>
          </w:tcPr>
          <w:p>
            <w:pPr>
              <w:ind w:firstLine="0" w:firstLineChars="0"/>
              <w:jc w:val="center"/>
              <w:rPr>
                <w:rFonts w:cs="Times New Roman"/>
              </w:rPr>
            </w:pPr>
            <w:r>
              <w:rPr>
                <w:rFonts w:cs="Times New Roman"/>
              </w:rPr>
              <w:t>初期雨水</w:t>
            </w:r>
          </w:p>
        </w:tc>
        <w:tc>
          <w:tcPr>
            <w:tcW w:w="1020" w:type="dxa"/>
            <w:vAlign w:val="center"/>
          </w:tcPr>
          <w:p>
            <w:pPr>
              <w:ind w:firstLine="0" w:firstLineChars="0"/>
              <w:jc w:val="center"/>
              <w:rPr>
                <w:rFonts w:cs="Times New Roman"/>
              </w:rPr>
            </w:pPr>
            <w:r>
              <w:rPr>
                <w:rFonts w:cs="Times New Roman"/>
              </w:rPr>
              <w:t>SS</w:t>
            </w:r>
          </w:p>
        </w:tc>
        <w:tc>
          <w:tcPr>
            <w:tcW w:w="2055" w:type="dxa"/>
            <w:vAlign w:val="center"/>
          </w:tcPr>
          <w:p>
            <w:pPr>
              <w:ind w:firstLine="0" w:firstLineChars="0"/>
              <w:jc w:val="center"/>
              <w:rPr>
                <w:rFonts w:cs="Times New Roman"/>
              </w:rPr>
            </w:pPr>
            <w:r>
              <w:rPr>
                <w:rFonts w:cs="Times New Roman"/>
              </w:rPr>
              <w:t>回用于厂区喷淋降尘用水</w:t>
            </w:r>
          </w:p>
        </w:tc>
        <w:tc>
          <w:tcPr>
            <w:tcW w:w="2733" w:type="dxa"/>
            <w:vAlign w:val="center"/>
          </w:tcPr>
          <w:p>
            <w:pPr>
              <w:ind w:firstLine="0" w:firstLineChars="0"/>
              <w:jc w:val="center"/>
              <w:rPr>
                <w:rFonts w:cs="Times New Roman"/>
              </w:rPr>
            </w:pPr>
            <w:r>
              <w:rPr>
                <w:rFonts w:cs="Times New Roman"/>
              </w:rPr>
              <w:t>验收措施落实情况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ind w:firstLine="0" w:firstLineChars="0"/>
              <w:jc w:val="center"/>
              <w:rPr>
                <w:rFonts w:cs="Times New Roman"/>
              </w:rPr>
            </w:pPr>
            <w:r>
              <w:rPr>
                <w:rFonts w:cs="Times New Roman"/>
              </w:rPr>
              <w:t>声环境</w:t>
            </w:r>
          </w:p>
        </w:tc>
        <w:tc>
          <w:tcPr>
            <w:tcW w:w="1380" w:type="dxa"/>
            <w:vAlign w:val="center"/>
          </w:tcPr>
          <w:p>
            <w:pPr>
              <w:adjustRightInd w:val="0"/>
              <w:snapToGrid w:val="0"/>
              <w:ind w:firstLine="0" w:firstLineChars="0"/>
              <w:jc w:val="center"/>
              <w:rPr>
                <w:rFonts w:cs="Times New Roman"/>
              </w:rPr>
            </w:pPr>
            <w:r>
              <w:rPr>
                <w:rFonts w:cs="Times New Roman"/>
              </w:rPr>
              <w:t>厂界</w:t>
            </w:r>
          </w:p>
        </w:tc>
        <w:tc>
          <w:tcPr>
            <w:tcW w:w="1020" w:type="dxa"/>
            <w:vAlign w:val="center"/>
          </w:tcPr>
          <w:p>
            <w:pPr>
              <w:adjustRightInd w:val="0"/>
              <w:snapToGrid w:val="0"/>
              <w:ind w:firstLine="480"/>
              <w:jc w:val="center"/>
              <w:rPr>
                <w:rFonts w:cs="Times New Roman"/>
              </w:rPr>
            </w:pPr>
            <w:r>
              <w:rPr>
                <w:rFonts w:cs="Times New Roman"/>
              </w:rPr>
              <w:t>设备运行噪声</w:t>
            </w:r>
          </w:p>
        </w:tc>
        <w:tc>
          <w:tcPr>
            <w:tcW w:w="2055" w:type="dxa"/>
            <w:vAlign w:val="center"/>
          </w:tcPr>
          <w:p>
            <w:pPr>
              <w:adjustRightInd w:val="0"/>
              <w:snapToGrid w:val="0"/>
              <w:ind w:firstLine="0" w:firstLineChars="0"/>
              <w:jc w:val="center"/>
              <w:rPr>
                <w:rFonts w:cs="Times New Roman"/>
              </w:rPr>
            </w:pPr>
            <w:r>
              <w:rPr>
                <w:rFonts w:cs="Times New Roman"/>
              </w:rPr>
              <w:t>选用低噪声设备、设置减震基座、</w:t>
            </w:r>
            <w:r>
              <w:rPr>
                <w:rFonts w:hint="eastAsia" w:cs="Times New Roman"/>
              </w:rPr>
              <w:t>厂房吸声隔声</w:t>
            </w:r>
            <w:r>
              <w:rPr>
                <w:rFonts w:cs="Times New Roman"/>
              </w:rPr>
              <w:t>等降噪措施</w:t>
            </w:r>
          </w:p>
        </w:tc>
        <w:tc>
          <w:tcPr>
            <w:tcW w:w="2733" w:type="dxa"/>
            <w:vAlign w:val="center"/>
          </w:tcPr>
          <w:p>
            <w:pPr>
              <w:ind w:firstLine="0" w:firstLineChars="0"/>
              <w:jc w:val="center"/>
              <w:rPr>
                <w:rFonts w:cs="Times New Roman"/>
              </w:rPr>
            </w:pPr>
            <w:r>
              <w:rPr>
                <w:rFonts w:cs="Times New Roman"/>
              </w:rPr>
              <w:t>《工业企业厂界环境噪声排放标准》（GB12348-2008）表1中2类标准要求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ind w:firstLine="0" w:firstLineChars="0"/>
              <w:jc w:val="center"/>
              <w:rPr>
                <w:rFonts w:cs="Times New Roman"/>
              </w:rPr>
            </w:pPr>
            <w:r>
              <w:rPr>
                <w:rFonts w:cs="Times New Roman"/>
              </w:rPr>
              <w:t>固体</w:t>
            </w:r>
          </w:p>
          <w:p>
            <w:pPr>
              <w:ind w:firstLine="0" w:firstLineChars="0"/>
              <w:jc w:val="center"/>
              <w:rPr>
                <w:rFonts w:cs="Times New Roman"/>
              </w:rPr>
            </w:pPr>
            <w:r>
              <w:rPr>
                <w:rFonts w:cs="Times New Roman"/>
              </w:rPr>
              <w:t>废物</w:t>
            </w:r>
          </w:p>
        </w:tc>
        <w:tc>
          <w:tcPr>
            <w:tcW w:w="7188" w:type="dxa"/>
            <w:gridSpan w:val="4"/>
            <w:vAlign w:val="center"/>
          </w:tcPr>
          <w:p>
            <w:pPr>
              <w:ind w:firstLine="0" w:firstLineChars="0"/>
              <w:jc w:val="center"/>
              <w:rPr>
                <w:rFonts w:cs="Times New Roman"/>
              </w:rPr>
            </w:pPr>
            <w:r>
              <w:rPr>
                <w:rFonts w:cs="Times New Roman"/>
              </w:rPr>
              <w:t>生活垃圾收集后定交由环卫部门处理。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ind w:firstLine="0" w:firstLineChars="0"/>
              <w:jc w:val="center"/>
              <w:rPr>
                <w:rFonts w:cs="Times New Roman"/>
              </w:rPr>
            </w:pPr>
            <w:r>
              <w:rPr>
                <w:rFonts w:cs="Times New Roman"/>
              </w:rPr>
              <w:t>土壤及地下水污染防治措施</w:t>
            </w:r>
          </w:p>
        </w:tc>
        <w:tc>
          <w:tcPr>
            <w:tcW w:w="7188" w:type="dxa"/>
            <w:gridSpan w:val="4"/>
            <w:vAlign w:val="center"/>
          </w:tcPr>
          <w:p>
            <w:pPr>
              <w:ind w:firstLine="0" w:firstLineChars="0"/>
              <w:jc w:val="center"/>
              <w:rPr>
                <w:rFonts w:cs="Times New Roman"/>
              </w:rPr>
            </w:pPr>
            <w:r>
              <w:rPr>
                <w:rFonts w:cs="Times New Roma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ind w:firstLine="0" w:firstLineChars="0"/>
              <w:jc w:val="center"/>
              <w:rPr>
                <w:rFonts w:cs="Times New Roman"/>
              </w:rPr>
            </w:pPr>
            <w:r>
              <w:rPr>
                <w:rFonts w:cs="Times New Roman"/>
              </w:rPr>
              <w:t>生态保护措施</w:t>
            </w:r>
          </w:p>
        </w:tc>
        <w:tc>
          <w:tcPr>
            <w:tcW w:w="7188" w:type="dxa"/>
            <w:gridSpan w:val="4"/>
            <w:vAlign w:val="center"/>
          </w:tcPr>
          <w:p>
            <w:pPr>
              <w:ind w:firstLine="0" w:firstLineChars="0"/>
              <w:jc w:val="center"/>
              <w:rPr>
                <w:rFonts w:cs="Times New Roman"/>
              </w:rPr>
            </w:pPr>
            <w:r>
              <w:rPr>
                <w:rFonts w:cs="Times New Roma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ind w:firstLine="0" w:firstLineChars="0"/>
              <w:jc w:val="center"/>
              <w:rPr>
                <w:rFonts w:cs="Times New Roman"/>
              </w:rPr>
            </w:pPr>
            <w:r>
              <w:rPr>
                <w:rFonts w:cs="Times New Roman"/>
              </w:rPr>
              <w:t>环境风险</w:t>
            </w:r>
          </w:p>
          <w:p>
            <w:pPr>
              <w:ind w:firstLine="0" w:firstLineChars="0"/>
              <w:jc w:val="center"/>
              <w:rPr>
                <w:rFonts w:cs="Times New Roman"/>
              </w:rPr>
            </w:pPr>
            <w:r>
              <w:rPr>
                <w:rFonts w:cs="Times New Roman"/>
              </w:rPr>
              <w:t>防范措施</w:t>
            </w:r>
          </w:p>
        </w:tc>
        <w:tc>
          <w:tcPr>
            <w:tcW w:w="7188" w:type="dxa"/>
            <w:gridSpan w:val="4"/>
            <w:vAlign w:val="center"/>
          </w:tcPr>
          <w:p>
            <w:pPr>
              <w:pStyle w:val="47"/>
              <w:ind w:firstLine="480"/>
            </w:pPr>
            <w:r>
              <w:t>（1）严格按照相关设计规范和要求落实防护设施，制定安全操作规章制度，加强安全意识教育，加强监督管理，消除事故隐患。</w:t>
            </w:r>
          </w:p>
          <w:p>
            <w:pPr>
              <w:pStyle w:val="47"/>
              <w:ind w:firstLine="480"/>
            </w:pPr>
            <w:r>
              <w:t>（2）化学品一旦泄漏使用吸油棉、砂子等吸附或抽入容器内，委托有资质危废单位外运处置。</w:t>
            </w:r>
          </w:p>
          <w:p>
            <w:pPr>
              <w:pStyle w:val="47"/>
              <w:ind w:firstLine="480"/>
            </w:pPr>
            <w:r>
              <w:t>（3）建立程序、事故报告等管理制度，一旦发生事故应当及时上报，妥善进行事故的应急处置。</w:t>
            </w:r>
          </w:p>
          <w:p>
            <w:pPr>
              <w:pStyle w:val="47"/>
              <w:ind w:firstLine="480"/>
            </w:pPr>
            <w:r>
              <w:t>在采取以上措施后，本项目建设对厂区周围环境的影响可防控。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ind w:firstLine="0" w:firstLineChars="0"/>
              <w:jc w:val="center"/>
              <w:rPr>
                <w:rFonts w:cs="Times New Roman"/>
              </w:rPr>
            </w:pPr>
            <w:r>
              <w:rPr>
                <w:rFonts w:cs="Times New Roman"/>
              </w:rPr>
              <w:t>其他环境管理要求</w:t>
            </w:r>
          </w:p>
        </w:tc>
        <w:tc>
          <w:tcPr>
            <w:tcW w:w="7188" w:type="dxa"/>
            <w:gridSpan w:val="4"/>
            <w:vAlign w:val="center"/>
          </w:tcPr>
          <w:p>
            <w:pPr>
              <w:pStyle w:val="47"/>
              <w:ind w:firstLine="482"/>
              <w:rPr>
                <w:b/>
              </w:rPr>
            </w:pPr>
            <w:r>
              <w:rPr>
                <w:b/>
                <w:lang w:bidi="ar"/>
              </w:rPr>
              <w:t>（1）竣工环境保护验收</w:t>
            </w:r>
          </w:p>
          <w:p>
            <w:pPr>
              <w:pStyle w:val="47"/>
              <w:ind w:firstLine="480"/>
            </w:pPr>
            <w:r>
              <w:rPr>
                <w:lang w:bidi="ar"/>
              </w:rPr>
              <w:t>根据《国务院关于修改〈建设项目环境保护管理条例〉的决定》（中华人民共和国国务院令第682号，以下简称《条例》，自2017年10月1日起施行），《建设项目环境保护管理条例》第十七条修改为“编制环境影响报告书、环境影响报告表的建设项目竣工后，建设单位应当按照国务院环境保护行政主管部门规定的标准和程序，对配套建设的环境保护设施进行验收，编制验收报告”，因此至2017年10月1日起取消“建设项目竣工环境保护验收”行政审批事项，环保设施竣工验收主体由环保部门转为建设单位，建设单位需自行验收，在验收过程中与环评单位、环保施工单位、环保设计单位、监测单位、专家等共同组成验收组对项目进行竣工环保验收，进一步强化了建设单位的环境保护“三同时”主体责任。</w:t>
            </w:r>
          </w:p>
          <w:p>
            <w:pPr>
              <w:pStyle w:val="47"/>
              <w:ind w:firstLine="480"/>
              <w:rPr>
                <w:lang w:bidi="ar"/>
              </w:rPr>
            </w:pPr>
            <w:r>
              <w:rPr>
                <w:lang w:bidi="ar"/>
              </w:rPr>
              <w:t>根据《关于发布〈建设项目竣工环境保护验收暂行办法〉的公告》（国环规环评[2017]4号，自2017年11月22日起施行），建设项目需要配套建设水、噪声或者固体废物污染防治设施的，新修改的《中华人民共和国水污染防治法》生效实施前或者《中华人民共和国固体废物污染环境防治法》《中华人民共和国环境噪声污染防治法》修改完成前，应依法由环境保护部门对建设项目水、噪声或者固体废物污染防治设施进行验收。编制环境影响报告书、环境影响报告表的建设项目，其配套建设的环境保护设施经验收合格，方可投入生产或者使用；未经验收或者验收不合格的，不得投入生产或者使用。</w:t>
            </w:r>
          </w:p>
          <w:p>
            <w:pPr>
              <w:pStyle w:val="47"/>
              <w:ind w:firstLine="480"/>
              <w:rPr>
                <w:kern w:val="0"/>
              </w:rPr>
            </w:pPr>
            <w:r>
              <w:rPr>
                <w:kern w:val="0"/>
              </w:rPr>
              <w:t>本项目竣工后，建设单位应当依照国家有关法律法规、建设项目竣工环境保护验收技术规范、建设项目环境影响报告书和审批决定等要求，如实查验、监测、记载建设项目环境保护设施的建设和调试情况，同时还应如实记载其他环境保护对策措施“三同时”落实情况，编制竣工环境保护验收报告。</w:t>
            </w:r>
          </w:p>
          <w:p>
            <w:pPr>
              <w:pStyle w:val="47"/>
              <w:ind w:firstLine="482"/>
              <w:rPr>
                <w:b/>
              </w:rPr>
            </w:pPr>
            <w:r>
              <w:rPr>
                <w:b/>
              </w:rPr>
              <w:t>（2）规范化排污口建设</w:t>
            </w:r>
          </w:p>
          <w:p>
            <w:pPr>
              <w:ind w:firstLine="480"/>
              <w:rPr>
                <w:rFonts w:ascii="宋体" w:hAnsi="宋体" w:cs="宋体"/>
                <w:bCs/>
              </w:rPr>
            </w:pPr>
            <w:r>
              <w:rPr>
                <w:rFonts w:hint="eastAsia" w:ascii="宋体" w:hAnsi="宋体" w:cs="宋体"/>
                <w:bCs/>
              </w:rPr>
              <w:t>根据国家、地方颁布的有关环境保护规定，排气筒、噪声排放源和固废贮存处置场所均应按《环境保护图形标志--排放口（源）》（GB15562.1-1995、GB15562.2-1995）要求设立明显标志，标志牌应设在与之功能相应的醒目处，并保持清晰、完整。</w:t>
            </w:r>
          </w:p>
          <w:p>
            <w:pPr>
              <w:ind w:firstLine="480"/>
              <w:rPr>
                <w:rFonts w:ascii="宋体" w:hAnsi="宋体" w:cs="宋体"/>
                <w:bCs/>
              </w:rPr>
            </w:pPr>
            <w:r>
              <w:rPr>
                <w:rFonts w:hint="eastAsia" w:ascii="宋体" w:hAnsi="宋体" w:cs="宋体"/>
                <w:bCs/>
              </w:rPr>
              <w:t>本项目不设置废水、废气排放口，主要固定噪声源、生活垃圾暂存场所应设置环境保护图形标志牌，图形符号设置入下表所示。</w:t>
            </w:r>
          </w:p>
          <w:p>
            <w:pPr>
              <w:ind w:firstLine="482"/>
              <w:jc w:val="center"/>
              <w:rPr>
                <w:rFonts w:cs="Times New Roman"/>
                <w:b/>
                <w:bCs/>
              </w:rPr>
            </w:pPr>
            <w:r>
              <w:rPr>
                <w:rFonts w:cs="Times New Roman"/>
                <w:b/>
                <w:bCs/>
              </w:rPr>
              <w:t>表5-1  厂区排污口图形符合（提示标志一览表）</w:t>
            </w:r>
          </w:p>
          <w:tbl>
            <w:tblPr>
              <w:tblStyle w:val="24"/>
              <w:tblW w:w="69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89"/>
              <w:gridCol w:w="1520"/>
              <w:gridCol w:w="1564"/>
              <w:gridCol w:w="21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5" w:type="dxa"/>
                  <w:tcBorders>
                    <w:tl2br w:val="nil"/>
                    <w:tr2bl w:val="nil"/>
                  </w:tcBorders>
                  <w:vAlign w:val="center"/>
                </w:tcPr>
                <w:p>
                  <w:pPr>
                    <w:pStyle w:val="35"/>
                    <w:jc w:val="center"/>
                    <w:rPr>
                      <w:rFonts w:cs="Times New Roman"/>
                      <w:b/>
                    </w:rPr>
                  </w:pPr>
                  <w:r>
                    <w:rPr>
                      <w:rFonts w:cs="Times New Roman"/>
                      <w:b/>
                    </w:rPr>
                    <w:t>序号</w:t>
                  </w:r>
                </w:p>
              </w:tc>
              <w:tc>
                <w:tcPr>
                  <w:tcW w:w="1089" w:type="dxa"/>
                  <w:tcBorders>
                    <w:tl2br w:val="nil"/>
                    <w:tr2bl w:val="nil"/>
                  </w:tcBorders>
                  <w:vAlign w:val="center"/>
                </w:tcPr>
                <w:p>
                  <w:pPr>
                    <w:pStyle w:val="35"/>
                    <w:jc w:val="center"/>
                    <w:rPr>
                      <w:rFonts w:cs="Times New Roman"/>
                      <w:b/>
                    </w:rPr>
                  </w:pPr>
                  <w:r>
                    <w:rPr>
                      <w:rFonts w:cs="Times New Roman"/>
                      <w:b/>
                    </w:rPr>
                    <w:t>标志名称</w:t>
                  </w:r>
                </w:p>
              </w:tc>
              <w:tc>
                <w:tcPr>
                  <w:tcW w:w="1520" w:type="dxa"/>
                  <w:tcBorders>
                    <w:tl2br w:val="nil"/>
                    <w:tr2bl w:val="nil"/>
                  </w:tcBorders>
                  <w:vAlign w:val="center"/>
                </w:tcPr>
                <w:p>
                  <w:pPr>
                    <w:pStyle w:val="35"/>
                    <w:jc w:val="center"/>
                    <w:rPr>
                      <w:rFonts w:cs="Times New Roman"/>
                      <w:b/>
                    </w:rPr>
                  </w:pPr>
                  <w:r>
                    <w:rPr>
                      <w:rFonts w:cs="Times New Roman"/>
                      <w:b/>
                    </w:rPr>
                    <w:t>提示图形符号</w:t>
                  </w:r>
                </w:p>
              </w:tc>
              <w:tc>
                <w:tcPr>
                  <w:tcW w:w="1564" w:type="dxa"/>
                  <w:tcBorders>
                    <w:tl2br w:val="nil"/>
                    <w:tr2bl w:val="nil"/>
                  </w:tcBorders>
                  <w:vAlign w:val="center"/>
                </w:tcPr>
                <w:p>
                  <w:pPr>
                    <w:pStyle w:val="35"/>
                    <w:jc w:val="center"/>
                    <w:rPr>
                      <w:rFonts w:cs="Times New Roman"/>
                      <w:b/>
                    </w:rPr>
                  </w:pPr>
                  <w:r>
                    <w:rPr>
                      <w:rFonts w:cs="Times New Roman"/>
                      <w:b/>
                    </w:rPr>
                    <w:t>警告图形符号</w:t>
                  </w:r>
                </w:p>
              </w:tc>
              <w:tc>
                <w:tcPr>
                  <w:tcW w:w="2146" w:type="dxa"/>
                  <w:tcBorders>
                    <w:tl2br w:val="nil"/>
                    <w:tr2bl w:val="nil"/>
                  </w:tcBorders>
                  <w:vAlign w:val="center"/>
                </w:tcPr>
                <w:p>
                  <w:pPr>
                    <w:pStyle w:val="35"/>
                    <w:jc w:val="center"/>
                    <w:rPr>
                      <w:rFonts w:cs="Times New Roman"/>
                      <w:b/>
                    </w:rPr>
                  </w:pPr>
                  <w:r>
                    <w:rPr>
                      <w:rFonts w:cs="Times New Roman"/>
                      <w:b/>
                    </w:rPr>
                    <w:t>功能说明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45" w:type="dxa"/>
                  <w:tcBorders>
                    <w:tl2br w:val="nil"/>
                    <w:tr2bl w:val="nil"/>
                  </w:tcBorders>
                  <w:vAlign w:val="center"/>
                </w:tcPr>
                <w:p>
                  <w:pPr>
                    <w:pStyle w:val="35"/>
                    <w:jc w:val="center"/>
                    <w:rPr>
                      <w:rFonts w:cs="Times New Roman"/>
                    </w:rPr>
                  </w:pPr>
                  <w:r>
                    <w:rPr>
                      <w:rFonts w:cs="Times New Roman"/>
                    </w:rPr>
                    <w:t>1</w:t>
                  </w:r>
                </w:p>
              </w:tc>
              <w:tc>
                <w:tcPr>
                  <w:tcW w:w="1089" w:type="dxa"/>
                  <w:tcBorders>
                    <w:tl2br w:val="nil"/>
                    <w:tr2bl w:val="nil"/>
                  </w:tcBorders>
                  <w:vAlign w:val="center"/>
                </w:tcPr>
                <w:p>
                  <w:pPr>
                    <w:pStyle w:val="35"/>
                    <w:jc w:val="center"/>
                    <w:rPr>
                      <w:rFonts w:cs="Times New Roman"/>
                    </w:rPr>
                  </w:pPr>
                  <w:r>
                    <w:rPr>
                      <w:rFonts w:cs="Times New Roman"/>
                    </w:rPr>
                    <w:t>噪声排放源</w:t>
                  </w:r>
                </w:p>
              </w:tc>
              <w:tc>
                <w:tcPr>
                  <w:tcW w:w="1520" w:type="dxa"/>
                  <w:tcBorders>
                    <w:tl2br w:val="nil"/>
                    <w:tr2bl w:val="nil"/>
                  </w:tcBorders>
                  <w:vAlign w:val="center"/>
                </w:tcPr>
                <w:p>
                  <w:pPr>
                    <w:pStyle w:val="35"/>
                    <w:jc w:val="center"/>
                    <w:rPr>
                      <w:rFonts w:cs="Times New Roman"/>
                    </w:rPr>
                  </w:pPr>
                  <w:r>
                    <w:rPr>
                      <w:rFonts w:cs="Times New Roman"/>
                    </w:rPr>
                    <w:pict>
                      <v:shape id="_x0000_i1029" o:spt="75" type="#_x0000_t75" style="height:56.25pt;width:56.25pt;" filled="f" o:preferrelative="t" stroked="f" coordsize="21600,21600">
                        <v:path/>
                        <v:fill on="f" focussize="0,0"/>
                        <v:stroke on="f" joinstyle="miter"/>
                        <v:imagedata r:id="rId21" o:title=""/>
                        <o:lock v:ext="edit" aspectratio="t"/>
                        <w10:wrap type="none"/>
                        <w10:anchorlock/>
                      </v:shape>
                    </w:pict>
                  </w:r>
                </w:p>
              </w:tc>
              <w:tc>
                <w:tcPr>
                  <w:tcW w:w="1564" w:type="dxa"/>
                  <w:tcBorders>
                    <w:tl2br w:val="nil"/>
                    <w:tr2bl w:val="nil"/>
                  </w:tcBorders>
                  <w:vAlign w:val="center"/>
                </w:tcPr>
                <w:p>
                  <w:pPr>
                    <w:pStyle w:val="35"/>
                    <w:jc w:val="center"/>
                    <w:rPr>
                      <w:rFonts w:cs="Times New Roman"/>
                    </w:rPr>
                  </w:pPr>
                  <w:r>
                    <w:rPr>
                      <w:rFonts w:cs="Times New Roman"/>
                    </w:rPr>
                    <w:pict>
                      <v:shape id="_x0000_i1030" o:spt="75" type="#_x0000_t75" style="height:56.25pt;width:60.75pt;" filled="f" o:preferrelative="t" stroked="f" coordsize="21600,21600">
                        <v:path/>
                        <v:fill on="f" focussize="0,0"/>
                        <v:stroke on="f" joinstyle="miter"/>
                        <v:imagedata r:id="rId22" o:title=""/>
                        <o:lock v:ext="edit" aspectratio="t"/>
                        <w10:wrap type="none"/>
                        <w10:anchorlock/>
                      </v:shape>
                    </w:pict>
                  </w:r>
                </w:p>
              </w:tc>
              <w:tc>
                <w:tcPr>
                  <w:tcW w:w="2146" w:type="dxa"/>
                  <w:tcBorders>
                    <w:tl2br w:val="nil"/>
                    <w:tr2bl w:val="nil"/>
                  </w:tcBorders>
                  <w:vAlign w:val="center"/>
                </w:tcPr>
                <w:p>
                  <w:pPr>
                    <w:pStyle w:val="35"/>
                    <w:jc w:val="center"/>
                    <w:rPr>
                      <w:rFonts w:cs="Times New Roman"/>
                    </w:rPr>
                  </w:pPr>
                  <w:r>
                    <w:rPr>
                      <w:rFonts w:cs="Times New Roman"/>
                    </w:rPr>
                    <w:t>标识噪声向外环境排放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45" w:type="dxa"/>
                  <w:tcBorders>
                    <w:tl2br w:val="nil"/>
                    <w:tr2bl w:val="nil"/>
                  </w:tcBorders>
                  <w:vAlign w:val="center"/>
                </w:tcPr>
                <w:p>
                  <w:pPr>
                    <w:pStyle w:val="35"/>
                    <w:jc w:val="center"/>
                    <w:rPr>
                      <w:rFonts w:cs="Times New Roman"/>
                    </w:rPr>
                  </w:pPr>
                  <w:r>
                    <w:rPr>
                      <w:rFonts w:cs="Times New Roman"/>
                    </w:rPr>
                    <w:t>2</w:t>
                  </w:r>
                </w:p>
              </w:tc>
              <w:tc>
                <w:tcPr>
                  <w:tcW w:w="1089" w:type="dxa"/>
                  <w:tcBorders>
                    <w:tl2br w:val="nil"/>
                    <w:tr2bl w:val="nil"/>
                  </w:tcBorders>
                  <w:vAlign w:val="center"/>
                </w:tcPr>
                <w:p>
                  <w:pPr>
                    <w:pStyle w:val="35"/>
                    <w:jc w:val="center"/>
                    <w:rPr>
                      <w:rFonts w:cs="Times New Roman"/>
                    </w:rPr>
                  </w:pPr>
                  <w:r>
                    <w:rPr>
                      <w:rFonts w:cs="Times New Roman"/>
                    </w:rPr>
                    <w:t>一般固废</w:t>
                  </w:r>
                </w:p>
              </w:tc>
              <w:tc>
                <w:tcPr>
                  <w:tcW w:w="1520" w:type="dxa"/>
                  <w:tcBorders>
                    <w:tl2br w:val="nil"/>
                    <w:tr2bl w:val="nil"/>
                  </w:tcBorders>
                  <w:vAlign w:val="center"/>
                </w:tcPr>
                <w:p>
                  <w:pPr>
                    <w:pStyle w:val="35"/>
                    <w:jc w:val="center"/>
                    <w:rPr>
                      <w:rFonts w:cs="Times New Roman"/>
                    </w:rPr>
                  </w:pPr>
                  <w:r>
                    <w:rPr>
                      <w:rFonts w:cs="Times New Roman"/>
                    </w:rPr>
                    <w:pict>
                      <v:shape id="_x0000_i1031" o:spt="75" type="#_x0000_t75" style="height:56.25pt;width:56.25pt;" filled="f" o:preferrelative="t" stroked="f" coordsize="21600,21600">
                        <v:path/>
                        <v:fill on="f" focussize="0,0"/>
                        <v:stroke on="f" joinstyle="miter"/>
                        <v:imagedata r:id="rId23" o:title=""/>
                        <o:lock v:ext="edit" aspectratio="t"/>
                        <w10:wrap type="none"/>
                        <w10:anchorlock/>
                      </v:shape>
                    </w:pict>
                  </w:r>
                </w:p>
              </w:tc>
              <w:tc>
                <w:tcPr>
                  <w:tcW w:w="1564" w:type="dxa"/>
                  <w:tcBorders>
                    <w:tl2br w:val="nil"/>
                    <w:tr2bl w:val="nil"/>
                  </w:tcBorders>
                  <w:vAlign w:val="center"/>
                </w:tcPr>
                <w:p>
                  <w:pPr>
                    <w:pStyle w:val="35"/>
                    <w:jc w:val="center"/>
                    <w:rPr>
                      <w:rFonts w:cs="Times New Roman"/>
                    </w:rPr>
                  </w:pPr>
                  <w:r>
                    <w:rPr>
                      <w:rFonts w:cs="Times New Roman"/>
                    </w:rPr>
                    <w:pict>
                      <v:shape id="_x0000_i1032" o:spt="75" type="#_x0000_t75" style="height:54.75pt;width:66.75pt;" filled="f" o:preferrelative="t" stroked="f" coordsize="21600,21600">
                        <v:path/>
                        <v:fill on="f" focussize="0,0"/>
                        <v:stroke on="f" joinstyle="miter"/>
                        <v:imagedata r:id="rId24" o:title=""/>
                        <o:lock v:ext="edit" aspectratio="t"/>
                        <w10:wrap type="none"/>
                        <w10:anchorlock/>
                      </v:shape>
                    </w:pict>
                  </w:r>
                </w:p>
              </w:tc>
              <w:tc>
                <w:tcPr>
                  <w:tcW w:w="2146" w:type="dxa"/>
                  <w:tcBorders>
                    <w:tl2br w:val="nil"/>
                    <w:tr2bl w:val="nil"/>
                  </w:tcBorders>
                  <w:vAlign w:val="center"/>
                </w:tcPr>
                <w:p>
                  <w:pPr>
                    <w:pStyle w:val="35"/>
                    <w:jc w:val="center"/>
                    <w:rPr>
                      <w:rFonts w:cs="Times New Roman"/>
                    </w:rPr>
                  </w:pPr>
                  <w:r>
                    <w:rPr>
                      <w:rFonts w:cs="Times New Roman"/>
                    </w:rPr>
                    <w:t>表示一般固体废物贮存场</w:t>
                  </w:r>
                </w:p>
              </w:tc>
            </w:tr>
          </w:tbl>
          <w:p>
            <w:pPr>
              <w:pStyle w:val="47"/>
              <w:ind w:firstLine="482"/>
              <w:rPr>
                <w:b/>
              </w:rPr>
            </w:pPr>
            <w:r>
              <w:rPr>
                <w:b/>
              </w:rPr>
              <w:t>（3）排污许可管理要求</w:t>
            </w:r>
          </w:p>
          <w:p>
            <w:pPr>
              <w:pStyle w:val="47"/>
              <w:ind w:firstLine="480"/>
              <w:rPr>
                <w:lang w:val="en-GB"/>
              </w:rPr>
            </w:pPr>
            <w:r>
              <w:t>根据《固定污染源排污许可分类管理名录(2019年版)》(生态环境部 第11号)可知，本项目属于“二十五、非金属矿物制品业30—70、石墨及其他非金属矿物制品制造309—其他非金属矿物制品制造3099”，实行排污许可登记管理。建设单位应当在启动生产设施或者发生实际排污之前在全国排污许可证管理信息平台进行排污许可登记。</w:t>
            </w:r>
          </w:p>
          <w:p>
            <w:pPr>
              <w:pStyle w:val="47"/>
              <w:ind w:firstLine="482"/>
              <w:rPr>
                <w:b/>
              </w:rPr>
            </w:pPr>
            <w:r>
              <w:rPr>
                <w:b/>
              </w:rPr>
              <w:t>（4）环保信息公开要求</w:t>
            </w:r>
          </w:p>
          <w:p>
            <w:pPr>
              <w:pStyle w:val="47"/>
              <w:ind w:firstLine="480"/>
            </w:pPr>
            <w:r>
              <w:rPr>
                <w:lang w:bidi="ar"/>
              </w:rPr>
              <w:t>当按照强制公开和自愿公开相结合的原则，及时、如实地公开其环境信息。企业事业单位应当建立健全本单位环境信息公开制度，指定机构负责本单位环境信息公开日常工作，排污单位应当公开以下信息：</w:t>
            </w:r>
          </w:p>
          <w:p>
            <w:pPr>
              <w:pStyle w:val="47"/>
              <w:ind w:firstLine="480"/>
            </w:pPr>
            <w:r>
              <w:rPr>
                <w:lang w:bidi="ar"/>
              </w:rPr>
              <w:t>(一)基础信息，包括单位名称、组织机构代码、法定代表人、生产地址、联系方式，以及生产经营和管理服务的主要内容、产品及规模；</w:t>
            </w:r>
          </w:p>
          <w:p>
            <w:pPr>
              <w:pStyle w:val="47"/>
              <w:ind w:firstLine="480"/>
            </w:pPr>
            <w:r>
              <w:rPr>
                <w:lang w:bidi="ar"/>
              </w:rPr>
              <w:t>(二)排污信息，包括主要污染物及其他污染物的名称、排放方式、排放口数量和分布情况、排放浓度和总量、超标情况，以及执行的污染物排放标准、核定的排放总量；</w:t>
            </w:r>
          </w:p>
          <w:p>
            <w:pPr>
              <w:pStyle w:val="47"/>
              <w:ind w:firstLine="480"/>
            </w:pPr>
            <w:r>
              <w:rPr>
                <w:lang w:bidi="ar"/>
              </w:rPr>
              <w:t>(三)防治污染设施的建设和运行情况；</w:t>
            </w:r>
          </w:p>
          <w:p>
            <w:pPr>
              <w:pStyle w:val="47"/>
              <w:ind w:firstLine="480"/>
            </w:pPr>
            <w:r>
              <w:rPr>
                <w:lang w:bidi="ar"/>
              </w:rPr>
              <w:t>(四)建设项目环境影响评价及其他环境保护行政许可情况；</w:t>
            </w:r>
          </w:p>
          <w:p>
            <w:pPr>
              <w:pStyle w:val="47"/>
              <w:ind w:firstLine="480"/>
            </w:pPr>
            <w:r>
              <w:rPr>
                <w:lang w:bidi="ar"/>
              </w:rPr>
              <w:t>(五)其他应当公开的环境信息；</w:t>
            </w:r>
          </w:p>
          <w:p>
            <w:pPr>
              <w:pStyle w:val="47"/>
              <w:ind w:firstLine="480"/>
            </w:pPr>
            <w:r>
              <w:rPr>
                <w:lang w:bidi="ar"/>
              </w:rPr>
              <w:t>列入国家重点监控企业名单的重点排污单位还应当公开其环境自行监测方案。</w:t>
            </w:r>
          </w:p>
          <w:p>
            <w:pPr>
              <w:pStyle w:val="47"/>
              <w:ind w:firstLine="480"/>
              <w:rPr>
                <w:b/>
              </w:rPr>
            </w:pPr>
            <w:r>
              <w:rPr>
                <w:kern w:val="2"/>
                <w:lang w:bidi="ar"/>
              </w:rPr>
              <w:t>建设单位应按照上述要求公开建设项目的相关信息，采取的信息公开途径可包括：</w:t>
            </w:r>
            <w:r>
              <w:rPr>
                <w:rFonts w:hint="eastAsia" w:ascii="宋体" w:hAnsi="宋体" w:cs="宋体"/>
                <w:kern w:val="2"/>
                <w:lang w:bidi="ar"/>
              </w:rPr>
              <w:t>①</w:t>
            </w:r>
            <w:r>
              <w:rPr>
                <w:kern w:val="2"/>
                <w:lang w:bidi="ar"/>
              </w:rPr>
              <w:t>公告或者公开发行的信息专刊；</w:t>
            </w:r>
            <w:r>
              <w:rPr>
                <w:rFonts w:hint="eastAsia" w:ascii="宋体" w:hAnsi="宋体" w:cs="宋体"/>
                <w:kern w:val="2"/>
                <w:lang w:bidi="ar"/>
              </w:rPr>
              <w:t>②</w:t>
            </w:r>
            <w:r>
              <w:rPr>
                <w:kern w:val="2"/>
                <w:lang w:bidi="ar"/>
              </w:rPr>
              <w:t>广播、电视等新闻媒体；</w:t>
            </w:r>
            <w:r>
              <w:rPr>
                <w:rFonts w:hint="eastAsia" w:ascii="宋体" w:hAnsi="宋体" w:cs="宋体"/>
                <w:kern w:val="2"/>
                <w:lang w:bidi="ar"/>
              </w:rPr>
              <w:t>③</w:t>
            </w:r>
            <w:r>
              <w:rPr>
                <w:kern w:val="2"/>
                <w:lang w:bidi="ar"/>
              </w:rPr>
              <w:t>信息公开服务、监督热线电话；</w:t>
            </w:r>
            <w:r>
              <w:rPr>
                <w:rFonts w:hint="eastAsia" w:ascii="宋体" w:hAnsi="宋体" w:cs="宋体"/>
                <w:kern w:val="2"/>
                <w:lang w:bidi="ar"/>
              </w:rPr>
              <w:t>④</w:t>
            </w:r>
            <w:r>
              <w:rPr>
                <w:kern w:val="2"/>
                <w:lang w:bidi="ar"/>
              </w:rPr>
              <w:t>本单位的资料索取点、信息公开栏、信息亭、电子屏幕、电子触摸屏等场所或者设施；</w:t>
            </w:r>
            <w:r>
              <w:rPr>
                <w:rFonts w:hint="eastAsia" w:ascii="宋体" w:hAnsi="宋体" w:cs="宋体"/>
                <w:kern w:val="2"/>
                <w:lang w:bidi="ar"/>
              </w:rPr>
              <w:t>⑤</w:t>
            </w:r>
            <w:r>
              <w:rPr>
                <w:kern w:val="2"/>
                <w:lang w:bidi="ar"/>
              </w:rPr>
              <w:t>其他便于公众及时、准确获得信息的方式。</w:t>
            </w:r>
          </w:p>
          <w:p>
            <w:pPr>
              <w:pStyle w:val="47"/>
              <w:ind w:firstLine="482"/>
              <w:rPr>
                <w:b/>
              </w:rPr>
            </w:pPr>
            <w:r>
              <w:rPr>
                <w:b/>
              </w:rPr>
              <w:t>（5）自行监测</w:t>
            </w:r>
          </w:p>
          <w:p>
            <w:pPr>
              <w:pStyle w:val="47"/>
              <w:ind w:firstLine="480"/>
            </w:pPr>
            <w:r>
              <w:rPr>
                <w:rFonts w:hint="eastAsia"/>
              </w:rPr>
              <w:t>本项目自行监测计划汇总见表5-2。</w:t>
            </w:r>
          </w:p>
          <w:p>
            <w:pPr>
              <w:pStyle w:val="55"/>
              <w:ind w:firstLine="480"/>
            </w:pPr>
            <w:r>
              <w:t>表</w:t>
            </w:r>
            <w:r>
              <w:rPr>
                <w:rFonts w:hint="eastAsia"/>
              </w:rPr>
              <w:t>5-2</w:t>
            </w:r>
            <w:r>
              <w:t xml:space="preserve"> 项目</w:t>
            </w:r>
            <w:r>
              <w:rPr>
                <w:rFonts w:hint="eastAsia"/>
              </w:rPr>
              <w:t>自行监测计划表</w:t>
            </w:r>
          </w:p>
          <w:tbl>
            <w:tblPr>
              <w:tblStyle w:val="24"/>
              <w:tblW w:w="688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606"/>
              <w:gridCol w:w="1511"/>
              <w:gridCol w:w="16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88" w:type="dxa"/>
                </w:tcPr>
                <w:p>
                  <w:pPr>
                    <w:pStyle w:val="35"/>
                    <w:jc w:val="center"/>
                    <w:rPr>
                      <w:rFonts w:cs="Times New Roman"/>
                      <w:b/>
                    </w:rPr>
                  </w:pPr>
                  <w:r>
                    <w:rPr>
                      <w:rFonts w:hint="eastAsia" w:cs="Times New Roman"/>
                      <w:b/>
                    </w:rPr>
                    <w:t>类别</w:t>
                  </w:r>
                </w:p>
              </w:tc>
              <w:tc>
                <w:tcPr>
                  <w:tcW w:w="2606" w:type="dxa"/>
                  <w:vAlign w:val="center"/>
                </w:tcPr>
                <w:p>
                  <w:pPr>
                    <w:pStyle w:val="35"/>
                    <w:jc w:val="center"/>
                    <w:rPr>
                      <w:rFonts w:cs="Times New Roman"/>
                      <w:b/>
                    </w:rPr>
                  </w:pPr>
                  <w:r>
                    <w:rPr>
                      <w:rFonts w:hint="eastAsia" w:cs="Times New Roman"/>
                      <w:b/>
                    </w:rPr>
                    <w:t>监测点位</w:t>
                  </w:r>
                </w:p>
              </w:tc>
              <w:tc>
                <w:tcPr>
                  <w:tcW w:w="1511" w:type="dxa"/>
                  <w:vAlign w:val="center"/>
                </w:tcPr>
                <w:p>
                  <w:pPr>
                    <w:pStyle w:val="35"/>
                    <w:jc w:val="center"/>
                    <w:rPr>
                      <w:rFonts w:cs="Times New Roman"/>
                      <w:b/>
                    </w:rPr>
                  </w:pPr>
                  <w:r>
                    <w:rPr>
                      <w:rFonts w:hint="eastAsia" w:cs="Times New Roman"/>
                      <w:b/>
                    </w:rPr>
                    <w:t>监测因子</w:t>
                  </w:r>
                </w:p>
              </w:tc>
              <w:tc>
                <w:tcPr>
                  <w:tcW w:w="1679" w:type="dxa"/>
                  <w:vAlign w:val="center"/>
                </w:tcPr>
                <w:p>
                  <w:pPr>
                    <w:pStyle w:val="35"/>
                    <w:jc w:val="center"/>
                    <w:rPr>
                      <w:rFonts w:cs="Times New Roman"/>
                      <w:b/>
                    </w:rPr>
                  </w:pPr>
                  <w:r>
                    <w:rPr>
                      <w:rFonts w:hint="eastAsia" w:cs="Times New Roman"/>
                      <w:b/>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88" w:type="dxa"/>
                </w:tcPr>
                <w:p>
                  <w:pPr>
                    <w:pStyle w:val="35"/>
                    <w:jc w:val="center"/>
                    <w:rPr>
                      <w:rFonts w:cs="Times New Roman"/>
                    </w:rPr>
                  </w:pPr>
                  <w:r>
                    <w:rPr>
                      <w:rFonts w:hint="eastAsia" w:cs="Times New Roman"/>
                    </w:rPr>
                    <w:t>废气</w:t>
                  </w:r>
                </w:p>
              </w:tc>
              <w:tc>
                <w:tcPr>
                  <w:tcW w:w="2606" w:type="dxa"/>
                  <w:vAlign w:val="center"/>
                </w:tcPr>
                <w:p>
                  <w:pPr>
                    <w:pStyle w:val="35"/>
                    <w:jc w:val="center"/>
                    <w:rPr>
                      <w:rFonts w:cs="Times New Roman"/>
                    </w:rPr>
                  </w:pPr>
                  <w:r>
                    <w:rPr>
                      <w:rFonts w:hint="eastAsia" w:cs="Times New Roman"/>
                    </w:rPr>
                    <w:t>厂界上风向1个点，下风向3个点</w:t>
                  </w:r>
                </w:p>
              </w:tc>
              <w:tc>
                <w:tcPr>
                  <w:tcW w:w="1511" w:type="dxa"/>
                  <w:vAlign w:val="center"/>
                </w:tcPr>
                <w:p>
                  <w:pPr>
                    <w:pStyle w:val="35"/>
                    <w:jc w:val="center"/>
                    <w:rPr>
                      <w:rFonts w:cs="Times New Roman"/>
                    </w:rPr>
                  </w:pPr>
                  <w:r>
                    <w:rPr>
                      <w:rFonts w:cs="Times New Roman"/>
                    </w:rPr>
                    <w:t>颗粒物</w:t>
                  </w:r>
                </w:p>
              </w:tc>
              <w:tc>
                <w:tcPr>
                  <w:tcW w:w="1679" w:type="dxa"/>
                  <w:vAlign w:val="center"/>
                </w:tcPr>
                <w:p>
                  <w:pPr>
                    <w:pStyle w:val="35"/>
                    <w:jc w:val="center"/>
                    <w:rPr>
                      <w:rFonts w:cs="Times New Roman"/>
                    </w:rPr>
                  </w:pPr>
                  <w:r>
                    <w:rPr>
                      <w:rFonts w:hint="eastAsia" w:cs="Times New Roman"/>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88" w:type="dxa"/>
                  <w:vAlign w:val="center"/>
                </w:tcPr>
                <w:p>
                  <w:pPr>
                    <w:pStyle w:val="35"/>
                    <w:jc w:val="center"/>
                    <w:rPr>
                      <w:rFonts w:cs="Times New Roman"/>
                    </w:rPr>
                  </w:pPr>
                  <w:r>
                    <w:rPr>
                      <w:rFonts w:hint="eastAsia" w:cs="Times New Roman"/>
                    </w:rPr>
                    <w:t>噪声</w:t>
                  </w:r>
                </w:p>
              </w:tc>
              <w:tc>
                <w:tcPr>
                  <w:tcW w:w="2606" w:type="dxa"/>
                  <w:vAlign w:val="center"/>
                </w:tcPr>
                <w:p>
                  <w:pPr>
                    <w:pStyle w:val="35"/>
                    <w:jc w:val="center"/>
                    <w:rPr>
                      <w:rFonts w:cs="Times New Roman"/>
                    </w:rPr>
                  </w:pPr>
                  <w:r>
                    <w:rPr>
                      <w:rFonts w:hint="eastAsia" w:cs="Times New Roman"/>
                    </w:rPr>
                    <w:t>厂界四周</w:t>
                  </w:r>
                </w:p>
              </w:tc>
              <w:tc>
                <w:tcPr>
                  <w:tcW w:w="1511" w:type="dxa"/>
                  <w:vAlign w:val="center"/>
                </w:tcPr>
                <w:p>
                  <w:pPr>
                    <w:pStyle w:val="35"/>
                    <w:jc w:val="center"/>
                    <w:rPr>
                      <w:rFonts w:cs="Times New Roman"/>
                    </w:rPr>
                  </w:pPr>
                  <w:r>
                    <w:rPr>
                      <w:rFonts w:hint="eastAsia" w:cs="Times New Roman"/>
                    </w:rPr>
                    <w:t>等效A声级</w:t>
                  </w:r>
                </w:p>
              </w:tc>
              <w:tc>
                <w:tcPr>
                  <w:tcW w:w="1679" w:type="dxa"/>
                  <w:vAlign w:val="center"/>
                </w:tcPr>
                <w:p>
                  <w:pPr>
                    <w:pStyle w:val="35"/>
                    <w:jc w:val="center"/>
                    <w:rPr>
                      <w:rFonts w:cs="Times New Roman"/>
                    </w:rPr>
                  </w:pPr>
                  <w:r>
                    <w:rPr>
                      <w:rFonts w:hint="eastAsia" w:cs="Times New Roman"/>
                    </w:rPr>
                    <w:t>1次/季</w:t>
                  </w:r>
                </w:p>
              </w:tc>
            </w:tr>
          </w:tbl>
          <w:p>
            <w:pPr>
              <w:pStyle w:val="47"/>
              <w:ind w:firstLine="482"/>
              <w:rPr>
                <w:b/>
              </w:rPr>
            </w:pPr>
            <w:r>
              <w:rPr>
                <w:b/>
              </w:rPr>
              <w:t>（6）环境管理</w:t>
            </w:r>
          </w:p>
          <w:p>
            <w:pPr>
              <w:widowControl/>
              <w:ind w:firstLine="480"/>
              <w:rPr>
                <w:rFonts w:cs="Times New Roman"/>
              </w:rPr>
            </w:pPr>
            <w:r>
              <w:rPr>
                <w:rFonts w:cs="Times New Roman"/>
                <w:kern w:val="0"/>
              </w:rPr>
              <w:t>营运期的环境管理的重点是各项环境保护措施的落实，环保设施运行的管理和维护，日常的监测及污染事故的防范和应急处理。</w:t>
            </w:r>
          </w:p>
          <w:p>
            <w:pPr>
              <w:widowControl/>
              <w:ind w:firstLine="480"/>
              <w:rPr>
                <w:rFonts w:cs="Times New Roman"/>
                <w:kern w:val="0"/>
              </w:rPr>
            </w:pPr>
            <w:r>
              <w:rPr>
                <w:rFonts w:hint="eastAsia" w:ascii="宋体" w:hAnsi="宋体" w:cs="宋体"/>
                <w:kern w:val="0"/>
              </w:rPr>
              <w:t>①</w:t>
            </w:r>
            <w:r>
              <w:rPr>
                <w:rFonts w:cs="Times New Roman"/>
                <w:kern w:val="0"/>
              </w:rPr>
              <w:t>根据环保部门对环保设施验收报告的批复意见进行补充完善。</w:t>
            </w:r>
          </w:p>
          <w:p>
            <w:pPr>
              <w:widowControl/>
              <w:ind w:firstLine="480"/>
              <w:rPr>
                <w:rFonts w:cs="Times New Roman"/>
              </w:rPr>
            </w:pPr>
            <w:r>
              <w:rPr>
                <w:rFonts w:hint="eastAsia" w:ascii="宋体" w:hAnsi="宋体" w:cs="宋体"/>
                <w:kern w:val="0"/>
              </w:rPr>
              <w:t>②</w:t>
            </w:r>
            <w:r>
              <w:rPr>
                <w:rFonts w:cs="Times New Roman"/>
                <w:kern w:val="0"/>
              </w:rPr>
              <w:t>按环保设施的操作规程，定期对环保设施进行保养和检修，保证环保设施的正常运行和污染物的达标排放。一旦环保设施出现故障，应立即停产检修，并上报环保法定责任人。严禁环保设施带病运行和事故排放。建立运行纪录并制定考核指标。</w:t>
            </w:r>
          </w:p>
          <w:p>
            <w:pPr>
              <w:widowControl/>
              <w:ind w:firstLine="480"/>
              <w:rPr>
                <w:rFonts w:cs="Times New Roman"/>
              </w:rPr>
            </w:pPr>
            <w:r>
              <w:rPr>
                <w:rFonts w:hint="eastAsia" w:ascii="宋体" w:hAnsi="宋体" w:cs="宋体"/>
                <w:kern w:val="0"/>
              </w:rPr>
              <w:t>③</w:t>
            </w:r>
            <w:r>
              <w:rPr>
                <w:rFonts w:cs="Times New Roman"/>
                <w:kern w:val="0"/>
              </w:rPr>
              <w:t>要加强设备的检查、维护、检修，保证设备完好运行，防治滴、漏、跑、冒对环境的污染。</w:t>
            </w:r>
          </w:p>
          <w:p>
            <w:pPr>
              <w:widowControl/>
              <w:ind w:firstLine="480"/>
              <w:rPr>
                <w:rFonts w:cs="Times New Roman"/>
              </w:rPr>
            </w:pPr>
            <w:r>
              <w:rPr>
                <w:rFonts w:hint="eastAsia" w:ascii="宋体" w:hAnsi="宋体" w:cs="宋体"/>
                <w:kern w:val="0"/>
              </w:rPr>
              <w:t>④</w:t>
            </w:r>
            <w:r>
              <w:rPr>
                <w:rFonts w:cs="Times New Roman"/>
                <w:kern w:val="0"/>
              </w:rPr>
              <w:t>接受环保主管部门的监督检查。主要内容有：污染物排放情况、环保设施运行管理情况、环境监测、环境事故的调查和有关记录、污染源建档记录等。</w:t>
            </w:r>
          </w:p>
        </w:tc>
      </w:tr>
    </w:tbl>
    <w:p>
      <w:pPr>
        <w:ind w:firstLine="0" w:firstLineChars="0"/>
        <w:rPr>
          <w:rFonts w:cs="Times New Roman"/>
        </w:rPr>
        <w:sectPr>
          <w:pgSz w:w="11906" w:h="16838"/>
          <w:pgMar w:top="1440" w:right="1800" w:bottom="1440" w:left="1800" w:header="851" w:footer="992" w:gutter="0"/>
          <w:cols w:space="720" w:num="1"/>
          <w:docGrid w:type="lines" w:linePitch="312" w:charSpace="0"/>
        </w:sectPr>
      </w:pPr>
    </w:p>
    <w:p>
      <w:pPr>
        <w:pStyle w:val="6"/>
        <w:ind w:firstLine="602"/>
        <w:jc w:val="center"/>
        <w:rPr>
          <w:rFonts w:cs="Times New Roman"/>
        </w:rPr>
      </w:pPr>
      <w:r>
        <w:rPr>
          <w:rFonts w:cs="Times New Roman"/>
        </w:rPr>
        <w:t>结论</w:t>
      </w:r>
    </w:p>
    <w:tbl>
      <w:tblPr>
        <w:tblStyle w:val="24"/>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1" w:hRule="atLeast"/>
        </w:trPr>
        <w:tc>
          <w:tcPr>
            <w:tcW w:w="8466" w:type="dxa"/>
          </w:tcPr>
          <w:p>
            <w:pPr>
              <w:pStyle w:val="47"/>
              <w:ind w:firstLine="480"/>
            </w:pPr>
            <w:r>
              <w:t>综上所述，明溪县兴发矿业有限公司年产50万吨破碎石生产线建设项目位于福建省三明市区明溪县城关乡王桥村叶厝坑，项目建设符合产业政策和功能区划要求，选址合理，项目运营期采取有效的环保措施，污染物能够达标排放，对周围环境影响较小。项目在认真执行环保“三同时”制度、加强环境管理的前提下，从环境保护角度分析，本项目建设是可行的。</w:t>
            </w:r>
          </w:p>
          <w:p>
            <w:pPr>
              <w:ind w:firstLine="480"/>
              <w:jc w:val="right"/>
              <w:rPr>
                <w:rFonts w:cs="Times New Roman"/>
              </w:rPr>
            </w:pPr>
          </w:p>
          <w:p>
            <w:pPr>
              <w:ind w:firstLine="480"/>
              <w:jc w:val="right"/>
              <w:rPr>
                <w:rFonts w:cs="Times New Roman"/>
              </w:rPr>
            </w:pPr>
          </w:p>
          <w:p>
            <w:pPr>
              <w:ind w:firstLine="480"/>
              <w:jc w:val="right"/>
              <w:rPr>
                <w:rFonts w:cs="Times New Roman"/>
              </w:rPr>
            </w:pPr>
          </w:p>
          <w:p>
            <w:pPr>
              <w:ind w:firstLine="480"/>
              <w:jc w:val="right"/>
              <w:rPr>
                <w:rFonts w:cs="Times New Roman"/>
              </w:rPr>
            </w:pPr>
          </w:p>
          <w:p>
            <w:pPr>
              <w:pStyle w:val="50"/>
              <w:ind w:firstLine="482"/>
              <w:jc w:val="center"/>
              <w:rPr>
                <w:rFonts w:hAnsi="Times New Roman"/>
                <w:b/>
              </w:rPr>
            </w:pPr>
            <w:r>
              <w:rPr>
                <w:rFonts w:hAnsi="Times New Roman"/>
                <w:b/>
              </w:rPr>
              <w:t xml:space="preserve">                              福建省福环环保科技有限公司</w:t>
            </w:r>
          </w:p>
          <w:p>
            <w:pPr>
              <w:pStyle w:val="47"/>
              <w:ind w:firstLine="482"/>
            </w:pPr>
            <w:r>
              <w:rPr>
                <w:b/>
              </w:rPr>
              <w:t xml:space="preserve">                                             2022年</w:t>
            </w:r>
            <w:r>
              <w:rPr>
                <w:rFonts w:hint="eastAsia"/>
                <w:b/>
              </w:rPr>
              <w:t>6</w:t>
            </w:r>
            <w:r>
              <w:rPr>
                <w:b/>
              </w:rPr>
              <w:t>月</w:t>
            </w:r>
          </w:p>
          <w:p>
            <w:pPr>
              <w:pStyle w:val="47"/>
              <w:ind w:firstLine="480"/>
            </w:pPr>
          </w:p>
          <w:p>
            <w:pPr>
              <w:pStyle w:val="47"/>
              <w:ind w:firstLine="480"/>
            </w:pPr>
          </w:p>
          <w:p>
            <w:pPr>
              <w:pStyle w:val="47"/>
              <w:ind w:firstLine="480"/>
            </w:pPr>
          </w:p>
          <w:p>
            <w:pPr>
              <w:pStyle w:val="47"/>
              <w:ind w:firstLine="480"/>
            </w:pPr>
          </w:p>
          <w:p>
            <w:pPr>
              <w:pStyle w:val="47"/>
              <w:ind w:firstLine="480"/>
            </w:pPr>
          </w:p>
          <w:p>
            <w:pPr>
              <w:pStyle w:val="47"/>
              <w:ind w:firstLine="480"/>
            </w:pPr>
          </w:p>
          <w:p>
            <w:pPr>
              <w:pStyle w:val="47"/>
              <w:ind w:firstLine="480"/>
            </w:pPr>
          </w:p>
          <w:p>
            <w:pPr>
              <w:pStyle w:val="47"/>
              <w:ind w:firstLine="480"/>
            </w:pPr>
          </w:p>
          <w:p>
            <w:pPr>
              <w:pStyle w:val="47"/>
              <w:ind w:firstLine="480"/>
            </w:pPr>
          </w:p>
          <w:p>
            <w:pPr>
              <w:pStyle w:val="47"/>
              <w:ind w:firstLine="480"/>
            </w:pPr>
          </w:p>
          <w:p>
            <w:pPr>
              <w:pStyle w:val="47"/>
              <w:ind w:firstLine="480"/>
            </w:pPr>
          </w:p>
          <w:p>
            <w:pPr>
              <w:pStyle w:val="47"/>
              <w:ind w:firstLine="480"/>
            </w:pPr>
          </w:p>
          <w:p>
            <w:pPr>
              <w:pStyle w:val="47"/>
              <w:ind w:firstLine="480"/>
            </w:pPr>
          </w:p>
          <w:p>
            <w:pPr>
              <w:pStyle w:val="3"/>
              <w:ind w:firstLine="210"/>
              <w:rPr>
                <w:rFonts w:cs="Times New Roman"/>
              </w:rPr>
            </w:pPr>
          </w:p>
        </w:tc>
      </w:tr>
    </w:tbl>
    <w:p>
      <w:pPr>
        <w:ind w:firstLine="480"/>
        <w:rPr>
          <w:rFonts w:cs="Times New Roman"/>
        </w:rPr>
        <w:sectPr>
          <w:pgSz w:w="11906" w:h="16838"/>
          <w:pgMar w:top="1440" w:right="1800" w:bottom="1440" w:left="1800" w:header="851" w:footer="992" w:gutter="0"/>
          <w:cols w:space="720" w:num="1"/>
          <w:docGrid w:type="lines" w:linePitch="312" w:charSpace="0"/>
        </w:sectPr>
      </w:pPr>
    </w:p>
    <w:p>
      <w:pPr>
        <w:pStyle w:val="33"/>
        <w:ind w:firstLine="640"/>
        <w:jc w:val="left"/>
        <w:rPr>
          <w:rFonts w:eastAsia="宋体" w:cs="Times New Roman"/>
        </w:rPr>
      </w:pPr>
      <w:r>
        <w:rPr>
          <w:rFonts w:eastAsia="宋体" w:cs="Times New Roman"/>
        </w:rPr>
        <w:t>附表</w:t>
      </w:r>
    </w:p>
    <w:p>
      <w:pPr>
        <w:pStyle w:val="22"/>
        <w:adjustRightInd w:val="0"/>
        <w:snapToGrid w:val="0"/>
        <w:spacing w:before="0" w:beforeAutospacing="0" w:after="0" w:afterAutospacing="0"/>
        <w:ind w:firstLine="760"/>
        <w:jc w:val="center"/>
        <w:outlineLvl w:val="0"/>
        <w:rPr>
          <w:rFonts w:ascii="Times New Roman" w:hAnsi="Times New Roman" w:cs="Times New Roman"/>
          <w:snapToGrid w:val="0"/>
          <w:sz w:val="38"/>
          <w:szCs w:val="38"/>
        </w:rPr>
      </w:pPr>
      <w:r>
        <w:rPr>
          <w:rFonts w:ascii="Times New Roman" w:hAnsi="Times New Roman" w:cs="Times New Roman"/>
          <w:snapToGrid w:val="0"/>
          <w:sz w:val="38"/>
          <w:szCs w:val="38"/>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83"/>
        <w:gridCol w:w="10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6"/>
              <w:spacing w:beforeLines="0" w:afterLines="0" w:line="360" w:lineRule="auto"/>
              <w:ind w:firstLine="0" w:firstLineChars="0"/>
              <w:jc w:val="right"/>
              <w:rPr>
                <w:rFonts w:ascii="Times New Roman" w:cs="Times New Roman"/>
                <w:snapToGrid w:val="0"/>
                <w:spacing w:val="-6"/>
                <w:kern w:val="21"/>
                <w:szCs w:val="21"/>
              </w:rPr>
            </w:pPr>
            <w:r>
              <w:rPr>
                <w:rFonts w:ascii="Times New Roman" w:cs="Times New Roman"/>
                <w:snapToGrid w:val="0"/>
                <w:spacing w:val="-6"/>
                <w:kern w:val="21"/>
                <w:szCs w:val="21"/>
              </w:rPr>
              <w:t>项目</w:t>
            </w:r>
          </w:p>
          <w:p>
            <w:pPr>
              <w:pStyle w:val="36"/>
              <w:spacing w:beforeLines="0" w:afterLines="0" w:line="360" w:lineRule="auto"/>
              <w:ind w:firstLine="0" w:firstLineChars="0"/>
              <w:jc w:val="left"/>
              <w:rPr>
                <w:rFonts w:ascii="Times New Roman" w:cs="Times New Roman"/>
                <w:snapToGrid w:val="0"/>
                <w:spacing w:val="-6"/>
                <w:kern w:val="21"/>
                <w:szCs w:val="21"/>
              </w:rPr>
            </w:pPr>
            <w:r>
              <w:rPr>
                <w:rFonts w:ascii="Times New Roman" w:cs="Times New Roman"/>
                <w:snapToGrid w:val="0"/>
                <w:spacing w:val="-6"/>
                <w:kern w:val="21"/>
                <w:szCs w:val="21"/>
              </w:rPr>
              <w:t>分类</w:t>
            </w:r>
          </w:p>
        </w:tc>
        <w:tc>
          <w:tcPr>
            <w:tcW w:w="1417" w:type="dxa"/>
            <w:tcMar>
              <w:left w:w="28" w:type="dxa"/>
              <w:right w:w="28" w:type="dxa"/>
            </w:tcMar>
            <w:vAlign w:val="center"/>
          </w:tcPr>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污染物名称</w:t>
            </w:r>
          </w:p>
        </w:tc>
        <w:tc>
          <w:tcPr>
            <w:tcW w:w="1701" w:type="dxa"/>
            <w:tcMar>
              <w:left w:w="28" w:type="dxa"/>
              <w:right w:w="28" w:type="dxa"/>
            </w:tcMar>
            <w:vAlign w:val="center"/>
          </w:tcPr>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现有工程</w:t>
            </w:r>
          </w:p>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排放量（固体废物产生量）</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1 \* GB3 \* MERGEFORMAT </w:instrText>
            </w:r>
            <w:r>
              <w:rPr>
                <w:rFonts w:ascii="Times New Roman" w:cs="Times New Roman"/>
                <w:snapToGrid w:val="0"/>
                <w:spacing w:val="-6"/>
                <w:kern w:val="21"/>
                <w:szCs w:val="21"/>
              </w:rPr>
              <w:fldChar w:fldCharType="separate"/>
            </w:r>
            <w:r>
              <w:rPr>
                <w:rFonts w:hint="eastAsia" w:hAnsi="宋体" w:cs="宋体"/>
                <w:kern w:val="2"/>
                <w:szCs w:val="21"/>
              </w:rPr>
              <w:t>①</w:t>
            </w:r>
            <w:r>
              <w:rPr>
                <w:rFonts w:ascii="Times New Roman" w:cs="Times New Roman"/>
                <w:snapToGrid w:val="0"/>
                <w:spacing w:val="-6"/>
                <w:kern w:val="21"/>
                <w:szCs w:val="21"/>
              </w:rPr>
              <w:fldChar w:fldCharType="end"/>
            </w:r>
          </w:p>
        </w:tc>
        <w:tc>
          <w:tcPr>
            <w:tcW w:w="1276" w:type="dxa"/>
            <w:tcMar>
              <w:left w:w="28" w:type="dxa"/>
              <w:right w:w="28" w:type="dxa"/>
            </w:tcMar>
            <w:vAlign w:val="center"/>
          </w:tcPr>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现有工程</w:t>
            </w:r>
          </w:p>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许可排放量</w:t>
            </w:r>
          </w:p>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2 \* GB3 \* MERGEFORMAT </w:instrText>
            </w:r>
            <w:r>
              <w:rPr>
                <w:rFonts w:ascii="Times New Roman" w:cs="Times New Roman"/>
                <w:snapToGrid w:val="0"/>
                <w:spacing w:val="-6"/>
                <w:kern w:val="21"/>
                <w:szCs w:val="21"/>
              </w:rPr>
              <w:fldChar w:fldCharType="separate"/>
            </w:r>
            <w:r>
              <w:rPr>
                <w:rFonts w:hint="eastAsia" w:hAnsi="宋体" w:cs="宋体"/>
                <w:snapToGrid w:val="0"/>
                <w:spacing w:val="-6"/>
                <w:kern w:val="21"/>
                <w:szCs w:val="21"/>
              </w:rPr>
              <w:t>②</w:t>
            </w:r>
            <w:r>
              <w:rPr>
                <w:rFonts w:ascii="Times New Roman" w:cs="Times New Roman"/>
                <w:snapToGrid w:val="0"/>
                <w:spacing w:val="-6"/>
                <w:kern w:val="21"/>
                <w:szCs w:val="21"/>
              </w:rPr>
              <w:fldChar w:fldCharType="end"/>
            </w:r>
          </w:p>
        </w:tc>
        <w:tc>
          <w:tcPr>
            <w:tcW w:w="1701" w:type="dxa"/>
            <w:tcMar>
              <w:left w:w="28" w:type="dxa"/>
              <w:right w:w="28" w:type="dxa"/>
            </w:tcMar>
            <w:vAlign w:val="center"/>
          </w:tcPr>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在建工程</w:t>
            </w:r>
          </w:p>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排放量（固体废物产生量）</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3 \* GB3 \* MERGEFORMAT </w:instrText>
            </w:r>
            <w:r>
              <w:rPr>
                <w:rFonts w:ascii="Times New Roman" w:cs="Times New Roman"/>
                <w:snapToGrid w:val="0"/>
                <w:spacing w:val="-6"/>
                <w:kern w:val="21"/>
                <w:szCs w:val="21"/>
              </w:rPr>
              <w:fldChar w:fldCharType="separate"/>
            </w:r>
            <w:r>
              <w:rPr>
                <w:rFonts w:hint="eastAsia" w:hAnsi="宋体" w:cs="宋体"/>
                <w:kern w:val="2"/>
                <w:szCs w:val="21"/>
              </w:rPr>
              <w:t>③</w:t>
            </w:r>
            <w:r>
              <w:rPr>
                <w:rFonts w:ascii="Times New Roman" w:cs="Times New Roman"/>
                <w:snapToGrid w:val="0"/>
                <w:spacing w:val="-6"/>
                <w:kern w:val="21"/>
                <w:szCs w:val="21"/>
              </w:rPr>
              <w:fldChar w:fldCharType="end"/>
            </w:r>
          </w:p>
        </w:tc>
        <w:tc>
          <w:tcPr>
            <w:tcW w:w="1559" w:type="dxa"/>
            <w:tcMar>
              <w:left w:w="28" w:type="dxa"/>
              <w:right w:w="28" w:type="dxa"/>
            </w:tcMar>
            <w:vAlign w:val="center"/>
          </w:tcPr>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本项目</w:t>
            </w:r>
          </w:p>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排放量（固体废物产生量）</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4 \* GB3 \* MERGEFORMAT </w:instrText>
            </w:r>
            <w:r>
              <w:rPr>
                <w:rFonts w:ascii="Times New Roman" w:cs="Times New Roman"/>
                <w:snapToGrid w:val="0"/>
                <w:spacing w:val="-6"/>
                <w:kern w:val="21"/>
                <w:szCs w:val="21"/>
              </w:rPr>
              <w:fldChar w:fldCharType="separate"/>
            </w:r>
            <w:r>
              <w:rPr>
                <w:rFonts w:hint="eastAsia" w:hAnsi="宋体" w:cs="宋体"/>
                <w:kern w:val="2"/>
                <w:szCs w:val="21"/>
              </w:rPr>
              <w:t>④</w:t>
            </w:r>
            <w:r>
              <w:rPr>
                <w:rFonts w:ascii="Times New Roman" w:cs="Times New Roman"/>
                <w:snapToGrid w:val="0"/>
                <w:spacing w:val="-6"/>
                <w:kern w:val="21"/>
                <w:szCs w:val="21"/>
              </w:rPr>
              <w:fldChar w:fldCharType="end"/>
            </w:r>
          </w:p>
        </w:tc>
        <w:tc>
          <w:tcPr>
            <w:tcW w:w="1761" w:type="dxa"/>
            <w:tcMar>
              <w:left w:w="28" w:type="dxa"/>
              <w:right w:w="28" w:type="dxa"/>
            </w:tcMar>
            <w:vAlign w:val="center"/>
          </w:tcPr>
          <w:p>
            <w:pPr>
              <w:pStyle w:val="36"/>
              <w:spacing w:beforeLines="0" w:afterLines="0" w:line="360" w:lineRule="auto"/>
              <w:ind w:firstLine="0" w:firstLineChars="0"/>
              <w:rPr>
                <w:rFonts w:ascii="Times New Roman" w:cs="Times New Roman"/>
                <w:snapToGrid w:val="0"/>
                <w:spacing w:val="-16"/>
                <w:kern w:val="21"/>
                <w:szCs w:val="21"/>
              </w:rPr>
            </w:pPr>
            <w:r>
              <w:rPr>
                <w:rFonts w:ascii="Times New Roman" w:cs="Times New Roman"/>
                <w:snapToGrid w:val="0"/>
                <w:spacing w:val="-16"/>
                <w:kern w:val="21"/>
                <w:szCs w:val="21"/>
              </w:rPr>
              <w:t>以新带老削减量</w:t>
            </w:r>
          </w:p>
          <w:p>
            <w:pPr>
              <w:pStyle w:val="36"/>
              <w:spacing w:beforeLines="0" w:afterLines="0" w:line="360" w:lineRule="auto"/>
              <w:ind w:firstLine="0" w:firstLineChars="0"/>
              <w:rPr>
                <w:rFonts w:ascii="Times New Roman" w:cs="Times New Roman"/>
                <w:snapToGrid w:val="0"/>
                <w:spacing w:val="-16"/>
                <w:kern w:val="21"/>
                <w:szCs w:val="21"/>
              </w:rPr>
            </w:pPr>
            <w:r>
              <w:rPr>
                <w:rFonts w:ascii="Times New Roman" w:cs="Times New Roman"/>
                <w:snapToGrid w:val="0"/>
                <w:spacing w:val="-16"/>
                <w:kern w:val="21"/>
                <w:szCs w:val="21"/>
              </w:rPr>
              <w:t>（新建项目不填）</w:t>
            </w:r>
            <w:r>
              <w:rPr>
                <w:rFonts w:ascii="Times New Roman" w:cs="Times New Roman"/>
                <w:snapToGrid w:val="0"/>
                <w:spacing w:val="-16"/>
                <w:kern w:val="21"/>
                <w:szCs w:val="21"/>
              </w:rPr>
              <w:fldChar w:fldCharType="begin"/>
            </w:r>
            <w:r>
              <w:rPr>
                <w:rFonts w:ascii="Times New Roman" w:cs="Times New Roman"/>
                <w:snapToGrid w:val="0"/>
                <w:spacing w:val="-16"/>
                <w:kern w:val="21"/>
                <w:szCs w:val="21"/>
              </w:rPr>
              <w:instrText xml:space="preserve"> = 5 \* GB3 \* MERGEFORMAT </w:instrText>
            </w:r>
            <w:r>
              <w:rPr>
                <w:rFonts w:ascii="Times New Roman" w:cs="Times New Roman"/>
                <w:snapToGrid w:val="0"/>
                <w:spacing w:val="-16"/>
                <w:kern w:val="21"/>
                <w:szCs w:val="21"/>
              </w:rPr>
              <w:fldChar w:fldCharType="separate"/>
            </w:r>
            <w:r>
              <w:rPr>
                <w:rFonts w:hint="eastAsia" w:hAnsi="宋体" w:cs="宋体"/>
                <w:kern w:val="2"/>
                <w:szCs w:val="21"/>
              </w:rPr>
              <w:t>⑤</w:t>
            </w:r>
            <w:r>
              <w:rPr>
                <w:rFonts w:ascii="Times New Roman" w:cs="Times New Roman"/>
                <w:snapToGrid w:val="0"/>
                <w:spacing w:val="-16"/>
                <w:kern w:val="21"/>
                <w:szCs w:val="21"/>
              </w:rPr>
              <w:fldChar w:fldCharType="end"/>
            </w:r>
          </w:p>
        </w:tc>
        <w:tc>
          <w:tcPr>
            <w:tcW w:w="1783" w:type="dxa"/>
            <w:tcMar>
              <w:left w:w="28" w:type="dxa"/>
              <w:right w:w="28" w:type="dxa"/>
            </w:tcMar>
            <w:vAlign w:val="center"/>
          </w:tcPr>
          <w:p>
            <w:pPr>
              <w:pStyle w:val="36"/>
              <w:spacing w:beforeLines="0" w:afterLines="0" w:line="360" w:lineRule="auto"/>
              <w:ind w:firstLine="0" w:firstLineChars="0"/>
              <w:rPr>
                <w:rFonts w:ascii="Times New Roman" w:cs="Times New Roman"/>
                <w:snapToGrid w:val="0"/>
                <w:spacing w:val="-16"/>
                <w:kern w:val="21"/>
                <w:szCs w:val="21"/>
              </w:rPr>
            </w:pPr>
            <w:r>
              <w:rPr>
                <w:rFonts w:ascii="Times New Roman" w:cs="Times New Roman"/>
                <w:snapToGrid w:val="0"/>
                <w:spacing w:val="-16"/>
                <w:kern w:val="21"/>
                <w:szCs w:val="21"/>
              </w:rPr>
              <w:t>本项目建成后</w:t>
            </w:r>
          </w:p>
          <w:p>
            <w:pPr>
              <w:pStyle w:val="36"/>
              <w:spacing w:beforeLines="0" w:afterLines="0" w:line="360" w:lineRule="auto"/>
              <w:ind w:firstLine="0" w:firstLineChars="0"/>
              <w:rPr>
                <w:rFonts w:ascii="Times New Roman" w:cs="Times New Roman"/>
                <w:snapToGrid w:val="0"/>
                <w:spacing w:val="-16"/>
                <w:kern w:val="21"/>
                <w:szCs w:val="21"/>
              </w:rPr>
            </w:pPr>
            <w:r>
              <w:rPr>
                <w:rFonts w:ascii="Times New Roman" w:cs="Times New Roman"/>
                <w:snapToGrid w:val="0"/>
                <w:spacing w:val="-16"/>
                <w:kern w:val="21"/>
                <w:szCs w:val="21"/>
              </w:rPr>
              <w:t>全厂排放量（固体废物产生量）</w:t>
            </w:r>
            <w:r>
              <w:rPr>
                <w:rFonts w:ascii="Times New Roman" w:cs="Times New Roman"/>
                <w:snapToGrid w:val="0"/>
                <w:spacing w:val="-16"/>
                <w:kern w:val="21"/>
                <w:szCs w:val="21"/>
              </w:rPr>
              <w:fldChar w:fldCharType="begin"/>
            </w:r>
            <w:r>
              <w:rPr>
                <w:rFonts w:ascii="Times New Roman" w:cs="Times New Roman"/>
                <w:snapToGrid w:val="0"/>
                <w:spacing w:val="-16"/>
                <w:kern w:val="21"/>
                <w:szCs w:val="21"/>
              </w:rPr>
              <w:instrText xml:space="preserve"> = 6 \* GB3 \* MERGEFORMAT </w:instrText>
            </w:r>
            <w:r>
              <w:rPr>
                <w:rFonts w:ascii="Times New Roman" w:cs="Times New Roman"/>
                <w:snapToGrid w:val="0"/>
                <w:spacing w:val="-16"/>
                <w:kern w:val="21"/>
                <w:szCs w:val="21"/>
              </w:rPr>
              <w:fldChar w:fldCharType="separate"/>
            </w:r>
            <w:r>
              <w:rPr>
                <w:rFonts w:hint="eastAsia" w:hAnsi="宋体" w:cs="宋体"/>
                <w:kern w:val="2"/>
                <w:szCs w:val="21"/>
              </w:rPr>
              <w:t>⑥</w:t>
            </w:r>
            <w:r>
              <w:rPr>
                <w:rFonts w:ascii="Times New Roman" w:cs="Times New Roman"/>
                <w:snapToGrid w:val="0"/>
                <w:spacing w:val="-16"/>
                <w:kern w:val="21"/>
                <w:szCs w:val="21"/>
              </w:rPr>
              <w:fldChar w:fldCharType="end"/>
            </w:r>
          </w:p>
        </w:tc>
        <w:tc>
          <w:tcPr>
            <w:tcW w:w="1002" w:type="dxa"/>
            <w:tcMar>
              <w:left w:w="28" w:type="dxa"/>
              <w:right w:w="28" w:type="dxa"/>
            </w:tcMar>
            <w:vAlign w:val="center"/>
          </w:tcPr>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t>变化量</w:t>
            </w:r>
          </w:p>
          <w:p>
            <w:pPr>
              <w:pStyle w:val="36"/>
              <w:spacing w:beforeLines="0" w:afterLines="0" w:line="360" w:lineRule="auto"/>
              <w:ind w:firstLine="0" w:firstLineChars="0"/>
              <w:rPr>
                <w:rFonts w:ascii="Times New Roman" w:cs="Times New Roman"/>
                <w:snapToGrid w:val="0"/>
                <w:spacing w:val="-6"/>
                <w:kern w:val="21"/>
                <w:szCs w:val="21"/>
              </w:rPr>
            </w:pP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7 \* GB3 \* MERGEFORMAT </w:instrText>
            </w:r>
            <w:r>
              <w:rPr>
                <w:rFonts w:ascii="Times New Roman" w:cs="Times New Roman"/>
                <w:snapToGrid w:val="0"/>
                <w:spacing w:val="-6"/>
                <w:kern w:val="21"/>
                <w:szCs w:val="21"/>
              </w:rPr>
              <w:fldChar w:fldCharType="separate"/>
            </w:r>
            <w:r>
              <w:rPr>
                <w:rFonts w:hint="eastAsia" w:hAnsi="宋体" w:cs="宋体"/>
                <w:kern w:val="2"/>
                <w:szCs w:val="21"/>
              </w:rPr>
              <w:t>⑦</w:t>
            </w:r>
            <w:r>
              <w:rPr>
                <w:rFonts w:ascii="Times New Roman" w:cs="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废气</w:t>
            </w:r>
          </w:p>
        </w:tc>
        <w:tc>
          <w:tcPr>
            <w:tcW w:w="1417"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颗粒物</w:t>
            </w: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276"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559"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6.065</w:t>
            </w:r>
          </w:p>
        </w:tc>
        <w:tc>
          <w:tcPr>
            <w:tcW w:w="176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83"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6.065</w:t>
            </w:r>
          </w:p>
        </w:tc>
        <w:tc>
          <w:tcPr>
            <w:tcW w:w="1002"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+6.065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6"/>
              <w:spacing w:beforeLines="0" w:afterLines="0" w:line="360" w:lineRule="auto"/>
              <w:ind w:firstLine="0" w:firstLineChars="0"/>
              <w:rPr>
                <w:rFonts w:ascii="Times New Roman" w:cs="Times New Roman"/>
                <w:snapToGrid w:val="0"/>
                <w:kern w:val="21"/>
                <w:szCs w:val="21"/>
              </w:rPr>
            </w:pPr>
          </w:p>
        </w:tc>
        <w:tc>
          <w:tcPr>
            <w:tcW w:w="1417"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276"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559"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6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83"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002"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废水</w:t>
            </w:r>
          </w:p>
        </w:tc>
        <w:tc>
          <w:tcPr>
            <w:tcW w:w="1417"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276"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559"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6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83"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002"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6"/>
              <w:spacing w:beforeLines="0" w:afterLines="0" w:line="360" w:lineRule="auto"/>
              <w:ind w:firstLine="0" w:firstLineChars="0"/>
              <w:rPr>
                <w:rFonts w:ascii="Times New Roman" w:cs="Times New Roman"/>
                <w:snapToGrid w:val="0"/>
                <w:kern w:val="21"/>
                <w:szCs w:val="21"/>
              </w:rPr>
            </w:pPr>
          </w:p>
        </w:tc>
        <w:tc>
          <w:tcPr>
            <w:tcW w:w="1417"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276"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559"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61"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783"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c>
          <w:tcPr>
            <w:tcW w:w="1002"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一般工业</w:t>
            </w:r>
          </w:p>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固体废物</w:t>
            </w:r>
          </w:p>
        </w:tc>
        <w:tc>
          <w:tcPr>
            <w:tcW w:w="1417"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生活垃圾</w:t>
            </w: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276"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559"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1.2</w:t>
            </w:r>
          </w:p>
        </w:tc>
        <w:tc>
          <w:tcPr>
            <w:tcW w:w="176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83"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1.2</w:t>
            </w:r>
          </w:p>
        </w:tc>
        <w:tc>
          <w:tcPr>
            <w:tcW w:w="1002" w:type="dxa"/>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6"/>
              <w:spacing w:beforeLines="0" w:afterLines="0" w:line="360" w:lineRule="auto"/>
              <w:ind w:firstLine="0" w:firstLineChars="0"/>
              <w:rPr>
                <w:rFonts w:ascii="Times New Roman" w:cs="Times New Roman"/>
                <w:snapToGrid w:val="0"/>
                <w:kern w:val="21"/>
                <w:szCs w:val="21"/>
              </w:rPr>
            </w:pPr>
          </w:p>
        </w:tc>
        <w:tc>
          <w:tcPr>
            <w:tcW w:w="1417"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276"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559"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6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83"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002" w:type="dxa"/>
            <w:vAlign w:val="center"/>
          </w:tcPr>
          <w:p>
            <w:pPr>
              <w:pStyle w:val="36"/>
              <w:spacing w:beforeLines="0" w:afterLines="0" w:line="360" w:lineRule="auto"/>
              <w:ind w:firstLine="0" w:firstLineChars="0"/>
              <w:rPr>
                <w:rFonts w:ascii="Times New Roman"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6"/>
              <w:spacing w:beforeLines="0" w:afterLines="0" w:line="360" w:lineRule="auto"/>
              <w:ind w:firstLine="0" w:firstLineChars="0"/>
              <w:rPr>
                <w:rFonts w:ascii="Times New Roman" w:cs="Times New Roman"/>
                <w:snapToGrid w:val="0"/>
                <w:kern w:val="21"/>
                <w:szCs w:val="21"/>
              </w:rPr>
            </w:pPr>
            <w:r>
              <w:rPr>
                <w:rFonts w:ascii="Times New Roman" w:cs="Times New Roman"/>
                <w:snapToGrid w:val="0"/>
                <w:kern w:val="21"/>
                <w:szCs w:val="21"/>
              </w:rPr>
              <w:t>危险废物</w:t>
            </w:r>
          </w:p>
        </w:tc>
        <w:tc>
          <w:tcPr>
            <w:tcW w:w="1417"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276"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559"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6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83"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002" w:type="dxa"/>
            <w:vAlign w:val="center"/>
          </w:tcPr>
          <w:p>
            <w:pPr>
              <w:pStyle w:val="36"/>
              <w:spacing w:beforeLines="0" w:afterLines="0" w:line="360" w:lineRule="auto"/>
              <w:ind w:firstLine="0" w:firstLineChars="0"/>
              <w:rPr>
                <w:rFonts w:ascii="Times New Roman"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6"/>
              <w:spacing w:beforeLines="0" w:afterLines="0" w:line="360" w:lineRule="auto"/>
              <w:ind w:firstLine="0" w:firstLineChars="0"/>
              <w:rPr>
                <w:rFonts w:ascii="Times New Roman" w:cs="Times New Roman"/>
                <w:snapToGrid w:val="0"/>
                <w:kern w:val="21"/>
                <w:szCs w:val="21"/>
              </w:rPr>
            </w:pPr>
          </w:p>
        </w:tc>
        <w:tc>
          <w:tcPr>
            <w:tcW w:w="1417"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276"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0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559"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61"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783" w:type="dxa"/>
            <w:vAlign w:val="center"/>
          </w:tcPr>
          <w:p>
            <w:pPr>
              <w:pStyle w:val="36"/>
              <w:spacing w:beforeLines="0" w:afterLines="0" w:line="360" w:lineRule="auto"/>
              <w:ind w:firstLine="0" w:firstLineChars="0"/>
              <w:rPr>
                <w:rFonts w:ascii="Times New Roman" w:cs="Times New Roman"/>
                <w:snapToGrid w:val="0"/>
                <w:kern w:val="21"/>
                <w:szCs w:val="21"/>
              </w:rPr>
            </w:pPr>
          </w:p>
        </w:tc>
        <w:tc>
          <w:tcPr>
            <w:tcW w:w="1002" w:type="dxa"/>
            <w:vAlign w:val="center"/>
          </w:tcPr>
          <w:p>
            <w:pPr>
              <w:pStyle w:val="36"/>
              <w:spacing w:beforeLines="0" w:afterLines="0" w:line="360" w:lineRule="auto"/>
              <w:ind w:firstLine="0" w:firstLineChars="0"/>
              <w:rPr>
                <w:rFonts w:ascii="Times New Roman" w:cs="Times New Roman"/>
                <w:snapToGrid w:val="0"/>
                <w:kern w:val="21"/>
                <w:szCs w:val="21"/>
              </w:rPr>
            </w:pPr>
          </w:p>
        </w:tc>
      </w:tr>
    </w:tbl>
    <w:p>
      <w:pPr>
        <w:pStyle w:val="36"/>
        <w:spacing w:before="260" w:beforeLines="80" w:after="32"/>
        <w:ind w:firstLine="480"/>
        <w:jc w:val="left"/>
      </w:pPr>
      <w:r>
        <w:rPr>
          <w:rFonts w:ascii="Times New Roman" w:cs="Times New Roman"/>
          <w:snapToGrid w:val="0"/>
          <w:kern w:val="21"/>
          <w:szCs w:val="21"/>
        </w:rPr>
        <w:t>注：</w:t>
      </w:r>
      <w:r>
        <w:rPr>
          <w:rFonts w:ascii="Times New Roman" w:cs="Times New Roman"/>
          <w:snapToGrid w:val="0"/>
          <w:spacing w:val="-16"/>
          <w:kern w:val="21"/>
          <w:szCs w:val="21"/>
        </w:rPr>
        <w:fldChar w:fldCharType="begin"/>
      </w:r>
      <w:r>
        <w:rPr>
          <w:rFonts w:ascii="Times New Roman" w:cs="Times New Roman"/>
          <w:snapToGrid w:val="0"/>
          <w:spacing w:val="-16"/>
          <w:kern w:val="21"/>
          <w:szCs w:val="21"/>
        </w:rPr>
        <w:instrText xml:space="preserve"> = 6 \* GB3 \* MERGEFORMAT </w:instrText>
      </w:r>
      <w:r>
        <w:rPr>
          <w:rFonts w:ascii="Times New Roman" w:cs="Times New Roman"/>
          <w:snapToGrid w:val="0"/>
          <w:spacing w:val="-16"/>
          <w:kern w:val="21"/>
          <w:szCs w:val="21"/>
        </w:rPr>
        <w:fldChar w:fldCharType="separate"/>
      </w:r>
      <w:r>
        <w:rPr>
          <w:rFonts w:hint="eastAsia" w:hAnsi="宋体" w:cs="宋体"/>
          <w:szCs w:val="21"/>
        </w:rPr>
        <w:t>⑥</w:t>
      </w:r>
      <w:r>
        <w:rPr>
          <w:rFonts w:ascii="Times New Roman" w:cs="Times New Roman"/>
          <w:snapToGrid w:val="0"/>
          <w:spacing w:val="-16"/>
          <w:kern w:val="21"/>
          <w:szCs w:val="21"/>
        </w:rPr>
        <w:fldChar w:fldCharType="end"/>
      </w:r>
      <w:r>
        <w:rPr>
          <w:rFonts w:ascii="Times New Roman" w:cs="Times New Roman"/>
          <w:snapToGrid w:val="0"/>
          <w:spacing w:val="-1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1 \* GB3 \* MERGEFORMAT </w:instrText>
      </w:r>
      <w:r>
        <w:rPr>
          <w:rFonts w:ascii="Times New Roman" w:cs="Times New Roman"/>
          <w:snapToGrid w:val="0"/>
          <w:spacing w:val="-6"/>
          <w:kern w:val="21"/>
          <w:szCs w:val="21"/>
        </w:rPr>
        <w:fldChar w:fldCharType="separate"/>
      </w:r>
      <w:r>
        <w:rPr>
          <w:rFonts w:hint="eastAsia" w:hAnsi="宋体" w:cs="宋体"/>
          <w:szCs w:val="21"/>
        </w:rPr>
        <w:t>①</w:t>
      </w:r>
      <w:r>
        <w:rPr>
          <w:rFonts w:ascii="Times New Roman" w:cs="Times New Roman"/>
          <w:snapToGrid w:val="0"/>
          <w:spacing w:val="-6"/>
          <w:kern w:val="21"/>
          <w:szCs w:val="21"/>
        </w:rPr>
        <w:fldChar w:fldCharType="end"/>
      </w:r>
      <w:r>
        <w:rPr>
          <w:rFonts w:ascii="Times New Roman" w:cs="Times New Roman"/>
          <w:snapToGrid w:val="0"/>
          <w:spacing w:val="-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3 \* GB3 \* MERGEFORMAT </w:instrText>
      </w:r>
      <w:r>
        <w:rPr>
          <w:rFonts w:ascii="Times New Roman" w:cs="Times New Roman"/>
          <w:snapToGrid w:val="0"/>
          <w:spacing w:val="-6"/>
          <w:kern w:val="21"/>
          <w:szCs w:val="21"/>
        </w:rPr>
        <w:fldChar w:fldCharType="separate"/>
      </w:r>
      <w:r>
        <w:rPr>
          <w:rFonts w:hint="eastAsia" w:hAnsi="宋体" w:cs="宋体"/>
          <w:szCs w:val="21"/>
        </w:rPr>
        <w:t>③</w:t>
      </w:r>
      <w:r>
        <w:rPr>
          <w:rFonts w:ascii="Times New Roman" w:cs="Times New Roman"/>
          <w:snapToGrid w:val="0"/>
          <w:spacing w:val="-6"/>
          <w:kern w:val="21"/>
          <w:szCs w:val="21"/>
        </w:rPr>
        <w:fldChar w:fldCharType="end"/>
      </w:r>
      <w:r>
        <w:rPr>
          <w:rFonts w:ascii="Times New Roman" w:cs="Times New Roman"/>
          <w:snapToGrid w:val="0"/>
          <w:spacing w:val="-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4 \* GB3 \* MERGEFORMAT </w:instrText>
      </w:r>
      <w:r>
        <w:rPr>
          <w:rFonts w:ascii="Times New Roman" w:cs="Times New Roman"/>
          <w:snapToGrid w:val="0"/>
          <w:spacing w:val="-6"/>
          <w:kern w:val="21"/>
          <w:szCs w:val="21"/>
        </w:rPr>
        <w:fldChar w:fldCharType="separate"/>
      </w:r>
      <w:r>
        <w:rPr>
          <w:rFonts w:hint="eastAsia" w:hAnsi="宋体" w:cs="宋体"/>
          <w:szCs w:val="21"/>
        </w:rPr>
        <w:t>④</w:t>
      </w:r>
      <w:r>
        <w:rPr>
          <w:rFonts w:ascii="Times New Roman" w:cs="Times New Roman"/>
          <w:snapToGrid w:val="0"/>
          <w:spacing w:val="-6"/>
          <w:kern w:val="21"/>
          <w:szCs w:val="21"/>
        </w:rPr>
        <w:fldChar w:fldCharType="end"/>
      </w:r>
      <w:r>
        <w:rPr>
          <w:rFonts w:ascii="Times New Roman" w:cs="Times New Roman"/>
          <w:snapToGrid w:val="0"/>
          <w:spacing w:val="-6"/>
          <w:kern w:val="21"/>
          <w:szCs w:val="21"/>
        </w:rPr>
        <w:t>-</w:t>
      </w:r>
      <w:r>
        <w:rPr>
          <w:rFonts w:ascii="Times New Roman" w:cs="Times New Roman"/>
          <w:snapToGrid w:val="0"/>
          <w:spacing w:val="-16"/>
          <w:kern w:val="21"/>
          <w:szCs w:val="21"/>
        </w:rPr>
        <w:fldChar w:fldCharType="begin"/>
      </w:r>
      <w:r>
        <w:rPr>
          <w:rFonts w:ascii="Times New Roman" w:cs="Times New Roman"/>
          <w:snapToGrid w:val="0"/>
          <w:spacing w:val="-16"/>
          <w:kern w:val="21"/>
          <w:szCs w:val="21"/>
        </w:rPr>
        <w:instrText xml:space="preserve"> = 5 \* GB3 \* MERGEFORMAT </w:instrText>
      </w:r>
      <w:r>
        <w:rPr>
          <w:rFonts w:ascii="Times New Roman" w:cs="Times New Roman"/>
          <w:snapToGrid w:val="0"/>
          <w:spacing w:val="-16"/>
          <w:kern w:val="21"/>
          <w:szCs w:val="21"/>
        </w:rPr>
        <w:fldChar w:fldCharType="separate"/>
      </w:r>
      <w:r>
        <w:rPr>
          <w:rFonts w:hint="eastAsia" w:hAnsi="宋体" w:cs="宋体"/>
          <w:szCs w:val="21"/>
        </w:rPr>
        <w:t>⑤</w:t>
      </w:r>
      <w:r>
        <w:rPr>
          <w:rFonts w:ascii="Times New Roman" w:cs="Times New Roman"/>
          <w:snapToGrid w:val="0"/>
          <w:spacing w:val="-16"/>
          <w:kern w:val="21"/>
          <w:szCs w:val="21"/>
        </w:rPr>
        <w:fldChar w:fldCharType="end"/>
      </w:r>
      <w:r>
        <w:rPr>
          <w:rFonts w:ascii="Times New Roman" w:cs="Times New Roman"/>
          <w:snapToGrid w:val="0"/>
          <w:spacing w:val="-1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7 \* GB3 \* MERGEFORMAT </w:instrText>
      </w:r>
      <w:r>
        <w:rPr>
          <w:rFonts w:ascii="Times New Roman" w:cs="Times New Roman"/>
          <w:snapToGrid w:val="0"/>
          <w:spacing w:val="-6"/>
          <w:kern w:val="21"/>
          <w:szCs w:val="21"/>
        </w:rPr>
        <w:fldChar w:fldCharType="separate"/>
      </w:r>
      <w:r>
        <w:rPr>
          <w:rFonts w:hint="eastAsia" w:hAnsi="宋体" w:cs="宋体"/>
          <w:szCs w:val="21"/>
        </w:rPr>
        <w:t>⑦</w:t>
      </w:r>
      <w:r>
        <w:rPr>
          <w:rFonts w:ascii="Times New Roman" w:cs="Times New Roman"/>
          <w:snapToGrid w:val="0"/>
          <w:spacing w:val="-6"/>
          <w:kern w:val="21"/>
          <w:szCs w:val="21"/>
        </w:rPr>
        <w:fldChar w:fldCharType="end"/>
      </w:r>
      <w:r>
        <w:rPr>
          <w:rFonts w:ascii="Times New Roman" w:cs="Times New Roman"/>
          <w:snapToGrid w:val="0"/>
          <w:spacing w:val="-6"/>
          <w:kern w:val="21"/>
          <w:szCs w:val="21"/>
        </w:rPr>
        <w:t>=</w:t>
      </w:r>
      <w:r>
        <w:rPr>
          <w:rFonts w:ascii="Times New Roman" w:cs="Times New Roman"/>
          <w:snapToGrid w:val="0"/>
          <w:spacing w:val="-16"/>
          <w:kern w:val="21"/>
          <w:szCs w:val="21"/>
        </w:rPr>
        <w:fldChar w:fldCharType="begin"/>
      </w:r>
      <w:r>
        <w:rPr>
          <w:rFonts w:ascii="Times New Roman" w:cs="Times New Roman"/>
          <w:snapToGrid w:val="0"/>
          <w:spacing w:val="-16"/>
          <w:kern w:val="21"/>
          <w:szCs w:val="21"/>
        </w:rPr>
        <w:instrText xml:space="preserve"> = 6 \* GB3 \* MERGEFORMAT </w:instrText>
      </w:r>
      <w:r>
        <w:rPr>
          <w:rFonts w:ascii="Times New Roman" w:cs="Times New Roman"/>
          <w:snapToGrid w:val="0"/>
          <w:spacing w:val="-16"/>
          <w:kern w:val="21"/>
          <w:szCs w:val="21"/>
        </w:rPr>
        <w:fldChar w:fldCharType="separate"/>
      </w:r>
      <w:r>
        <w:rPr>
          <w:rFonts w:hint="eastAsia" w:hAnsi="宋体" w:cs="宋体"/>
          <w:szCs w:val="21"/>
        </w:rPr>
        <w:t>⑥</w:t>
      </w:r>
      <w:r>
        <w:rPr>
          <w:rFonts w:ascii="Times New Roman" w:cs="Times New Roman"/>
          <w:snapToGrid w:val="0"/>
          <w:spacing w:val="-16"/>
          <w:kern w:val="21"/>
          <w:szCs w:val="21"/>
        </w:rPr>
        <w:fldChar w:fldCharType="end"/>
      </w:r>
      <w:r>
        <w:rPr>
          <w:rFonts w:ascii="Times New Roman" w:cs="Times New Roman"/>
          <w:snapToGrid w:val="0"/>
          <w:spacing w:val="-1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1 \* GB3 \* MERGEFORMAT </w:instrText>
      </w:r>
      <w:r>
        <w:rPr>
          <w:rFonts w:ascii="Times New Roman" w:cs="Times New Roman"/>
          <w:snapToGrid w:val="0"/>
          <w:spacing w:val="-6"/>
          <w:kern w:val="21"/>
          <w:szCs w:val="21"/>
        </w:rPr>
        <w:fldChar w:fldCharType="separate"/>
      </w:r>
      <w:r>
        <w:rPr>
          <w:rFonts w:hint="eastAsia" w:hAnsi="宋体" w:cs="宋体"/>
          <w:szCs w:val="21"/>
        </w:rPr>
        <w:t>①</w:t>
      </w:r>
      <w:r>
        <w:rPr>
          <w:rFonts w:ascii="Times New Roman" w:cs="Times New Roman"/>
          <w:snapToGrid w:val="0"/>
          <w:spacing w:val="-6"/>
          <w:kern w:val="21"/>
          <w:szCs w:val="21"/>
        </w:rPr>
        <w:fldChar w:fldCharType="end"/>
      </w:r>
    </w:p>
    <w:sectPr>
      <w:headerReference r:id="rId12" w:type="default"/>
      <w:footerReference r:id="rId13" w:type="default"/>
      <w:pgSz w:w="16838" w:h="11906" w:orient="landscape"/>
      <w:pgMar w:top="1800" w:right="1440" w:bottom="1800" w:left="1440" w:header="851" w:footer="992" w:gutter="0"/>
      <w:pgNumType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echnicBold">
    <w:altName w:val="Segoe Print"/>
    <w:panose1 w:val="00000400000000000000"/>
    <w:charset w:val="02"/>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pict>
        <v:rect id="文本框 3"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6F781"/>
    <w:multiLevelType w:val="multilevel"/>
    <w:tmpl w:val="2006F781"/>
    <w:lvl w:ilvl="0" w:tentative="0">
      <w:start w:val="1"/>
      <w:numFmt w:val="chineseCounting"/>
      <w:pStyle w:val="6"/>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7B937F15"/>
    <w:multiLevelType w:val="multilevel"/>
    <w:tmpl w:val="7B937F15"/>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426" w:firstLine="0"/>
      </w:pPr>
      <w:rPr>
        <w:rFonts w:hint="eastAsia"/>
      </w:rPr>
    </w:lvl>
    <w:lvl w:ilvl="2" w:tentative="0">
      <w:start w:val="1"/>
      <w:numFmt w:val="decimal"/>
      <w:pStyle w:val="8"/>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g3NDgyZjJjNjkzYTVkZDMwNWFhODRiMzEzZTI0MDgifQ=="/>
  </w:docVars>
  <w:rsids>
    <w:rsidRoot w:val="0035240F"/>
    <w:rsid w:val="00013560"/>
    <w:rsid w:val="00031640"/>
    <w:rsid w:val="00037AAF"/>
    <w:rsid w:val="00046BC1"/>
    <w:rsid w:val="000A79CD"/>
    <w:rsid w:val="000E348B"/>
    <w:rsid w:val="000E3EF2"/>
    <w:rsid w:val="001118F8"/>
    <w:rsid w:val="001549C7"/>
    <w:rsid w:val="00162EEF"/>
    <w:rsid w:val="001E5BC7"/>
    <w:rsid w:val="001F7597"/>
    <w:rsid w:val="00202E46"/>
    <w:rsid w:val="00225D02"/>
    <w:rsid w:val="00283CEC"/>
    <w:rsid w:val="002A4B4D"/>
    <w:rsid w:val="002D4925"/>
    <w:rsid w:val="0035240F"/>
    <w:rsid w:val="00370D96"/>
    <w:rsid w:val="00371597"/>
    <w:rsid w:val="003979D6"/>
    <w:rsid w:val="003C36D4"/>
    <w:rsid w:val="003C39C0"/>
    <w:rsid w:val="003C6031"/>
    <w:rsid w:val="003E37A7"/>
    <w:rsid w:val="0042685E"/>
    <w:rsid w:val="00452D8C"/>
    <w:rsid w:val="00483F86"/>
    <w:rsid w:val="00493DC2"/>
    <w:rsid w:val="004E5E99"/>
    <w:rsid w:val="00517029"/>
    <w:rsid w:val="005278B0"/>
    <w:rsid w:val="00536AB1"/>
    <w:rsid w:val="00545C2D"/>
    <w:rsid w:val="0054603B"/>
    <w:rsid w:val="00555F88"/>
    <w:rsid w:val="00573E8F"/>
    <w:rsid w:val="005843A1"/>
    <w:rsid w:val="005F6B4A"/>
    <w:rsid w:val="006730D7"/>
    <w:rsid w:val="00687895"/>
    <w:rsid w:val="006F7631"/>
    <w:rsid w:val="0070576F"/>
    <w:rsid w:val="00780E75"/>
    <w:rsid w:val="00781278"/>
    <w:rsid w:val="007820CD"/>
    <w:rsid w:val="007E45AA"/>
    <w:rsid w:val="007F4CD0"/>
    <w:rsid w:val="00812400"/>
    <w:rsid w:val="00842E36"/>
    <w:rsid w:val="0086332C"/>
    <w:rsid w:val="00876A74"/>
    <w:rsid w:val="0088726E"/>
    <w:rsid w:val="008B479B"/>
    <w:rsid w:val="008B7752"/>
    <w:rsid w:val="008F5616"/>
    <w:rsid w:val="0090377B"/>
    <w:rsid w:val="00921396"/>
    <w:rsid w:val="00940142"/>
    <w:rsid w:val="00943BBC"/>
    <w:rsid w:val="009A7D8D"/>
    <w:rsid w:val="009D42FF"/>
    <w:rsid w:val="009E034D"/>
    <w:rsid w:val="009F4EEC"/>
    <w:rsid w:val="00A45EBB"/>
    <w:rsid w:val="00A51509"/>
    <w:rsid w:val="00A629F6"/>
    <w:rsid w:val="00A62A07"/>
    <w:rsid w:val="00A82F26"/>
    <w:rsid w:val="00A86104"/>
    <w:rsid w:val="00A96658"/>
    <w:rsid w:val="00AD2BD1"/>
    <w:rsid w:val="00AF585A"/>
    <w:rsid w:val="00B145A3"/>
    <w:rsid w:val="00B26014"/>
    <w:rsid w:val="00B32D04"/>
    <w:rsid w:val="00B57826"/>
    <w:rsid w:val="00B71D47"/>
    <w:rsid w:val="00B9090F"/>
    <w:rsid w:val="00BF2C8C"/>
    <w:rsid w:val="00BF35B5"/>
    <w:rsid w:val="00C23829"/>
    <w:rsid w:val="00C33982"/>
    <w:rsid w:val="00C47DF8"/>
    <w:rsid w:val="00C57129"/>
    <w:rsid w:val="00C90681"/>
    <w:rsid w:val="00CB1559"/>
    <w:rsid w:val="00CE1F77"/>
    <w:rsid w:val="00CF753C"/>
    <w:rsid w:val="00D047FE"/>
    <w:rsid w:val="00D14A01"/>
    <w:rsid w:val="00D34099"/>
    <w:rsid w:val="00D636C4"/>
    <w:rsid w:val="00D70700"/>
    <w:rsid w:val="00D951B5"/>
    <w:rsid w:val="00D9573A"/>
    <w:rsid w:val="00E14C12"/>
    <w:rsid w:val="00EA41FF"/>
    <w:rsid w:val="00EC0E54"/>
    <w:rsid w:val="00EF1FB0"/>
    <w:rsid w:val="00F01454"/>
    <w:rsid w:val="00F1136C"/>
    <w:rsid w:val="00F139AE"/>
    <w:rsid w:val="00F357E8"/>
    <w:rsid w:val="00F4260B"/>
    <w:rsid w:val="00F910E9"/>
    <w:rsid w:val="00F95CA5"/>
    <w:rsid w:val="00FD6936"/>
    <w:rsid w:val="00FE4402"/>
    <w:rsid w:val="2120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黑体"/>
      <w:kern w:val="2"/>
      <w:sz w:val="24"/>
      <w:szCs w:val="24"/>
      <w:lang w:val="en-US" w:eastAsia="zh-CN" w:bidi="ar-SA"/>
    </w:rPr>
  </w:style>
  <w:style w:type="paragraph" w:styleId="6">
    <w:name w:val="heading 1"/>
    <w:basedOn w:val="1"/>
    <w:next w:val="1"/>
    <w:qFormat/>
    <w:uiPriority w:val="0"/>
    <w:pPr>
      <w:keepNext/>
      <w:keepLines/>
      <w:numPr>
        <w:ilvl w:val="0"/>
        <w:numId w:val="1"/>
      </w:numPr>
      <w:adjustRightInd w:val="0"/>
      <w:snapToGrid w:val="0"/>
      <w:ind w:firstLine="0"/>
      <w:outlineLvl w:val="0"/>
    </w:pPr>
    <w:rPr>
      <w:b/>
      <w:kern w:val="44"/>
      <w:sz w:val="30"/>
    </w:rPr>
  </w:style>
  <w:style w:type="paragraph" w:styleId="7">
    <w:name w:val="heading 2"/>
    <w:basedOn w:val="1"/>
    <w:next w:val="1"/>
    <w:qFormat/>
    <w:uiPriority w:val="0"/>
    <w:pPr>
      <w:keepNext/>
      <w:keepLines/>
      <w:spacing w:before="20" w:after="20" w:line="413" w:lineRule="auto"/>
      <w:outlineLvl w:val="1"/>
    </w:pPr>
    <w:rPr>
      <w:rFonts w:ascii="Arial" w:hAnsi="Arial" w:eastAsia="黑体"/>
      <w:b/>
      <w:sz w:val="32"/>
    </w:rPr>
  </w:style>
  <w:style w:type="paragraph" w:styleId="8">
    <w:name w:val="heading 3"/>
    <w:basedOn w:val="1"/>
    <w:next w:val="1"/>
    <w:qFormat/>
    <w:uiPriority w:val="0"/>
    <w:pPr>
      <w:keepNext/>
      <w:keepLines/>
      <w:numPr>
        <w:ilvl w:val="2"/>
        <w:numId w:val="2"/>
      </w:numPr>
      <w:outlineLvl w:val="2"/>
    </w:pPr>
    <w:rPr>
      <w:b/>
      <w:bCs/>
      <w:szCs w:val="30"/>
    </w:rPr>
  </w:style>
  <w:style w:type="paragraph" w:styleId="9">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paragraph" w:styleId="10">
    <w:name w:val="heading 8"/>
    <w:basedOn w:val="1"/>
    <w:next w:val="1"/>
    <w:link w:val="57"/>
    <w:semiHidden/>
    <w:unhideWhenUsed/>
    <w:qFormat/>
    <w:uiPriority w:val="0"/>
    <w:pPr>
      <w:keepNext/>
      <w:keepLines/>
      <w:spacing w:before="240" w:after="64" w:line="320" w:lineRule="auto"/>
      <w:outlineLvl w:val="7"/>
    </w:pPr>
    <w:rPr>
      <w:rFonts w:ascii="Cambria" w:hAnsi="Cambria" w:cs="Times New Roman"/>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3"/>
    <w:qFormat/>
    <w:uiPriority w:val="0"/>
    <w:pPr>
      <w:spacing w:after="120" w:line="240" w:lineRule="auto"/>
      <w:ind w:left="420" w:leftChars="200" w:firstLine="420"/>
    </w:pPr>
    <w:rPr>
      <w:rFonts w:ascii="TechnicBold" w:hAnsi="TechnicBold" w:eastAsia="Calibri"/>
      <w:sz w:val="21"/>
      <w:szCs w:val="28"/>
    </w:rPr>
  </w:style>
  <w:style w:type="paragraph" w:styleId="3">
    <w:name w:val="Body Text First Indent"/>
    <w:basedOn w:val="4"/>
    <w:next w:val="1"/>
    <w:qFormat/>
    <w:uiPriority w:val="0"/>
    <w:pPr>
      <w:spacing w:line="240" w:lineRule="auto"/>
      <w:ind w:firstLine="420" w:firstLineChars="100"/>
    </w:pPr>
    <w:rPr>
      <w:sz w:val="21"/>
    </w:rPr>
  </w:style>
  <w:style w:type="paragraph" w:styleId="4">
    <w:name w:val="Body Text"/>
    <w:basedOn w:val="1"/>
    <w:next w:val="5"/>
    <w:qFormat/>
    <w:uiPriority w:val="0"/>
    <w:pPr>
      <w:spacing w:after="120"/>
    </w:pPr>
  </w:style>
  <w:style w:type="paragraph" w:styleId="5">
    <w:name w:val="Note Heading"/>
    <w:basedOn w:val="1"/>
    <w:next w:val="1"/>
    <w:qFormat/>
    <w:uiPriority w:val="0"/>
  </w:style>
  <w:style w:type="paragraph" w:styleId="11">
    <w:name w:val="toc 7"/>
    <w:basedOn w:val="1"/>
    <w:next w:val="1"/>
    <w:unhideWhenUsed/>
    <w:qFormat/>
    <w:uiPriority w:val="39"/>
    <w:pPr>
      <w:ind w:left="2520" w:leftChars="1200"/>
    </w:pPr>
    <w:rPr>
      <w:rFonts w:ascii="Calibri" w:hAnsi="Calibri"/>
      <w:szCs w:val="22"/>
    </w:rPr>
  </w:style>
  <w:style w:type="paragraph" w:styleId="12">
    <w:name w:val="Normal Indent"/>
    <w:basedOn w:val="1"/>
    <w:qFormat/>
    <w:uiPriority w:val="0"/>
    <w:pPr>
      <w:ind w:firstLine="420"/>
    </w:pPr>
  </w:style>
  <w:style w:type="paragraph" w:styleId="13">
    <w:name w:val="annotation text"/>
    <w:basedOn w:val="1"/>
    <w:link w:val="59"/>
    <w:qFormat/>
    <w:uiPriority w:val="99"/>
  </w:style>
  <w:style w:type="paragraph" w:styleId="14">
    <w:name w:val="Body Text Indent"/>
    <w:basedOn w:val="1"/>
    <w:next w:val="4"/>
    <w:qFormat/>
    <w:uiPriority w:val="0"/>
    <w:pPr>
      <w:spacing w:after="120"/>
      <w:ind w:left="420" w:leftChars="200"/>
    </w:pPr>
    <w:rPr>
      <w:kern w:val="0"/>
      <w:szCs w:val="20"/>
    </w:rPr>
  </w:style>
  <w:style w:type="paragraph" w:styleId="15">
    <w:name w:val="Date"/>
    <w:basedOn w:val="1"/>
    <w:next w:val="1"/>
    <w:link w:val="44"/>
    <w:uiPriority w:val="0"/>
    <w:pPr>
      <w:spacing w:line="240" w:lineRule="auto"/>
      <w:ind w:left="100" w:leftChars="2500"/>
      <w:jc w:val="both"/>
    </w:pPr>
    <w:rPr>
      <w:rFonts w:cs="Times New Roman"/>
      <w:kern w:val="0"/>
      <w:szCs w:val="20"/>
    </w:rPr>
  </w:style>
  <w:style w:type="paragraph" w:styleId="16">
    <w:name w:val="Balloon Text"/>
    <w:basedOn w:val="1"/>
    <w:link w:val="76"/>
    <w:uiPriority w:val="0"/>
    <w:pPr>
      <w:spacing w:line="240" w:lineRule="auto"/>
    </w:pPr>
    <w:rPr>
      <w:sz w:val="18"/>
      <w:szCs w:val="18"/>
    </w:rPr>
  </w:style>
  <w:style w:type="paragraph" w:styleId="17">
    <w:name w:val="footer"/>
    <w:basedOn w:val="1"/>
    <w:link w:val="74"/>
    <w:qFormat/>
    <w:uiPriority w:val="99"/>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9">
    <w:name w:val="toc 1"/>
    <w:basedOn w:val="1"/>
    <w:next w:val="1"/>
    <w:qFormat/>
    <w:uiPriority w:val="0"/>
  </w:style>
  <w:style w:type="paragraph" w:styleId="20">
    <w:name w:val="Subtitle"/>
    <w:basedOn w:val="1"/>
    <w:next w:val="1"/>
    <w:link w:val="58"/>
    <w:qFormat/>
    <w:uiPriority w:val="0"/>
    <w:pPr>
      <w:spacing w:before="240" w:after="60" w:line="312" w:lineRule="auto"/>
      <w:jc w:val="center"/>
      <w:outlineLvl w:val="1"/>
    </w:pPr>
    <w:rPr>
      <w:rFonts w:ascii="Cambria" w:hAnsi="Cambria" w:cs="Times New Roman"/>
      <w:b/>
      <w:bCs/>
      <w:kern w:val="28"/>
      <w:sz w:val="32"/>
      <w:szCs w:val="32"/>
    </w:rPr>
  </w:style>
  <w:style w:type="paragraph" w:styleId="21">
    <w:name w:val="Body Text Indent 3"/>
    <w:basedOn w:val="1"/>
    <w:link w:val="72"/>
    <w:uiPriority w:val="0"/>
    <w:pPr>
      <w:spacing w:after="120" w:line="240" w:lineRule="auto"/>
      <w:ind w:left="420" w:leftChars="200" w:firstLine="0" w:firstLineChars="0"/>
      <w:jc w:val="both"/>
    </w:pPr>
    <w:rPr>
      <w:rFonts w:cs="Times New Roman"/>
      <w:sz w:val="16"/>
      <w:szCs w:val="16"/>
    </w:rPr>
  </w:style>
  <w:style w:type="paragraph" w:styleId="22">
    <w:name w:val="Normal (Web)"/>
    <w:basedOn w:val="1"/>
    <w:link w:val="70"/>
    <w:qFormat/>
    <w:uiPriority w:val="0"/>
    <w:pPr>
      <w:widowControl/>
      <w:spacing w:before="100" w:beforeAutospacing="1" w:after="100" w:afterAutospacing="1"/>
    </w:pPr>
    <w:rPr>
      <w:rFonts w:ascii="宋体" w:hAnsi="宋体"/>
      <w:kern w:val="0"/>
      <w:szCs w:val="20"/>
    </w:rPr>
  </w:style>
  <w:style w:type="paragraph" w:styleId="23">
    <w:name w:val="annotation subject"/>
    <w:basedOn w:val="13"/>
    <w:next w:val="13"/>
    <w:link w:val="75"/>
    <w:uiPriority w:val="0"/>
    <w:rPr>
      <w:b/>
      <w:bCs/>
    </w:rPr>
  </w:style>
  <w:style w:type="character" w:styleId="26">
    <w:name w:val="annotation reference"/>
    <w:uiPriority w:val="0"/>
    <w:rPr>
      <w:sz w:val="21"/>
      <w:szCs w:val="21"/>
    </w:rPr>
  </w:style>
  <w:style w:type="paragraph" w:customStyle="1" w:styleId="27">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9"/>
    <w:qFormat/>
    <w:uiPriority w:val="0"/>
    <w:pPr>
      <w:jc w:val="both"/>
    </w:pPr>
    <w:rPr>
      <w:rFonts w:ascii="Calibri" w:hAnsi="Calibri" w:eastAsia="宋体" w:cs="宋体"/>
      <w:kern w:val="2"/>
      <w:sz w:val="21"/>
      <w:szCs w:val="21"/>
      <w:lang w:val="en-US" w:eastAsia="zh-CN" w:bidi="ar-SA"/>
    </w:rPr>
  </w:style>
  <w:style w:type="paragraph" w:customStyle="1" w:styleId="29">
    <w:name w:val="111表格"/>
    <w:basedOn w:val="30"/>
    <w:qFormat/>
    <w:uiPriority w:val="0"/>
    <w:pPr>
      <w:spacing w:line="360" w:lineRule="auto"/>
      <w:ind w:firstLine="200"/>
    </w:pPr>
    <w:rPr>
      <w:rFonts w:cs="宋体"/>
    </w:rPr>
  </w:style>
  <w:style w:type="paragraph" w:customStyle="1" w:styleId="30">
    <w:name w:val="表格的格式"/>
    <w:basedOn w:val="31"/>
    <w:qFormat/>
    <w:uiPriority w:val="0"/>
    <w:pPr>
      <w:jc w:val="center"/>
    </w:pPr>
    <w:rPr>
      <w:sz w:val="20"/>
      <w:szCs w:val="21"/>
    </w:rPr>
  </w:style>
  <w:style w:type="paragraph" w:customStyle="1" w:styleId="31">
    <w:name w:val="样式3"/>
    <w:basedOn w:val="32"/>
    <w:qFormat/>
    <w:uiPriority w:val="0"/>
    <w:pPr>
      <w:spacing w:line="500" w:lineRule="atLeast"/>
      <w:ind w:firstLine="0"/>
      <w:textAlignment w:val="auto"/>
      <w:outlineLvl w:val="1"/>
    </w:pPr>
    <w:rPr>
      <w:b/>
    </w:rPr>
  </w:style>
  <w:style w:type="paragraph" w:customStyle="1" w:styleId="32">
    <w:name w:val="zhang正文"/>
    <w:basedOn w:val="14"/>
    <w:qFormat/>
    <w:uiPriority w:val="0"/>
    <w:pPr>
      <w:autoSpaceDE w:val="0"/>
      <w:autoSpaceDN w:val="0"/>
      <w:adjustRightInd w:val="0"/>
      <w:snapToGrid w:val="0"/>
      <w:spacing w:line="500" w:lineRule="exact"/>
      <w:ind w:firstLine="539"/>
      <w:textAlignment w:val="baseline"/>
    </w:pPr>
    <w:rPr>
      <w:rFonts w:eastAsia="楷体_GB2312"/>
    </w:rPr>
  </w:style>
  <w:style w:type="paragraph" w:customStyle="1" w:styleId="33">
    <w:name w:val="标题111"/>
    <w:basedOn w:val="22"/>
    <w:qFormat/>
    <w:uiPriority w:val="0"/>
    <w:pPr>
      <w:adjustRightInd w:val="0"/>
      <w:snapToGrid w:val="0"/>
      <w:spacing w:before="0" w:beforeAutospacing="0" w:after="0" w:afterAutospacing="0"/>
      <w:jc w:val="center"/>
      <w:outlineLvl w:val="0"/>
    </w:pPr>
    <w:rPr>
      <w:rFonts w:ascii="Times New Roman" w:hAnsi="Times New Roman" w:eastAsia="黑体"/>
      <w:snapToGrid w:val="0"/>
      <w:sz w:val="32"/>
      <w:szCs w:val="30"/>
    </w:rPr>
  </w:style>
  <w:style w:type="paragraph" w:customStyle="1" w:styleId="34">
    <w:name w:val="111表头"/>
    <w:basedOn w:val="35"/>
    <w:qFormat/>
    <w:uiPriority w:val="0"/>
    <w:pPr>
      <w:adjustRightInd w:val="0"/>
      <w:snapToGrid w:val="0"/>
      <w:spacing w:line="240" w:lineRule="auto"/>
      <w:jc w:val="center"/>
    </w:pPr>
    <w:rPr>
      <w:rFonts w:eastAsia="黑体"/>
      <w:color w:val="0000FF"/>
    </w:rPr>
  </w:style>
  <w:style w:type="paragraph" w:customStyle="1" w:styleId="35">
    <w:name w:val="表正文"/>
    <w:basedOn w:val="1"/>
    <w:qFormat/>
    <w:uiPriority w:val="0"/>
    <w:pPr>
      <w:widowControl/>
      <w:ind w:firstLine="0" w:firstLineChars="0"/>
    </w:pPr>
    <w:rPr>
      <w:sz w:val="21"/>
    </w:rPr>
  </w:style>
  <w:style w:type="paragraph" w:customStyle="1" w:styleId="36">
    <w:name w:val="表格"/>
    <w:basedOn w:val="1"/>
    <w:next w:val="1"/>
    <w:link w:val="71"/>
    <w:qFormat/>
    <w:uiPriority w:val="0"/>
    <w:pPr>
      <w:adjustRightInd w:val="0"/>
      <w:snapToGrid w:val="0"/>
      <w:spacing w:beforeLines="10" w:afterLines="10" w:line="259" w:lineRule="auto"/>
      <w:jc w:val="center"/>
    </w:pPr>
    <w:rPr>
      <w:rFonts w:ascii="宋体"/>
      <w:kern w:val="0"/>
      <w:szCs w:val="20"/>
    </w:rPr>
  </w:style>
  <w:style w:type="paragraph" w:customStyle="1" w:styleId="37">
    <w:name w:val="表内容"/>
    <w:basedOn w:val="1"/>
    <w:qFormat/>
    <w:uiPriority w:val="0"/>
    <w:pPr>
      <w:widowControl/>
      <w:jc w:val="center"/>
    </w:pPr>
    <w:rPr>
      <w:kern w:val="0"/>
    </w:rPr>
  </w:style>
  <w:style w:type="paragraph" w:customStyle="1" w:styleId="38">
    <w:name w:val="111正文格式111"/>
    <w:basedOn w:val="39"/>
    <w:qFormat/>
    <w:uiPriority w:val="0"/>
    <w:rPr>
      <w:bCs/>
      <w:color w:val="auto"/>
    </w:rPr>
  </w:style>
  <w:style w:type="paragraph" w:customStyle="1" w:styleId="39">
    <w:name w:val="正文的格式"/>
    <w:basedOn w:val="40"/>
    <w:qFormat/>
    <w:uiPriority w:val="0"/>
    <w:pPr>
      <w:ind w:firstLine="480"/>
      <w:jc w:val="both"/>
    </w:pPr>
    <w:rPr>
      <w:color w:val="000000"/>
    </w:rPr>
  </w:style>
  <w:style w:type="paragraph" w:customStyle="1" w:styleId="40">
    <w:name w:val="正文2"/>
    <w:basedOn w:val="1"/>
    <w:qFormat/>
    <w:uiPriority w:val="0"/>
    <w:pPr>
      <w:jc w:val="center"/>
    </w:pPr>
  </w:style>
  <w:style w:type="paragraph" w:customStyle="1" w:styleId="41">
    <w:name w:val="报告表格内容"/>
    <w:basedOn w:val="1"/>
    <w:next w:val="1"/>
    <w:qFormat/>
    <w:uiPriority w:val="0"/>
    <w:pPr>
      <w:adjustRightInd w:val="0"/>
      <w:snapToGrid w:val="0"/>
      <w:jc w:val="center"/>
    </w:pPr>
    <w:rPr>
      <w:szCs w:val="20"/>
    </w:rPr>
  </w:style>
  <w:style w:type="paragraph" w:customStyle="1" w:styleId="42">
    <w:name w:val="111正文的格式"/>
    <w:basedOn w:val="1"/>
    <w:qFormat/>
    <w:uiPriority w:val="0"/>
    <w:pPr>
      <w:adjustRightInd w:val="0"/>
      <w:snapToGrid w:val="0"/>
    </w:pPr>
    <w:rPr>
      <w:color w:val="0000FF"/>
    </w:rPr>
  </w:style>
  <w:style w:type="paragraph" w:customStyle="1" w:styleId="43">
    <w:name w:val="111zhengwen"/>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44">
    <w:name w:val="日期 Char"/>
    <w:link w:val="15"/>
    <w:locked/>
    <w:uiPriority w:val="0"/>
    <w:rPr>
      <w:sz w:val="24"/>
    </w:rPr>
  </w:style>
  <w:style w:type="character" w:customStyle="1" w:styleId="45">
    <w:name w:val="日期 Char1"/>
    <w:uiPriority w:val="0"/>
    <w:rPr>
      <w:rFonts w:cs="黑体"/>
      <w:kern w:val="2"/>
      <w:sz w:val="24"/>
      <w:szCs w:val="24"/>
    </w:rPr>
  </w:style>
  <w:style w:type="character" w:customStyle="1" w:styleId="46">
    <w:name w:val="0报告正文 Char"/>
    <w:link w:val="47"/>
    <w:qFormat/>
    <w:uiPriority w:val="0"/>
    <w:rPr>
      <w:kern w:val="24"/>
      <w:sz w:val="24"/>
      <w:szCs w:val="24"/>
    </w:rPr>
  </w:style>
  <w:style w:type="paragraph" w:customStyle="1" w:styleId="47">
    <w:name w:val="0报告正文"/>
    <w:basedOn w:val="1"/>
    <w:link w:val="46"/>
    <w:qFormat/>
    <w:uiPriority w:val="0"/>
    <w:pPr>
      <w:widowControl/>
      <w:jc w:val="both"/>
    </w:pPr>
    <w:rPr>
      <w:rFonts w:cs="Times New Roman"/>
      <w:kern w:val="24"/>
    </w:rPr>
  </w:style>
  <w:style w:type="paragraph" w:customStyle="1" w:styleId="48">
    <w:name w:val="0表格正文"/>
    <w:basedOn w:val="1"/>
    <w:qFormat/>
    <w:uiPriority w:val="0"/>
    <w:pPr>
      <w:widowControl/>
      <w:spacing w:line="240" w:lineRule="auto"/>
      <w:ind w:firstLine="0" w:firstLineChars="0"/>
      <w:contextualSpacing/>
      <w:jc w:val="center"/>
    </w:pPr>
    <w:rPr>
      <w:rFonts w:cs="Times New Roman"/>
      <w:kern w:val="0"/>
      <w:sz w:val="21"/>
      <w:szCs w:val="21"/>
    </w:rPr>
  </w:style>
  <w:style w:type="character" w:customStyle="1" w:styleId="49">
    <w:name w:val="@ 正文 Char"/>
    <w:link w:val="50"/>
    <w:uiPriority w:val="0"/>
    <w:rPr>
      <w:rFonts w:hAnsi="宋体"/>
      <w:sz w:val="24"/>
      <w:szCs w:val="21"/>
    </w:rPr>
  </w:style>
  <w:style w:type="paragraph" w:customStyle="1" w:styleId="50">
    <w:name w:val="@ 正文"/>
    <w:basedOn w:val="1"/>
    <w:link w:val="49"/>
    <w:qFormat/>
    <w:uiPriority w:val="0"/>
    <w:pPr>
      <w:tabs>
        <w:tab w:val="left" w:pos="1980"/>
        <w:tab w:val="left" w:pos="3825"/>
        <w:tab w:val="left" w:pos="4680"/>
      </w:tabs>
    </w:pPr>
    <w:rPr>
      <w:rFonts w:hAnsi="宋体" w:cs="Times New Roman"/>
      <w:kern w:val="0"/>
      <w:szCs w:val="21"/>
    </w:rPr>
  </w:style>
  <w:style w:type="paragraph" w:customStyle="1" w:styleId="51">
    <w:name w:val="Table Paragraph"/>
    <w:basedOn w:val="1"/>
    <w:qFormat/>
    <w:uiPriority w:val="0"/>
    <w:pPr>
      <w:spacing w:line="240" w:lineRule="auto"/>
      <w:ind w:firstLine="0" w:firstLineChars="0"/>
      <w:jc w:val="both"/>
    </w:pPr>
    <w:rPr>
      <w:rFonts w:ascii="Calibri" w:hAnsi="Calibri" w:cs="Times New Roman"/>
      <w:sz w:val="22"/>
      <w:szCs w:val="22"/>
      <w:lang w:eastAsia="en-US"/>
    </w:rPr>
  </w:style>
  <w:style w:type="character" w:customStyle="1" w:styleId="52">
    <w:name w:val="页脚 Char1"/>
    <w:uiPriority w:val="99"/>
    <w:rPr>
      <w:rFonts w:eastAsia="宋体"/>
      <w:kern w:val="2"/>
      <w:sz w:val="18"/>
      <w:szCs w:val="18"/>
      <w:lang w:val="en-US" w:eastAsia="zh-CN" w:bidi="ar-SA"/>
    </w:rPr>
  </w:style>
  <w:style w:type="character" w:customStyle="1" w:styleId="53">
    <w:name w:val="表头图头 Char"/>
    <w:link w:val="54"/>
    <w:qFormat/>
    <w:uiPriority w:val="0"/>
    <w:rPr>
      <w:b/>
      <w:color w:val="000000"/>
      <w:sz w:val="24"/>
    </w:rPr>
  </w:style>
  <w:style w:type="paragraph" w:customStyle="1" w:styleId="54">
    <w:name w:val="表头图头"/>
    <w:basedOn w:val="4"/>
    <w:next w:val="1"/>
    <w:link w:val="53"/>
    <w:qFormat/>
    <w:uiPriority w:val="0"/>
    <w:pPr>
      <w:keepNext/>
      <w:tabs>
        <w:tab w:val="left" w:pos="7740"/>
        <w:tab w:val="left" w:pos="8640"/>
      </w:tabs>
      <w:spacing w:after="0"/>
      <w:ind w:firstLine="0" w:firstLineChars="0"/>
      <w:jc w:val="center"/>
      <w:outlineLvl w:val="4"/>
    </w:pPr>
    <w:rPr>
      <w:rFonts w:cs="Times New Roman"/>
      <w:b/>
      <w:color w:val="000000"/>
      <w:kern w:val="0"/>
      <w:szCs w:val="20"/>
    </w:rPr>
  </w:style>
  <w:style w:type="paragraph" w:customStyle="1" w:styleId="55">
    <w:name w:val="表格头"/>
    <w:basedOn w:val="10"/>
    <w:next w:val="10"/>
    <w:qFormat/>
    <w:uiPriority w:val="0"/>
    <w:pPr>
      <w:widowControl/>
      <w:autoSpaceDE w:val="0"/>
      <w:autoSpaceDN w:val="0"/>
      <w:adjustRightInd w:val="0"/>
      <w:snapToGrid w:val="0"/>
      <w:spacing w:before="0" w:after="0" w:line="360" w:lineRule="auto"/>
      <w:ind w:firstLine="0" w:firstLineChars="0"/>
      <w:jc w:val="center"/>
    </w:pPr>
    <w:rPr>
      <w:rFonts w:ascii="Times New Roman" w:hAnsi="Times New Roman"/>
      <w:b/>
      <w:kern w:val="24"/>
    </w:rPr>
  </w:style>
  <w:style w:type="paragraph" w:customStyle="1" w:styleId="56">
    <w:name w:val="君邦正文"/>
    <w:uiPriority w:val="0"/>
    <w:pPr>
      <w:spacing w:after="60" w:line="360" w:lineRule="auto"/>
      <w:ind w:firstLine="480" w:firstLineChars="200"/>
      <w:jc w:val="both"/>
    </w:pPr>
    <w:rPr>
      <w:rFonts w:ascii="Times New Roman" w:hAnsi="Times New Roman" w:eastAsia="宋体" w:cs="Times New Roman"/>
      <w:bCs/>
      <w:sz w:val="24"/>
      <w:szCs w:val="22"/>
      <w:lang w:val="en-US" w:eastAsia="zh-CN" w:bidi="ar-SA"/>
    </w:rPr>
  </w:style>
  <w:style w:type="character" w:customStyle="1" w:styleId="57">
    <w:name w:val="标题 8 Char"/>
    <w:link w:val="10"/>
    <w:semiHidden/>
    <w:uiPriority w:val="0"/>
    <w:rPr>
      <w:rFonts w:ascii="Cambria" w:hAnsi="Cambria" w:eastAsia="宋体" w:cs="Times New Roman"/>
      <w:kern w:val="2"/>
      <w:sz w:val="24"/>
      <w:szCs w:val="24"/>
    </w:rPr>
  </w:style>
  <w:style w:type="character" w:customStyle="1" w:styleId="58">
    <w:name w:val="副标题 Char"/>
    <w:link w:val="20"/>
    <w:uiPriority w:val="0"/>
    <w:rPr>
      <w:rFonts w:ascii="Cambria" w:hAnsi="Cambria" w:cs="Times New Roman"/>
      <w:b/>
      <w:bCs/>
      <w:kern w:val="28"/>
      <w:sz w:val="32"/>
      <w:szCs w:val="32"/>
    </w:rPr>
  </w:style>
  <w:style w:type="character" w:customStyle="1" w:styleId="59">
    <w:name w:val="批注文字 Char"/>
    <w:link w:val="13"/>
    <w:qFormat/>
    <w:uiPriority w:val="99"/>
    <w:rPr>
      <w:rFonts w:cs="黑体"/>
      <w:kern w:val="2"/>
      <w:sz w:val="24"/>
      <w:szCs w:val="24"/>
    </w:rPr>
  </w:style>
  <w:style w:type="character" w:customStyle="1" w:styleId="60">
    <w:name w:val="表格 仿宋5号 Char"/>
    <w:link w:val="61"/>
    <w:qFormat/>
    <w:uiPriority w:val="99"/>
    <w:rPr>
      <w:rFonts w:eastAsia="仿宋"/>
      <w:color w:val="000000"/>
      <w:sz w:val="21"/>
      <w:szCs w:val="21"/>
    </w:rPr>
  </w:style>
  <w:style w:type="paragraph" w:customStyle="1" w:styleId="61">
    <w:name w:val="表格 仿宋5号"/>
    <w:basedOn w:val="1"/>
    <w:link w:val="60"/>
    <w:qFormat/>
    <w:uiPriority w:val="99"/>
    <w:pPr>
      <w:widowControl/>
      <w:adjustRightInd w:val="0"/>
      <w:snapToGrid w:val="0"/>
      <w:spacing w:line="240" w:lineRule="auto"/>
      <w:ind w:firstLine="0" w:firstLineChars="0"/>
      <w:jc w:val="center"/>
    </w:pPr>
    <w:rPr>
      <w:rFonts w:eastAsia="仿宋" w:cs="Times New Roman"/>
      <w:color w:val="000000"/>
      <w:kern w:val="0"/>
      <w:sz w:val="21"/>
      <w:szCs w:val="21"/>
    </w:rPr>
  </w:style>
  <w:style w:type="character" w:customStyle="1" w:styleId="62">
    <w:name w:val="5 正文，首行缩进 Char"/>
    <w:link w:val="63"/>
    <w:qFormat/>
    <w:uiPriority w:val="0"/>
    <w:rPr>
      <w:color w:val="000000"/>
      <w:sz w:val="24"/>
    </w:rPr>
  </w:style>
  <w:style w:type="paragraph" w:customStyle="1" w:styleId="63">
    <w:name w:val="5 正文，首行缩进"/>
    <w:basedOn w:val="1"/>
    <w:link w:val="62"/>
    <w:qFormat/>
    <w:uiPriority w:val="0"/>
    <w:pPr>
      <w:topLinePunct/>
      <w:adjustRightInd w:val="0"/>
      <w:snapToGrid w:val="0"/>
      <w:spacing w:line="358" w:lineRule="auto"/>
      <w:jc w:val="both"/>
    </w:pPr>
    <w:rPr>
      <w:rFonts w:cs="Times New Roman"/>
      <w:color w:val="000000"/>
      <w:kern w:val="0"/>
      <w:szCs w:val="20"/>
    </w:rPr>
  </w:style>
  <w:style w:type="character" w:customStyle="1" w:styleId="64">
    <w:name w:val="表、图题目 Char"/>
    <w:link w:val="65"/>
    <w:uiPriority w:val="0"/>
    <w:rPr>
      <w:b/>
      <w:kern w:val="2"/>
      <w:sz w:val="24"/>
      <w:szCs w:val="24"/>
    </w:rPr>
  </w:style>
  <w:style w:type="paragraph" w:customStyle="1" w:styleId="65">
    <w:name w:val="表、图题目"/>
    <w:basedOn w:val="1"/>
    <w:link w:val="64"/>
    <w:qFormat/>
    <w:uiPriority w:val="0"/>
    <w:pPr>
      <w:ind w:firstLine="0" w:firstLineChars="0"/>
      <w:jc w:val="center"/>
    </w:pPr>
    <w:rPr>
      <w:rFonts w:cs="Times New Roman"/>
      <w:b/>
    </w:rPr>
  </w:style>
  <w:style w:type="character" w:customStyle="1" w:styleId="66">
    <w:name w:val="样式 样式 样式 首行缩进:  2 字符 + 居中 + 行距: 固定值 17 磅 Char"/>
    <w:link w:val="67"/>
    <w:uiPriority w:val="0"/>
    <w:rPr>
      <w:rFonts w:cs="宋体"/>
      <w:color w:val="000000"/>
      <w:kern w:val="2"/>
      <w:sz w:val="21"/>
    </w:rPr>
  </w:style>
  <w:style w:type="paragraph" w:customStyle="1" w:styleId="67">
    <w:name w:val="样式 样式 样式 首行缩进:  2 字符 + 居中 + 行距: 固定值 17 磅"/>
    <w:basedOn w:val="1"/>
    <w:link w:val="66"/>
    <w:qFormat/>
    <w:uiPriority w:val="0"/>
    <w:pPr>
      <w:adjustRightInd w:val="0"/>
      <w:snapToGrid w:val="0"/>
      <w:spacing w:line="340" w:lineRule="exact"/>
      <w:ind w:firstLine="0" w:firstLineChars="0"/>
      <w:jc w:val="center"/>
    </w:pPr>
    <w:rPr>
      <w:rFonts w:cs="宋体"/>
      <w:color w:val="000000"/>
      <w:sz w:val="21"/>
      <w:szCs w:val="20"/>
    </w:rPr>
  </w:style>
  <w:style w:type="character" w:customStyle="1" w:styleId="68">
    <w:name w:val="表格标题CCW Char"/>
    <w:link w:val="69"/>
    <w:qFormat/>
    <w:locked/>
    <w:uiPriority w:val="0"/>
    <w:rPr>
      <w:b/>
      <w:sz w:val="24"/>
    </w:rPr>
  </w:style>
  <w:style w:type="paragraph" w:customStyle="1" w:styleId="69">
    <w:name w:val="表格标题CCW"/>
    <w:link w:val="68"/>
    <w:qFormat/>
    <w:uiPriority w:val="0"/>
    <w:pPr>
      <w:jc w:val="center"/>
    </w:pPr>
    <w:rPr>
      <w:rFonts w:ascii="Times New Roman" w:hAnsi="Times New Roman" w:eastAsia="宋体" w:cs="Times New Roman"/>
      <w:b/>
      <w:sz w:val="24"/>
      <w:lang w:val="en-US" w:eastAsia="zh-CN" w:bidi="ar-SA"/>
    </w:rPr>
  </w:style>
  <w:style w:type="character" w:customStyle="1" w:styleId="70">
    <w:name w:val="普通(网站) Char"/>
    <w:link w:val="22"/>
    <w:locked/>
    <w:uiPriority w:val="0"/>
    <w:rPr>
      <w:rFonts w:ascii="宋体" w:hAnsi="宋体" w:cs="黑体"/>
      <w:sz w:val="24"/>
    </w:rPr>
  </w:style>
  <w:style w:type="character" w:customStyle="1" w:styleId="71">
    <w:name w:val="表格 Char"/>
    <w:link w:val="36"/>
    <w:locked/>
    <w:uiPriority w:val="0"/>
    <w:rPr>
      <w:rFonts w:ascii="宋体" w:cs="黑体"/>
      <w:sz w:val="24"/>
    </w:rPr>
  </w:style>
  <w:style w:type="character" w:customStyle="1" w:styleId="72">
    <w:name w:val="正文文本缩进 3 Char"/>
    <w:link w:val="21"/>
    <w:uiPriority w:val="0"/>
    <w:rPr>
      <w:kern w:val="2"/>
      <w:sz w:val="16"/>
      <w:szCs w:val="16"/>
    </w:rPr>
  </w:style>
  <w:style w:type="character" w:customStyle="1" w:styleId="73">
    <w:name w:val="正文文本缩进 3 Char1"/>
    <w:uiPriority w:val="0"/>
    <w:rPr>
      <w:rFonts w:cs="黑体"/>
      <w:kern w:val="2"/>
      <w:sz w:val="16"/>
      <w:szCs w:val="16"/>
    </w:rPr>
  </w:style>
  <w:style w:type="character" w:customStyle="1" w:styleId="74">
    <w:name w:val="页脚 Char"/>
    <w:link w:val="17"/>
    <w:locked/>
    <w:uiPriority w:val="99"/>
    <w:rPr>
      <w:rFonts w:cs="黑体"/>
      <w:kern w:val="2"/>
      <w:sz w:val="18"/>
      <w:szCs w:val="24"/>
    </w:rPr>
  </w:style>
  <w:style w:type="character" w:customStyle="1" w:styleId="75">
    <w:name w:val="批注主题 Char"/>
    <w:link w:val="23"/>
    <w:uiPriority w:val="0"/>
    <w:rPr>
      <w:rFonts w:cs="黑体"/>
      <w:b/>
      <w:bCs/>
      <w:kern w:val="2"/>
      <w:sz w:val="24"/>
      <w:szCs w:val="24"/>
    </w:rPr>
  </w:style>
  <w:style w:type="character" w:customStyle="1" w:styleId="76">
    <w:name w:val="批注框文本 Char"/>
    <w:link w:val="16"/>
    <w:uiPriority w:val="0"/>
    <w:rPr>
      <w:rFonts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emf"/><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3EFB2-B306-45F7-9CAA-28D05AA2C09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3289</Words>
  <Characters>18750</Characters>
  <Lines>156</Lines>
  <Paragraphs>43</Paragraphs>
  <TotalTime>0</TotalTime>
  <ScaleCrop>false</ScaleCrop>
  <LinksUpToDate>false</LinksUpToDate>
  <CharactersWithSpaces>21996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2022-06-23T07:55:00Z</dcterms:created>
  <dc:creator>Administrator</dc:creator>
  <cp:lastModifiedBy>吴小懒</cp:lastModifiedBy>
  <cp:lastPrinted>2022-06-16T01:48:00Z</cp:lastPrinted>
  <dcterms:modified xsi:type="dcterms:W3CDTF">2023-09-18T08:56:20Z</dcterms:modified>
  <dc:title>建设项目环境影响报告表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1C2226B659014AC38D583A968DDF4A08</vt:lpwstr>
  </property>
</Properties>
</file>