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Lines="900" w:after="0" w:line="240" w:lineRule="auto"/>
        <w:ind w:left="0" w:leftChars="0" w:right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建设单位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明环评告明〔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三明市生态环境局关于批准明溪县路网公路建设有限公司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instrText xml:space="preserve"> REF 项目名称 \h  \* MERGEFORMAT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省道S219至兴泉铁路明溪</w:t>
      </w: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客货运站连接线(一阶段)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建设项目</w:t>
      </w: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环境影响报告表的函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widowControl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</w:rPr>
      </w:pPr>
    </w:p>
    <w:bookmarkEnd w:id="0"/>
    <w:p>
      <w:pPr>
        <w:pStyle w:val="8"/>
        <w:spacing w:line="580" w:lineRule="exact"/>
        <w:ind w:firstLine="0" w:firstLineChars="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明溪县路网公路建设有限公司：</w:t>
      </w:r>
    </w:p>
    <w:p>
      <w:pPr>
        <w:pStyle w:val="8"/>
        <w:spacing w:line="580" w:lineRule="exact"/>
        <w:ind w:firstLine="632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你单位关于《</w:t>
      </w:r>
      <w:bookmarkStart w:id="1" w:name="项目名称"/>
      <w:r>
        <w:rPr>
          <w:rFonts w:hint="eastAsia" w:ascii="仿宋_GB2312" w:eastAsia="仿宋_GB2312" w:cs="仿宋_GB2312"/>
          <w:kern w:val="2"/>
          <w:sz w:val="32"/>
          <w:szCs w:val="32"/>
        </w:rPr>
        <w:t>省道S219至兴泉铁路明溪客货运站连接线(一阶段)</w:t>
      </w:r>
      <w:bookmarkEnd w:id="1"/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建设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项目环境影响报告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》(下称“报告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”)的报批申请收悉。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厦门金境环保科技有限公司</w:t>
      </w: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统一社会信用代码：9135020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67378668298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编制的环境影响报告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对该项目环境影响评价的结论，在全面落实报告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提出的各项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防治污染和防止生态破坏</w:t>
      </w:r>
      <w:r>
        <w:rPr>
          <w:rFonts w:hint="eastAsia" w:ascii="仿宋_GB2312" w:eastAsia="仿宋_GB2312"/>
          <w:sz w:val="32"/>
          <w:szCs w:val="32"/>
        </w:rPr>
        <w:t>措施的前提下，工程建设对环境的不利影响能够得到缓解和控制。我局同意该项目环境影响报告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中所列建设项目的性质、规模、地点以及拟采取的环境保护措施。</w:t>
      </w:r>
    </w:p>
    <w:p>
      <w:pPr>
        <w:pStyle w:val="8"/>
        <w:spacing w:line="580" w:lineRule="exact"/>
        <w:ind w:firstLine="63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你单位应当严格落实报告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提出的防治污染和防止生态破坏的措施，</w:t>
      </w:r>
      <w:r>
        <w:rPr>
          <w:rFonts w:hint="eastAsia" w:ascii="仿宋_GB2312" w:eastAsia="仿宋_GB2312"/>
          <w:sz w:val="32"/>
          <w:szCs w:val="32"/>
        </w:rPr>
        <w:t>执行配套建设的环保设施与主体工程同时设计、同时施工、同时投产的环保“三同时”制度。项目竣工后，应按规定对配套的环境保护设施进行验收，经验收合格，方可投入生产或者使用。</w:t>
      </w:r>
    </w:p>
    <w:p>
      <w:pPr>
        <w:snapToGrid w:val="0"/>
        <w:spacing w:line="580" w:lineRule="exact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ind w:firstLine="632" w:firstLineChars="200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ind w:firstLine="632" w:firstLineChars="200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cs="仿宋_GB2312"/>
          <w:kern w:val="0"/>
          <w:szCs w:val="32"/>
        </w:rPr>
        <w:t>三明市生态环境局</w:t>
      </w:r>
    </w:p>
    <w:p>
      <w:pPr>
        <w:snapToGrid w:val="0"/>
        <w:spacing w:line="580" w:lineRule="exac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 xml:space="preserve">                        行政许可专用章</w:t>
      </w:r>
      <w:r>
        <w:rPr>
          <w:rFonts w:hint="eastAsia" w:ascii="仿宋_GB2312" w:cs="仿宋_GB2312"/>
          <w:kern w:val="0"/>
          <w:szCs w:val="32"/>
          <w:lang w:eastAsia="zh-CN"/>
        </w:rPr>
        <w:t>（明溪窗口）</w:t>
      </w:r>
    </w:p>
    <w:p>
      <w:pPr>
        <w:snapToGrid w:val="0"/>
        <w:spacing w:line="580" w:lineRule="exac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 xml:space="preserve">                              </w:t>
      </w:r>
      <w:r>
        <w:rPr>
          <w:rFonts w:hint="eastAsia" w:ascii="仿宋_GB2312" w:cs="仿宋_GB2312"/>
          <w:kern w:val="0"/>
          <w:szCs w:val="32"/>
          <w:lang w:val="en-US" w:eastAsia="zh-CN"/>
        </w:rPr>
        <w:t>2022</w:t>
      </w:r>
      <w:r>
        <w:rPr>
          <w:rFonts w:hint="eastAsia" w:ascii="仿宋_GB2312" w:cs="仿宋_GB2312"/>
          <w:kern w:val="0"/>
          <w:szCs w:val="32"/>
        </w:rPr>
        <w:t>年</w:t>
      </w:r>
      <w:r>
        <w:rPr>
          <w:rFonts w:hint="eastAsia" w:ascii="仿宋_GB2312" w:cs="仿宋_GB2312"/>
          <w:kern w:val="0"/>
          <w:szCs w:val="32"/>
          <w:lang w:val="en-US" w:eastAsia="zh-CN"/>
        </w:rPr>
        <w:t>1</w:t>
      </w:r>
      <w:r>
        <w:rPr>
          <w:rFonts w:hint="eastAsia" w:ascii="仿宋_GB2312" w:cs="仿宋_GB2312"/>
          <w:kern w:val="0"/>
          <w:szCs w:val="32"/>
        </w:rPr>
        <w:t>月</w:t>
      </w:r>
      <w:r>
        <w:rPr>
          <w:rFonts w:hint="eastAsia" w:ascii="仿宋_GB2312" w:cs="仿宋_GB2312"/>
          <w:kern w:val="0"/>
          <w:szCs w:val="32"/>
          <w:lang w:val="en-US" w:eastAsia="zh-CN"/>
        </w:rPr>
        <w:t>24</w:t>
      </w:r>
      <w:r>
        <w:rPr>
          <w:rFonts w:hint="eastAsia" w:ascii="仿宋_GB2312" w:cs="仿宋_GB2312"/>
          <w:kern w:val="0"/>
          <w:szCs w:val="32"/>
        </w:rPr>
        <w:t>日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/>
          <w:bCs/>
          <w:szCs w:val="32"/>
        </w:rPr>
      </w:pPr>
      <w:r>
        <w:rPr>
          <w:rFonts w:hint="eastAsia" w:ascii="仿宋_GB2312"/>
          <w:kern w:val="0"/>
          <w:szCs w:val="32"/>
        </w:rPr>
        <w:t>抄送：</w:t>
      </w:r>
      <w:r>
        <w:rPr>
          <w:rFonts w:hint="eastAsia" w:ascii="仿宋_GB2312"/>
          <w:kern w:val="0"/>
          <w:szCs w:val="32"/>
          <w:lang w:eastAsia="zh-CN"/>
        </w:rPr>
        <w:t>厦门金境环保科技有限公司</w:t>
      </w:r>
      <w:r>
        <w:rPr>
          <w:rFonts w:hint="eastAsia" w:ascii="仿宋_GB2312"/>
          <w:kern w:val="0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lotter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FZFangSong-Z02S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TechnicBold">
    <w:altName w:val="Arial Unicode MS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体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”“Times New Roman”“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中明體">
    <w:altName w:val="Microsoft JhengHei"/>
    <w:panose1 w:val="00000000000000000000"/>
    <w:charset w:val="88"/>
    <w:family w:val="auto"/>
    <w:pitch w:val="default"/>
    <w:sig w:usb0="00000000" w:usb1="28091800" w:usb2="00000016" w:usb3="00000000" w:csb0="001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黑體">
    <w:altName w:val="Microsoft JhengHei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方正宋三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新宋体-18030">
    <w:altName w:val="Arial Unicode MS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G Times (WN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paragraph" w:styleId="2">
    <w:name w:val="Plain Text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99"/>
    <w:rPr/>
  </w:style>
  <w:style w:type="paragraph" w:customStyle="1" w:styleId="8">
    <w:name w:val="正文A"/>
    <w:next w:val="3"/>
    <w:qFormat/>
    <w:uiPriority w:val="0"/>
    <w:pPr>
      <w:tabs>
        <w:tab w:val="left" w:pos="0"/>
      </w:tabs>
      <w:adjustRightInd w:val="0"/>
      <w:snapToGrid w:val="0"/>
      <w:spacing w:line="360" w:lineRule="auto"/>
      <w:ind w:firstLine="200" w:firstLineChars="200"/>
      <w:jc w:val="both"/>
    </w:pPr>
    <w:rPr>
      <w:sz w:val="24"/>
      <w:szCs w:val="24"/>
      <w:lang w:val="en-US" w:eastAsia="zh-CN" w:bidi="ar-SA"/>
    </w:rPr>
  </w:style>
  <w:style w:type="paragraph" w:customStyle="1" w:styleId="9">
    <w:name w:val="Default"/>
    <w:unhideWhenUsed/>
    <w:uiPriority w:val="99"/>
    <w:pPr>
      <w:widowControl w:val="0"/>
      <w:autoSpaceDE w:val="0"/>
      <w:autoSpaceDN w:val="0"/>
    </w:pPr>
    <w:rPr>
      <w:rFonts w:hint="default" w:ascii="FangSong_GB2312" w:hAnsi="FangSong_GB2312" w:eastAsia="FangSong_GB2312"/>
      <w:color w:val="000000"/>
      <w:sz w:val="24"/>
    </w:rPr>
  </w:style>
  <w:style w:type="paragraph" w:customStyle="1" w:styleId="10">
    <w:name w:val="表格正文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4"/>
    </w:rPr>
  </w:style>
  <w:style w:type="character" w:customStyle="1" w:styleId="11">
    <w:name w:val="NormalCharacter"/>
    <w:semiHidden/>
    <w:qFormat/>
    <w:uiPriority w:val="99"/>
    <w:rPr>
      <w:rFonts w:ascii="Times New Roman" w:hAnsi="Times New Roman" w:eastAsia="宋体fal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2019-09-16T02:02:00Z</dcterms:created>
  <cp:lastModifiedBy>NTKO</cp:lastModifiedBy>
  <cp:lastPrinted>2021-10-27T06:46:00Z</cp:lastPrinted>
  <dcterms:modified xsi:type="dcterms:W3CDTF">2022-01-24T01:57:47Z</dcterms:modified>
  <dc:title>明环评告明〔2019〕1号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