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9BA1E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附件：</w:t>
      </w:r>
    </w:p>
    <w:p w14:paraId="2AF87C0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明溪县征地区片综合地价</w:t>
      </w:r>
    </w:p>
    <w:p w14:paraId="31BD64F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sz w:val="32"/>
          <w:szCs w:val="32"/>
          <w:lang w:val="en-US" w:eastAsia="zh-CN"/>
        </w:rPr>
      </w:pPr>
    </w:p>
    <w:p w14:paraId="5DB68A0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根据《中华人</w:t>
      </w:r>
      <w:bookmarkStart w:id="1" w:name="_GoBack"/>
      <w:bookmarkEnd w:id="1"/>
      <w:r>
        <w:rPr>
          <w:rFonts w:hint="eastAsia" w:ascii="Times New Roman" w:hAnsi="Times New Roman" w:eastAsia="仿宋_GB2312" w:cs="仿宋_GB2312"/>
          <w:sz w:val="32"/>
          <w:szCs w:val="32"/>
          <w:lang w:val="en-US" w:eastAsia="zh-CN"/>
        </w:rPr>
        <w:t>民共和国土地管理法》要求和省自然资源厅有关规定，为依法依规开展新一轮征地区片综合地价重新公布工作，需重新下发《明溪县人民政府关于公布征地区片综合地价标准的通知》，文件具体内容如下：</w:t>
      </w:r>
    </w:p>
    <w:p w14:paraId="683CEED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eastAsia="仿宋_GB2312"/>
          <w:sz w:val="32"/>
          <w:szCs w:val="32"/>
        </w:rPr>
      </w:pPr>
      <w:r>
        <w:rPr>
          <w:rFonts w:hint="eastAsia" w:ascii="Times New Roman" w:hAnsi="Times New Roman" w:eastAsia="仿宋_GB2312" w:cs="仿宋_GB2312"/>
          <w:sz w:val="32"/>
          <w:szCs w:val="32"/>
          <w:lang w:val="en-US" w:eastAsia="zh-CN"/>
        </w:rPr>
        <w:t>一、征地区片综合地价是由土地补偿费和安置</w:t>
      </w:r>
      <w:r>
        <w:rPr>
          <w:rFonts w:hint="eastAsia" w:ascii="仿宋_GB2312" w:eastAsia="仿宋_GB2312"/>
          <w:sz w:val="32"/>
          <w:szCs w:val="32"/>
        </w:rPr>
        <w:t>补助费两部分组成。其中土地补偿费占40%</w:t>
      </w:r>
      <w:r>
        <w:rPr>
          <w:rFonts w:hint="eastAsia" w:ascii="仿宋_GB2312" w:eastAsia="仿宋_GB2312"/>
          <w:sz w:val="32"/>
          <w:szCs w:val="32"/>
          <w:lang w:eastAsia="zh-CN"/>
        </w:rPr>
        <w:t>，</w:t>
      </w:r>
      <w:r>
        <w:rPr>
          <w:rFonts w:hint="eastAsia" w:ascii="仿宋_GB2312" w:eastAsia="仿宋_GB2312"/>
          <w:sz w:val="32"/>
          <w:szCs w:val="32"/>
        </w:rPr>
        <w:t>安置补助费占60%。</w:t>
      </w:r>
    </w:p>
    <w:p w14:paraId="04B96C8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rPr>
        <w:t>二、</w:t>
      </w:r>
      <w:r>
        <w:rPr>
          <w:rFonts w:hint="eastAsia" w:ascii="仿宋_GB2312" w:hAnsi="华文中宋" w:eastAsia="仿宋_GB2312" w:cs="仿宋_GB2312"/>
          <w:sz w:val="32"/>
          <w:szCs w:val="32"/>
        </w:rPr>
        <w:t>征地区片综合地价标准分为3个档次。其中Ⅰ级区片</w:t>
      </w:r>
      <w:r>
        <w:rPr>
          <w:rFonts w:hint="eastAsia" w:ascii="仿宋_GB2312" w:hAnsi="华文中宋" w:eastAsia="仿宋_GB2312" w:cs="仿宋_GB2312"/>
          <w:sz w:val="32"/>
          <w:szCs w:val="32"/>
          <w:lang w:val="en-US" w:eastAsia="zh-CN"/>
        </w:rPr>
        <w:t>5.17</w:t>
      </w:r>
      <w:r>
        <w:rPr>
          <w:rFonts w:hint="eastAsia" w:ascii="仿宋_GB2312" w:hAnsi="华文中宋" w:eastAsia="仿宋_GB2312" w:cs="仿宋_GB2312"/>
          <w:sz w:val="32"/>
          <w:szCs w:val="32"/>
        </w:rPr>
        <w:t>万元/亩、Ⅱ级区片</w:t>
      </w:r>
      <w:r>
        <w:rPr>
          <w:rFonts w:hint="eastAsia" w:ascii="仿宋_GB2312" w:hAnsi="华文中宋" w:eastAsia="仿宋_GB2312" w:cs="仿宋_GB2312"/>
          <w:sz w:val="32"/>
          <w:szCs w:val="32"/>
          <w:lang w:val="en-US" w:eastAsia="zh-CN"/>
        </w:rPr>
        <w:t>3.625</w:t>
      </w:r>
      <w:r>
        <w:rPr>
          <w:rFonts w:hint="eastAsia" w:ascii="仿宋_GB2312" w:hAnsi="华文中宋" w:eastAsia="仿宋_GB2312" w:cs="仿宋_GB2312"/>
          <w:sz w:val="32"/>
          <w:szCs w:val="32"/>
        </w:rPr>
        <w:t>万元/亩、Ⅲ级区片</w:t>
      </w:r>
      <w:r>
        <w:rPr>
          <w:rFonts w:hint="eastAsia" w:ascii="仿宋_GB2312" w:hAnsi="华文中宋" w:eastAsia="仿宋_GB2312" w:cs="仿宋_GB2312"/>
          <w:sz w:val="32"/>
          <w:szCs w:val="32"/>
          <w:lang w:val="en-US" w:eastAsia="zh-CN"/>
        </w:rPr>
        <w:t>3.575</w:t>
      </w:r>
      <w:r>
        <w:rPr>
          <w:rFonts w:hint="eastAsia" w:ascii="仿宋_GB2312" w:hAnsi="华文中宋" w:eastAsia="仿宋_GB2312" w:cs="仿宋_GB2312"/>
          <w:sz w:val="32"/>
          <w:szCs w:val="32"/>
        </w:rPr>
        <w:t>万元/亩，具体见附</w:t>
      </w:r>
      <w:r>
        <w:rPr>
          <w:rFonts w:hint="eastAsia" w:ascii="仿宋_GB2312" w:hAnsi="华文中宋" w:eastAsia="仿宋_GB2312" w:cs="仿宋_GB2312"/>
          <w:sz w:val="32"/>
          <w:szCs w:val="32"/>
          <w:lang w:val="en-US" w:eastAsia="zh-CN"/>
        </w:rPr>
        <w:t>表</w:t>
      </w:r>
      <w:r>
        <w:rPr>
          <w:rFonts w:hint="eastAsia" w:ascii="仿宋_GB2312" w:hAnsi="华文中宋" w:eastAsia="仿宋_GB2312" w:cs="仿宋_GB2312"/>
          <w:sz w:val="32"/>
          <w:szCs w:val="32"/>
        </w:rPr>
        <w:t>1</w:t>
      </w:r>
      <w:r>
        <w:rPr>
          <w:rFonts w:hint="eastAsia" w:ascii="仿宋_GB2312" w:eastAsia="仿宋_GB2312"/>
          <w:sz w:val="32"/>
          <w:szCs w:val="32"/>
          <w:lang w:eastAsia="zh-CN"/>
        </w:rPr>
        <w:t>。</w:t>
      </w:r>
    </w:p>
    <w:p w14:paraId="29B9343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eastAsia="仿宋_GB2312"/>
          <w:sz w:val="32"/>
          <w:szCs w:val="32"/>
          <w:lang w:val="en-US" w:eastAsia="zh-CN"/>
        </w:rPr>
      </w:pPr>
      <w:r>
        <w:rPr>
          <w:rFonts w:hint="eastAsia" w:ascii="仿宋_GB2312" w:eastAsia="仿宋_GB2312"/>
          <w:sz w:val="32"/>
          <w:szCs w:val="32"/>
        </w:rPr>
        <w:t>三、征收农用地、建设用地和未利用地的补偿标准按征地区片综合地价和地类调节系数计算。地类调节系数具体见附</w:t>
      </w:r>
      <w:r>
        <w:rPr>
          <w:rFonts w:hint="eastAsia" w:ascii="仿宋_GB2312" w:eastAsia="仿宋_GB2312"/>
          <w:sz w:val="32"/>
          <w:szCs w:val="32"/>
          <w:lang w:val="en-US" w:eastAsia="zh-CN"/>
        </w:rPr>
        <w:t>表</w:t>
      </w:r>
      <w:r>
        <w:rPr>
          <w:rFonts w:hint="eastAsia" w:ascii="仿宋_GB2312" w:eastAsia="仿宋_GB2312"/>
          <w:sz w:val="32"/>
          <w:szCs w:val="32"/>
        </w:rPr>
        <w:t>2</w:t>
      </w:r>
      <w:r>
        <w:rPr>
          <w:rFonts w:hint="eastAsia" w:ascii="仿宋_GB2312" w:eastAsia="仿宋_GB2312"/>
          <w:sz w:val="32"/>
          <w:szCs w:val="32"/>
          <w:lang w:eastAsia="zh-CN"/>
        </w:rPr>
        <w:t>。</w:t>
      </w:r>
    </w:p>
    <w:p w14:paraId="11CA7FD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eastAsia="仿宋_GB2312"/>
          <w:sz w:val="32"/>
          <w:szCs w:val="32"/>
        </w:rPr>
      </w:pPr>
      <w:r>
        <w:rPr>
          <w:rFonts w:hint="eastAsia" w:ascii="Times New Roman" w:hAnsi="Times New Roman" w:eastAsia="仿宋_GB2312" w:cs="仿宋_GB2312"/>
          <w:sz w:val="32"/>
          <w:szCs w:val="32"/>
          <w:lang w:val="en-US" w:eastAsia="zh-CN"/>
        </w:rPr>
        <w:t>一、征地区片综合地价是由土地补偿费和安置</w:t>
      </w:r>
      <w:r>
        <w:rPr>
          <w:rFonts w:hint="eastAsia" w:ascii="仿宋_GB2312" w:eastAsia="仿宋_GB2312"/>
          <w:sz w:val="32"/>
          <w:szCs w:val="32"/>
        </w:rPr>
        <w:t>补助费两部分组成。其中土地补偿费占40%</w:t>
      </w:r>
      <w:r>
        <w:rPr>
          <w:rFonts w:hint="eastAsia" w:ascii="仿宋_GB2312" w:eastAsia="仿宋_GB2312"/>
          <w:sz w:val="32"/>
          <w:szCs w:val="32"/>
          <w:lang w:eastAsia="zh-CN"/>
        </w:rPr>
        <w:t>，</w:t>
      </w:r>
      <w:r>
        <w:rPr>
          <w:rFonts w:hint="eastAsia" w:ascii="仿宋_GB2312" w:eastAsia="仿宋_GB2312"/>
          <w:sz w:val="32"/>
          <w:szCs w:val="32"/>
        </w:rPr>
        <w:t>安置补助费占60%。</w:t>
      </w:r>
    </w:p>
    <w:p w14:paraId="0546D2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rPr>
        <w:t>二、</w:t>
      </w:r>
      <w:r>
        <w:rPr>
          <w:rFonts w:hint="eastAsia" w:ascii="仿宋_GB2312" w:hAnsi="华文中宋" w:eastAsia="仿宋_GB2312" w:cs="仿宋_GB2312"/>
          <w:sz w:val="32"/>
          <w:szCs w:val="32"/>
        </w:rPr>
        <w:t>征地区片综合地价标准分为3个档次。其中Ⅰ级区片</w:t>
      </w:r>
      <w:r>
        <w:rPr>
          <w:rFonts w:hint="eastAsia" w:ascii="仿宋_GB2312" w:hAnsi="华文中宋" w:eastAsia="仿宋_GB2312" w:cs="仿宋_GB2312"/>
          <w:sz w:val="32"/>
          <w:szCs w:val="32"/>
          <w:lang w:val="en-US" w:eastAsia="zh-CN"/>
        </w:rPr>
        <w:t>5.17</w:t>
      </w:r>
      <w:r>
        <w:rPr>
          <w:rFonts w:hint="eastAsia" w:ascii="仿宋_GB2312" w:hAnsi="华文中宋" w:eastAsia="仿宋_GB2312" w:cs="仿宋_GB2312"/>
          <w:sz w:val="32"/>
          <w:szCs w:val="32"/>
        </w:rPr>
        <w:t>万元/亩、Ⅱ级区片</w:t>
      </w:r>
      <w:r>
        <w:rPr>
          <w:rFonts w:hint="eastAsia" w:ascii="仿宋_GB2312" w:hAnsi="华文中宋" w:eastAsia="仿宋_GB2312" w:cs="仿宋_GB2312"/>
          <w:sz w:val="32"/>
          <w:szCs w:val="32"/>
          <w:lang w:val="en-US" w:eastAsia="zh-CN"/>
        </w:rPr>
        <w:t>3.625</w:t>
      </w:r>
      <w:r>
        <w:rPr>
          <w:rFonts w:hint="eastAsia" w:ascii="仿宋_GB2312" w:hAnsi="华文中宋" w:eastAsia="仿宋_GB2312" w:cs="仿宋_GB2312"/>
          <w:sz w:val="32"/>
          <w:szCs w:val="32"/>
        </w:rPr>
        <w:t>万元/亩、Ⅲ级区片</w:t>
      </w:r>
      <w:r>
        <w:rPr>
          <w:rFonts w:hint="eastAsia" w:ascii="仿宋_GB2312" w:hAnsi="华文中宋" w:eastAsia="仿宋_GB2312" w:cs="仿宋_GB2312"/>
          <w:sz w:val="32"/>
          <w:szCs w:val="32"/>
          <w:lang w:val="en-US" w:eastAsia="zh-CN"/>
        </w:rPr>
        <w:t>3.575</w:t>
      </w:r>
      <w:r>
        <w:rPr>
          <w:rFonts w:hint="eastAsia" w:ascii="仿宋_GB2312" w:hAnsi="华文中宋" w:eastAsia="仿宋_GB2312" w:cs="仿宋_GB2312"/>
          <w:sz w:val="32"/>
          <w:szCs w:val="32"/>
        </w:rPr>
        <w:t>万元/亩，具体见附</w:t>
      </w:r>
      <w:r>
        <w:rPr>
          <w:rFonts w:hint="eastAsia" w:ascii="仿宋_GB2312" w:hAnsi="华文中宋" w:eastAsia="仿宋_GB2312" w:cs="仿宋_GB2312"/>
          <w:sz w:val="32"/>
          <w:szCs w:val="32"/>
          <w:lang w:val="en-US" w:eastAsia="zh-CN"/>
        </w:rPr>
        <w:t>表</w:t>
      </w:r>
      <w:r>
        <w:rPr>
          <w:rFonts w:hint="eastAsia" w:ascii="仿宋_GB2312" w:hAnsi="华文中宋" w:eastAsia="仿宋_GB2312" w:cs="仿宋_GB2312"/>
          <w:sz w:val="32"/>
          <w:szCs w:val="32"/>
        </w:rPr>
        <w:t>1</w:t>
      </w:r>
      <w:r>
        <w:rPr>
          <w:rFonts w:hint="eastAsia" w:ascii="仿宋_GB2312" w:eastAsia="仿宋_GB2312"/>
          <w:sz w:val="32"/>
          <w:szCs w:val="32"/>
          <w:lang w:eastAsia="zh-CN"/>
        </w:rPr>
        <w:t>。</w:t>
      </w:r>
    </w:p>
    <w:p w14:paraId="1E14DDB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rPr>
        <w:t>三、征收农用地、建设用地和未利用地的补偿标准按征地区片综合地价和地类调节系数计算。地类调节系数具体见附</w:t>
      </w:r>
      <w:r>
        <w:rPr>
          <w:rFonts w:hint="eastAsia" w:ascii="仿宋_GB2312" w:eastAsia="仿宋_GB2312"/>
          <w:sz w:val="32"/>
          <w:szCs w:val="32"/>
          <w:lang w:val="en-US" w:eastAsia="zh-CN"/>
        </w:rPr>
        <w:t>表</w:t>
      </w:r>
      <w:r>
        <w:rPr>
          <w:rFonts w:hint="eastAsia" w:ascii="仿宋_GB2312" w:eastAsia="仿宋_GB2312"/>
          <w:sz w:val="32"/>
          <w:szCs w:val="32"/>
        </w:rPr>
        <w:t>2</w:t>
      </w:r>
      <w:r>
        <w:rPr>
          <w:rFonts w:hint="eastAsia" w:ascii="仿宋_GB2312" w:eastAsia="仿宋_GB2312"/>
          <w:sz w:val="32"/>
          <w:szCs w:val="32"/>
          <w:lang w:eastAsia="zh-CN"/>
        </w:rPr>
        <w:t>。</w:t>
      </w:r>
    </w:p>
    <w:p w14:paraId="1A92A17A">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lang w:val="en-US" w:eastAsia="zh-CN"/>
        </w:rPr>
      </w:pPr>
    </w:p>
    <w:p w14:paraId="1E497576">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lang w:val="en-US" w:eastAsia="zh-CN"/>
        </w:rPr>
      </w:pPr>
    </w:p>
    <w:p w14:paraId="52EAEC58">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lang w:val="en-US" w:eastAsia="zh-CN"/>
        </w:rPr>
      </w:pPr>
    </w:p>
    <w:p w14:paraId="1620040C">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lang w:val="en-US" w:eastAsia="zh-CN"/>
        </w:rPr>
      </w:pPr>
    </w:p>
    <w:p w14:paraId="72150B3B">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lang w:val="en-US" w:eastAsia="zh-CN"/>
        </w:rPr>
      </w:pPr>
    </w:p>
    <w:p w14:paraId="04BB3878">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lang w:val="en-US" w:eastAsia="zh-CN"/>
        </w:rPr>
      </w:pPr>
    </w:p>
    <w:p w14:paraId="399F386C">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lang w:val="en-US" w:eastAsia="zh-CN"/>
        </w:rPr>
      </w:pPr>
    </w:p>
    <w:p w14:paraId="46FAD870">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lang w:val="en-US" w:eastAsia="zh-CN"/>
        </w:rPr>
      </w:pPr>
    </w:p>
    <w:p w14:paraId="51EF44D1">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lang w:val="en-US" w:eastAsia="zh-CN"/>
        </w:rPr>
      </w:pPr>
    </w:p>
    <w:p w14:paraId="06C3D7C7">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附表1</w:t>
      </w:r>
    </w:p>
    <w:p w14:paraId="0D0D5084">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val="0"/>
          <w:bCs w:val="0"/>
          <w:sz w:val="44"/>
          <w:szCs w:val="44"/>
          <w:lang w:val="en-US" w:eastAsia="zh-CN"/>
        </w:rPr>
        <w:t>明溪县</w:t>
      </w:r>
      <w:r>
        <w:rPr>
          <w:rFonts w:hint="eastAsia" w:ascii="方正小标宋简体" w:hAnsi="方正小标宋简体" w:eastAsia="方正小标宋简体" w:cs="方正小标宋简体"/>
          <w:sz w:val="44"/>
          <w:szCs w:val="44"/>
        </w:rPr>
        <w:t>征地区片划分及征地区片综合地价</w:t>
      </w:r>
    </w:p>
    <w:p w14:paraId="099B563A">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标准一览表</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9"/>
        <w:gridCol w:w="5444"/>
        <w:gridCol w:w="1563"/>
        <w:gridCol w:w="733"/>
      </w:tblGrid>
      <w:tr w14:paraId="4E902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0" w:hRule="atLeast"/>
        </w:trPr>
        <w:tc>
          <w:tcPr>
            <w:tcW w:w="457" w:type="pct"/>
            <w:tcBorders>
              <w:top w:val="single" w:color="auto" w:sz="4" w:space="0"/>
              <w:left w:val="single" w:color="auto" w:sz="4" w:space="0"/>
              <w:bottom w:val="single" w:color="auto" w:sz="4" w:space="0"/>
              <w:right w:val="single" w:color="auto" w:sz="4" w:space="0"/>
            </w:tcBorders>
            <w:shd w:val="clear" w:color="auto" w:fill="auto"/>
            <w:vAlign w:val="center"/>
          </w:tcPr>
          <w:p w14:paraId="0C37F5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档次</w:t>
            </w:r>
          </w:p>
        </w:tc>
        <w:tc>
          <w:tcPr>
            <w:tcW w:w="3194" w:type="pct"/>
            <w:tcBorders>
              <w:top w:val="single" w:color="auto" w:sz="4" w:space="0"/>
              <w:left w:val="single" w:color="auto" w:sz="4" w:space="0"/>
              <w:bottom w:val="single" w:color="auto" w:sz="4" w:space="0"/>
              <w:right w:val="single" w:color="auto" w:sz="4" w:space="0"/>
            </w:tcBorders>
            <w:shd w:val="clear" w:color="auto" w:fill="auto"/>
            <w:vAlign w:val="center"/>
          </w:tcPr>
          <w:p w14:paraId="3269D4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区片范围</w:t>
            </w:r>
          </w:p>
        </w:tc>
        <w:tc>
          <w:tcPr>
            <w:tcW w:w="917" w:type="pct"/>
            <w:tcBorders>
              <w:top w:val="single" w:color="auto" w:sz="4" w:space="0"/>
              <w:left w:val="single" w:color="auto" w:sz="4" w:space="0"/>
              <w:bottom w:val="single" w:color="auto" w:sz="4" w:space="0"/>
              <w:right w:val="single" w:color="auto" w:sz="4" w:space="0"/>
            </w:tcBorders>
            <w:shd w:val="clear" w:color="auto" w:fill="auto"/>
            <w:vAlign w:val="center"/>
          </w:tcPr>
          <w:p w14:paraId="2460D6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征地区片综合地价标准（元/亩）</w:t>
            </w:r>
          </w:p>
        </w:tc>
        <w:tc>
          <w:tcPr>
            <w:tcW w:w="430" w:type="pct"/>
            <w:tcBorders>
              <w:top w:val="single" w:color="auto" w:sz="4" w:space="0"/>
              <w:left w:val="single" w:color="auto" w:sz="4" w:space="0"/>
              <w:bottom w:val="single" w:color="auto" w:sz="4" w:space="0"/>
              <w:right w:val="single" w:color="auto" w:sz="4" w:space="0"/>
            </w:tcBorders>
            <w:shd w:val="clear" w:color="auto" w:fill="auto"/>
            <w:vAlign w:val="center"/>
          </w:tcPr>
          <w:p w14:paraId="79252F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备注</w:t>
            </w:r>
          </w:p>
        </w:tc>
      </w:tr>
      <w:tr w14:paraId="4F2F9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7" w:hRule="atLeast"/>
        </w:trPr>
        <w:tc>
          <w:tcPr>
            <w:tcW w:w="457" w:type="pct"/>
            <w:tcBorders>
              <w:top w:val="single" w:color="auto" w:sz="4" w:space="0"/>
              <w:left w:val="single" w:color="auto" w:sz="4" w:space="0"/>
              <w:bottom w:val="single" w:color="auto" w:sz="4" w:space="0"/>
              <w:right w:val="single" w:color="auto" w:sz="4" w:space="0"/>
            </w:tcBorders>
            <w:shd w:val="clear" w:color="auto" w:fill="auto"/>
            <w:vAlign w:val="center"/>
          </w:tcPr>
          <w:p w14:paraId="17FFB8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Ⅰ</w:t>
            </w:r>
          </w:p>
        </w:tc>
        <w:tc>
          <w:tcPr>
            <w:tcW w:w="3194" w:type="pct"/>
            <w:tcBorders>
              <w:top w:val="single" w:color="auto" w:sz="4" w:space="0"/>
              <w:left w:val="single" w:color="auto" w:sz="4" w:space="0"/>
              <w:bottom w:val="single" w:color="auto" w:sz="4" w:space="0"/>
              <w:right w:val="single" w:color="auto" w:sz="4" w:space="0"/>
            </w:tcBorders>
            <w:shd w:val="clear" w:color="auto" w:fill="auto"/>
            <w:vAlign w:val="center"/>
          </w:tcPr>
          <w:p w14:paraId="4D85C1F3">
            <w:pPr>
              <w:keepNext w:val="0"/>
              <w:keepLines w:val="0"/>
              <w:pageBreakBefore w:val="0"/>
              <w:widowControl/>
              <w:kinsoku/>
              <w:wordWrap/>
              <w:overflowPunct/>
              <w:topLinePunct w:val="0"/>
              <w:autoSpaceDE/>
              <w:autoSpaceDN/>
              <w:bidi w:val="0"/>
              <w:adjustRightInd w:val="0"/>
              <w:snapToGrid w:val="0"/>
              <w:spacing w:line="400" w:lineRule="exact"/>
              <w:jc w:val="left"/>
              <w:rPr>
                <w:rFonts w:hint="eastAsia" w:ascii="仿宋_GB2312" w:hAnsi="宋体" w:eastAsia="仿宋_GB2312"/>
                <w:color w:val="000000"/>
                <w:kern w:val="0"/>
                <w:sz w:val="24"/>
                <w:szCs w:val="24"/>
              </w:rPr>
            </w:pPr>
            <w:r>
              <w:rPr>
                <w:rFonts w:hint="eastAsia" w:ascii="仿宋_GB2312" w:hAnsi="宋体" w:eastAsia="仿宋_GB2312"/>
                <w:b/>
                <w:bCs/>
                <w:color w:val="000000"/>
                <w:kern w:val="0"/>
                <w:sz w:val="24"/>
                <w:szCs w:val="24"/>
              </w:rPr>
              <w:t>雪峰镇：</w:t>
            </w:r>
            <w:r>
              <w:rPr>
                <w:rFonts w:hint="eastAsia" w:ascii="仿宋_GB2312" w:hAnsi="宋体" w:eastAsia="仿宋_GB2312"/>
                <w:color w:val="000000"/>
                <w:kern w:val="0"/>
                <w:sz w:val="24"/>
                <w:szCs w:val="24"/>
              </w:rPr>
              <w:t>城东村、城西村</w:t>
            </w:r>
          </w:p>
          <w:p w14:paraId="35C9044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b/>
                <w:bCs/>
                <w:color w:val="000000"/>
                <w:kern w:val="0"/>
                <w:sz w:val="24"/>
                <w:szCs w:val="24"/>
              </w:rPr>
              <w:t>城关乡：</w:t>
            </w:r>
            <w:r>
              <w:rPr>
                <w:rFonts w:hint="eastAsia" w:ascii="仿宋_GB2312" w:hAnsi="宋体" w:eastAsia="仿宋_GB2312"/>
                <w:color w:val="000000"/>
                <w:kern w:val="0"/>
                <w:sz w:val="24"/>
                <w:szCs w:val="24"/>
              </w:rPr>
              <w:t>大富村、王桥村、坪埠村、上坊村</w:t>
            </w:r>
          </w:p>
        </w:tc>
        <w:tc>
          <w:tcPr>
            <w:tcW w:w="917" w:type="pct"/>
            <w:tcBorders>
              <w:top w:val="single" w:color="auto" w:sz="4" w:space="0"/>
              <w:left w:val="single" w:color="auto" w:sz="4" w:space="0"/>
              <w:bottom w:val="single" w:color="auto" w:sz="4" w:space="0"/>
              <w:right w:val="single" w:color="auto" w:sz="4" w:space="0"/>
            </w:tcBorders>
            <w:shd w:val="clear" w:color="auto" w:fill="auto"/>
            <w:vAlign w:val="center"/>
          </w:tcPr>
          <w:p w14:paraId="2D10F5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51700</w:t>
            </w:r>
          </w:p>
        </w:tc>
        <w:tc>
          <w:tcPr>
            <w:tcW w:w="430" w:type="pct"/>
            <w:tcBorders>
              <w:top w:val="single" w:color="auto" w:sz="4" w:space="0"/>
              <w:left w:val="single" w:color="auto" w:sz="4" w:space="0"/>
              <w:bottom w:val="single" w:color="auto" w:sz="4" w:space="0"/>
              <w:right w:val="single" w:color="auto" w:sz="4" w:space="0"/>
            </w:tcBorders>
            <w:shd w:val="clear" w:color="auto" w:fill="auto"/>
            <w:vAlign w:val="center"/>
          </w:tcPr>
          <w:p w14:paraId="4B09B9D4">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_GB2312" w:hAnsi="宋体" w:eastAsia="仿宋_GB2312" w:cs="仿宋_GB2312"/>
                <w:i w:val="0"/>
                <w:iCs w:val="0"/>
                <w:color w:val="000000"/>
                <w:sz w:val="24"/>
                <w:szCs w:val="24"/>
                <w:u w:val="none"/>
              </w:rPr>
            </w:pPr>
          </w:p>
        </w:tc>
      </w:tr>
      <w:tr w14:paraId="6E7BC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2" w:hRule="atLeast"/>
        </w:trPr>
        <w:tc>
          <w:tcPr>
            <w:tcW w:w="457" w:type="pct"/>
            <w:tcBorders>
              <w:top w:val="single" w:color="auto" w:sz="4" w:space="0"/>
              <w:left w:val="single" w:color="auto" w:sz="4" w:space="0"/>
              <w:bottom w:val="single" w:color="auto" w:sz="4" w:space="0"/>
              <w:right w:val="single" w:color="auto" w:sz="4" w:space="0"/>
            </w:tcBorders>
            <w:shd w:val="clear" w:color="auto" w:fill="auto"/>
            <w:vAlign w:val="center"/>
          </w:tcPr>
          <w:p w14:paraId="5DDBD5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Ⅱ</w:t>
            </w:r>
          </w:p>
        </w:tc>
        <w:tc>
          <w:tcPr>
            <w:tcW w:w="3194" w:type="pct"/>
            <w:tcBorders>
              <w:top w:val="single" w:color="auto" w:sz="4" w:space="0"/>
              <w:left w:val="single" w:color="auto" w:sz="4" w:space="0"/>
              <w:bottom w:val="single" w:color="auto" w:sz="4" w:space="0"/>
              <w:right w:val="single" w:color="auto" w:sz="4" w:space="0"/>
            </w:tcBorders>
            <w:shd w:val="clear" w:color="auto" w:fill="auto"/>
            <w:vAlign w:val="center"/>
          </w:tcPr>
          <w:p w14:paraId="257D39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b/>
                <w:bCs/>
                <w:color w:val="000000"/>
                <w:kern w:val="0"/>
                <w:sz w:val="24"/>
                <w:szCs w:val="24"/>
              </w:rPr>
              <w:t>瀚仙镇：</w:t>
            </w:r>
            <w:r>
              <w:rPr>
                <w:rFonts w:hint="eastAsia" w:ascii="仿宋_GB2312" w:hAnsi="宋体" w:eastAsia="仿宋_GB2312"/>
                <w:color w:val="000000"/>
                <w:kern w:val="0"/>
                <w:sz w:val="24"/>
                <w:szCs w:val="24"/>
              </w:rPr>
              <w:t>岩里村、石珩村、大焦村、小眉溪村、王陂村、雪峰农场</w:t>
            </w:r>
          </w:p>
        </w:tc>
        <w:tc>
          <w:tcPr>
            <w:tcW w:w="917" w:type="pct"/>
            <w:tcBorders>
              <w:top w:val="single" w:color="auto" w:sz="4" w:space="0"/>
              <w:left w:val="single" w:color="auto" w:sz="4" w:space="0"/>
              <w:bottom w:val="single" w:color="auto" w:sz="4" w:space="0"/>
              <w:right w:val="single" w:color="auto" w:sz="4" w:space="0"/>
            </w:tcBorders>
            <w:shd w:val="clear" w:color="auto" w:fill="auto"/>
            <w:vAlign w:val="center"/>
          </w:tcPr>
          <w:p w14:paraId="797D70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36250</w:t>
            </w:r>
          </w:p>
        </w:tc>
        <w:tc>
          <w:tcPr>
            <w:tcW w:w="430" w:type="pct"/>
            <w:tcBorders>
              <w:top w:val="single" w:color="auto" w:sz="4" w:space="0"/>
              <w:left w:val="single" w:color="auto" w:sz="4" w:space="0"/>
              <w:bottom w:val="single" w:color="auto" w:sz="4" w:space="0"/>
              <w:right w:val="single" w:color="auto" w:sz="4" w:space="0"/>
            </w:tcBorders>
            <w:shd w:val="clear" w:color="auto" w:fill="auto"/>
            <w:vAlign w:val="center"/>
          </w:tcPr>
          <w:p w14:paraId="278F1112">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_GB2312" w:hAnsi="宋体" w:eastAsia="仿宋_GB2312" w:cs="仿宋_GB2312"/>
                <w:i w:val="0"/>
                <w:iCs w:val="0"/>
                <w:color w:val="000000"/>
                <w:sz w:val="24"/>
                <w:szCs w:val="24"/>
                <w:u w:val="none"/>
              </w:rPr>
            </w:pPr>
          </w:p>
        </w:tc>
      </w:tr>
      <w:tr w14:paraId="1673B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0" w:hRule="atLeast"/>
        </w:trPr>
        <w:tc>
          <w:tcPr>
            <w:tcW w:w="457" w:type="pct"/>
            <w:tcBorders>
              <w:top w:val="single" w:color="auto" w:sz="4" w:space="0"/>
              <w:left w:val="single" w:color="auto" w:sz="4" w:space="0"/>
              <w:bottom w:val="single" w:color="auto" w:sz="4" w:space="0"/>
              <w:right w:val="single" w:color="auto" w:sz="4" w:space="0"/>
            </w:tcBorders>
            <w:shd w:val="clear" w:color="auto" w:fill="auto"/>
            <w:vAlign w:val="center"/>
          </w:tcPr>
          <w:p w14:paraId="377EAC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Ⅲ</w:t>
            </w:r>
          </w:p>
        </w:tc>
        <w:tc>
          <w:tcPr>
            <w:tcW w:w="3194" w:type="pct"/>
            <w:tcBorders>
              <w:top w:val="single" w:color="auto" w:sz="4" w:space="0"/>
              <w:left w:val="single" w:color="auto" w:sz="4" w:space="0"/>
              <w:bottom w:val="single" w:color="auto" w:sz="4" w:space="0"/>
              <w:right w:val="single" w:color="auto" w:sz="4" w:space="0"/>
            </w:tcBorders>
            <w:shd w:val="clear" w:color="auto" w:fill="auto"/>
            <w:vAlign w:val="center"/>
          </w:tcPr>
          <w:p w14:paraId="5FC5E0DC">
            <w:pPr>
              <w:keepNext w:val="0"/>
              <w:keepLines w:val="0"/>
              <w:pageBreakBefore w:val="0"/>
              <w:widowControl/>
              <w:kinsoku/>
              <w:wordWrap/>
              <w:overflowPunct/>
              <w:topLinePunct w:val="0"/>
              <w:autoSpaceDE/>
              <w:autoSpaceDN/>
              <w:bidi w:val="0"/>
              <w:adjustRightInd w:val="0"/>
              <w:snapToGrid w:val="0"/>
              <w:spacing w:line="400" w:lineRule="exact"/>
              <w:rPr>
                <w:rFonts w:hint="eastAsia" w:ascii="仿宋_GB2312" w:hAnsi="宋体" w:eastAsia="仿宋_GB2312"/>
                <w:color w:val="000000"/>
                <w:kern w:val="0"/>
                <w:sz w:val="24"/>
                <w:szCs w:val="24"/>
              </w:rPr>
            </w:pPr>
            <w:r>
              <w:rPr>
                <w:rFonts w:hint="eastAsia" w:ascii="仿宋_GB2312" w:hAnsi="宋体" w:eastAsia="仿宋_GB2312"/>
                <w:b/>
                <w:bCs/>
                <w:color w:val="000000"/>
                <w:kern w:val="0"/>
                <w:sz w:val="24"/>
                <w:szCs w:val="24"/>
              </w:rPr>
              <w:t>盖洋镇：</w:t>
            </w:r>
            <w:r>
              <w:rPr>
                <w:rFonts w:hint="eastAsia" w:ascii="仿宋_GB2312" w:hAnsi="宋体" w:eastAsia="仿宋_GB2312"/>
                <w:color w:val="000000"/>
                <w:kern w:val="0"/>
                <w:sz w:val="24"/>
                <w:szCs w:val="24"/>
              </w:rPr>
              <w:t>盖洋村、林地村、湖上村、村头村、雷西村、葫芦形村、温庄村、湾内村、衢地村、白叶村、白岚村、桂林村、画桥村、大坑村、常坪村、姜坊村、大洋村、杨地村</w:t>
            </w:r>
          </w:p>
          <w:p w14:paraId="0F68D633">
            <w:pPr>
              <w:keepNext w:val="0"/>
              <w:keepLines w:val="0"/>
              <w:pageBreakBefore w:val="0"/>
              <w:widowControl/>
              <w:kinsoku/>
              <w:wordWrap/>
              <w:overflowPunct/>
              <w:topLinePunct w:val="0"/>
              <w:autoSpaceDE/>
              <w:autoSpaceDN/>
              <w:bidi w:val="0"/>
              <w:adjustRightInd w:val="0"/>
              <w:snapToGrid w:val="0"/>
              <w:spacing w:line="400" w:lineRule="exact"/>
              <w:rPr>
                <w:rFonts w:hint="eastAsia" w:ascii="仿宋_GB2312" w:hAnsi="宋体" w:eastAsia="仿宋_GB2312"/>
                <w:color w:val="000000"/>
                <w:kern w:val="0"/>
                <w:sz w:val="24"/>
                <w:szCs w:val="24"/>
              </w:rPr>
            </w:pPr>
            <w:r>
              <w:rPr>
                <w:rFonts w:hint="eastAsia" w:ascii="仿宋_GB2312" w:hAnsi="宋体" w:eastAsia="仿宋_GB2312"/>
                <w:b/>
                <w:bCs/>
                <w:color w:val="000000"/>
                <w:kern w:val="0"/>
                <w:sz w:val="24"/>
                <w:szCs w:val="24"/>
              </w:rPr>
              <w:t>胡坊镇：</w:t>
            </w:r>
            <w:r>
              <w:rPr>
                <w:rFonts w:hint="eastAsia" w:ascii="仿宋_GB2312" w:hAnsi="宋体" w:eastAsia="仿宋_GB2312"/>
                <w:color w:val="000000"/>
                <w:kern w:val="0"/>
                <w:sz w:val="24"/>
                <w:szCs w:val="24"/>
              </w:rPr>
              <w:t>胡坊村、肖家山村、瓦口村、柏亨村、朱南村、眉溪村、奋发村、福西村、洋地村、冯厝村</w:t>
            </w:r>
          </w:p>
          <w:p w14:paraId="3B18800E">
            <w:pPr>
              <w:keepNext w:val="0"/>
              <w:keepLines w:val="0"/>
              <w:pageBreakBefore w:val="0"/>
              <w:widowControl/>
              <w:kinsoku/>
              <w:wordWrap/>
              <w:overflowPunct/>
              <w:topLinePunct w:val="0"/>
              <w:autoSpaceDE/>
              <w:autoSpaceDN/>
              <w:bidi w:val="0"/>
              <w:adjustRightInd w:val="0"/>
              <w:snapToGrid w:val="0"/>
              <w:spacing w:line="400" w:lineRule="exact"/>
              <w:rPr>
                <w:rFonts w:hint="eastAsia" w:ascii="仿宋_GB2312" w:hAnsi="宋体" w:eastAsia="仿宋_GB2312"/>
                <w:color w:val="000000"/>
                <w:kern w:val="0"/>
                <w:sz w:val="24"/>
                <w:szCs w:val="24"/>
              </w:rPr>
            </w:pPr>
            <w:r>
              <w:rPr>
                <w:rFonts w:hint="eastAsia" w:ascii="仿宋_GB2312" w:hAnsi="宋体" w:eastAsia="仿宋_GB2312"/>
                <w:b/>
                <w:bCs/>
                <w:color w:val="000000"/>
                <w:kern w:val="0"/>
                <w:sz w:val="24"/>
                <w:szCs w:val="24"/>
              </w:rPr>
              <w:t>瀚仙镇：</w:t>
            </w:r>
            <w:r>
              <w:rPr>
                <w:rFonts w:hint="eastAsia" w:ascii="仿宋_GB2312" w:hAnsi="宋体" w:eastAsia="仿宋_GB2312"/>
                <w:color w:val="000000"/>
                <w:kern w:val="0"/>
                <w:sz w:val="24"/>
                <w:szCs w:val="24"/>
              </w:rPr>
              <w:t>洋龙村、瀚溪村、龙湖村、连厝村、坪地村、花园村</w:t>
            </w:r>
          </w:p>
          <w:p w14:paraId="1BCB6125">
            <w:pPr>
              <w:keepNext w:val="0"/>
              <w:keepLines w:val="0"/>
              <w:pageBreakBefore w:val="0"/>
              <w:widowControl/>
              <w:kinsoku/>
              <w:wordWrap/>
              <w:overflowPunct/>
              <w:topLinePunct w:val="0"/>
              <w:autoSpaceDE/>
              <w:autoSpaceDN/>
              <w:bidi w:val="0"/>
              <w:adjustRightInd w:val="0"/>
              <w:snapToGrid w:val="0"/>
              <w:spacing w:line="400" w:lineRule="exact"/>
              <w:rPr>
                <w:rFonts w:hint="eastAsia" w:ascii="仿宋_GB2312" w:hAnsi="宋体" w:eastAsia="仿宋_GB2312"/>
                <w:color w:val="000000"/>
                <w:kern w:val="0"/>
                <w:sz w:val="24"/>
                <w:szCs w:val="24"/>
              </w:rPr>
            </w:pPr>
            <w:r>
              <w:rPr>
                <w:rFonts w:hint="eastAsia" w:ascii="仿宋_GB2312" w:hAnsi="宋体" w:eastAsia="仿宋_GB2312"/>
                <w:b/>
                <w:bCs/>
                <w:color w:val="000000"/>
                <w:kern w:val="0"/>
                <w:sz w:val="24"/>
                <w:szCs w:val="24"/>
              </w:rPr>
              <w:t>城关乡：</w:t>
            </w:r>
            <w:r>
              <w:rPr>
                <w:rFonts w:hint="eastAsia" w:ascii="仿宋_GB2312" w:hAnsi="宋体" w:eastAsia="仿宋_GB2312"/>
                <w:color w:val="000000"/>
                <w:kern w:val="0"/>
                <w:sz w:val="24"/>
                <w:szCs w:val="24"/>
              </w:rPr>
              <w:t>狮窠村、罗翠村、余坊村、下汴村、大坪村</w:t>
            </w:r>
          </w:p>
          <w:p w14:paraId="69044DAE">
            <w:pPr>
              <w:keepNext w:val="0"/>
              <w:keepLines w:val="0"/>
              <w:pageBreakBefore w:val="0"/>
              <w:widowControl/>
              <w:kinsoku/>
              <w:wordWrap/>
              <w:overflowPunct/>
              <w:topLinePunct w:val="0"/>
              <w:autoSpaceDE/>
              <w:autoSpaceDN/>
              <w:bidi w:val="0"/>
              <w:adjustRightInd w:val="0"/>
              <w:snapToGrid w:val="0"/>
              <w:spacing w:line="400" w:lineRule="exact"/>
              <w:rPr>
                <w:rFonts w:hint="eastAsia" w:ascii="仿宋_GB2312" w:hAnsi="宋体" w:eastAsia="仿宋_GB2312"/>
                <w:color w:val="000000"/>
                <w:kern w:val="0"/>
                <w:sz w:val="24"/>
                <w:szCs w:val="24"/>
              </w:rPr>
            </w:pPr>
            <w:r>
              <w:rPr>
                <w:rFonts w:hint="eastAsia" w:ascii="仿宋_GB2312" w:hAnsi="宋体" w:eastAsia="仿宋_GB2312"/>
                <w:b/>
                <w:bCs/>
                <w:color w:val="000000"/>
                <w:kern w:val="0"/>
                <w:sz w:val="24"/>
                <w:szCs w:val="24"/>
              </w:rPr>
              <w:t>沙溪乡：</w:t>
            </w:r>
            <w:r>
              <w:rPr>
                <w:rFonts w:hint="eastAsia" w:ascii="仿宋_GB2312" w:hAnsi="宋体" w:eastAsia="仿宋_GB2312"/>
                <w:color w:val="000000"/>
                <w:kern w:val="0"/>
                <w:sz w:val="24"/>
                <w:szCs w:val="24"/>
              </w:rPr>
              <w:t>沙溪村、梓口坊村、永溪村、六合村、瑶奢村、碧州村</w:t>
            </w:r>
          </w:p>
          <w:p w14:paraId="0AC18BFA">
            <w:pPr>
              <w:keepNext w:val="0"/>
              <w:keepLines w:val="0"/>
              <w:pageBreakBefore w:val="0"/>
              <w:widowControl/>
              <w:kinsoku/>
              <w:wordWrap/>
              <w:overflowPunct/>
              <w:topLinePunct w:val="0"/>
              <w:autoSpaceDE/>
              <w:autoSpaceDN/>
              <w:bidi w:val="0"/>
              <w:adjustRightInd w:val="0"/>
              <w:snapToGrid w:val="0"/>
              <w:spacing w:line="400" w:lineRule="exact"/>
              <w:rPr>
                <w:rFonts w:hint="eastAsia" w:ascii="仿宋_GB2312" w:hAnsi="宋体" w:eastAsia="仿宋_GB2312"/>
                <w:color w:val="000000"/>
                <w:kern w:val="0"/>
                <w:sz w:val="24"/>
                <w:szCs w:val="24"/>
              </w:rPr>
            </w:pPr>
            <w:r>
              <w:rPr>
                <w:rFonts w:hint="eastAsia" w:ascii="仿宋_GB2312" w:hAnsi="宋体" w:eastAsia="仿宋_GB2312"/>
                <w:b/>
                <w:bCs/>
                <w:color w:val="000000"/>
                <w:kern w:val="0"/>
                <w:sz w:val="24"/>
                <w:szCs w:val="24"/>
              </w:rPr>
              <w:t>夏阳乡：</w:t>
            </w:r>
            <w:r>
              <w:rPr>
                <w:rFonts w:hint="eastAsia" w:ascii="仿宋_GB2312" w:hAnsi="宋体" w:eastAsia="仿宋_GB2312"/>
                <w:color w:val="000000"/>
                <w:kern w:val="0"/>
                <w:sz w:val="24"/>
                <w:szCs w:val="24"/>
              </w:rPr>
              <w:t>夏阳村、杏村村、御帘村、长兴村、地美村、岭头村、下坂村、瓦溪村、溪边村、俞云坂村、陈坊村、旦上村、紫云村、后洋村、良村村、新坊村</w:t>
            </w:r>
          </w:p>
          <w:p w14:paraId="19381C16">
            <w:pPr>
              <w:keepNext w:val="0"/>
              <w:keepLines w:val="0"/>
              <w:pageBreakBefore w:val="0"/>
              <w:widowControl/>
              <w:kinsoku/>
              <w:wordWrap/>
              <w:overflowPunct/>
              <w:topLinePunct w:val="0"/>
              <w:autoSpaceDE/>
              <w:autoSpaceDN/>
              <w:bidi w:val="0"/>
              <w:adjustRightInd w:val="0"/>
              <w:snapToGrid w:val="0"/>
              <w:spacing w:line="400" w:lineRule="exact"/>
              <w:rPr>
                <w:rFonts w:hint="eastAsia" w:ascii="仿宋_GB2312" w:hAnsi="宋体" w:eastAsia="仿宋_GB2312"/>
                <w:color w:val="000000"/>
                <w:kern w:val="0"/>
                <w:sz w:val="24"/>
                <w:szCs w:val="24"/>
              </w:rPr>
            </w:pPr>
            <w:r>
              <w:rPr>
                <w:rFonts w:hint="eastAsia" w:ascii="仿宋_GB2312" w:hAnsi="宋体" w:eastAsia="仿宋_GB2312"/>
                <w:b/>
                <w:bCs/>
                <w:color w:val="000000"/>
                <w:kern w:val="0"/>
                <w:sz w:val="24"/>
                <w:szCs w:val="24"/>
              </w:rPr>
              <w:t>枫溪乡：</w:t>
            </w:r>
            <w:r>
              <w:rPr>
                <w:rFonts w:hint="eastAsia" w:ascii="仿宋_GB2312" w:hAnsi="宋体" w:eastAsia="仿宋_GB2312"/>
                <w:color w:val="000000"/>
                <w:kern w:val="0"/>
                <w:sz w:val="24"/>
                <w:szCs w:val="24"/>
              </w:rPr>
              <w:t>枫溪村、小珩村、官坊村、大雅村、华山村、邓家村、熊地村</w:t>
            </w:r>
          </w:p>
          <w:p w14:paraId="4ABD703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b/>
                <w:bCs/>
                <w:color w:val="000000"/>
                <w:kern w:val="0"/>
                <w:sz w:val="24"/>
                <w:szCs w:val="24"/>
              </w:rPr>
              <w:t>夏坊乡：</w:t>
            </w:r>
            <w:r>
              <w:rPr>
                <w:rFonts w:hint="eastAsia" w:ascii="仿宋_GB2312" w:hAnsi="宋体" w:eastAsia="仿宋_GB2312"/>
                <w:color w:val="000000"/>
                <w:kern w:val="0"/>
                <w:sz w:val="24"/>
                <w:szCs w:val="24"/>
              </w:rPr>
              <w:t>夏坊村、高洋村、鳌坑村、龙坑村、新建村、中溪村、李沂村、苎畲村、黄地村</w:t>
            </w:r>
          </w:p>
        </w:tc>
        <w:tc>
          <w:tcPr>
            <w:tcW w:w="917" w:type="pct"/>
            <w:tcBorders>
              <w:top w:val="single" w:color="auto" w:sz="4" w:space="0"/>
              <w:left w:val="single" w:color="auto" w:sz="4" w:space="0"/>
              <w:bottom w:val="single" w:color="auto" w:sz="4" w:space="0"/>
              <w:right w:val="single" w:color="auto" w:sz="4" w:space="0"/>
            </w:tcBorders>
            <w:shd w:val="clear" w:color="auto" w:fill="auto"/>
            <w:vAlign w:val="center"/>
          </w:tcPr>
          <w:p w14:paraId="18889A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35750</w:t>
            </w:r>
          </w:p>
        </w:tc>
        <w:tc>
          <w:tcPr>
            <w:tcW w:w="43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8DAE6F">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bl>
    <w:p w14:paraId="3E1EB7E9">
      <w:pPr>
        <w:pStyle w:val="8"/>
        <w:ind w:left="0" w:leftChars="0" w:firstLine="0" w:firstLineChars="0"/>
        <w:jc w:val="both"/>
        <w:rPr>
          <w:rFonts w:ascii="方正小标宋_GBK" w:hAnsi="方正小标宋_GBK" w:eastAsia="方正小标宋_GBK" w:cs="方正小标宋_GBK"/>
          <w:sz w:val="36"/>
          <w:szCs w:val="36"/>
        </w:rPr>
      </w:pPr>
    </w:p>
    <w:p w14:paraId="76A14EFD">
      <w:pPr>
        <w:pStyle w:val="2"/>
        <w:spacing w:before="0" w:after="0" w:line="240" w:lineRule="auto"/>
        <w:rPr>
          <w:rFonts w:hint="eastAsia" w:ascii="黑体" w:hAnsi="黑体" w:eastAsia="黑体" w:cs="黑体"/>
          <w:b w:val="0"/>
          <w:bCs/>
          <w:sz w:val="32"/>
          <w:szCs w:val="32"/>
        </w:rPr>
        <w:sectPr>
          <w:footerReference r:id="rId3" w:type="default"/>
          <w:pgSz w:w="11906" w:h="16838"/>
          <w:pgMar w:top="1440" w:right="1800" w:bottom="1440" w:left="1800" w:header="851" w:footer="992" w:gutter="0"/>
          <w:pgNumType w:fmt="decimal"/>
          <w:cols w:space="425" w:num="1"/>
          <w:docGrid w:type="lines" w:linePitch="312" w:charSpace="0"/>
        </w:sectPr>
      </w:pPr>
      <w:bookmarkStart w:id="0" w:name="_Toc16210"/>
    </w:p>
    <w:bookmarkEnd w:id="0"/>
    <w:p w14:paraId="3C556CE2">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附表</w:t>
      </w:r>
      <w:r>
        <w:rPr>
          <w:rFonts w:hint="eastAsia" w:ascii="仿宋_GB2312" w:eastAsia="仿宋_GB2312" w:cstheme="minorBidi"/>
          <w:kern w:val="2"/>
          <w:sz w:val="32"/>
          <w:szCs w:val="32"/>
          <w:lang w:val="en-US" w:eastAsia="zh-CN" w:bidi="ar-SA"/>
        </w:rPr>
        <w:t>2</w:t>
      </w:r>
    </w:p>
    <w:p w14:paraId="2DBCB52E">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val="0"/>
          <w:bCs w:val="0"/>
          <w:sz w:val="44"/>
          <w:szCs w:val="44"/>
          <w:lang w:val="en-US" w:eastAsia="zh-CN"/>
        </w:rPr>
        <w:t>明溪县</w:t>
      </w:r>
      <w:r>
        <w:rPr>
          <w:rFonts w:hint="eastAsia" w:ascii="方正小标宋简体" w:hAnsi="方正小标宋简体" w:eastAsia="方正小标宋简体" w:cs="方正小标宋简体"/>
          <w:sz w:val="44"/>
          <w:szCs w:val="44"/>
        </w:rPr>
        <w:t>地类调节系数表</w:t>
      </w:r>
    </w:p>
    <w:tbl>
      <w:tblPr>
        <w:tblStyle w:val="9"/>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55"/>
        <w:gridCol w:w="1225"/>
        <w:gridCol w:w="4839"/>
      </w:tblGrid>
      <w:tr w14:paraId="2F2313E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1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C7DB7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地类名称</w:t>
            </w:r>
          </w:p>
        </w:tc>
        <w:tc>
          <w:tcPr>
            <w:tcW w:w="7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B0AA0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调节系数</w:t>
            </w:r>
          </w:p>
        </w:tc>
        <w:tc>
          <w:tcPr>
            <w:tcW w:w="28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07B8C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备注</w:t>
            </w:r>
          </w:p>
        </w:tc>
      </w:tr>
      <w:tr w14:paraId="2C34BF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66B9A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耕地</w:t>
            </w:r>
          </w:p>
          <w:p w14:paraId="38AFDB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（永久基本农田）</w:t>
            </w:r>
          </w:p>
        </w:tc>
        <w:tc>
          <w:tcPr>
            <w:tcW w:w="7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A3983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2840" w:type="pct"/>
            <w:tcBorders>
              <w:top w:val="single" w:color="auto" w:sz="4" w:space="0"/>
              <w:left w:val="single" w:color="auto" w:sz="4" w:space="0"/>
              <w:bottom w:val="single" w:color="auto" w:sz="4" w:space="0"/>
              <w:right w:val="single" w:color="auto" w:sz="4" w:space="0"/>
            </w:tcBorders>
            <w:shd w:val="clear" w:color="auto" w:fill="auto"/>
            <w:vAlign w:val="center"/>
          </w:tcPr>
          <w:p w14:paraId="59FDFFB1">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1、耕地（含沟渠/田坎）1.0</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2、永久基本农田调节系数1.0</w:t>
            </w:r>
          </w:p>
        </w:tc>
      </w:tr>
      <w:tr w14:paraId="0DA476C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CD8C6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除耕地以外的农用地</w:t>
            </w:r>
          </w:p>
        </w:tc>
        <w:tc>
          <w:tcPr>
            <w:tcW w:w="7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D6FA5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0.45</w:t>
            </w:r>
          </w:p>
        </w:tc>
        <w:tc>
          <w:tcPr>
            <w:tcW w:w="28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2DC92A">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除沟渠/田坎以外的农用地按0.45</w:t>
            </w:r>
          </w:p>
        </w:tc>
      </w:tr>
      <w:tr w14:paraId="2A1BD4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50345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建设用地</w:t>
            </w:r>
          </w:p>
        </w:tc>
        <w:tc>
          <w:tcPr>
            <w:tcW w:w="7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3C3BF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0.45</w:t>
            </w:r>
          </w:p>
        </w:tc>
        <w:tc>
          <w:tcPr>
            <w:tcW w:w="28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414023">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7E9A20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8FBB4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未利用地</w:t>
            </w:r>
          </w:p>
        </w:tc>
        <w:tc>
          <w:tcPr>
            <w:tcW w:w="7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0924F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0.1</w:t>
            </w:r>
          </w:p>
        </w:tc>
        <w:tc>
          <w:tcPr>
            <w:tcW w:w="28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8BEEE8">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bl>
    <w:p w14:paraId="27546EB3">
      <w:pPr>
        <w:pStyle w:val="8"/>
        <w:ind w:left="0" w:leftChars="0" w:firstLine="0" w:firstLineChars="0"/>
        <w:jc w:val="center"/>
        <w:rPr>
          <w:rFonts w:ascii="方正小标宋_GBK" w:hAnsi="方正小标宋_GBK" w:eastAsia="方正小标宋_GBK" w:cs="方正小标宋_GBK"/>
          <w:sz w:val="36"/>
          <w:szCs w:val="36"/>
        </w:rPr>
      </w:pPr>
    </w:p>
    <w:p w14:paraId="09F973CA">
      <w:pPr>
        <w:pStyle w:val="8"/>
      </w:pPr>
    </w:p>
    <w:p w14:paraId="0BD55E43">
      <w:pPr>
        <w:rPr>
          <w:rFonts w:ascii="仿宋_GB2312" w:eastAsia="仿宋_GB2312"/>
          <w:sz w:val="32"/>
        </w:rPr>
      </w:pPr>
    </w:p>
    <w:p w14:paraId="2137B6E1">
      <w:pPr>
        <w:ind w:left="1598" w:leftChars="304" w:hanging="960" w:hangingChars="300"/>
        <w:rPr>
          <w:rFonts w:ascii="仿宋_GB2312" w:eastAsia="仿宋_GB2312"/>
          <w:sz w:val="32"/>
        </w:rPr>
      </w:pPr>
    </w:p>
    <w:p w14:paraId="7DE92095">
      <w:pPr>
        <w:pStyle w:val="8"/>
      </w:pPr>
    </w:p>
    <w:p w14:paraId="35837BFE"/>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9BF614B-0955-488E-8ED4-F838EF4500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B16C2B3-EF43-4C29-AFF9-13E4AF81936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49B593E4-2C10-4EBE-A627-77F0E01BBA19}"/>
  </w:font>
  <w:font w:name="方正小标宋简体">
    <w:panose1 w:val="03000509000000000000"/>
    <w:charset w:val="86"/>
    <w:family w:val="script"/>
    <w:pitch w:val="default"/>
    <w:sig w:usb0="00000001" w:usb1="080E0000" w:usb2="00000000" w:usb3="00000000" w:csb0="00040000" w:csb1="00000000"/>
    <w:embedRegular r:id="rId4" w:fontKey="{E1D375CA-28D7-49AB-A97D-45DEFB5206FF}"/>
  </w:font>
  <w:font w:name="华文中宋">
    <w:panose1 w:val="02010600040101010101"/>
    <w:charset w:val="86"/>
    <w:family w:val="auto"/>
    <w:pitch w:val="default"/>
    <w:sig w:usb0="00000287" w:usb1="080F0000" w:usb2="00000000" w:usb3="00000000" w:csb0="0004009F" w:csb1="DFD70000"/>
    <w:embedRegular r:id="rId5" w:fontKey="{920740D8-8270-498E-AED2-69BE12B920E6}"/>
  </w:font>
  <w:font w:name="方正小标宋_GBK">
    <w:panose1 w:val="02000000000000000000"/>
    <w:charset w:val="86"/>
    <w:family w:val="script"/>
    <w:pitch w:val="default"/>
    <w:sig w:usb0="A00002BF" w:usb1="38CF7CFA" w:usb2="00082016" w:usb3="00000000" w:csb0="00040001" w:csb1="00000000"/>
    <w:embedRegular r:id="rId6" w:fontKey="{155A8ACC-FFE4-485A-80A2-39F0C21FC366}"/>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7FC7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F0C802">
                          <w:pPr>
                            <w:pStyle w:val="5"/>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3</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w:t>
                          </w:r>
                        </w:p>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OcVl2PdAQAAvgMAAA4AAAAAAAAA&#10;AQAgAAAAHgEAAGRycy9lMm9Eb2MueG1sUEsFBgAAAAAGAAYAWQEAAG0FAAAAAA==&#10;">
              <v:fill on="f" focussize="0,0"/>
              <v:stroke on="f"/>
              <v:imagedata o:title=""/>
              <o:lock v:ext="edit" aspectratio="f"/>
              <v:textbox inset="0mm,0mm,0mm,0mm" style="mso-fit-shape-to-text:t;">
                <w:txbxContent>
                  <w:p w14:paraId="59F0C802">
                    <w:pPr>
                      <w:pStyle w:val="5"/>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3</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iOGZiNGUwMmZhMGIzODRiYzQ4OWM2ZWQ1M2YzZWYifQ=="/>
  </w:docVars>
  <w:rsids>
    <w:rsidRoot w:val="004C0EE1"/>
    <w:rsid w:val="00223DA7"/>
    <w:rsid w:val="002E08FA"/>
    <w:rsid w:val="002F1D3F"/>
    <w:rsid w:val="004C0EE1"/>
    <w:rsid w:val="00860CBD"/>
    <w:rsid w:val="00B731DD"/>
    <w:rsid w:val="00BF36BE"/>
    <w:rsid w:val="0100390C"/>
    <w:rsid w:val="092C6EEC"/>
    <w:rsid w:val="0B9875DA"/>
    <w:rsid w:val="18180FF9"/>
    <w:rsid w:val="1A6642F8"/>
    <w:rsid w:val="2586137B"/>
    <w:rsid w:val="263C30BA"/>
    <w:rsid w:val="341C27CE"/>
    <w:rsid w:val="374B7718"/>
    <w:rsid w:val="3EC23263"/>
    <w:rsid w:val="428F145C"/>
    <w:rsid w:val="4FA92741"/>
    <w:rsid w:val="58F846B0"/>
    <w:rsid w:val="5C6D4F4B"/>
    <w:rsid w:val="5F3C2ED6"/>
    <w:rsid w:val="62A80E99"/>
    <w:rsid w:val="67D543EF"/>
    <w:rsid w:val="70D92965"/>
    <w:rsid w:val="75E023B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6" w:lineRule="auto"/>
      <w:outlineLvl w:val="0"/>
    </w:pPr>
    <w:rPr>
      <w:b/>
      <w:kern w:val="44"/>
      <w:sz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Body Text Indent"/>
    <w:basedOn w:val="1"/>
    <w:qFormat/>
    <w:uiPriority w:val="0"/>
    <w:pPr>
      <w:spacing w:after="120"/>
      <w:ind w:left="420" w:leftChars="200"/>
    </w:p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4"/>
    <w:next w:val="1"/>
    <w:qFormat/>
    <w:uiPriority w:val="0"/>
    <w:pPr>
      <w:ind w:firstLine="420" w:firstLineChars="200"/>
    </w:pPr>
  </w:style>
  <w:style w:type="character" w:customStyle="1" w:styleId="11">
    <w:name w:val="页眉 Char"/>
    <w:basedOn w:val="10"/>
    <w:link w:val="6"/>
    <w:qFormat/>
    <w:uiPriority w:val="0"/>
    <w:rPr>
      <w:kern w:val="2"/>
      <w:sz w:val="18"/>
      <w:szCs w:val="18"/>
    </w:rPr>
  </w:style>
  <w:style w:type="character" w:customStyle="1" w:styleId="12">
    <w:name w:val="页脚 Char"/>
    <w:basedOn w:val="10"/>
    <w:link w:val="5"/>
    <w:qFormat/>
    <w:uiPriority w:val="0"/>
    <w:rPr>
      <w:kern w:val="2"/>
      <w:sz w:val="18"/>
      <w:szCs w:val="18"/>
    </w:rPr>
  </w:style>
  <w:style w:type="character" w:customStyle="1" w:styleId="13">
    <w:name w:val="font31"/>
    <w:basedOn w:val="10"/>
    <w:qFormat/>
    <w:uiPriority w:val="0"/>
    <w:rPr>
      <w:rFonts w:hint="eastAsia" w:ascii="等线" w:hAnsi="等线" w:eastAsia="等线" w:cs="等线"/>
      <w:b/>
      <w:bCs/>
      <w:color w:val="000000"/>
      <w:sz w:val="24"/>
      <w:szCs w:val="24"/>
      <w:u w:val="none"/>
    </w:rPr>
  </w:style>
  <w:style w:type="character" w:customStyle="1" w:styleId="14">
    <w:name w:val="font11"/>
    <w:basedOn w:val="10"/>
    <w:qFormat/>
    <w:uiPriority w:val="0"/>
    <w:rPr>
      <w:rFonts w:hint="eastAsia" w:ascii="等线" w:hAnsi="等线" w:eastAsia="等线" w:cs="等线"/>
      <w:color w:val="000000"/>
      <w:sz w:val="24"/>
      <w:szCs w:val="24"/>
      <w:u w:val="none"/>
    </w:rPr>
  </w:style>
  <w:style w:type="character" w:customStyle="1" w:styleId="15">
    <w:name w:val="font21"/>
    <w:basedOn w:val="10"/>
    <w:qFormat/>
    <w:uiPriority w:val="0"/>
    <w:rPr>
      <w:rFonts w:hint="eastAsia" w:ascii="仿宋_GB2312" w:eastAsia="仿宋_GB2312" w:cs="仿宋_GB2312"/>
      <w:b/>
      <w:bCs/>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773</Words>
  <Characters>817</Characters>
  <Lines>8</Lines>
  <Paragraphs>2</Paragraphs>
  <TotalTime>0</TotalTime>
  <ScaleCrop>false</ScaleCrop>
  <LinksUpToDate>false</LinksUpToDate>
  <CharactersWithSpaces>817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2023-09-06T04:57:00Z</dcterms:created>
  <dc:creator>cjy</dc:creator>
  <cp:lastModifiedBy>sky</cp:lastModifiedBy>
  <cp:lastPrinted>2026-09-03T08:54:00Z</cp:lastPrinted>
  <dcterms:modified xsi:type="dcterms:W3CDTF">2026-09-07T08:28:46Z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C589A310BC4E480FB8527297B7BF6E20_13</vt:lpwstr>
  </property>
  <property fmtid="{D5CDD505-2E9C-101B-9397-08002B2CF9AE}" pid="4" name="KSOTemplateDocerSaveRecord">
    <vt:lpwstr>eyJoZGlkIjoiNGVjMGZmNzQ1ZGFmYmE0ZTY0NmM1ZjA0ODM1NTBmNGQiLCJ1c2VySWQiOiI0MTM5MjkxMTgifQ==</vt:lpwstr>
  </property>
</Properties>
</file>