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48176">
      <w:pPr>
        <w:tabs>
          <w:tab w:val="left" w:pos="480"/>
        </w:tabs>
        <w:adjustRightInd w:val="0"/>
        <w:snapToGrid w:val="0"/>
        <w:spacing w:line="560" w:lineRule="exact"/>
        <w:jc w:val="left"/>
        <w:rPr>
          <w:rFonts w:ascii="黑体" w:hAnsi="黑体" w:eastAsia="黑体" w:cs="黑体"/>
          <w:szCs w:val="32"/>
        </w:rPr>
      </w:pPr>
      <w:bookmarkStart w:id="0" w:name="_GoBack"/>
      <w:bookmarkEnd w:id="0"/>
      <w:r>
        <w:rPr>
          <w:rFonts w:hint="eastAsia" w:ascii="黑体" w:hAnsi="黑体" w:eastAsia="黑体" w:cs="黑体"/>
          <w:szCs w:val="32"/>
        </w:rPr>
        <w:t>附件2</w:t>
      </w:r>
    </w:p>
    <w:p w14:paraId="7C454927">
      <w:pPr>
        <w:tabs>
          <w:tab w:val="left" w:pos="480"/>
        </w:tabs>
        <w:adjustRightInd w:val="0"/>
        <w:snapToGrid w:val="0"/>
        <w:spacing w:line="560" w:lineRule="exact"/>
        <w:jc w:val="center"/>
        <w:rPr>
          <w:rFonts w:ascii="方正小标宋简体" w:eastAsia="方正小标宋简体"/>
          <w:sz w:val="41"/>
          <w:szCs w:val="41"/>
        </w:rPr>
      </w:pPr>
    </w:p>
    <w:p w14:paraId="578D9C43">
      <w:pPr>
        <w:tabs>
          <w:tab w:val="left" w:pos="480"/>
        </w:tabs>
        <w:adjustRightInd w:val="0"/>
        <w:snapToGrid w:val="0"/>
        <w:spacing w:line="560" w:lineRule="exact"/>
        <w:jc w:val="center"/>
        <w:rPr>
          <w:rFonts w:ascii="方正小标宋简体" w:eastAsia="方正小标宋简体"/>
          <w:sz w:val="44"/>
          <w:szCs w:val="44"/>
        </w:rPr>
      </w:pPr>
      <w:r>
        <w:rPr>
          <w:rFonts w:hint="eastAsia" w:ascii="方正小标宋简体" w:eastAsia="方正小标宋简体"/>
          <w:sz w:val="44"/>
          <w:szCs w:val="44"/>
        </w:rPr>
        <w:t>2027年福建省粮油规模种植主体单产提升</w:t>
      </w:r>
    </w:p>
    <w:p w14:paraId="21770F0A">
      <w:pPr>
        <w:tabs>
          <w:tab w:val="left" w:pos="480"/>
        </w:tabs>
        <w:adjustRightInd w:val="0"/>
        <w:snapToGrid w:val="0"/>
        <w:spacing w:line="560" w:lineRule="exact"/>
        <w:jc w:val="center"/>
        <w:rPr>
          <w:rFonts w:ascii="方正小标宋简体" w:eastAsia="方正小标宋简体"/>
          <w:sz w:val="44"/>
          <w:szCs w:val="44"/>
          <w:lang w:val="en"/>
        </w:rPr>
      </w:pPr>
      <w:r>
        <w:rPr>
          <w:rFonts w:hint="eastAsia" w:ascii="方正小标宋简体" w:eastAsia="方正小标宋简体"/>
          <w:sz w:val="44"/>
          <w:szCs w:val="44"/>
        </w:rPr>
        <w:t>项目申报指南</w:t>
      </w:r>
    </w:p>
    <w:p w14:paraId="79FD60F4">
      <w:pPr>
        <w:adjustRightInd w:val="0"/>
        <w:snapToGrid w:val="0"/>
        <w:spacing w:line="560" w:lineRule="exact"/>
        <w:ind w:firstLine="720"/>
        <w:rPr>
          <w:rFonts w:ascii="仿宋_GB2312"/>
          <w:sz w:val="31"/>
          <w:szCs w:val="31"/>
        </w:rPr>
      </w:pPr>
    </w:p>
    <w:p w14:paraId="2D54EAE9">
      <w:pPr>
        <w:adjustRightInd w:val="0"/>
        <w:snapToGrid w:val="0"/>
        <w:spacing w:line="560" w:lineRule="exact"/>
        <w:ind w:firstLine="640" w:firstLineChars="200"/>
        <w:rPr>
          <w:rFonts w:ascii="黑体" w:eastAsia="黑体"/>
          <w:szCs w:val="32"/>
        </w:rPr>
      </w:pPr>
      <w:r>
        <w:rPr>
          <w:rFonts w:hint="eastAsia" w:ascii="黑体" w:eastAsia="黑体"/>
          <w:szCs w:val="32"/>
        </w:rPr>
        <w:t>一、申报条件</w:t>
      </w:r>
    </w:p>
    <w:p w14:paraId="26A65B44">
      <w:pPr>
        <w:adjustRightInd w:val="0"/>
        <w:snapToGrid w:val="0"/>
        <w:spacing w:line="560" w:lineRule="exact"/>
        <w:ind w:firstLine="640" w:firstLineChars="200"/>
        <w:rPr>
          <w:rFonts w:ascii="仿宋_GB2312" w:hAnsi="仿宋_GB2312" w:cs="仿宋_GB2312"/>
          <w:kern w:val="0"/>
          <w:szCs w:val="32"/>
        </w:rPr>
      </w:pPr>
      <w:r>
        <w:rPr>
          <w:rFonts w:hint="eastAsia" w:ascii="仿宋_GB2312" w:hAnsi="仿宋_GB2312" w:cs="仿宋_GB2312"/>
          <w:szCs w:val="32"/>
        </w:rPr>
        <w:t>（一）项目县须具备承担项目所需的立地条件、</w:t>
      </w:r>
      <w:r>
        <w:rPr>
          <w:rFonts w:hint="eastAsia" w:ascii="仿宋_GB2312" w:hAnsi="仿宋_GB2312" w:cs="仿宋_GB2312"/>
          <w:kern w:val="0"/>
          <w:szCs w:val="32"/>
        </w:rPr>
        <w:t>实施主体、人才队伍及组织协调能力，确保项目任务如期完成。</w:t>
      </w:r>
    </w:p>
    <w:p w14:paraId="7B7A0283">
      <w:pPr>
        <w:adjustRightInd w:val="0"/>
        <w:snapToGrid w:val="0"/>
        <w:spacing w:line="560" w:lineRule="exact"/>
        <w:ind w:firstLine="640" w:firstLineChars="200"/>
        <w:rPr>
          <w:rFonts w:ascii="仿宋_GB2312" w:hAnsi="仿宋_GB2312" w:cs="仿宋_GB2312"/>
          <w:kern w:val="0"/>
          <w:szCs w:val="32"/>
        </w:rPr>
      </w:pPr>
      <w:r>
        <w:rPr>
          <w:rFonts w:hint="eastAsia" w:ascii="仿宋_GB2312" w:hAnsi="仿宋_GB2312" w:cs="仿宋_GB2312"/>
          <w:kern w:val="0"/>
          <w:szCs w:val="32"/>
        </w:rPr>
        <w:t>（二）申报项目的粮油规模种植主体单季种植水稻面积须相对集中连片100亩以上，种植甘薯、马铃薯、玉米、油菜、花生等旱作作物的面积须相对集中连片30亩以上。</w:t>
      </w:r>
      <w:r>
        <w:rPr>
          <w:rFonts w:hint="eastAsia" w:ascii="仿宋_GB2312" w:hAnsi="仿宋_GB2312" w:cs="仿宋_GB2312"/>
          <w:b/>
          <w:kern w:val="0"/>
          <w:szCs w:val="32"/>
        </w:rPr>
        <w:t>不得联户申报</w:t>
      </w:r>
      <w:r>
        <w:rPr>
          <w:rFonts w:hint="eastAsia" w:ascii="仿宋_GB2312" w:hAnsi="仿宋_GB2312" w:cs="仿宋_GB2312"/>
          <w:kern w:val="0"/>
          <w:szCs w:val="32"/>
        </w:rPr>
        <w:t>。</w:t>
      </w:r>
    </w:p>
    <w:p w14:paraId="633052CD">
      <w:pPr>
        <w:adjustRightInd w:val="0"/>
        <w:snapToGrid w:val="0"/>
        <w:spacing w:line="560" w:lineRule="exact"/>
        <w:ind w:firstLine="640" w:firstLineChars="200"/>
        <w:rPr>
          <w:rFonts w:ascii="仿宋_GB2312"/>
          <w:szCs w:val="32"/>
        </w:rPr>
      </w:pPr>
      <w:r>
        <w:rPr>
          <w:rFonts w:hint="eastAsia" w:ascii="仿宋_GB2312" w:hAnsi="仿宋_GB2312" w:cs="仿宋_GB2312"/>
          <w:kern w:val="0"/>
          <w:szCs w:val="32"/>
        </w:rPr>
        <w:t>（三）项目主体</w:t>
      </w:r>
      <w:r>
        <w:rPr>
          <w:rFonts w:hint="eastAsia" w:ascii="仿宋_GB2312"/>
          <w:szCs w:val="32"/>
        </w:rPr>
        <w:t>可同时承担稳定粮食生产、油菜试验示范等其他粮油生产项目，但项目实施内容、资金补助范围、建设地点（具体到示范片）等不得重复。</w:t>
      </w:r>
    </w:p>
    <w:p w14:paraId="23253373">
      <w:pPr>
        <w:adjustRightInd w:val="0"/>
        <w:snapToGrid w:val="0"/>
        <w:spacing w:line="560" w:lineRule="exact"/>
        <w:ind w:firstLine="640" w:firstLineChars="200"/>
        <w:rPr>
          <w:rFonts w:ascii="仿宋_GB2312"/>
          <w:szCs w:val="32"/>
        </w:rPr>
      </w:pPr>
      <w:r>
        <w:rPr>
          <w:rFonts w:hint="eastAsia" w:ascii="仿宋_GB2312" w:hAnsi="仿宋_GB2312" w:cs="仿宋_GB2312"/>
          <w:kern w:val="0"/>
          <w:szCs w:val="32"/>
        </w:rPr>
        <w:t>（四）申报</w:t>
      </w:r>
      <w:r>
        <w:rPr>
          <w:rFonts w:hint="eastAsia" w:ascii="仿宋_GB2312"/>
          <w:szCs w:val="32"/>
        </w:rPr>
        <w:t>粮油规模种植主体单产提升项目的主体不得与承担部级绿色高产高效行动项目重复。</w:t>
      </w:r>
    </w:p>
    <w:p w14:paraId="7073725C">
      <w:pPr>
        <w:adjustRightInd w:val="0"/>
        <w:snapToGrid w:val="0"/>
        <w:spacing w:line="600" w:lineRule="exact"/>
        <w:ind w:firstLine="640" w:firstLineChars="200"/>
        <w:rPr>
          <w:rFonts w:ascii="仿宋_GB2312" w:hAnsi="仿宋_GB2312" w:cs="仿宋_GB2312"/>
          <w:szCs w:val="32"/>
        </w:rPr>
      </w:pPr>
      <w:r>
        <w:rPr>
          <w:rFonts w:hint="eastAsia" w:ascii="仿宋_GB2312" w:hAnsi="仿宋_GB2312" w:cs="仿宋_GB2312"/>
          <w:szCs w:val="32"/>
        </w:rPr>
        <w:t>（五）申报主体为种粮大户、家庭农场、农民专业合作社等新型农业经营主体。每个项目县申报主体数量不超过20家。</w:t>
      </w:r>
    </w:p>
    <w:p w14:paraId="49B4CD2A">
      <w:pPr>
        <w:adjustRightInd w:val="0"/>
        <w:snapToGrid w:val="0"/>
        <w:spacing w:line="560" w:lineRule="exact"/>
        <w:ind w:firstLine="640" w:firstLineChars="200"/>
        <w:rPr>
          <w:rFonts w:ascii="黑体" w:eastAsia="黑体"/>
          <w:szCs w:val="32"/>
        </w:rPr>
      </w:pPr>
      <w:r>
        <w:rPr>
          <w:rFonts w:hint="eastAsia" w:ascii="黑体" w:eastAsia="黑体"/>
          <w:szCs w:val="32"/>
        </w:rPr>
        <w:t>二、年度目标</w:t>
      </w:r>
    </w:p>
    <w:p w14:paraId="66A90B22">
      <w:pPr>
        <w:adjustRightInd w:val="0"/>
        <w:snapToGrid w:val="0"/>
        <w:spacing w:line="560" w:lineRule="exact"/>
        <w:ind w:firstLine="640" w:firstLineChars="200"/>
        <w:rPr>
          <w:rFonts w:ascii="仿宋_GB2312"/>
          <w:szCs w:val="32"/>
        </w:rPr>
      </w:pPr>
      <w:r>
        <w:rPr>
          <w:rFonts w:hint="eastAsia" w:ascii="仿宋_GB2312"/>
          <w:szCs w:val="32"/>
        </w:rPr>
        <w:t>对</w:t>
      </w:r>
      <w:r>
        <w:rPr>
          <w:rFonts w:hint="eastAsia" w:ascii="仿宋_GB2312" w:cs="黑体"/>
          <w:kern w:val="0"/>
          <w:szCs w:val="32"/>
        </w:rPr>
        <w:t>承担项目的</w:t>
      </w:r>
      <w:r>
        <w:rPr>
          <w:rFonts w:hint="eastAsia" w:ascii="仿宋_GB2312"/>
          <w:szCs w:val="32"/>
        </w:rPr>
        <w:t>粮油规模种植主体单产水平达到目标要求，给予分作物补助。原则上，水稻每亩补助金额不超过3</w:t>
      </w:r>
      <w:r>
        <w:rPr>
          <w:rFonts w:ascii="仿宋_GB2312"/>
          <w:szCs w:val="32"/>
        </w:rPr>
        <w:t>0</w:t>
      </w:r>
      <w:r>
        <w:rPr>
          <w:rFonts w:hint="eastAsia" w:ascii="仿宋_GB2312"/>
          <w:szCs w:val="32"/>
        </w:rPr>
        <w:t>0元（含），薯类每亩补助金额不超过</w:t>
      </w:r>
      <w:r>
        <w:rPr>
          <w:rFonts w:ascii="仿宋_GB2312"/>
          <w:szCs w:val="32"/>
        </w:rPr>
        <w:t>25</w:t>
      </w:r>
      <w:r>
        <w:rPr>
          <w:rFonts w:hint="eastAsia" w:ascii="仿宋_GB2312"/>
          <w:szCs w:val="32"/>
        </w:rPr>
        <w:t>0元（含），玉米每亩补助金额不超过</w:t>
      </w:r>
      <w:r>
        <w:rPr>
          <w:rFonts w:ascii="仿宋_GB2312"/>
          <w:szCs w:val="32"/>
        </w:rPr>
        <w:t>20</w:t>
      </w:r>
      <w:r>
        <w:rPr>
          <w:rFonts w:hint="eastAsia" w:ascii="仿宋_GB2312"/>
          <w:szCs w:val="32"/>
        </w:rPr>
        <w:t>0元（含），花生每亩补助金额不超过</w:t>
      </w:r>
      <w:r>
        <w:rPr>
          <w:rFonts w:ascii="仿宋_GB2312"/>
          <w:szCs w:val="32"/>
        </w:rPr>
        <w:t>15</w:t>
      </w:r>
      <w:r>
        <w:rPr>
          <w:rFonts w:hint="eastAsia" w:ascii="仿宋_GB2312"/>
          <w:szCs w:val="32"/>
        </w:rPr>
        <w:t>0元（含）。产量要求：</w:t>
      </w:r>
    </w:p>
    <w:p w14:paraId="5CDC5861">
      <w:pPr>
        <w:adjustRightInd w:val="0"/>
        <w:snapToGrid w:val="0"/>
        <w:spacing w:line="560" w:lineRule="exact"/>
        <w:ind w:firstLine="640" w:firstLineChars="200"/>
        <w:rPr>
          <w:rFonts w:ascii="仿宋_GB2312"/>
          <w:szCs w:val="32"/>
        </w:rPr>
      </w:pPr>
      <w:r>
        <w:rPr>
          <w:rFonts w:hint="eastAsia" w:ascii="仿宋_GB2312"/>
          <w:b/>
          <w:szCs w:val="32"/>
        </w:rPr>
        <w:t>水稻。</w:t>
      </w:r>
      <w:r>
        <w:rPr>
          <w:rFonts w:hint="eastAsia" w:ascii="仿宋_GB2312"/>
          <w:szCs w:val="32"/>
        </w:rPr>
        <w:t>早稻亩产500公斤以上（含）；中稻和一季晚稻亩产600公斤以上（含）；双季晚稻亩产520公斤以上（含）；再生稻头季亩产600公斤以上（含）、再生季亩产300公斤以上；烟后稻亩产650公斤以上（含）；</w:t>
      </w:r>
    </w:p>
    <w:p w14:paraId="72754266">
      <w:pPr>
        <w:adjustRightInd w:val="0"/>
        <w:snapToGrid w:val="0"/>
        <w:spacing w:line="560" w:lineRule="exact"/>
        <w:ind w:firstLine="640" w:firstLineChars="200"/>
        <w:rPr>
          <w:rFonts w:ascii="仿宋_GB2312" w:hAnsi="仿宋_GB2312" w:cs="仿宋_GB2312"/>
          <w:szCs w:val="32"/>
        </w:rPr>
      </w:pPr>
      <w:r>
        <w:rPr>
          <w:rFonts w:hint="eastAsia" w:ascii="仿宋_GB2312"/>
          <w:b/>
          <w:szCs w:val="32"/>
        </w:rPr>
        <w:t>薯类。</w:t>
      </w:r>
      <w:r>
        <w:rPr>
          <w:rFonts w:hint="eastAsia" w:ascii="仿宋_GB2312"/>
          <w:szCs w:val="32"/>
        </w:rPr>
        <w:t>甘薯</w:t>
      </w:r>
      <w:r>
        <w:rPr>
          <w:rFonts w:hint="eastAsia" w:ascii="仿宋_GB2312" w:hAnsi="仿宋_GB2312" w:cs="仿宋_GB2312"/>
          <w:szCs w:val="32"/>
        </w:rPr>
        <w:t>折干</w:t>
      </w:r>
      <w:r>
        <w:rPr>
          <w:rFonts w:hint="eastAsia" w:ascii="仿宋_GB2312"/>
          <w:szCs w:val="32"/>
        </w:rPr>
        <w:t>亩产4</w:t>
      </w:r>
      <w:r>
        <w:rPr>
          <w:rFonts w:ascii="仿宋_GB2312"/>
          <w:szCs w:val="32"/>
        </w:rPr>
        <w:t>40</w:t>
      </w:r>
      <w:r>
        <w:rPr>
          <w:rFonts w:hint="eastAsia" w:ascii="仿宋_GB2312"/>
          <w:szCs w:val="32"/>
        </w:rPr>
        <w:t>公斤以上（含），</w:t>
      </w:r>
      <w:r>
        <w:rPr>
          <w:rFonts w:hint="eastAsia" w:ascii="仿宋_GB2312" w:hAnsi="仿宋_GB2312" w:cs="仿宋_GB2312"/>
          <w:szCs w:val="32"/>
        </w:rPr>
        <w:t>马铃薯折干</w:t>
      </w:r>
      <w:r>
        <w:rPr>
          <w:rFonts w:hint="eastAsia" w:ascii="仿宋_GB2312"/>
          <w:szCs w:val="32"/>
        </w:rPr>
        <w:t>亩产</w:t>
      </w:r>
      <w:r>
        <w:rPr>
          <w:rFonts w:ascii="仿宋_GB2312"/>
          <w:szCs w:val="32"/>
        </w:rPr>
        <w:t>320</w:t>
      </w:r>
      <w:r>
        <w:rPr>
          <w:rFonts w:hint="eastAsia" w:ascii="仿宋_GB2312"/>
          <w:szCs w:val="32"/>
        </w:rPr>
        <w:t>公斤以上（含）</w:t>
      </w:r>
      <w:r>
        <w:rPr>
          <w:rFonts w:hint="eastAsia" w:ascii="仿宋_GB2312" w:hAnsi="仿宋_GB2312" w:cs="仿宋_GB2312"/>
          <w:szCs w:val="32"/>
        </w:rPr>
        <w:t>；</w:t>
      </w:r>
    </w:p>
    <w:p w14:paraId="3C505142">
      <w:pPr>
        <w:adjustRightInd w:val="0"/>
        <w:snapToGrid w:val="0"/>
        <w:spacing w:line="560" w:lineRule="exact"/>
        <w:ind w:firstLine="640" w:firstLineChars="200"/>
        <w:rPr>
          <w:rFonts w:ascii="仿宋_GB2312" w:hAnsi="仿宋_GB2312" w:cs="仿宋_GB2312"/>
          <w:szCs w:val="32"/>
        </w:rPr>
      </w:pPr>
      <w:r>
        <w:rPr>
          <w:rFonts w:hint="eastAsia" w:ascii="仿宋_GB2312" w:hAnsi="仿宋_GB2312" w:cs="仿宋_GB2312"/>
          <w:b/>
          <w:szCs w:val="32"/>
        </w:rPr>
        <w:t>玉米。</w:t>
      </w:r>
      <w:r>
        <w:rPr>
          <w:rFonts w:hint="eastAsia" w:ascii="仿宋_GB2312" w:hAnsi="仿宋_GB2312" w:cs="仿宋_GB2312"/>
          <w:szCs w:val="32"/>
        </w:rPr>
        <w:t>鲜食玉米亩产1</w:t>
      </w:r>
      <w:r>
        <w:rPr>
          <w:rFonts w:ascii="仿宋_GB2312" w:hAnsi="仿宋_GB2312" w:cs="仿宋_GB2312"/>
          <w:szCs w:val="32"/>
        </w:rPr>
        <w:t>2</w:t>
      </w:r>
      <w:r>
        <w:rPr>
          <w:rFonts w:hint="eastAsia" w:ascii="仿宋_GB2312" w:hAnsi="仿宋_GB2312" w:cs="仿宋_GB2312"/>
          <w:szCs w:val="32"/>
        </w:rPr>
        <w:t>5</w:t>
      </w:r>
      <w:r>
        <w:rPr>
          <w:rFonts w:ascii="仿宋_GB2312" w:hAnsi="仿宋_GB2312" w:cs="仿宋_GB2312"/>
          <w:szCs w:val="32"/>
        </w:rPr>
        <w:t>0</w:t>
      </w:r>
      <w:r>
        <w:rPr>
          <w:rFonts w:hint="eastAsia" w:ascii="仿宋_GB2312" w:hAnsi="仿宋_GB2312" w:cs="仿宋_GB2312"/>
          <w:szCs w:val="32"/>
        </w:rPr>
        <w:t>公斤以上（含）。</w:t>
      </w:r>
    </w:p>
    <w:p w14:paraId="3ADA0144">
      <w:pPr>
        <w:adjustRightInd w:val="0"/>
        <w:snapToGrid w:val="0"/>
        <w:spacing w:line="560" w:lineRule="exact"/>
        <w:ind w:firstLine="640" w:firstLineChars="200"/>
        <w:rPr>
          <w:rFonts w:ascii="仿宋_GB2312" w:hAnsi="仿宋_GB2312" w:cs="仿宋_GB2312"/>
          <w:szCs w:val="32"/>
        </w:rPr>
      </w:pPr>
      <w:r>
        <w:rPr>
          <w:rFonts w:hint="eastAsia" w:ascii="仿宋_GB2312" w:hAnsi="仿宋_GB2312" w:cs="仿宋_GB2312"/>
          <w:b/>
          <w:szCs w:val="32"/>
        </w:rPr>
        <w:t>花生。</w:t>
      </w:r>
      <w:r>
        <w:rPr>
          <w:rFonts w:hint="eastAsia" w:ascii="仿宋_GB2312" w:hAnsi="仿宋_GB2312" w:cs="仿宋_GB2312"/>
          <w:szCs w:val="32"/>
        </w:rPr>
        <w:t>干果亩产</w:t>
      </w:r>
      <w:r>
        <w:rPr>
          <w:rFonts w:ascii="仿宋_GB2312" w:hAnsi="仿宋_GB2312" w:cs="仿宋_GB2312"/>
          <w:szCs w:val="32"/>
        </w:rPr>
        <w:t>250</w:t>
      </w:r>
      <w:r>
        <w:rPr>
          <w:rFonts w:hint="eastAsia" w:ascii="仿宋_GB2312" w:hAnsi="仿宋_GB2312" w:cs="仿宋_GB2312"/>
          <w:szCs w:val="32"/>
        </w:rPr>
        <w:t>公斤以上（含）。</w:t>
      </w:r>
    </w:p>
    <w:p w14:paraId="4E5C6F5D">
      <w:pPr>
        <w:adjustRightInd w:val="0"/>
        <w:snapToGrid w:val="0"/>
        <w:spacing w:line="560" w:lineRule="exact"/>
        <w:ind w:firstLine="640" w:firstLineChars="200"/>
        <w:rPr>
          <w:rFonts w:ascii="黑体" w:eastAsia="黑体"/>
          <w:szCs w:val="32"/>
        </w:rPr>
      </w:pPr>
      <w:r>
        <w:rPr>
          <w:rFonts w:hint="eastAsia" w:ascii="仿宋_GB2312" w:hAnsi="仿宋_GB2312" w:cs="仿宋_GB2312"/>
          <w:b/>
          <w:bCs/>
          <w:szCs w:val="32"/>
        </w:rPr>
        <w:t>油菜。</w:t>
      </w:r>
      <w:r>
        <w:rPr>
          <w:rFonts w:hint="eastAsia" w:ascii="仿宋_GB2312" w:hAnsi="仿宋_GB2312" w:cs="仿宋_GB2312"/>
          <w:szCs w:val="32"/>
        </w:rPr>
        <w:t>油菜籽（干）亩产115公斤以上（含）。</w:t>
      </w:r>
    </w:p>
    <w:p w14:paraId="639014DE">
      <w:pPr>
        <w:adjustRightInd w:val="0"/>
        <w:snapToGrid w:val="0"/>
        <w:spacing w:line="560" w:lineRule="exact"/>
        <w:ind w:firstLine="640" w:firstLineChars="200"/>
        <w:rPr>
          <w:rFonts w:ascii="黑体" w:eastAsia="黑体"/>
          <w:szCs w:val="32"/>
        </w:rPr>
      </w:pPr>
      <w:r>
        <w:rPr>
          <w:rFonts w:hint="eastAsia" w:ascii="黑体" w:eastAsia="黑体"/>
          <w:szCs w:val="32"/>
        </w:rPr>
        <w:t>三、建设内容</w:t>
      </w:r>
    </w:p>
    <w:p w14:paraId="09F7150A">
      <w:pPr>
        <w:adjustRightInd w:val="0"/>
        <w:snapToGrid w:val="0"/>
        <w:spacing w:line="560" w:lineRule="exact"/>
        <w:ind w:firstLine="640" w:firstLineChars="200"/>
        <w:rPr>
          <w:rFonts w:ascii="仿宋_GB2312"/>
          <w:szCs w:val="32"/>
        </w:rPr>
      </w:pPr>
      <w:r>
        <w:rPr>
          <w:rFonts w:hint="eastAsia" w:ascii="仿宋_GB2312" w:hAnsi="仿宋_GB2312" w:cs="仿宋_GB2312"/>
          <w:szCs w:val="32"/>
        </w:rPr>
        <w:t>在示范片</w:t>
      </w:r>
      <w:r>
        <w:rPr>
          <w:rFonts w:hint="eastAsia" w:ascii="仿宋_GB2312"/>
          <w:szCs w:val="32"/>
        </w:rPr>
        <w:t>集成应用新品种、新农药、新机具、新肥料、新技术等粮油“五新”。</w:t>
      </w:r>
      <w:r>
        <w:rPr>
          <w:rFonts w:hint="eastAsia" w:ascii="仿宋_GB2312"/>
          <w:b/>
          <w:szCs w:val="32"/>
        </w:rPr>
        <w:t>水稻上，</w:t>
      </w:r>
      <w:r>
        <w:rPr>
          <w:rFonts w:hint="eastAsia" w:ascii="仿宋_GB2312"/>
          <w:szCs w:val="32"/>
        </w:rPr>
        <w:t>推广精量播种、精准条播、叠盘暗出苗、工厂化机插育秧、合理密植、全程机械化、“一喷多促”等技术。</w:t>
      </w:r>
      <w:r>
        <w:rPr>
          <w:rFonts w:hint="eastAsia" w:ascii="仿宋_GB2312"/>
          <w:b/>
          <w:szCs w:val="32"/>
        </w:rPr>
        <w:t>薯类上，</w:t>
      </w:r>
      <w:r>
        <w:rPr>
          <w:rFonts w:hint="eastAsia" w:ascii="仿宋_GB2312"/>
          <w:szCs w:val="32"/>
        </w:rPr>
        <w:t>选用优质脱毒种薯（苗），推广水旱轮作、增施有机肥、轻简化栽培、稻草或地膜覆盖等技术。</w:t>
      </w:r>
      <w:r>
        <w:rPr>
          <w:rFonts w:hint="eastAsia" w:ascii="仿宋_GB2312"/>
          <w:b/>
          <w:szCs w:val="32"/>
        </w:rPr>
        <w:t>玉米上，</w:t>
      </w:r>
      <w:r>
        <w:rPr>
          <w:rFonts w:hint="eastAsia" w:ascii="仿宋_GB2312"/>
          <w:szCs w:val="32"/>
        </w:rPr>
        <w:t>选用高产、优质、抗病、抗倒品种，推广科学施肥、水肥一体化等配套高产栽培技术。</w:t>
      </w:r>
      <w:r>
        <w:rPr>
          <w:rFonts w:hint="eastAsia" w:ascii="仿宋_GB2312"/>
          <w:b/>
          <w:szCs w:val="32"/>
        </w:rPr>
        <w:t>花生上，</w:t>
      </w:r>
      <w:r>
        <w:rPr>
          <w:rFonts w:hint="eastAsia" w:ascii="仿宋_GB2312"/>
          <w:szCs w:val="32"/>
        </w:rPr>
        <w:t>推广单粒精播、起垄栽培、地膜覆盖、水肥一体化、机械收获、绿色防控等技术。</w:t>
      </w:r>
      <w:r>
        <w:rPr>
          <w:rFonts w:hint="eastAsia" w:ascii="仿宋_GB2312"/>
          <w:b/>
          <w:bCs/>
          <w:szCs w:val="32"/>
        </w:rPr>
        <w:t>油菜上，</w:t>
      </w:r>
      <w:r>
        <w:rPr>
          <w:rFonts w:hint="eastAsia" w:ascii="仿宋_GB2312"/>
          <w:szCs w:val="32"/>
        </w:rPr>
        <w:t>推广短生育期优良品种、机械直播、育苗移栽、合理密植、增施硼肥等技术。</w:t>
      </w:r>
    </w:p>
    <w:p w14:paraId="74D1F0BB">
      <w:pPr>
        <w:adjustRightInd w:val="0"/>
        <w:snapToGrid w:val="0"/>
        <w:spacing w:line="560" w:lineRule="exact"/>
        <w:ind w:firstLine="640" w:firstLineChars="200"/>
        <w:rPr>
          <w:rFonts w:ascii="黑体" w:eastAsia="黑体"/>
          <w:szCs w:val="32"/>
        </w:rPr>
      </w:pPr>
      <w:r>
        <w:rPr>
          <w:rFonts w:hint="eastAsia" w:ascii="黑体" w:eastAsia="黑体"/>
          <w:szCs w:val="32"/>
        </w:rPr>
        <w:t>四、申报要求</w:t>
      </w:r>
    </w:p>
    <w:p w14:paraId="182B7E25">
      <w:pPr>
        <w:adjustRightInd w:val="0"/>
        <w:snapToGrid w:val="0"/>
        <w:spacing w:line="560" w:lineRule="exact"/>
        <w:ind w:firstLine="659" w:firstLineChars="206"/>
        <w:rPr>
          <w:rFonts w:ascii="仿宋_GB2312"/>
          <w:kern w:val="0"/>
          <w:szCs w:val="32"/>
        </w:rPr>
      </w:pPr>
      <w:r>
        <w:rPr>
          <w:rFonts w:hint="eastAsia" w:ascii="仿宋_GB2312"/>
          <w:kern w:val="0"/>
          <w:szCs w:val="32"/>
        </w:rPr>
        <w:t>项目县要根据当地实际情况，按照“大面积单产提升”的要求，组织申报项目。可优先扶持种植水稻相对集中连片面积500亩以上（旱作作物相对集中连片30亩及以上）的主体。</w:t>
      </w:r>
    </w:p>
    <w:p w14:paraId="71D53769">
      <w:pPr>
        <w:adjustRightInd w:val="0"/>
        <w:snapToGrid w:val="0"/>
        <w:spacing w:line="560" w:lineRule="exact"/>
        <w:ind w:firstLine="659" w:firstLineChars="206"/>
        <w:rPr>
          <w:rFonts w:ascii="仿宋_GB2312"/>
          <w:kern w:val="0"/>
          <w:szCs w:val="32"/>
        </w:rPr>
      </w:pPr>
      <w:r>
        <w:rPr>
          <w:rFonts w:hint="eastAsia" w:ascii="仿宋_GB2312"/>
          <w:kern w:val="0"/>
          <w:szCs w:val="32"/>
        </w:rPr>
        <w:t>项目县可将项目总资金不超过5%的比例用于设立高产奖励，对县域内单产水平居于前列的种植主体，每个作物按不多于5名的数量给予1—</w:t>
      </w:r>
      <w:r>
        <w:rPr>
          <w:rFonts w:ascii="仿宋_GB2312"/>
          <w:kern w:val="0"/>
          <w:szCs w:val="32"/>
        </w:rPr>
        <w:t>5</w:t>
      </w:r>
      <w:r>
        <w:rPr>
          <w:rFonts w:hint="eastAsia" w:ascii="仿宋_GB2312"/>
          <w:kern w:val="0"/>
          <w:szCs w:val="32"/>
        </w:rPr>
        <w:t>万元的奖励。</w:t>
      </w:r>
    </w:p>
    <w:p w14:paraId="575C7AB0">
      <w:pPr>
        <w:adjustRightInd w:val="0"/>
        <w:snapToGrid w:val="0"/>
        <w:spacing w:line="560" w:lineRule="exact"/>
        <w:ind w:firstLine="659" w:firstLineChars="206"/>
        <w:rPr>
          <w:rFonts w:ascii="仿宋_GB2312"/>
          <w:kern w:val="0"/>
          <w:szCs w:val="32"/>
        </w:rPr>
      </w:pPr>
      <w:r>
        <w:rPr>
          <w:rFonts w:hint="eastAsia" w:ascii="仿宋_GB2312"/>
          <w:kern w:val="0"/>
          <w:szCs w:val="32"/>
        </w:rPr>
        <w:t>当年度对单个主体的示范片财政补助金额合计不超过80万元，高产奖励财政补助金额合计不超过10万元。</w:t>
      </w:r>
    </w:p>
    <w:p w14:paraId="0835FEC0">
      <w:pPr>
        <w:adjustRightInd w:val="0"/>
        <w:snapToGrid w:val="0"/>
        <w:spacing w:line="560" w:lineRule="exact"/>
        <w:ind w:firstLine="659" w:firstLineChars="206"/>
        <w:rPr>
          <w:rFonts w:ascii="仿宋_GB2312"/>
          <w:szCs w:val="32"/>
        </w:rPr>
      </w:pPr>
      <w:r>
        <w:rPr>
          <w:rFonts w:hint="eastAsia" w:ascii="仿宋_GB2312"/>
          <w:szCs w:val="32"/>
        </w:rPr>
        <w:t>各申报项目的经营主体及乡镇农技站</w:t>
      </w:r>
      <w:r>
        <w:rPr>
          <w:rFonts w:hint="eastAsia" w:ascii="仿宋_GB2312"/>
          <w:kern w:val="0"/>
          <w:szCs w:val="32"/>
        </w:rPr>
        <w:t>按照要求提交项目申报有关材料（附件2-1、附件2-2）</w:t>
      </w:r>
      <w:r>
        <w:rPr>
          <w:rFonts w:hint="eastAsia" w:ascii="仿宋_GB2312"/>
          <w:szCs w:val="32"/>
        </w:rPr>
        <w:t>，于10月30日前上报项目所在乡镇农技站；各乡镇农技站汇总后于11月2日前上报县农技站</w:t>
      </w:r>
      <w:r>
        <w:rPr>
          <w:rFonts w:hint="eastAsia" w:ascii="仿宋_GB2312"/>
          <w:kern w:val="0"/>
          <w:szCs w:val="32"/>
        </w:rPr>
        <w:t>，名单及具体实施内容按项目管理要求确定</w:t>
      </w:r>
      <w:r>
        <w:rPr>
          <w:rFonts w:hint="eastAsia" w:ascii="仿宋_GB2312" w:cs="仿宋"/>
          <w:szCs w:val="32"/>
        </w:rPr>
        <w:t>。</w:t>
      </w:r>
    </w:p>
    <w:p w14:paraId="62A7ACE2">
      <w:pPr>
        <w:spacing w:line="560" w:lineRule="exact"/>
        <w:ind w:firstLine="640" w:firstLineChars="200"/>
        <w:rPr>
          <w:rFonts w:ascii="仿宋_GB2312" w:hAnsi="仿宋_GB2312" w:cs="仿宋_GB2312"/>
          <w:szCs w:val="32"/>
        </w:rPr>
      </w:pPr>
      <w:r>
        <w:rPr>
          <w:rFonts w:hint="eastAsia" w:ascii="黑体" w:hAnsi="黑体" w:eastAsia="黑体" w:cs="黑体"/>
          <w:szCs w:val="32"/>
        </w:rPr>
        <w:t>五、联系方式</w:t>
      </w:r>
    </w:p>
    <w:p w14:paraId="600DEB32">
      <w:pPr>
        <w:spacing w:line="600" w:lineRule="exact"/>
        <w:ind w:firstLine="640" w:firstLineChars="200"/>
        <w:rPr>
          <w:rFonts w:ascii="仿宋_GB2312" w:hAnsi="仿宋_GB2312" w:cs="仿宋_GB2312"/>
          <w:szCs w:val="32"/>
        </w:rPr>
      </w:pPr>
      <w:r>
        <w:rPr>
          <w:rFonts w:hint="eastAsia" w:ascii="仿宋_GB2312" w:hAnsi="仿宋_GB2312" w:cs="仿宋_GB2312"/>
          <w:szCs w:val="32"/>
        </w:rPr>
        <w:t>联系人：</w:t>
      </w:r>
      <w:r>
        <w:fldChar w:fldCharType="begin"/>
      </w:r>
      <w:r>
        <w:instrText xml:space="preserve"> HYPERLINK "mailto:于学领，0591-87817804,3288106103@qq.com。" </w:instrText>
      </w:r>
      <w:r>
        <w:fldChar w:fldCharType="separate"/>
      </w:r>
      <w:r>
        <w:rPr>
          <w:rFonts w:hint="eastAsia" w:ascii="仿宋_GB2312" w:hAnsi="仿宋_GB2312" w:cs="仿宋_GB2312"/>
          <w:szCs w:val="32"/>
        </w:rPr>
        <w:t>张朝铖，联系电话：</w:t>
      </w:r>
      <w:r>
        <w:rPr>
          <w:rStyle w:val="10"/>
          <w:rFonts w:hint="eastAsia" w:ascii="仿宋_GB2312" w:hAnsi="仿宋_GB2312" w:cs="仿宋_GB2312"/>
          <w:color w:val="auto"/>
          <w:szCs w:val="32"/>
          <w:u w:val="none"/>
        </w:rPr>
        <w:t>0598-8753883</w:t>
      </w:r>
      <w:r>
        <w:rPr>
          <w:rStyle w:val="10"/>
          <w:rFonts w:hint="eastAsia" w:ascii="仿宋_GB2312" w:hAnsi="仿宋_GB2312" w:cs="仿宋_GB2312"/>
          <w:color w:val="auto"/>
          <w:szCs w:val="32"/>
          <w:u w:val="none"/>
        </w:rPr>
        <w:fldChar w:fldCharType="end"/>
      </w:r>
    </w:p>
    <w:p w14:paraId="78E2ACE3">
      <w:pPr>
        <w:spacing w:line="560" w:lineRule="exact"/>
        <w:ind w:firstLine="640" w:firstLineChars="200"/>
        <w:rPr>
          <w:rFonts w:ascii="仿宋_GB2312"/>
          <w:kern w:val="0"/>
          <w:szCs w:val="32"/>
        </w:rPr>
      </w:pPr>
    </w:p>
    <w:p w14:paraId="3734547F">
      <w:pPr>
        <w:adjustRightInd w:val="0"/>
        <w:snapToGrid w:val="0"/>
        <w:spacing w:line="560" w:lineRule="exact"/>
        <w:ind w:firstLine="1619" w:firstLineChars="506"/>
        <w:rPr>
          <w:rFonts w:ascii="仿宋_GB2312"/>
          <w:kern w:val="0"/>
          <w:szCs w:val="32"/>
        </w:rPr>
      </w:pPr>
    </w:p>
    <w:sectPr>
      <w:footerReference r:id="rId3" w:type="default"/>
      <w:pgSz w:w="11907" w:h="16840"/>
      <w:pgMar w:top="1984" w:right="1361" w:bottom="1417" w:left="1531" w:header="851" w:footer="1020" w:gutter="0"/>
      <w:pgNumType w:start="28"/>
      <w:cols w:space="720" w:num="1"/>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DC0BE">
    <w:pPr>
      <w:pStyle w:val="3"/>
      <w:ind w:right="360" w:firstLine="360"/>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7A6BB">
                          <w:pPr>
                            <w:pStyle w:val="3"/>
                            <w:rPr>
                              <w:rFonts w:ascii="宋体" w:hAnsi="宋体" w:cs="宋体"/>
                              <w:sz w:val="28"/>
                              <w:szCs w:val="28"/>
                            </w:rPr>
                          </w:pPr>
                          <w:r>
                            <w:rPr>
                              <w:rFonts w:hint="eastAsia" w:ascii="宋体" w:hAnsi="宋体" w:cs="宋体"/>
                              <w:sz w:val="28"/>
                              <w:szCs w:val="28"/>
                            </w:rPr>
                            <w:t xml:space="preserve">— </w:t>
                          </w:r>
                          <w:r>
                            <w:rPr>
                              <w:rFonts w:ascii="宋体" w:hAnsi="宋体" w:cs="宋体"/>
                              <w:sz w:val="28"/>
                              <w:szCs w:val="28"/>
                            </w:rPr>
                            <w:fldChar w:fldCharType="begin"/>
                          </w:r>
                          <w:r>
                            <w:rPr>
                              <w:rFonts w:hint="eastAsia"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30</w:t>
                          </w:r>
                          <w:r>
                            <w:rPr>
                              <w:rFonts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A27A6BB">
                    <w:pPr>
                      <w:pStyle w:val="3"/>
                      <w:rPr>
                        <w:rFonts w:ascii="宋体" w:hAnsi="宋体" w:cs="宋体"/>
                        <w:sz w:val="28"/>
                        <w:szCs w:val="28"/>
                      </w:rPr>
                    </w:pPr>
                    <w:r>
                      <w:rPr>
                        <w:rFonts w:hint="eastAsia" w:ascii="宋体" w:hAnsi="宋体" w:cs="宋体"/>
                        <w:sz w:val="28"/>
                        <w:szCs w:val="28"/>
                      </w:rPr>
                      <w:t xml:space="preserve">— </w:t>
                    </w:r>
                    <w:r>
                      <w:rPr>
                        <w:rFonts w:ascii="宋体" w:hAnsi="宋体" w:cs="宋体"/>
                        <w:sz w:val="28"/>
                        <w:szCs w:val="28"/>
                      </w:rPr>
                      <w:fldChar w:fldCharType="begin"/>
                    </w:r>
                    <w:r>
                      <w:rPr>
                        <w:rFonts w:hint="eastAsia"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30</w:t>
                    </w:r>
                    <w:r>
                      <w:rPr>
                        <w:rFonts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lYzZkMTE4ZTQyNDM3YmNiNWJhMzNjMjRiMDdjMzMifQ=="/>
  </w:docVars>
  <w:rsids>
    <w:rsidRoot w:val="005F1BA2"/>
    <w:rsid w:val="000A4089"/>
    <w:rsid w:val="0011151A"/>
    <w:rsid w:val="001B7ABA"/>
    <w:rsid w:val="001C687B"/>
    <w:rsid w:val="00290CF7"/>
    <w:rsid w:val="00375E7F"/>
    <w:rsid w:val="004274A6"/>
    <w:rsid w:val="005F1BA2"/>
    <w:rsid w:val="00690A8E"/>
    <w:rsid w:val="0084748F"/>
    <w:rsid w:val="00885884"/>
    <w:rsid w:val="00A40FB7"/>
    <w:rsid w:val="00A826A1"/>
    <w:rsid w:val="00B643E4"/>
    <w:rsid w:val="00B838A6"/>
    <w:rsid w:val="00D81E32"/>
    <w:rsid w:val="00DF3779"/>
    <w:rsid w:val="00F01796"/>
    <w:rsid w:val="00F84A4A"/>
    <w:rsid w:val="00FE12DE"/>
    <w:rsid w:val="0FEE9ECA"/>
    <w:rsid w:val="11E6010F"/>
    <w:rsid w:val="13FFEFCC"/>
    <w:rsid w:val="17026ACC"/>
    <w:rsid w:val="177992E6"/>
    <w:rsid w:val="17BB2D26"/>
    <w:rsid w:val="17EF0F98"/>
    <w:rsid w:val="1A476E95"/>
    <w:rsid w:val="1DDB41E5"/>
    <w:rsid w:val="1F760163"/>
    <w:rsid w:val="1FF7A2E6"/>
    <w:rsid w:val="1FFF2819"/>
    <w:rsid w:val="279F58CB"/>
    <w:rsid w:val="2CE7F223"/>
    <w:rsid w:val="2EDF74CC"/>
    <w:rsid w:val="2FFFD374"/>
    <w:rsid w:val="35661794"/>
    <w:rsid w:val="38BD61ED"/>
    <w:rsid w:val="3BFD4D03"/>
    <w:rsid w:val="3C2969C7"/>
    <w:rsid w:val="3C3E2B0D"/>
    <w:rsid w:val="3EFF83DA"/>
    <w:rsid w:val="3FEDD65A"/>
    <w:rsid w:val="40CE6681"/>
    <w:rsid w:val="47F737BE"/>
    <w:rsid w:val="4AC156E7"/>
    <w:rsid w:val="4B8B5E18"/>
    <w:rsid w:val="4BDD3C9C"/>
    <w:rsid w:val="4ED86F13"/>
    <w:rsid w:val="4F5F25F6"/>
    <w:rsid w:val="4FA5A8DF"/>
    <w:rsid w:val="50BD2630"/>
    <w:rsid w:val="533D4080"/>
    <w:rsid w:val="578A1A8D"/>
    <w:rsid w:val="57B73757"/>
    <w:rsid w:val="5AD03004"/>
    <w:rsid w:val="5BC745BA"/>
    <w:rsid w:val="5BD4308B"/>
    <w:rsid w:val="5BD65DD9"/>
    <w:rsid w:val="5EE33418"/>
    <w:rsid w:val="5F3E9E25"/>
    <w:rsid w:val="5F5F7A90"/>
    <w:rsid w:val="5FDF034E"/>
    <w:rsid w:val="5FE1F5DE"/>
    <w:rsid w:val="63AFF568"/>
    <w:rsid w:val="63F7533B"/>
    <w:rsid w:val="63FF2957"/>
    <w:rsid w:val="65A13A93"/>
    <w:rsid w:val="6779E094"/>
    <w:rsid w:val="67EF25DB"/>
    <w:rsid w:val="68FF39F1"/>
    <w:rsid w:val="6A9EE912"/>
    <w:rsid w:val="6B77A113"/>
    <w:rsid w:val="6BCFD5FA"/>
    <w:rsid w:val="6CFBF431"/>
    <w:rsid w:val="6D46160F"/>
    <w:rsid w:val="6DB374DD"/>
    <w:rsid w:val="6ED76FC8"/>
    <w:rsid w:val="6FBA4C8B"/>
    <w:rsid w:val="6FBF63A3"/>
    <w:rsid w:val="6FBFEFA5"/>
    <w:rsid w:val="6FCF714C"/>
    <w:rsid w:val="6FF61C7D"/>
    <w:rsid w:val="707F0B43"/>
    <w:rsid w:val="73AF2950"/>
    <w:rsid w:val="746C9516"/>
    <w:rsid w:val="74F9DA33"/>
    <w:rsid w:val="74FB764F"/>
    <w:rsid w:val="755A3040"/>
    <w:rsid w:val="76DFEC89"/>
    <w:rsid w:val="776FCC3B"/>
    <w:rsid w:val="77E14EFD"/>
    <w:rsid w:val="77EFEC91"/>
    <w:rsid w:val="77FAB463"/>
    <w:rsid w:val="78B92A8C"/>
    <w:rsid w:val="78D6123B"/>
    <w:rsid w:val="79D776E5"/>
    <w:rsid w:val="79DE6991"/>
    <w:rsid w:val="79FFB62F"/>
    <w:rsid w:val="7A8C48BA"/>
    <w:rsid w:val="7AB7278A"/>
    <w:rsid w:val="7AFE35F3"/>
    <w:rsid w:val="7AFFDD94"/>
    <w:rsid w:val="7B9DDF0F"/>
    <w:rsid w:val="7BB5BB6F"/>
    <w:rsid w:val="7BDB44C9"/>
    <w:rsid w:val="7BDF97C0"/>
    <w:rsid w:val="7BE7A68F"/>
    <w:rsid w:val="7BFE150D"/>
    <w:rsid w:val="7BFFB32B"/>
    <w:rsid w:val="7D706B44"/>
    <w:rsid w:val="7DB517E2"/>
    <w:rsid w:val="7DBF1C1F"/>
    <w:rsid w:val="7DDDFE04"/>
    <w:rsid w:val="7DE76544"/>
    <w:rsid w:val="7E12266F"/>
    <w:rsid w:val="7E23A6E2"/>
    <w:rsid w:val="7E2F5246"/>
    <w:rsid w:val="7EFAEB65"/>
    <w:rsid w:val="7F2FF4A9"/>
    <w:rsid w:val="7F6EB0B5"/>
    <w:rsid w:val="7FA6FD74"/>
    <w:rsid w:val="7FB5BE1A"/>
    <w:rsid w:val="7FEAEF82"/>
    <w:rsid w:val="7FEB299C"/>
    <w:rsid w:val="7FEF408C"/>
    <w:rsid w:val="7FF47ACF"/>
    <w:rsid w:val="7FFD6A12"/>
    <w:rsid w:val="7FFEB0B3"/>
    <w:rsid w:val="7FFEE4B0"/>
    <w:rsid w:val="839E1FD0"/>
    <w:rsid w:val="8BF7E2DE"/>
    <w:rsid w:val="95BE68D2"/>
    <w:rsid w:val="9BD764EA"/>
    <w:rsid w:val="9C77BD9D"/>
    <w:rsid w:val="9E795886"/>
    <w:rsid w:val="9EF7D81D"/>
    <w:rsid w:val="9FEF0DB9"/>
    <w:rsid w:val="A3FD3950"/>
    <w:rsid w:val="AFDF8E58"/>
    <w:rsid w:val="B39AD6CD"/>
    <w:rsid w:val="B3FB46AB"/>
    <w:rsid w:val="B738C3F7"/>
    <w:rsid w:val="B7BD3A62"/>
    <w:rsid w:val="B7FAFE93"/>
    <w:rsid w:val="BBFFD4F5"/>
    <w:rsid w:val="BF4F9AEB"/>
    <w:rsid w:val="BFDF5ADE"/>
    <w:rsid w:val="BFF76ACE"/>
    <w:rsid w:val="BFFEB921"/>
    <w:rsid w:val="CFAB9A29"/>
    <w:rsid w:val="CFC7375F"/>
    <w:rsid w:val="D37FDF6E"/>
    <w:rsid w:val="D3F75C63"/>
    <w:rsid w:val="DB7F2785"/>
    <w:rsid w:val="DBBFDDD3"/>
    <w:rsid w:val="DDE718B4"/>
    <w:rsid w:val="DDFD27CA"/>
    <w:rsid w:val="DEFF3EAE"/>
    <w:rsid w:val="DFEF4B17"/>
    <w:rsid w:val="DFF72348"/>
    <w:rsid w:val="E3AFE6C1"/>
    <w:rsid w:val="E4F9AAE6"/>
    <w:rsid w:val="E5FF49CA"/>
    <w:rsid w:val="E67FDAFA"/>
    <w:rsid w:val="E6FF6665"/>
    <w:rsid w:val="E7FFA815"/>
    <w:rsid w:val="EB5DFA4F"/>
    <w:rsid w:val="ECE7F5BD"/>
    <w:rsid w:val="EEFE03FF"/>
    <w:rsid w:val="EEFE169F"/>
    <w:rsid w:val="EFBF1597"/>
    <w:rsid w:val="F1D58E9A"/>
    <w:rsid w:val="F2FF04B4"/>
    <w:rsid w:val="F4370FF4"/>
    <w:rsid w:val="F57B0902"/>
    <w:rsid w:val="F5DBDE07"/>
    <w:rsid w:val="F647731C"/>
    <w:rsid w:val="F74F7A09"/>
    <w:rsid w:val="F7CE92CD"/>
    <w:rsid w:val="F7D98257"/>
    <w:rsid w:val="F7F612E6"/>
    <w:rsid w:val="F7FE2614"/>
    <w:rsid w:val="F95B4C2F"/>
    <w:rsid w:val="FABE2BCC"/>
    <w:rsid w:val="FAFFA480"/>
    <w:rsid w:val="FB3F502C"/>
    <w:rsid w:val="FBE7E104"/>
    <w:rsid w:val="FD732ED3"/>
    <w:rsid w:val="FDA75C7B"/>
    <w:rsid w:val="FDDFA11B"/>
    <w:rsid w:val="FDFBF1DA"/>
    <w:rsid w:val="FEFDE6CC"/>
    <w:rsid w:val="FF590BED"/>
    <w:rsid w:val="FF6BE495"/>
    <w:rsid w:val="FF7507FB"/>
    <w:rsid w:val="FF7E3E23"/>
    <w:rsid w:val="FFD9DE72"/>
    <w:rsid w:val="FFDF20E9"/>
    <w:rsid w:val="FFEBF222"/>
    <w:rsid w:val="FFF7E5B3"/>
    <w:rsid w:val="FFFF5BBD"/>
    <w:rsid w:val="FFFFB7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rFonts w:ascii="Calibri" w:hAnsi="Calibri" w:eastAsia="宋体" w:cs="Arial"/>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5">
    <w:name w:val="Normal (Web)"/>
    <w:basedOn w:val="1"/>
    <w:qFormat/>
    <w:uiPriority w:val="0"/>
    <w:pPr>
      <w:spacing w:beforeAutospacing="1" w:afterAutospacing="1"/>
      <w:jc w:val="left"/>
    </w:pPr>
    <w:rPr>
      <w:kern w:val="0"/>
      <w:sz w:val="24"/>
    </w:rPr>
  </w:style>
  <w:style w:type="character" w:styleId="8">
    <w:name w:val="Strong"/>
    <w:basedOn w:val="7"/>
    <w:qFormat/>
    <w:uiPriority w:val="0"/>
    <w:rPr>
      <w:b/>
    </w:rPr>
  </w:style>
  <w:style w:type="character" w:styleId="9">
    <w:name w:val="page number"/>
    <w:basedOn w:val="7"/>
    <w:qFormat/>
    <w:uiPriority w:val="0"/>
  </w:style>
  <w:style w:type="character" w:styleId="10">
    <w:name w:val="Hyperlink"/>
    <w:basedOn w:val="7"/>
    <w:qFormat/>
    <w:uiPriority w:val="0"/>
    <w:rPr>
      <w:color w:val="0000FF"/>
      <w:u w:val="single"/>
    </w:rPr>
  </w:style>
  <w:style w:type="character" w:customStyle="1" w:styleId="11">
    <w:name w:val="批注框文本 Char"/>
    <w:basedOn w:val="7"/>
    <w:link w:val="2"/>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种植业</Company>
  <Pages>3</Pages>
  <Words>1191</Words>
  <Characters>1253</Characters>
  <Lines>1</Lines>
  <Paragraphs>2</Paragraphs>
  <TotalTime>12</TotalTime>
  <ScaleCrop>false</ScaleCrop>
  <LinksUpToDate>false</LinksUpToDate>
  <CharactersWithSpaces>1253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2026-10-03T16:37:00Z</dcterms:created>
  <dc:creator>601FZW</dc:creator>
  <cp:lastModifiedBy>咻</cp:lastModifiedBy>
  <cp:lastPrinted>2026-10-15T09:03:00Z</cp:lastPrinted>
  <dcterms:modified xsi:type="dcterms:W3CDTF">2026-10-19T02:14:25Z</dcterms:modified>
  <dc:title>2019年福建省粮食产能区增产模式攻关</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vt:lpwstr>2052-11.1.0.11365</vt:lpwstr>
  </property>
  <property fmtid="{D5CDD505-2E9C-101B-9397-08002B2CF9AE}" pid="3" name="KSOProductBuildVer">
    <vt:lpwstr>2052-12.1.0.28505</vt:lpwstr>
  </property>
  <property fmtid="{D5CDD505-2E9C-101B-9397-08002B2CF9AE}" pid="4" name="ICV">
    <vt:lpwstr>F13C27C59D464F8E907638347C4BB6D8_13</vt:lpwstr>
  </property>
</Properties>
</file>