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40D41">
      <w:pPr>
        <w:tabs>
          <w:tab w:val="left" w:pos="480"/>
        </w:tabs>
        <w:adjustRightInd w:val="0"/>
        <w:snapToGrid w:val="0"/>
        <w:spacing w:line="600" w:lineRule="exact"/>
        <w:jc w:val="left"/>
        <w:rPr>
          <w:rFonts w:ascii="黑体" w:hAnsi="黑体" w:eastAsia="黑体" w:cs="黑体"/>
          <w:szCs w:val="32"/>
        </w:rPr>
      </w:pPr>
      <w:bookmarkStart w:id="0" w:name="_GoBack"/>
      <w:bookmarkEnd w:id="0"/>
      <w:r>
        <w:rPr>
          <w:rFonts w:hint="eastAsia" w:ascii="黑体" w:hAnsi="黑体" w:eastAsia="黑体" w:cs="黑体"/>
          <w:szCs w:val="32"/>
        </w:rPr>
        <w:t>附件1</w:t>
      </w:r>
    </w:p>
    <w:p w14:paraId="2393D644">
      <w:pPr>
        <w:tabs>
          <w:tab w:val="left" w:pos="480"/>
        </w:tabs>
        <w:adjustRightInd w:val="0"/>
        <w:snapToGrid w:val="0"/>
        <w:spacing w:line="600" w:lineRule="exact"/>
        <w:jc w:val="center"/>
        <w:rPr>
          <w:rFonts w:ascii="方正小标宋简体" w:eastAsia="方正小标宋简体"/>
          <w:sz w:val="41"/>
          <w:szCs w:val="41"/>
        </w:rPr>
      </w:pPr>
    </w:p>
    <w:p w14:paraId="70EF3E06">
      <w:pPr>
        <w:tabs>
          <w:tab w:val="left" w:pos="480"/>
        </w:tabs>
        <w:adjustRightInd w:val="0"/>
        <w:snapToGrid w:val="0"/>
        <w:spacing w:line="600" w:lineRule="exact"/>
        <w:jc w:val="center"/>
        <w:rPr>
          <w:rFonts w:ascii="方正小标宋简体" w:eastAsia="方正小标宋简体"/>
          <w:sz w:val="44"/>
          <w:szCs w:val="44"/>
          <w:lang w:val="en"/>
        </w:rPr>
      </w:pPr>
      <w:r>
        <w:rPr>
          <w:rFonts w:hint="eastAsia" w:ascii="方正小标宋简体" w:eastAsia="方正小标宋简体"/>
          <w:sz w:val="44"/>
          <w:szCs w:val="44"/>
        </w:rPr>
        <w:t>2027年福建省粮食产能区增产模式攻关与推广项目申报指南</w:t>
      </w:r>
    </w:p>
    <w:p w14:paraId="2FD29D23">
      <w:pPr>
        <w:adjustRightInd w:val="0"/>
        <w:snapToGrid w:val="0"/>
        <w:spacing w:line="600" w:lineRule="exact"/>
        <w:ind w:firstLine="720"/>
        <w:rPr>
          <w:rFonts w:ascii="仿宋_GB2312"/>
          <w:sz w:val="31"/>
          <w:szCs w:val="31"/>
        </w:rPr>
      </w:pPr>
    </w:p>
    <w:p w14:paraId="43831232">
      <w:pPr>
        <w:adjustRightInd w:val="0"/>
        <w:snapToGrid w:val="0"/>
        <w:spacing w:line="600" w:lineRule="exact"/>
        <w:ind w:firstLine="640" w:firstLineChars="200"/>
        <w:rPr>
          <w:rFonts w:ascii="黑体" w:eastAsia="黑体"/>
          <w:szCs w:val="32"/>
        </w:rPr>
      </w:pPr>
      <w:r>
        <w:rPr>
          <w:rFonts w:hint="eastAsia" w:ascii="黑体" w:eastAsia="黑体"/>
          <w:szCs w:val="32"/>
        </w:rPr>
        <w:t>一、申报条件</w:t>
      </w:r>
    </w:p>
    <w:p w14:paraId="5C3EDAF0">
      <w:pPr>
        <w:spacing w:line="600" w:lineRule="exact"/>
        <w:ind w:firstLine="620"/>
        <w:rPr>
          <w:rFonts w:ascii="仿宋_GB2312" w:hAnsi="仿宋_GB2312" w:cs="仿宋_GB2312"/>
          <w:szCs w:val="32"/>
        </w:rPr>
      </w:pPr>
      <w:r>
        <w:rPr>
          <w:rFonts w:hint="eastAsia" w:ascii="仿宋_GB2312" w:hAnsi="仿宋_GB2312" w:cs="仿宋_GB2312"/>
          <w:szCs w:val="32"/>
        </w:rPr>
        <w:t>（一）项目县2</w:t>
      </w:r>
      <w:r>
        <w:rPr>
          <w:rFonts w:ascii="仿宋_GB2312" w:hAnsi="仿宋_GB2312" w:cs="仿宋_GB2312"/>
          <w:szCs w:val="32"/>
        </w:rPr>
        <w:t>02</w:t>
      </w:r>
      <w:r>
        <w:rPr>
          <w:rFonts w:hint="eastAsia" w:ascii="仿宋_GB2312" w:hAnsi="仿宋_GB2312" w:cs="仿宋_GB2312"/>
          <w:szCs w:val="32"/>
        </w:rPr>
        <w:t>5年粮食</w:t>
      </w:r>
      <w:r>
        <w:rPr>
          <w:rFonts w:hint="eastAsia" w:ascii="仿宋_GB2312" w:hAnsi="仿宋_GB2312" w:cs="仿宋_GB2312"/>
          <w:kern w:val="0"/>
          <w:szCs w:val="32"/>
        </w:rPr>
        <w:t>播种面积3万亩（含）以上，或者水稻播种面积1万亩（含）以上。</w:t>
      </w:r>
    </w:p>
    <w:p w14:paraId="4AFFC26A">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szCs w:val="32"/>
        </w:rPr>
        <w:t>（二）项目县具备承担项目所需的立地条件、</w:t>
      </w:r>
      <w:r>
        <w:rPr>
          <w:rFonts w:hint="eastAsia" w:ascii="仿宋_GB2312" w:hAnsi="仿宋_GB2312" w:cs="仿宋_GB2312"/>
          <w:kern w:val="0"/>
          <w:szCs w:val="32"/>
        </w:rPr>
        <w:t>实施主体等要求，具备组织项目实施的协调能力，确保项目顺利完成。</w:t>
      </w:r>
    </w:p>
    <w:p w14:paraId="6466B8A6">
      <w:pPr>
        <w:adjustRightInd w:val="0"/>
        <w:snapToGrid w:val="0"/>
        <w:spacing w:line="600" w:lineRule="exact"/>
        <w:ind w:firstLine="640" w:firstLineChars="200"/>
        <w:rPr>
          <w:rFonts w:ascii="仿宋_GB2312" w:hAnsi="仿宋_GB2312" w:cs="仿宋_GB2312"/>
          <w:szCs w:val="32"/>
        </w:rPr>
      </w:pPr>
      <w:r>
        <w:rPr>
          <w:rFonts w:hint="eastAsia" w:ascii="仿宋_GB2312" w:hAnsi="仿宋_GB2312" w:cs="仿宋_GB2312"/>
          <w:szCs w:val="32"/>
        </w:rPr>
        <w:t>（三）申报新建水稻工厂化育秧示范点的主体需水稻一季种植面积300亩以上，从事粮食生产经营时间两年（含）以上。</w:t>
      </w:r>
    </w:p>
    <w:p w14:paraId="10A2CF3F">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szCs w:val="32"/>
        </w:rPr>
        <w:t>（四）申报承担粮食作物绿色高质高效</w:t>
      </w:r>
      <w:r>
        <w:rPr>
          <w:rFonts w:hint="eastAsia" w:ascii="仿宋_GB2312" w:hAnsi="仿宋_GB2312" w:cs="仿宋_GB2312"/>
          <w:kern w:val="0"/>
          <w:szCs w:val="32"/>
        </w:rPr>
        <w:t>示</w:t>
      </w:r>
      <w:r>
        <w:rPr>
          <w:rFonts w:hint="eastAsia" w:ascii="仿宋_GB2312" w:hAnsi="仿宋_GB2312" w:cs="仿宋_GB2312"/>
          <w:szCs w:val="32"/>
        </w:rPr>
        <w:t>范片的项目县，每个县需建立5个以上的示范片。每个水稻示范片需相对集中连片面积200亩以上；“稻-豆”“稻-稻-豆”“</w:t>
      </w:r>
      <w:r>
        <w:rPr>
          <w:rFonts w:hint="eastAsia" w:ascii="仿宋_GB2312" w:hAnsi="仿宋_GB2312" w:cs="仿宋_GB2312"/>
          <w:kern w:val="0"/>
          <w:szCs w:val="32"/>
        </w:rPr>
        <w:t>稻-甘薯”等水稻与旱作粮油作物轮作模式示范片，每个示范片相对集中连片面积100亩以上。</w:t>
      </w:r>
    </w:p>
    <w:p w14:paraId="053E8808">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szCs w:val="32"/>
        </w:rPr>
        <w:t>（五）申报主体为种粮大户、家庭农场、农民专业合作社等新型农业经营主体。</w:t>
      </w:r>
    </w:p>
    <w:p w14:paraId="37B77F3E">
      <w:pPr>
        <w:adjustRightInd w:val="0"/>
        <w:snapToGrid w:val="0"/>
        <w:spacing w:line="600" w:lineRule="exact"/>
        <w:ind w:firstLine="640" w:firstLineChars="200"/>
        <w:rPr>
          <w:rFonts w:ascii="黑体" w:eastAsia="黑体"/>
          <w:szCs w:val="32"/>
        </w:rPr>
      </w:pPr>
      <w:r>
        <w:rPr>
          <w:rFonts w:hint="eastAsia" w:ascii="黑体" w:eastAsia="黑体"/>
          <w:szCs w:val="32"/>
        </w:rPr>
        <w:t>二、建设内容</w:t>
      </w:r>
    </w:p>
    <w:p w14:paraId="2EAE6A05">
      <w:pPr>
        <w:adjustRightInd w:val="0"/>
        <w:snapToGrid w:val="0"/>
        <w:spacing w:line="600" w:lineRule="exact"/>
        <w:ind w:firstLine="640" w:firstLineChars="200"/>
        <w:rPr>
          <w:rFonts w:ascii="仿宋_GB2312"/>
          <w:szCs w:val="32"/>
        </w:rPr>
      </w:pPr>
      <w:r>
        <w:rPr>
          <w:rFonts w:hint="eastAsia" w:ascii="仿宋_GB2312"/>
          <w:szCs w:val="32"/>
        </w:rPr>
        <w:t>建设内容为新建或改扩建水稻工厂化育秧示范点，建立粮食作物绿色高质高效示范片。其中：申报新建或改扩建水稻工厂化育秧示范点的主体须同时建立两个百亩以上规模的水稻高质高效示范片。</w:t>
      </w:r>
    </w:p>
    <w:p w14:paraId="5950E933">
      <w:pPr>
        <w:adjustRightInd w:val="0"/>
        <w:snapToGrid w:val="0"/>
        <w:spacing w:line="600" w:lineRule="exact"/>
        <w:ind w:firstLine="640" w:firstLineChars="200"/>
        <w:rPr>
          <w:rFonts w:ascii="仿宋_GB2312"/>
          <w:szCs w:val="32"/>
        </w:rPr>
      </w:pPr>
      <w:r>
        <w:rPr>
          <w:rFonts w:hint="eastAsia" w:ascii="仿宋_GB2312"/>
          <w:szCs w:val="32"/>
        </w:rPr>
        <w:t>（一）新建或改扩建水稻工厂化育秧示范点的财政补助资金为投资金额的80%</w:t>
      </w:r>
      <w:r>
        <w:rPr>
          <w:rFonts w:hint="eastAsia" w:ascii="仿宋_GB2312"/>
          <w:sz w:val="28"/>
          <w:szCs w:val="28"/>
        </w:rPr>
        <w:t>，</w:t>
      </w:r>
      <w:r>
        <w:rPr>
          <w:rFonts w:hint="eastAsia" w:ascii="仿宋_GB2312"/>
          <w:szCs w:val="32"/>
        </w:rPr>
        <w:t>且单个示范点省级财政补助金额不超过200万元。申报改扩建的水稻工厂化育秧示范点建设年限需达到5年（含）以上，2025年、2026年已实施改扩建的示范点不得再次申请改扩建。示范点建设的总体要求达到先进性、安全性和可操作性。建设内容一般包含叠盘暗化出苗车间、播种育秧流水线及配套设备等内容（可参考附件1-3），具体方案由县级及拟实施主体根据生产实际需要确定。承担示范点建设的主体需书面承诺每年培育水稻机插秧苗供大田机插面积在500亩以上(含自用)，且水稻育秧服务年限在5年以上。项目购置的所有机械设备必须印上“福建省粮食产能区补贴机械产品”字样，且不得与农机购置与应用补贴等项目重复享受补助。</w:t>
      </w:r>
    </w:p>
    <w:p w14:paraId="0C16B901">
      <w:pPr>
        <w:adjustRightInd w:val="0"/>
        <w:snapToGrid w:val="0"/>
        <w:spacing w:line="600" w:lineRule="exact"/>
        <w:ind w:firstLine="640" w:firstLineChars="200"/>
        <w:rPr>
          <w:rFonts w:ascii="仿宋_GB2312" w:hAnsi="仿宋_GB2312" w:cs="仿宋_GB2312"/>
          <w:szCs w:val="32"/>
        </w:rPr>
      </w:pPr>
      <w:r>
        <w:rPr>
          <w:rFonts w:hint="eastAsia" w:ascii="仿宋_GB2312" w:hAnsi="仿宋_GB2312" w:cs="仿宋_GB2312"/>
          <w:szCs w:val="32"/>
        </w:rPr>
        <w:t>（二）粮食作物绿色高质高效示范片。在</w:t>
      </w:r>
      <w:r>
        <w:rPr>
          <w:rFonts w:hint="eastAsia" w:ascii="仿宋_GB2312" w:hAnsi="仿宋_GB2312" w:cs="仿宋_GB2312"/>
          <w:kern w:val="0"/>
          <w:szCs w:val="32"/>
        </w:rPr>
        <w:t>水稻或者水稻与旱作粮油作物轮作模式示范片，集成应用新品种、新技术、新肥料、新农药、新机具等粮食“五新”，促进良种良法配套、农机农艺融合，实现</w:t>
      </w:r>
      <w:r>
        <w:rPr>
          <w:rFonts w:hint="eastAsia" w:ascii="仿宋_GB2312" w:hAnsi="仿宋_GB2312" w:cs="仿宋_GB2312"/>
          <w:szCs w:val="32"/>
        </w:rPr>
        <w:t>示范片粮食作物亩产高于项目县同类作物上一年度平均亩产1</w:t>
      </w:r>
      <w:r>
        <w:rPr>
          <w:rFonts w:ascii="仿宋_GB2312" w:hAnsi="仿宋_GB2312" w:cs="仿宋_GB2312"/>
          <w:szCs w:val="32"/>
        </w:rPr>
        <w:t>5</w:t>
      </w:r>
      <w:r>
        <w:rPr>
          <w:rFonts w:hint="eastAsia" w:ascii="仿宋_GB2312" w:hAnsi="仿宋_GB2312" w:cs="仿宋_GB2312"/>
          <w:szCs w:val="32"/>
        </w:rPr>
        <w:t>%以上。</w:t>
      </w:r>
    </w:p>
    <w:p w14:paraId="573DEA90">
      <w:pPr>
        <w:adjustRightInd w:val="0"/>
        <w:snapToGrid w:val="0"/>
        <w:spacing w:line="600" w:lineRule="exact"/>
        <w:ind w:firstLine="640" w:firstLineChars="200"/>
        <w:rPr>
          <w:rFonts w:ascii="黑体" w:eastAsia="黑体"/>
          <w:szCs w:val="32"/>
        </w:rPr>
      </w:pPr>
      <w:r>
        <w:rPr>
          <w:rFonts w:hint="eastAsia" w:ascii="黑体" w:eastAsia="黑体"/>
          <w:szCs w:val="32"/>
        </w:rPr>
        <w:t>三、申报要求</w:t>
      </w:r>
    </w:p>
    <w:p w14:paraId="5D792EEE">
      <w:pPr>
        <w:adjustRightInd w:val="0"/>
        <w:snapToGrid w:val="0"/>
        <w:spacing w:line="600" w:lineRule="exact"/>
        <w:ind w:firstLine="659" w:firstLineChars="206"/>
        <w:rPr>
          <w:rFonts w:ascii="仿宋_GB2312" w:hAnsi="仿宋_GB2312" w:cs="仿宋_GB2312"/>
          <w:szCs w:val="32"/>
        </w:rPr>
      </w:pPr>
      <w:r>
        <w:rPr>
          <w:rFonts w:hint="eastAsia" w:ascii="仿宋_GB2312"/>
          <w:kern w:val="0"/>
          <w:szCs w:val="32"/>
        </w:rPr>
        <w:t>项目县组织申报项目时，要按照“扶强扶优、强化示范带动”的原则，优先扶持经营能力强、服务面积大的主体，尤其是要加大扶持整村制开展</w:t>
      </w:r>
      <w:r>
        <w:rPr>
          <w:rFonts w:hint="eastAsia" w:ascii="仿宋_GB2312" w:hAnsi="仿宋_GB2312" w:cs="仿宋_GB2312"/>
          <w:szCs w:val="32"/>
        </w:rPr>
        <w:t>水稻“1+N”育供秧模式的主体，提升服务小农户能力；要优先扶持整村整区域制建立粮食作物绿色高质高效示范片的种粮大户、家庭农场、农民专业合作社。</w:t>
      </w:r>
    </w:p>
    <w:p w14:paraId="3D8C1708">
      <w:pPr>
        <w:adjustRightInd w:val="0"/>
        <w:snapToGrid w:val="0"/>
        <w:spacing w:line="600" w:lineRule="exact"/>
        <w:ind w:firstLine="659" w:firstLineChars="206"/>
        <w:rPr>
          <w:rFonts w:ascii="仿宋_GB2312" w:cs="仿宋"/>
          <w:szCs w:val="32"/>
        </w:rPr>
      </w:pPr>
      <w:r>
        <w:rPr>
          <w:rFonts w:hint="eastAsia" w:ascii="仿宋_GB2312"/>
          <w:szCs w:val="32"/>
        </w:rPr>
        <w:t>各申报项目的经营主体</w:t>
      </w:r>
      <w:r>
        <w:rPr>
          <w:rFonts w:hint="eastAsia" w:ascii="仿宋_GB2312"/>
          <w:kern w:val="0"/>
          <w:szCs w:val="32"/>
        </w:rPr>
        <w:t>按照申报要求提交有关申报材料（附件1-1、附件1-2）</w:t>
      </w:r>
      <w:r>
        <w:rPr>
          <w:rFonts w:hint="eastAsia" w:ascii="仿宋_GB2312"/>
          <w:szCs w:val="32"/>
        </w:rPr>
        <w:t>，于10月30日前上报项目所在乡镇农技站，乡镇农技站汇总后于11月2日前上报县农技站</w:t>
      </w:r>
      <w:r>
        <w:rPr>
          <w:rFonts w:hint="eastAsia" w:ascii="仿宋_GB2312"/>
          <w:kern w:val="0"/>
          <w:szCs w:val="32"/>
        </w:rPr>
        <w:t>，名单及具体实施内容按项目管理要求确定</w:t>
      </w:r>
      <w:r>
        <w:rPr>
          <w:rFonts w:hint="eastAsia" w:ascii="仿宋_GB2312" w:cs="仿宋"/>
          <w:szCs w:val="32"/>
        </w:rPr>
        <w:t>。</w:t>
      </w:r>
    </w:p>
    <w:p w14:paraId="35266099">
      <w:pPr>
        <w:tabs>
          <w:tab w:val="left" w:pos="7532"/>
        </w:tabs>
        <w:spacing w:line="600" w:lineRule="exact"/>
        <w:ind w:firstLine="640" w:firstLineChars="200"/>
        <w:rPr>
          <w:rFonts w:ascii="仿宋_GB2312" w:hAnsi="仿宋_GB2312" w:cs="仿宋_GB2312"/>
          <w:szCs w:val="32"/>
        </w:rPr>
      </w:pPr>
      <w:r>
        <w:rPr>
          <w:rFonts w:hint="eastAsia" w:ascii="黑体" w:hAnsi="黑体" w:eastAsia="黑体" w:cs="黑体"/>
          <w:szCs w:val="32"/>
        </w:rPr>
        <w:t>四、联系方式</w:t>
      </w:r>
      <w:r>
        <w:rPr>
          <w:rFonts w:hint="eastAsia" w:ascii="黑体" w:hAnsi="黑体" w:eastAsia="黑体" w:cs="黑体"/>
          <w:szCs w:val="32"/>
        </w:rPr>
        <w:tab/>
      </w:r>
    </w:p>
    <w:p w14:paraId="5C39A5CE">
      <w:pPr>
        <w:spacing w:line="600" w:lineRule="exact"/>
        <w:ind w:firstLine="640" w:firstLineChars="200"/>
        <w:rPr>
          <w:rFonts w:ascii="仿宋_GB2312" w:hAnsi="仿宋_GB2312" w:cs="仿宋_GB2312"/>
          <w:szCs w:val="32"/>
        </w:rPr>
      </w:pPr>
      <w:r>
        <w:rPr>
          <w:rFonts w:hint="eastAsia" w:ascii="仿宋_GB2312" w:hAnsi="仿宋_GB2312" w:cs="仿宋_GB2312"/>
          <w:szCs w:val="32"/>
        </w:rPr>
        <w:t>联系人：</w:t>
      </w:r>
      <w:r>
        <w:fldChar w:fldCharType="begin"/>
      </w:r>
      <w:r>
        <w:instrText xml:space="preserve"> HYPERLINK "mailto:于学领，0591-87817804,3288106103@qq.com。" </w:instrText>
      </w:r>
      <w:r>
        <w:fldChar w:fldCharType="separate"/>
      </w:r>
      <w:r>
        <w:rPr>
          <w:rFonts w:hint="eastAsia" w:ascii="仿宋_GB2312" w:hAnsi="仿宋_GB2312" w:cs="仿宋_GB2312"/>
          <w:szCs w:val="32"/>
        </w:rPr>
        <w:t>张朝铖，联系电话：</w:t>
      </w:r>
      <w:r>
        <w:rPr>
          <w:rStyle w:val="10"/>
          <w:rFonts w:hint="eastAsia" w:ascii="仿宋_GB2312" w:hAnsi="仿宋_GB2312" w:cs="仿宋_GB2312"/>
          <w:color w:val="auto"/>
          <w:szCs w:val="32"/>
          <w:u w:val="none"/>
        </w:rPr>
        <w:t>0598-8753883</w:t>
      </w:r>
      <w:r>
        <w:rPr>
          <w:rStyle w:val="10"/>
          <w:rFonts w:hint="eastAsia" w:ascii="仿宋_GB2312" w:hAnsi="仿宋_GB2312" w:cs="仿宋_GB2312"/>
          <w:color w:val="auto"/>
          <w:szCs w:val="32"/>
          <w:u w:val="none"/>
        </w:rPr>
        <w:fldChar w:fldCharType="end"/>
      </w:r>
    </w:p>
    <w:sectPr>
      <w:footerReference r:id="rId3" w:type="default"/>
      <w:pgSz w:w="11907" w:h="16840"/>
      <w:pgMar w:top="1984" w:right="1361" w:bottom="1417" w:left="1531" w:header="851" w:footer="1020" w:gutter="0"/>
      <w:pgNumType w:start="21"/>
      <w:cols w:space="0" w:num="1"/>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34C72">
    <w:pPr>
      <w:pStyle w:val="3"/>
      <w:ind w:right="360" w:firstLine="360"/>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E9AD2">
                          <w:pPr>
                            <w:pStyle w:val="3"/>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23</w:t>
                          </w:r>
                          <w:r>
                            <w:rPr>
                              <w:rFonts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35E9AD2">
                    <w:pPr>
                      <w:pStyle w:val="3"/>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23</w:t>
                    </w:r>
                    <w:r>
                      <w:rPr>
                        <w:rFonts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lYzZkMTE4ZTQyNDM3YmNiNWJhMzNjMjRiMDdjMzMifQ=="/>
  </w:docVars>
  <w:rsids>
    <w:rsidRoot w:val="005F1BA2"/>
    <w:rsid w:val="00040894"/>
    <w:rsid w:val="000D7D0C"/>
    <w:rsid w:val="004B4030"/>
    <w:rsid w:val="00521EAF"/>
    <w:rsid w:val="005A68CC"/>
    <w:rsid w:val="005F1BA2"/>
    <w:rsid w:val="008111F7"/>
    <w:rsid w:val="008123F8"/>
    <w:rsid w:val="0090557B"/>
    <w:rsid w:val="009352A3"/>
    <w:rsid w:val="00940077"/>
    <w:rsid w:val="00AE281B"/>
    <w:rsid w:val="00B652A8"/>
    <w:rsid w:val="00C94F7B"/>
    <w:rsid w:val="00CD32B9"/>
    <w:rsid w:val="00D22285"/>
    <w:rsid w:val="00EA6355"/>
    <w:rsid w:val="00EF6A52"/>
    <w:rsid w:val="0FEE9ECA"/>
    <w:rsid w:val="11E6010F"/>
    <w:rsid w:val="13E3BB4F"/>
    <w:rsid w:val="17026ACC"/>
    <w:rsid w:val="171E6017"/>
    <w:rsid w:val="17EF0F98"/>
    <w:rsid w:val="1A476E95"/>
    <w:rsid w:val="1CD318C6"/>
    <w:rsid w:val="1FA5445C"/>
    <w:rsid w:val="2CE7F223"/>
    <w:rsid w:val="2E8C4F11"/>
    <w:rsid w:val="2EDF74CC"/>
    <w:rsid w:val="2FE17732"/>
    <w:rsid w:val="339F5255"/>
    <w:rsid w:val="379F9041"/>
    <w:rsid w:val="37BF34A5"/>
    <w:rsid w:val="3BAF8169"/>
    <w:rsid w:val="3BFD4D03"/>
    <w:rsid w:val="3C3E2B0D"/>
    <w:rsid w:val="3C9491FA"/>
    <w:rsid w:val="3DDF53A9"/>
    <w:rsid w:val="3F2F5316"/>
    <w:rsid w:val="3FEDD65A"/>
    <w:rsid w:val="44023355"/>
    <w:rsid w:val="49793E51"/>
    <w:rsid w:val="4AC156E7"/>
    <w:rsid w:val="4B8B5E18"/>
    <w:rsid w:val="4F5F25F6"/>
    <w:rsid w:val="4FA5A8DF"/>
    <w:rsid w:val="533D4080"/>
    <w:rsid w:val="55EFD578"/>
    <w:rsid w:val="57E7FCC3"/>
    <w:rsid w:val="5BD65DD9"/>
    <w:rsid w:val="5BEFAB65"/>
    <w:rsid w:val="5DB77ACB"/>
    <w:rsid w:val="5EE33418"/>
    <w:rsid w:val="5F5B014A"/>
    <w:rsid w:val="5FBDCB01"/>
    <w:rsid w:val="5FBFFFD2"/>
    <w:rsid w:val="5FEEA254"/>
    <w:rsid w:val="617B0F84"/>
    <w:rsid w:val="61B515F0"/>
    <w:rsid w:val="65A13A93"/>
    <w:rsid w:val="67EF25DB"/>
    <w:rsid w:val="687F58FF"/>
    <w:rsid w:val="6A9EE912"/>
    <w:rsid w:val="6ACD47EB"/>
    <w:rsid w:val="6BCFD5FA"/>
    <w:rsid w:val="6CFBF431"/>
    <w:rsid w:val="6D46160F"/>
    <w:rsid w:val="6DBF48DA"/>
    <w:rsid w:val="6DDE1988"/>
    <w:rsid w:val="6DFB2497"/>
    <w:rsid w:val="6FBA4C8B"/>
    <w:rsid w:val="6FBF63A3"/>
    <w:rsid w:val="6FF61C7D"/>
    <w:rsid w:val="707F0B43"/>
    <w:rsid w:val="71A32698"/>
    <w:rsid w:val="73F2856A"/>
    <w:rsid w:val="75F963C0"/>
    <w:rsid w:val="77DF4CB1"/>
    <w:rsid w:val="79970DD6"/>
    <w:rsid w:val="79DF65BF"/>
    <w:rsid w:val="79FFB62F"/>
    <w:rsid w:val="7BDF97C0"/>
    <w:rsid w:val="7BE7A68F"/>
    <w:rsid w:val="7BFE150D"/>
    <w:rsid w:val="7C658EED"/>
    <w:rsid w:val="7CFFE260"/>
    <w:rsid w:val="7D706B44"/>
    <w:rsid w:val="7DB517E2"/>
    <w:rsid w:val="7DBE5BC4"/>
    <w:rsid w:val="7E12266F"/>
    <w:rsid w:val="7E49442A"/>
    <w:rsid w:val="7EF7B95B"/>
    <w:rsid w:val="7F2FF4A9"/>
    <w:rsid w:val="7FEB299C"/>
    <w:rsid w:val="7FEF408C"/>
    <w:rsid w:val="7FF20421"/>
    <w:rsid w:val="7FF47ACF"/>
    <w:rsid w:val="7FFFEA88"/>
    <w:rsid w:val="839E1FD0"/>
    <w:rsid w:val="941D3D92"/>
    <w:rsid w:val="9BD764EA"/>
    <w:rsid w:val="9BDE6EFE"/>
    <w:rsid w:val="9EF7D81D"/>
    <w:rsid w:val="AFFB8DA2"/>
    <w:rsid w:val="B738C3F7"/>
    <w:rsid w:val="B7FAFE93"/>
    <w:rsid w:val="BBFFD4F5"/>
    <w:rsid w:val="BBFFE7A3"/>
    <w:rsid w:val="BC96F6E9"/>
    <w:rsid w:val="BD8C54FF"/>
    <w:rsid w:val="BE7F8A4C"/>
    <w:rsid w:val="BF7BBFF1"/>
    <w:rsid w:val="BFBFD7A4"/>
    <w:rsid w:val="BFDF5ADE"/>
    <w:rsid w:val="CFAB9A29"/>
    <w:rsid w:val="CFC7375F"/>
    <w:rsid w:val="D37EA4F0"/>
    <w:rsid w:val="D37FDF6E"/>
    <w:rsid w:val="D44756E7"/>
    <w:rsid w:val="D6F76D12"/>
    <w:rsid w:val="D77F9D76"/>
    <w:rsid w:val="D7FB581D"/>
    <w:rsid w:val="D99F951C"/>
    <w:rsid w:val="DB67B947"/>
    <w:rsid w:val="DBBFDDD3"/>
    <w:rsid w:val="DBFDFDFB"/>
    <w:rsid w:val="DEDF98AB"/>
    <w:rsid w:val="DEFF3EAE"/>
    <w:rsid w:val="DFAEBCAC"/>
    <w:rsid w:val="DFBBFD00"/>
    <w:rsid w:val="DFCD1D9B"/>
    <w:rsid w:val="DFF3819F"/>
    <w:rsid w:val="DFFF37EA"/>
    <w:rsid w:val="E5FF49CA"/>
    <w:rsid w:val="E7FE7A4F"/>
    <w:rsid w:val="E7FFA815"/>
    <w:rsid w:val="EF67DDC8"/>
    <w:rsid w:val="EF7FE694"/>
    <w:rsid w:val="EF9D29DA"/>
    <w:rsid w:val="F20F1F7B"/>
    <w:rsid w:val="F5BBA083"/>
    <w:rsid w:val="F5FD9ADE"/>
    <w:rsid w:val="F677A246"/>
    <w:rsid w:val="F77D90F0"/>
    <w:rsid w:val="F7D98257"/>
    <w:rsid w:val="F7FE2614"/>
    <w:rsid w:val="F99E7D8A"/>
    <w:rsid w:val="FABC718A"/>
    <w:rsid w:val="FAEC1327"/>
    <w:rsid w:val="FAFFA480"/>
    <w:rsid w:val="FB3F502C"/>
    <w:rsid w:val="FBA72E76"/>
    <w:rsid w:val="FBB75FAF"/>
    <w:rsid w:val="FBE7E104"/>
    <w:rsid w:val="FD772F8B"/>
    <w:rsid w:val="FDA75C7B"/>
    <w:rsid w:val="FDFDA900"/>
    <w:rsid w:val="FEAF475B"/>
    <w:rsid w:val="FEBFC4F5"/>
    <w:rsid w:val="FEFDE6CC"/>
    <w:rsid w:val="FF3B11C1"/>
    <w:rsid w:val="FF7E296F"/>
    <w:rsid w:val="FF7EBCFC"/>
    <w:rsid w:val="FF7F091E"/>
    <w:rsid w:val="FF7F6CAF"/>
    <w:rsid w:val="FF8D74FC"/>
    <w:rsid w:val="FFBDA248"/>
    <w:rsid w:val="FFDF20E9"/>
    <w:rsid w:val="FFF7C113"/>
    <w:rsid w:val="FFFD76A1"/>
    <w:rsid w:val="FFFED3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rFonts w:ascii="Calibri" w:hAnsi="Calibri" w:eastAsia="宋体" w:cs="Arial"/>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5">
    <w:name w:val="Normal (Web)"/>
    <w:basedOn w:val="1"/>
    <w:qFormat/>
    <w:uiPriority w:val="0"/>
    <w:pPr>
      <w:spacing w:beforeAutospacing="1" w:afterAutospacing="1"/>
      <w:jc w:val="left"/>
    </w:pPr>
    <w:rPr>
      <w:kern w:val="0"/>
      <w:sz w:val="24"/>
    </w:r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qFormat/>
    <w:uiPriority w:val="0"/>
    <w:rPr>
      <w:color w:val="0000FF"/>
      <w:u w:val="single"/>
    </w:rPr>
  </w:style>
  <w:style w:type="character" w:customStyle="1" w:styleId="11">
    <w:name w:val="批注框文本 Char"/>
    <w:basedOn w:val="7"/>
    <w:link w:val="2"/>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种植业</Company>
  <Pages>3</Pages>
  <Words>1103</Words>
  <Characters>1151</Characters>
  <Lines>1</Lines>
  <Paragraphs>2</Paragraphs>
  <TotalTime>35</TotalTime>
  <ScaleCrop>false</ScaleCrop>
  <LinksUpToDate>false</LinksUpToDate>
  <CharactersWithSpaces>1152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2019-11-08T23:09:00Z</dcterms:created>
  <dc:creator>601FZW</dc:creator>
  <cp:lastModifiedBy>咻</cp:lastModifiedBy>
  <cp:lastPrinted>2025-11-17T11:10:00Z</cp:lastPrinted>
  <dcterms:modified xsi:type="dcterms:W3CDTF">2026-10-19T02:13:07Z</dcterms:modified>
  <dc:title>2019年福建省粮食产能区增产模式攻关</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vt:lpwstr>2052-11.1.0.11365</vt:lpwstr>
  </property>
  <property fmtid="{D5CDD505-2E9C-101B-9397-08002B2CF9AE}" pid="3" name="KSOProductBuildVer">
    <vt:lpwstr>2052-12.1.0.28505</vt:lpwstr>
  </property>
  <property fmtid="{D5CDD505-2E9C-101B-9397-08002B2CF9AE}" pid="4" name="ICV">
    <vt:lpwstr>97DBE591C4864E5AA51AD122DD495A3E_13</vt:lpwstr>
  </property>
</Properties>
</file>