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702BB">
      <w:pPr>
        <w:jc w:val="center"/>
        <w:rPr>
          <w:rFonts w:ascii="方正小标宋简体" w:hAnsi="FangSong_GB2312" w:eastAsia="方正小标宋简体" w:cs="FangSong_GB2312"/>
          <w:sz w:val="44"/>
          <w:szCs w:val="44"/>
        </w:rPr>
      </w:pPr>
      <w:r>
        <w:rPr>
          <w:rFonts w:hint="eastAsia" w:ascii="方正小标宋简体" w:hAnsi="FangSong_GB2312" w:eastAsia="方正小标宋简体" w:cs="FangSong_GB2312"/>
          <w:sz w:val="44"/>
          <w:szCs w:val="44"/>
        </w:rPr>
        <w:t>2006年明溪县补充耕地质量验收县级初鉴</w:t>
      </w:r>
    </w:p>
    <w:p w14:paraId="718E8C2E">
      <w:pPr>
        <w:jc w:val="center"/>
        <w:rPr>
          <w:rFonts w:ascii="方正小标宋简体" w:hAnsi="FangSong_GB2312" w:eastAsia="方正小标宋简体" w:cs="FangSong_GB2312"/>
          <w:sz w:val="44"/>
          <w:szCs w:val="44"/>
        </w:rPr>
      </w:pPr>
      <w:r>
        <w:rPr>
          <w:rFonts w:hint="eastAsia" w:ascii="方正小标宋简体" w:hAnsi="FangSong_GB2312" w:eastAsia="方正小标宋简体" w:cs="FangSong_GB2312"/>
          <w:sz w:val="44"/>
          <w:szCs w:val="44"/>
        </w:rPr>
        <w:t>项目工作内容</w:t>
      </w:r>
    </w:p>
    <w:p w14:paraId="448F9644">
      <w:pPr>
        <w:pStyle w:val="6"/>
        <w:ind w:firstLine="630" w:firstLineChars="196"/>
        <w:rPr>
          <w:rFonts w:hint="default"/>
          <w:sz w:val="32"/>
          <w:szCs w:val="32"/>
        </w:rPr>
      </w:pPr>
      <w:r>
        <w:rPr>
          <w:rFonts w:ascii="FangSong_GB2312" w:hAnsi="FangSong_GB2312" w:eastAsia="FangSong_GB2312" w:cs="FangSong_GB2312"/>
          <w:b/>
          <w:sz w:val="32"/>
          <w:szCs w:val="32"/>
        </w:rPr>
        <w:t>一、工作目标</w:t>
      </w:r>
    </w:p>
    <w:p w14:paraId="233280A3">
      <w:pPr>
        <w:pStyle w:val="6"/>
        <w:ind w:firstLine="1049" w:firstLineChars="328"/>
        <w:jc w:val="both"/>
        <w:rPr>
          <w:rFonts w:hint="default"/>
          <w:sz w:val="32"/>
          <w:szCs w:val="32"/>
        </w:rPr>
      </w:pPr>
      <w:r>
        <w:rPr>
          <w:rFonts w:ascii="FangSong_GB2312" w:hAnsi="FangSong_GB2312" w:eastAsia="FangSong_GB2312" w:cs="FangSong_GB2312"/>
          <w:sz w:val="32"/>
          <w:szCs w:val="32"/>
        </w:rPr>
        <w:t>本项目为明溪县补充耕地质量验收县级初鉴项目，计划开展补充耕地质量鉴定面积约761亩，涉及明溪县盖洋镇盖洋村、瀚仙镇坪地村、花园村、龙湖村、夏坊乡李沂村、龙坑村、沙溪乡碧州村、沙溪村、瑶奢村、永溪村、城关乡王桥村等11个村57个图斑的补充耕地。依据《农业农村部自然资源部关于印发&lt;补充耕地质量验收办法（试行）&gt; 的通知》（农建发〔2025〕5号）、《福建省农业农村厅福建省自然资源厅关于印发&lt;福建省补充耕地质量验收实施细则</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&gt;的通知》（闽农建〔2026〕7号）、《福建省农业农村厅关于印发&lt;福建省补充耕地质量鉴定技术规程</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&gt;&lt;福建省补充耕地质量验收后续培肥改良和再评价实施细则</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&gt;&lt;福建省补充耕地质量鉴定质量控制要点</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&gt;&lt;福建省补充耕地质量验收工作廉政风险防控手册</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&gt;和&lt;福建省补充耕地质量鉴定省级专家库&gt;的通知》（闽农建〔2026〕8号）和《耕地质量等级》（GB/T 33469）等文件精神和国家规范，规范推进并完成我县补充耕地质量验收“县级初鉴”的全流程工作，并配合完成市级鉴定、省级抽核。</w:t>
      </w:r>
    </w:p>
    <w:p w14:paraId="529CCA18">
      <w:pPr>
        <w:pStyle w:val="6"/>
        <w:ind w:firstLine="482"/>
        <w:rPr>
          <w:rFonts w:hint="default"/>
          <w:sz w:val="32"/>
          <w:szCs w:val="32"/>
        </w:rPr>
      </w:pPr>
      <w:r>
        <w:rPr>
          <w:rFonts w:ascii="FangSong_GB2312" w:hAnsi="FangSong_GB2312" w:eastAsia="FangSong_GB2312" w:cs="FangSong_GB2312"/>
          <w:b/>
          <w:sz w:val="32"/>
          <w:szCs w:val="32"/>
        </w:rPr>
        <w:t>二、工作内容</w:t>
      </w:r>
    </w:p>
    <w:p w14:paraId="0FFB8E3A">
      <w:pPr>
        <w:pStyle w:val="6"/>
        <w:ind w:firstLine="640" w:firstLineChars="200"/>
        <w:jc w:val="both"/>
        <w:rPr>
          <w:rFonts w:hint="default"/>
          <w:sz w:val="32"/>
          <w:szCs w:val="32"/>
        </w:rPr>
      </w:pPr>
      <w:r>
        <w:rPr>
          <w:rFonts w:ascii="FangSong_GB2312" w:hAnsi="FangSong_GB2312" w:eastAsia="FangSong_GB2312" w:cs="FangSong_GB2312"/>
          <w:sz w:val="32"/>
          <w:szCs w:val="32"/>
        </w:rPr>
        <w:t>1、资料审查。根据补充耕地质量验收要求，协助采购方对县自然资源局提供的相关资料进行真实性和完整性审查，同时收集补充耕地质量鉴定工作需要的相关资料。</w:t>
      </w:r>
    </w:p>
    <w:p w14:paraId="172D31B8">
      <w:pPr>
        <w:pStyle w:val="6"/>
        <w:ind w:firstLine="640" w:firstLineChars="200"/>
        <w:jc w:val="both"/>
        <w:rPr>
          <w:rFonts w:hint="default"/>
          <w:sz w:val="32"/>
          <w:szCs w:val="32"/>
        </w:rPr>
      </w:pPr>
      <w:r>
        <w:rPr>
          <w:rFonts w:ascii="FangSong_GB2312" w:hAnsi="FangSong_GB2312" w:eastAsia="FangSong_GB2312" w:cs="FangSong_GB2312"/>
          <w:sz w:val="32"/>
          <w:szCs w:val="32"/>
        </w:rPr>
        <w:t>2、评价单元划定及样点布设。按照《福建省补充耕地质量鉴定技术规程</w:t>
      </w:r>
      <w:bookmarkStart w:id="0" w:name="_GoBack"/>
      <w:bookmarkEnd w:id="0"/>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评价单元划定及样点布设原则，协助采购方组织专家开展评价单元划定及样点布设工作。评价单元划定遵循地形部位、土壤类型、补充耕地来源、土地利用现状等因素一致性原则。原则上，单个评价单元图斑面积不超过200亩；当单个补充耕地图斑面积较小时，可将符合均质单元要求的图斑合并为一个评价单元，丘陵山地区合并图斑评价单元面积≤50亩，平原盆地区合并图斑评价单元面积≤200亩，最终以现场实际划分的为准。采用网格法进行采样点均匀布设，包括土壤样品采集点和实地踏勘点。单一评价单元至少布设3个采样点位。若评价单元内有多个耕地图斑，则每一个图斑均应布设不少于1个土壤样品采集点实地踏勘点。当单个图斑面积较大时（大于50亩），加密调查点位，原则上山地丘陵地区每30亩不少于1个加密点位；平原地区每50亩不少于1个加密点位。</w:t>
      </w:r>
    </w:p>
    <w:p w14:paraId="33CF3A62">
      <w:pPr>
        <w:pStyle w:val="6"/>
        <w:ind w:firstLine="640" w:firstLineChars="200"/>
        <w:jc w:val="both"/>
        <w:rPr>
          <w:rFonts w:hint="default"/>
          <w:sz w:val="32"/>
          <w:szCs w:val="32"/>
        </w:rPr>
      </w:pPr>
      <w:r>
        <w:rPr>
          <w:rFonts w:ascii="FangSong_GB2312" w:hAnsi="FangSong_GB2312" w:eastAsia="FangSong_GB2312" w:cs="FangSong_GB2312"/>
          <w:sz w:val="32"/>
          <w:szCs w:val="32"/>
        </w:rPr>
        <w:t>3、实地踏勘。负责组织实地踏勘，实地踏勘应覆盖评价单元内的所有图斑。现场踏勘农业生产符合性评价指标和耕地质量等级评价指标。农业生产符合性评价和耕地质量等级评价中相同的指标可共用踏勘结果，无需重复踏勘。农业生产符合性评价指标包括有效土层厚度、地形坡度及田面平整程度、土壤侵入体及砾石含量、田块面积、水资源保障条件、排水能力、道路通行条件、土壤污染状况等，耕地质量等级评价指标包括但不限于地形部位、质地构型、耕层质地（野外手测初步判定）、耕层厚度等，现场获取各评价指标属性赋值，填写《补充耕地质量鉴定实地踏勘表》。按照《福建省补充耕地质量鉴定技术规程</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》实地踏勘照片拍摄要求，同步拍摄留存专家现场工作照片、景观照片、农田设施照片、污染情况照片，照片信息完整。</w:t>
      </w:r>
    </w:p>
    <w:p w14:paraId="4C8F24EC">
      <w:pPr>
        <w:pStyle w:val="6"/>
        <w:ind w:firstLine="640" w:firstLineChars="200"/>
        <w:jc w:val="both"/>
        <w:rPr>
          <w:rFonts w:hint="default"/>
          <w:sz w:val="32"/>
          <w:szCs w:val="32"/>
        </w:rPr>
      </w:pPr>
      <w:r>
        <w:rPr>
          <w:rFonts w:ascii="FangSong_GB2312" w:hAnsi="FangSong_GB2312" w:eastAsia="FangSong_GB2312" w:cs="FangSong_GB2312"/>
          <w:sz w:val="32"/>
          <w:szCs w:val="32"/>
        </w:rPr>
        <w:t>4、土壤样品采集。充分利用耕种前、收割后的窗口期，按《福建省补充耕地质量鉴定技术规程</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》及《土壤检测第1部分：土壤样品的采集、处理和贮存》(NY/T 1121.1)的要求开展土壤样品采集。包括：①表层土壤混合样品采集；②表层土壤容重样品采集；③土壤侵入体和砾石含量采集；④耕层厚度和有效土层厚度测量。现场填写《补充耕地质量鉴定土壤样品采集记录表》。按照《福建省补充耕地质量鉴定技术规程</w:t>
      </w:r>
      <w:r>
        <w:rPr>
          <w:rFonts w:hint="eastAsia" w:ascii="FangSong_GB2312" w:hAnsi="FangSong_GB2312" w:eastAsia="FangSong_GB2312" w:cs="FangSong_GB2312"/>
          <w:sz w:val="32"/>
          <w:szCs w:val="32"/>
          <w:lang w:eastAsia="zh-CN"/>
        </w:rPr>
        <w:t>（试行）</w:t>
      </w:r>
      <w:r>
        <w:rPr>
          <w:rFonts w:ascii="FangSong_GB2312" w:hAnsi="FangSong_GB2312" w:eastAsia="FangSong_GB2312" w:cs="FangSong_GB2312"/>
          <w:sz w:val="32"/>
          <w:szCs w:val="32"/>
        </w:rPr>
        <w:t>》土壤采样照片要求，同步拍摄并留存土壤混合样品采集照片、四分法工作照片、土壤容重样品采集照片、土壤侵入体和砾石含量采样照片，照片信息完整。</w:t>
      </w:r>
    </w:p>
    <w:p w14:paraId="423DD98A">
      <w:pPr>
        <w:pStyle w:val="6"/>
        <w:ind w:firstLine="640" w:firstLineChars="200"/>
        <w:jc w:val="both"/>
        <w:rPr>
          <w:rFonts w:hint="default"/>
          <w:sz w:val="32"/>
          <w:szCs w:val="32"/>
        </w:rPr>
      </w:pPr>
      <w:r>
        <w:rPr>
          <w:rFonts w:ascii="FangSong_GB2312" w:hAnsi="FangSong_GB2312" w:eastAsia="FangSong_GB2312" w:cs="FangSong_GB2312"/>
          <w:sz w:val="32"/>
          <w:szCs w:val="32"/>
        </w:rPr>
        <w:t>5、土壤样品送检。样品采集完成后，应及时送至采购方指定的样品检测实验室，并做好土样的交接工作。送检前的暂存期间，应妥善保管暂存于室内，确保土壤不损耗、不污染和不被破坏。</w:t>
      </w:r>
    </w:p>
    <w:p w14:paraId="48EB9D78">
      <w:pPr>
        <w:pStyle w:val="6"/>
        <w:ind w:firstLine="640" w:firstLineChars="200"/>
        <w:jc w:val="both"/>
        <w:rPr>
          <w:rFonts w:hint="default"/>
          <w:sz w:val="32"/>
          <w:szCs w:val="32"/>
        </w:rPr>
      </w:pPr>
      <w:r>
        <w:rPr>
          <w:rFonts w:ascii="FangSong_GB2312" w:hAnsi="FangSong_GB2312" w:eastAsia="FangSong_GB2312" w:cs="FangSong_GB2312"/>
          <w:sz w:val="32"/>
          <w:szCs w:val="32"/>
        </w:rPr>
        <w:t>6、农业生产符合性评价。根据现场踏勘和土壤样品检测结果，开展农业生产符合性评价。将农业生产符合性评价指标逐项与对应的阈值进行比较，每个评价单元的采样点指标属性有1个不合格，则判定该评介单元为不合格。农业生产符合性评价不合格的，视为鉴定不通过，出具“鉴定不合格，不建议认定为补充耕地”的鉴定结论，不再进行补充耕地质量等级评价。农业生产符合性评价合格的，出具“鉴定合格，可进行补充耕地质量等级评价”鉴定结论。根据符合性评价结果，出具农业生产符合性评价鉴定意见书。</w:t>
      </w:r>
    </w:p>
    <w:p w14:paraId="776FF538">
      <w:pPr>
        <w:pStyle w:val="6"/>
        <w:ind w:firstLine="640" w:firstLineChars="200"/>
        <w:jc w:val="both"/>
        <w:rPr>
          <w:rFonts w:hint="default"/>
          <w:sz w:val="32"/>
          <w:szCs w:val="32"/>
        </w:rPr>
      </w:pPr>
      <w:r>
        <w:rPr>
          <w:rFonts w:ascii="FangSong_GB2312" w:hAnsi="FangSong_GB2312" w:eastAsia="FangSong_GB2312" w:cs="FangSong_GB2312"/>
          <w:sz w:val="32"/>
          <w:szCs w:val="32"/>
        </w:rPr>
        <w:t>7、耕地质量等级评价。根据《耕地质量等级》（GB/T 33469）国家标准，对农业生产符合性评价合格的补充耕地进行补充耕地质量等级评价，确定耕地质量等级评价结果，生成《耕地质量等级评价报告》，同时将等级评价结果与上一年占用耕地质量平均等级相比，形成评价结论。对于农业生产符合性评价合格，补充耕地质量等级未达到上一年度县域各类占用耕地质量平均等级的地块，将评价结果反馈至项目业主单位，出具培肥指导意见。</w:t>
      </w:r>
    </w:p>
    <w:p w14:paraId="5B994526">
      <w:pPr>
        <w:pStyle w:val="6"/>
        <w:ind w:firstLine="640" w:firstLineChars="200"/>
        <w:jc w:val="both"/>
        <w:rPr>
          <w:rFonts w:hint="default" w:ascii="FangSong_GB2312" w:eastAsia="FangSong_GB2312"/>
          <w:sz w:val="32"/>
          <w:szCs w:val="32"/>
        </w:rPr>
      </w:pPr>
      <w:r>
        <w:rPr>
          <w:rFonts w:ascii="FangSong_GB2312" w:hAnsi="FangSong_GB2312" w:eastAsia="FangSong_GB2312" w:cs="FangSong_GB2312"/>
          <w:sz w:val="32"/>
          <w:szCs w:val="32"/>
        </w:rPr>
        <w:t>8、成果组卷与初鉴意见。收集整理开展补充耕地质量县级初鉴全过程资料，包括县自然资源局移交的补充耕地资料，初鉴过程形成的初鉴工作方案、影像资料、土壤检测报告（开展土壤环境质量评价的，还应包括土壤环境质量评价结果）、《补充耕地质量鉴定实地踏勘表》、《补充耕地质量鉴定土壤混合样品采集记录表》、《农业生产符合性评价鉴定意见书》、耕地质量等级评价报告等技术规范所要求的材料，按档案规范组卷；出具《补充耕地质量鉴定意见》。</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BB4D48D-B166-4FAC-96BD-9B374B0043E7}"/>
  </w:font>
  <w:font w:name="方正小标宋简体">
    <w:panose1 w:val="02000000000000000000"/>
    <w:charset w:val="86"/>
    <w:family w:val="script"/>
    <w:pitch w:val="default"/>
    <w:sig w:usb0="00000001" w:usb1="08000000" w:usb2="00000000" w:usb3="00000000" w:csb0="00040000" w:csb1="00000000"/>
    <w:embedRegular r:id="rId2" w:fontKey="{C36C61A3-E373-4B4C-ACE4-829A5AB295B0}"/>
  </w:font>
  <w:font w:name="FangSong_GB2312">
    <w:altName w:val="仿宋"/>
    <w:panose1 w:val="02010609060101010101"/>
    <w:charset w:val="86"/>
    <w:family w:val="modern"/>
    <w:pitch w:val="default"/>
    <w:sig w:usb0="00000000" w:usb1="00000000" w:usb2="00000016" w:usb3="00000000" w:csb0="00040001" w:csb1="00000000"/>
    <w:embedRegular r:id="rId3" w:fontKey="{3F3E0590-3F4D-4310-B32D-7C8C9F995873}"/>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ED7"/>
    <w:rsid w:val="0009034C"/>
    <w:rsid w:val="002954B1"/>
    <w:rsid w:val="002C649A"/>
    <w:rsid w:val="002E44B4"/>
    <w:rsid w:val="004A7ED7"/>
    <w:rsid w:val="00721891"/>
    <w:rsid w:val="00951774"/>
    <w:rsid w:val="4089689F"/>
    <w:rsid w:val="4AD666AF"/>
    <w:rsid w:val="500A6321"/>
    <w:rsid w:val="512A6776"/>
    <w:rsid w:val="642A2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513"/>
        <w:tab w:val="right" w:pos="902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513"/>
        <w:tab w:val="right" w:pos="9026"/>
      </w:tabs>
      <w:snapToGrid w:val="0"/>
      <w:jc w:val="center"/>
    </w:pPr>
    <w:rPr>
      <w:sz w:val="18"/>
      <w:szCs w:val="18"/>
    </w:rPr>
  </w:style>
  <w:style w:type="paragraph" w:customStyle="1" w:styleId="6">
    <w:name w:val="null3"/>
    <w:hidden/>
    <w:qFormat/>
    <w:uiPriority w:val="0"/>
    <w:rPr>
      <w:rFonts w:hint="eastAsia" w:asciiTheme="minorHAnsi" w:hAnsiTheme="minorHAnsi" w:eastAsiaTheme="minorEastAsia" w:cstheme="minorBidi"/>
      <w:kern w:val="0"/>
      <w:sz w:val="20"/>
      <w:szCs w:val="20"/>
      <w:lang w:val="en-US" w:eastAsia="zh-CN" w:bidi="ar-SA"/>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2012dnd.com</Company>
  <Pages>4</Pages>
  <Words>2215</Words>
  <Characters>2271</Characters>
  <Lines>16</Lines>
  <Paragraphs>4</Paragraphs>
  <TotalTime>17</TotalTime>
  <ScaleCrop>false</ScaleCrop>
  <LinksUpToDate>false</LinksUpToDate>
  <CharactersWithSpaces>2275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2026-08-28T00:47:00Z</dcterms:created>
  <dc:creator>Administrator</dc:creator>
  <cp:lastModifiedBy>咻</cp:lastModifiedBy>
  <dcterms:modified xsi:type="dcterms:W3CDTF">2026-08-31T02:39:51Z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eyJoZGlkIjoiMzg1ZTBjNTQyNjI2OGNlMmM1YTlmNzlmN2IyNzA1YTQiLCJ1c2VySWQiOiIzMzczODI3MTEifQ==</vt:lpwstr>
  </property>
  <property fmtid="{D5CDD505-2E9C-101B-9397-08002B2CF9AE}" pid="3" name="KSOProductBuildVer">
    <vt:lpwstr>2052-12.1.0.28043</vt:lpwstr>
  </property>
  <property fmtid="{D5CDD505-2E9C-101B-9397-08002B2CF9AE}" pid="4" name="ICV">
    <vt:lpwstr>A82BB07181414DF6A8D7DD60DAC26CC5_13</vt:lpwstr>
  </property>
</Properties>
</file>