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2727E">
      <w:pPr>
        <w:snapToGrid w:val="0"/>
        <w:spacing w:after="0" w:line="240" w:lineRule="atLeast"/>
        <w:jc w:val="center"/>
        <w:rPr>
          <w:rFonts w:ascii="方正小标宋简体" w:eastAsia="方正小标宋简体"/>
          <w:sz w:val="44"/>
          <w:szCs w:val="44"/>
        </w:rPr>
      </w:pPr>
    </w:p>
    <w:p w14:paraId="5B88B404">
      <w:pPr>
        <w:snapToGrid w:val="0"/>
        <w:spacing w:after="0" w:line="240" w:lineRule="atLeast"/>
        <w:jc w:val="center"/>
        <w:rPr>
          <w:rFonts w:ascii="方正小标宋简体" w:eastAsia="方正小标宋简体"/>
          <w:sz w:val="44"/>
          <w:szCs w:val="44"/>
        </w:rPr>
      </w:pPr>
      <w:r>
        <w:rPr>
          <w:rFonts w:hint="eastAsia" w:ascii="方正小标宋简体" w:eastAsia="方正小标宋简体"/>
          <w:sz w:val="44"/>
          <w:szCs w:val="44"/>
        </w:rPr>
        <w:t>明溪县市场监督管理局</w:t>
      </w:r>
    </w:p>
    <w:p w14:paraId="457A4006">
      <w:pPr>
        <w:snapToGrid w:val="0"/>
        <w:spacing w:after="0" w:line="240" w:lineRule="atLeast"/>
        <w:jc w:val="center"/>
        <w:rPr>
          <w:rFonts w:ascii="方正小标宋简体" w:eastAsia="方正小标宋简体"/>
          <w:sz w:val="44"/>
          <w:szCs w:val="44"/>
        </w:rPr>
      </w:pPr>
      <w:r>
        <w:rPr>
          <w:rFonts w:hint="eastAsia" w:ascii="方正小标宋简体" w:eastAsia="方正小标宋简体"/>
          <w:sz w:val="44"/>
          <w:szCs w:val="44"/>
        </w:rPr>
        <w:t>关于申报202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年度生物医药产业奖补的</w:t>
      </w:r>
    </w:p>
    <w:p w14:paraId="34D60F4B">
      <w:pPr>
        <w:snapToGrid w:val="0"/>
        <w:spacing w:after="0" w:line="240" w:lineRule="atLeast"/>
        <w:jc w:val="center"/>
        <w:rPr>
          <w:rFonts w:hint="eastAsia" w:ascii="方正小标宋简体" w:eastAsia="方正小标宋简体"/>
          <w:sz w:val="44"/>
          <w:szCs w:val="44"/>
        </w:rPr>
      </w:pPr>
      <w:r>
        <w:rPr>
          <w:rFonts w:hint="eastAsia" w:ascii="方正小标宋简体" w:eastAsia="方正小标宋简体"/>
          <w:sz w:val="44"/>
          <w:szCs w:val="44"/>
        </w:rPr>
        <w:t>公示</w:t>
      </w:r>
    </w:p>
    <w:p w14:paraId="3915058F">
      <w:pPr>
        <w:rPr>
          <w:rFonts w:hint="eastAsia"/>
        </w:rPr>
      </w:pPr>
      <w:r>
        <w:t></w:t>
      </w:r>
    </w:p>
    <w:p w14:paraId="15B4A7CA">
      <w:pPr>
        <w:ind w:firstLine="640" w:firstLineChars="200"/>
        <w:jc w:val="both"/>
        <w:rPr>
          <w:rFonts w:hint="eastAsia" w:ascii="仿宋_GB2312" w:eastAsia="仿宋_GB2312"/>
          <w:sz w:val="32"/>
          <w:szCs w:val="32"/>
        </w:rPr>
      </w:pPr>
      <w:r>
        <w:rPr>
          <w:rFonts w:hint="eastAsia" w:ascii="仿宋_GB2312" w:eastAsia="仿宋_GB2312"/>
          <w:sz w:val="32"/>
          <w:szCs w:val="32"/>
        </w:rPr>
        <w:t>根据《明溪县人民政府关于印发明溪县促进生物医药产业加快聚集发展若干措施的通知》（明政文〔2023〕29 号）及《明溪县人民政府关于修订&lt;明溪县促进生物医药产业加快聚集发展若干措施&gt;部分内容的通知》（明政规〔2024〕4号）文件精神，明溪县市场监督管理局依照职责分工，会同有关部门组织开展了202</w:t>
      </w:r>
      <w:r>
        <w:rPr>
          <w:rFonts w:hint="eastAsia" w:ascii="仿宋_GB2312" w:eastAsia="仿宋_GB2312"/>
          <w:sz w:val="32"/>
          <w:szCs w:val="32"/>
          <w:lang w:val="en-US" w:eastAsia="zh-CN"/>
        </w:rPr>
        <w:t>5</w:t>
      </w:r>
      <w:r>
        <w:rPr>
          <w:rFonts w:hint="eastAsia" w:ascii="仿宋_GB2312" w:eastAsia="仿宋_GB2312"/>
          <w:sz w:val="32"/>
          <w:szCs w:val="32"/>
        </w:rPr>
        <w:t>年度生物医药产业奖补有关项目的申报工作。经企业申报和牵头单位、责任单位、协审单位、县分管领导审核，汇总拟定了202</w:t>
      </w:r>
      <w:r>
        <w:rPr>
          <w:rFonts w:hint="eastAsia" w:ascii="仿宋_GB2312" w:eastAsia="仿宋_GB2312"/>
          <w:sz w:val="32"/>
          <w:szCs w:val="32"/>
          <w:lang w:val="en-US" w:eastAsia="zh-CN"/>
        </w:rPr>
        <w:t>5</w:t>
      </w:r>
      <w:r>
        <w:rPr>
          <w:rFonts w:hint="eastAsia" w:ascii="仿宋_GB2312" w:eastAsia="仿宋_GB2312"/>
          <w:sz w:val="32"/>
          <w:szCs w:val="32"/>
        </w:rPr>
        <w:t>年度生物医药产业拟奖补企业名单。现将有关情况公示如下：</w:t>
      </w:r>
    </w:p>
    <w:tbl>
      <w:tblPr>
        <w:tblStyle w:val="13"/>
        <w:tblW w:w="8412" w:type="dxa"/>
        <w:tblInd w:w="88" w:type="dxa"/>
        <w:tblLayout w:type="fixed"/>
        <w:tblCellMar>
          <w:top w:w="0" w:type="dxa"/>
          <w:left w:w="108" w:type="dxa"/>
          <w:bottom w:w="0" w:type="dxa"/>
          <w:right w:w="108" w:type="dxa"/>
        </w:tblCellMar>
      </w:tblPr>
      <w:tblGrid>
        <w:gridCol w:w="900"/>
        <w:gridCol w:w="2268"/>
        <w:gridCol w:w="3118"/>
        <w:gridCol w:w="2126"/>
      </w:tblGrid>
      <w:tr w14:paraId="323801F2">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8AAF3">
            <w:pPr>
              <w:widowControl/>
              <w:spacing w:line="500" w:lineRule="exact"/>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序号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D9B0">
            <w:pPr>
              <w:widowControl/>
              <w:spacing w:line="500" w:lineRule="exact"/>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申报企业</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EB42">
            <w:pPr>
              <w:widowControl/>
              <w:spacing w:line="500" w:lineRule="exact"/>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拟申报奖补项目</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3744">
            <w:pPr>
              <w:widowControl/>
              <w:spacing w:line="500" w:lineRule="exact"/>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拟申报奖补  金额（万元）</w:t>
            </w:r>
          </w:p>
        </w:tc>
      </w:tr>
      <w:tr w14:paraId="7B989F2D">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7D61">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AB42">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福建南方制药 股份有限公司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E596">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val="en-US" w:eastAsia="zh-CN" w:bidi="ar"/>
              </w:rPr>
              <w:t>艾曲泊帕乙醇胺</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6077">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r>
      <w:tr w14:paraId="0155D080">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7B8F">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DA51">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福建南方制药 股份有限公司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2633">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eastAsia="zh-CN" w:bidi="ar"/>
              </w:rPr>
              <w:t>巴瑞替尼</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4507">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r>
      <w:tr w14:paraId="62FD978F">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5F65">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7591">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福建南方制药 股份有限公司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12BE">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eastAsia="zh-CN" w:bidi="ar"/>
              </w:rPr>
              <w:t>氢醌</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DF69">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r>
      <w:tr w14:paraId="562CAF14">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2FAD">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DAD0">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福建南方制药 股份有限公司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24AC">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eastAsia="zh-CN" w:bidi="ar"/>
              </w:rPr>
              <w:t>米诺地尔</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9C6C">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r>
      <w:tr w14:paraId="3FAEBA13">
        <w:tblPrEx>
          <w:tblCellMar>
            <w:top w:w="0" w:type="dxa"/>
            <w:left w:w="108" w:type="dxa"/>
            <w:bottom w:w="0" w:type="dxa"/>
            <w:right w:w="108" w:type="dxa"/>
          </w:tblCellMar>
        </w:tblPrEx>
        <w:trPr>
          <w:wAfter w:w="0" w:type="auto"/>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75EC">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A88B">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福建南方制药 股份有限公司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8CC1">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eastAsia="zh-CN" w:bidi="ar"/>
              </w:rPr>
              <w:t>碳酸镧</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7AB1">
            <w:pPr>
              <w:widowControl/>
              <w:spacing w:line="5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r>
      <w:tr w14:paraId="3DF9E67C">
        <w:tblPrEx>
          <w:tblCellMar>
            <w:top w:w="0" w:type="dxa"/>
            <w:left w:w="108" w:type="dxa"/>
            <w:bottom w:w="0" w:type="dxa"/>
            <w:right w:w="108" w:type="dxa"/>
          </w:tblCellMar>
        </w:tblPrEx>
        <w:trPr>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625E7D52">
            <w:pPr>
              <w:jc w:val="center"/>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sz w:val="28"/>
                <w:szCs w:val="28"/>
                <w:lang w:val="en-US" w:eastAsia="zh-CN"/>
              </w:rPr>
              <w:t>6</w:t>
            </w:r>
          </w:p>
        </w:tc>
        <w:tc>
          <w:tcPr>
            <w:tcW w:w="2268" w:type="dxa"/>
            <w:tcBorders>
              <w:top w:val="single" w:color="000000" w:sz="4" w:space="0"/>
              <w:left w:val="single" w:color="000000" w:sz="4" w:space="0"/>
              <w:bottom w:val="single" w:color="000000" w:sz="4" w:space="0"/>
              <w:right w:val="single" w:color="000000" w:sz="4" w:space="0"/>
            </w:tcBorders>
            <w:shd w:val="clear"/>
            <w:noWrap/>
            <w:vAlign w:val="center"/>
          </w:tcPr>
          <w:p w14:paraId="488EA6AB">
            <w:pPr>
              <w:jc w:val="center"/>
              <w:rPr>
                <w:rFonts w:hint="eastAsia" w:ascii="仿宋_GB2312" w:hAnsi="仿宋_GB2312" w:eastAsia="仿宋_GB2312" w:cs="仿宋_GB2312"/>
                <w:b/>
                <w:bCs/>
                <w:kern w:val="2"/>
                <w:sz w:val="28"/>
                <w:szCs w:val="28"/>
                <w:lang w:val="en-US" w:eastAsia="zh-CN" w:bidi="ar-SA"/>
                <w14:ligatures w14:val="standardContextual"/>
              </w:rPr>
            </w:pPr>
            <w:r>
              <w:rPr>
                <w:rFonts w:hint="eastAsia" w:ascii="仿宋_GB2312" w:hAnsi="仿宋_GB2312" w:eastAsia="仿宋_GB2312" w:cs="仿宋_GB2312"/>
                <w:color w:val="000000"/>
                <w:kern w:val="0"/>
                <w:sz w:val="28"/>
                <w:szCs w:val="28"/>
                <w:lang w:bidi="ar"/>
              </w:rPr>
              <w:t>福建</w:t>
            </w:r>
            <w:r>
              <w:rPr>
                <w:rFonts w:hint="eastAsia" w:ascii="仿宋_GB2312" w:hAnsi="仿宋_GB2312" w:eastAsia="仿宋_GB2312" w:cs="仿宋_GB2312"/>
                <w:color w:val="000000"/>
                <w:kern w:val="0"/>
                <w:sz w:val="28"/>
                <w:szCs w:val="28"/>
                <w:lang w:eastAsia="zh-CN" w:bidi="ar"/>
              </w:rPr>
              <w:t>紫杉园生物</w:t>
            </w:r>
            <w:r>
              <w:rPr>
                <w:rFonts w:hint="eastAsia" w:ascii="仿宋_GB2312" w:hAnsi="仿宋_GB2312" w:eastAsia="仿宋_GB2312" w:cs="仿宋_GB2312"/>
                <w:color w:val="000000"/>
                <w:kern w:val="0"/>
                <w:sz w:val="28"/>
                <w:szCs w:val="28"/>
                <w:lang w:bidi="ar"/>
              </w:rPr>
              <w:t>有限公司</w:t>
            </w:r>
          </w:p>
        </w:tc>
        <w:tc>
          <w:tcPr>
            <w:tcW w:w="3118" w:type="dxa"/>
            <w:tcBorders>
              <w:top w:val="single" w:color="000000" w:sz="4" w:space="0"/>
              <w:left w:val="single" w:color="000000" w:sz="4" w:space="0"/>
              <w:bottom w:val="single" w:color="000000" w:sz="4" w:space="0"/>
              <w:right w:val="single" w:color="000000" w:sz="4" w:space="0"/>
            </w:tcBorders>
            <w:shd w:val="clear"/>
            <w:noWrap/>
            <w:vAlign w:val="center"/>
          </w:tcPr>
          <w:p w14:paraId="35AF8308">
            <w:pPr>
              <w:jc w:val="center"/>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color w:val="000000"/>
                <w:kern w:val="0"/>
                <w:sz w:val="28"/>
                <w:szCs w:val="28"/>
                <w:lang w:eastAsia="zh-CN" w:bidi="ar"/>
              </w:rPr>
              <w:t>紫杉醇</w:t>
            </w:r>
            <w:r>
              <w:rPr>
                <w:rFonts w:hint="eastAsia" w:ascii="仿宋_GB2312" w:hAnsi="仿宋_GB2312" w:eastAsia="仿宋_GB2312" w:cs="仿宋_GB2312"/>
                <w:color w:val="000000"/>
                <w:kern w:val="0"/>
                <w:sz w:val="28"/>
                <w:szCs w:val="28"/>
                <w:lang w:bidi="ar"/>
              </w:rPr>
              <w:t>上市批准及实现产业化</w:t>
            </w:r>
          </w:p>
        </w:tc>
        <w:tc>
          <w:tcPr>
            <w:tcW w:w="2126" w:type="dxa"/>
            <w:tcBorders>
              <w:top w:val="single" w:color="000000" w:sz="4" w:space="0"/>
              <w:left w:val="single" w:color="000000" w:sz="4" w:space="0"/>
              <w:bottom w:val="single" w:color="000000" w:sz="4" w:space="0"/>
              <w:right w:val="single" w:color="000000" w:sz="4" w:space="0"/>
            </w:tcBorders>
            <w:shd w:val="clear"/>
            <w:noWrap/>
            <w:vAlign w:val="center"/>
          </w:tcPr>
          <w:p w14:paraId="74C2163B">
            <w:pPr>
              <w:jc w:val="center"/>
              <w:rPr>
                <w:rFonts w:hint="eastAsia" w:ascii="仿宋_GB2312" w:hAnsi="仿宋_GB2312" w:eastAsia="仿宋_GB2312" w:cs="仿宋_GB2312"/>
                <w:b/>
                <w:bCs/>
                <w:kern w:val="2"/>
                <w:sz w:val="28"/>
                <w:szCs w:val="28"/>
                <w:lang w:val="en-US" w:eastAsia="zh-CN" w:bidi="ar-SA"/>
                <w14:ligatures w14:val="standardContextual"/>
              </w:rPr>
            </w:pPr>
            <w:r>
              <w:rPr>
                <w:rFonts w:hint="eastAsia" w:ascii="仿宋_GB2312" w:hAnsi="仿宋_GB2312" w:eastAsia="仿宋_GB2312" w:cs="仿宋_GB2312"/>
                <w:color w:val="000000"/>
                <w:kern w:val="0"/>
                <w:sz w:val="28"/>
                <w:szCs w:val="28"/>
                <w:lang w:bidi="ar"/>
              </w:rPr>
              <w:t>20</w:t>
            </w:r>
          </w:p>
        </w:tc>
      </w:tr>
      <w:tr w14:paraId="6EEE2EAB">
        <w:tblPrEx>
          <w:tblCellMar>
            <w:top w:w="0" w:type="dxa"/>
            <w:left w:w="108" w:type="dxa"/>
            <w:bottom w:w="0" w:type="dxa"/>
            <w:right w:w="108" w:type="dxa"/>
          </w:tblCellMar>
        </w:tblPrEx>
        <w:trPr>
          <w:trHeight w:val="1077" w:hRule="atLeast"/>
        </w:trPr>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61E9A358">
            <w:pPr>
              <w:jc w:val="center"/>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sz w:val="28"/>
                <w:szCs w:val="28"/>
                <w:lang w:val="en-US" w:eastAsia="zh-CN"/>
              </w:rPr>
              <w:t>7</w:t>
            </w:r>
          </w:p>
        </w:tc>
        <w:tc>
          <w:tcPr>
            <w:tcW w:w="2268" w:type="dxa"/>
            <w:tcBorders>
              <w:top w:val="single" w:color="000000" w:sz="4" w:space="0"/>
              <w:left w:val="single" w:color="000000" w:sz="4" w:space="0"/>
              <w:bottom w:val="single" w:color="000000" w:sz="4" w:space="0"/>
              <w:right w:val="single" w:color="000000" w:sz="4" w:space="0"/>
            </w:tcBorders>
            <w:shd w:val="clear"/>
            <w:noWrap/>
            <w:vAlign w:val="center"/>
          </w:tcPr>
          <w:p w14:paraId="63C1B6A0">
            <w:pPr>
              <w:jc w:val="center"/>
              <w:rPr>
                <w:rFonts w:hint="eastAsia" w:ascii="仿宋_GB2312" w:hAnsi="仿宋_GB2312" w:eastAsia="仿宋_GB2312" w:cs="仿宋_GB2312"/>
                <w:color w:val="000000"/>
                <w:kern w:val="0"/>
                <w:sz w:val="28"/>
                <w:szCs w:val="28"/>
                <w:lang w:val="en-US" w:eastAsia="zh-CN" w:bidi="ar"/>
                <w14:ligatures w14:val="standardContextual"/>
              </w:rPr>
            </w:pPr>
            <w:r>
              <w:rPr>
                <w:rFonts w:hint="eastAsia" w:ascii="仿宋_GB2312" w:hAnsi="仿宋_GB2312" w:eastAsia="仿宋_GB2312" w:cs="仿宋_GB2312"/>
                <w:color w:val="000000"/>
                <w:kern w:val="0"/>
                <w:sz w:val="28"/>
                <w:szCs w:val="28"/>
                <w:lang w:bidi="ar"/>
              </w:rPr>
              <w:t>福建南方制药股份有限公司</w:t>
            </w:r>
          </w:p>
        </w:tc>
        <w:tc>
          <w:tcPr>
            <w:tcW w:w="3118" w:type="dxa"/>
            <w:tcBorders>
              <w:top w:val="single" w:color="000000" w:sz="4" w:space="0"/>
              <w:left w:val="single" w:color="000000" w:sz="4" w:space="0"/>
              <w:bottom w:val="single" w:color="000000" w:sz="4" w:space="0"/>
              <w:right w:val="single" w:color="000000" w:sz="4" w:space="0"/>
            </w:tcBorders>
            <w:shd w:val="clear"/>
            <w:noWrap/>
            <w:vAlign w:val="center"/>
          </w:tcPr>
          <w:p w14:paraId="7204503A">
            <w:pPr>
              <w:jc w:val="center"/>
              <w:rPr>
                <w:rFonts w:hint="eastAsia" w:ascii="仿宋_GB2312" w:hAnsi="仿宋_GB2312" w:eastAsia="仿宋_GB2312" w:cs="仿宋_GB2312"/>
                <w:color w:val="000000"/>
                <w:kern w:val="0"/>
                <w:sz w:val="28"/>
                <w:szCs w:val="28"/>
                <w:lang w:val="en-US" w:eastAsia="zh-CN" w:bidi="ar"/>
                <w14:ligatures w14:val="standardContextual"/>
              </w:rPr>
            </w:pPr>
            <w:r>
              <w:rPr>
                <w:rFonts w:hint="eastAsia" w:ascii="仿宋_GB2312" w:hAnsi="仿宋_GB2312" w:eastAsia="仿宋_GB2312" w:cs="仿宋_GB2312"/>
                <w:color w:val="000000"/>
                <w:kern w:val="0"/>
                <w:sz w:val="28"/>
                <w:szCs w:val="28"/>
                <w:lang w:eastAsia="zh-CN" w:bidi="ar"/>
              </w:rPr>
              <w:t>多西他赛原料药获得境外上市资质并在相关国外市场实现销售</w:t>
            </w:r>
          </w:p>
        </w:tc>
        <w:tc>
          <w:tcPr>
            <w:tcW w:w="2126" w:type="dxa"/>
            <w:tcBorders>
              <w:top w:val="single" w:color="000000" w:sz="4" w:space="0"/>
              <w:left w:val="single" w:color="000000" w:sz="4" w:space="0"/>
              <w:bottom w:val="single" w:color="000000" w:sz="4" w:space="0"/>
              <w:right w:val="single" w:color="000000" w:sz="4" w:space="0"/>
            </w:tcBorders>
            <w:shd w:val="clear"/>
            <w:noWrap/>
            <w:vAlign w:val="center"/>
          </w:tcPr>
          <w:p w14:paraId="2FA4F98B">
            <w:pPr>
              <w:jc w:val="center"/>
              <w:rPr>
                <w:rFonts w:hint="eastAsia" w:ascii="仿宋_GB2312" w:hAnsi="仿宋_GB2312" w:eastAsia="仿宋_GB2312" w:cs="仿宋_GB2312"/>
                <w:color w:val="000000"/>
                <w:kern w:val="0"/>
                <w:sz w:val="28"/>
                <w:szCs w:val="28"/>
                <w:lang w:val="en-US" w:eastAsia="zh-CN" w:bidi="ar"/>
                <w14:ligatures w14:val="standardContextual"/>
              </w:rPr>
            </w:pPr>
            <w:r>
              <w:rPr>
                <w:rFonts w:hint="eastAsia" w:ascii="仿宋_GB2312" w:hAnsi="仿宋_GB2312" w:eastAsia="仿宋_GB2312" w:cs="仿宋_GB2312"/>
                <w:color w:val="000000"/>
                <w:kern w:val="0"/>
                <w:sz w:val="28"/>
                <w:szCs w:val="28"/>
                <w:lang w:val="en-US" w:eastAsia="zh-CN" w:bidi="ar"/>
              </w:rPr>
              <w:t>30</w:t>
            </w:r>
          </w:p>
        </w:tc>
      </w:tr>
      <w:tr w14:paraId="042FEB5E">
        <w:tblPrEx>
          <w:tblCellMar>
            <w:top w:w="0" w:type="dxa"/>
            <w:left w:w="108" w:type="dxa"/>
            <w:bottom w:w="0" w:type="dxa"/>
            <w:right w:w="108" w:type="dxa"/>
          </w:tblCellMar>
        </w:tblPrEx>
        <w:trPr>
          <w:wAfter w:w="0" w:type="auto"/>
          <w:trHeight w:val="1077" w:hRule="atLeast"/>
        </w:trPr>
        <w:tc>
          <w:tcPr>
            <w:tcW w:w="62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1A0F">
            <w:pPr>
              <w:widowControl/>
              <w:spacing w:line="500" w:lineRule="exact"/>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合计</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AE35">
            <w:pPr>
              <w:widowControl/>
              <w:spacing w:line="500" w:lineRule="exact"/>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1</w:t>
            </w:r>
            <w:r>
              <w:rPr>
                <w:rFonts w:hint="eastAsia" w:ascii="仿宋_GB2312" w:hAnsi="仿宋_GB2312" w:eastAsia="仿宋_GB2312" w:cs="仿宋_GB2312"/>
                <w:b/>
                <w:bCs/>
                <w:color w:val="000000"/>
                <w:kern w:val="0"/>
                <w:sz w:val="28"/>
                <w:szCs w:val="28"/>
                <w:lang w:val="en-US" w:eastAsia="zh-CN" w:bidi="ar"/>
              </w:rPr>
              <w:t>5</w:t>
            </w:r>
            <w:r>
              <w:rPr>
                <w:rFonts w:hint="eastAsia" w:ascii="仿宋_GB2312" w:hAnsi="仿宋_GB2312" w:eastAsia="仿宋_GB2312" w:cs="仿宋_GB2312"/>
                <w:b/>
                <w:bCs/>
                <w:color w:val="000000"/>
                <w:kern w:val="0"/>
                <w:sz w:val="28"/>
                <w:szCs w:val="28"/>
                <w:lang w:bidi="ar"/>
              </w:rPr>
              <w:t>0</w:t>
            </w:r>
          </w:p>
        </w:tc>
      </w:tr>
    </w:tbl>
    <w:p w14:paraId="11F5CF79">
      <w:pPr>
        <w:ind w:firstLine="435"/>
        <w:rPr>
          <w:rFonts w:hint="eastAsia"/>
        </w:rPr>
      </w:pPr>
    </w:p>
    <w:p w14:paraId="14322E40">
      <w:pPr>
        <w:snapToGrid w:val="0"/>
        <w:spacing w:after="0" w:line="600" w:lineRule="exact"/>
        <w:ind w:firstLine="640" w:firstLineChars="200"/>
        <w:jc w:val="both"/>
        <w:rPr>
          <w:rFonts w:hint="eastAsia" w:ascii="仿宋_GB2312" w:eastAsia="仿宋_GB2312"/>
          <w:sz w:val="32"/>
          <w:szCs w:val="32"/>
        </w:rPr>
      </w:pPr>
      <w:r>
        <w:rPr>
          <w:rFonts w:hint="eastAsia" w:ascii="仿宋_GB2312" w:eastAsia="仿宋_GB2312"/>
          <w:sz w:val="32"/>
          <w:szCs w:val="32"/>
        </w:rPr>
        <w:t>公示期为7天（自202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日起至202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日），如有异议，请于公示期内向明溪县市场监督管理局药品医疗器械监督管理股提出。</w:t>
      </w:r>
    </w:p>
    <w:p w14:paraId="64251362">
      <w:pPr>
        <w:snapToGrid w:val="0"/>
        <w:spacing w:after="0" w:line="600" w:lineRule="exact"/>
        <w:jc w:val="both"/>
        <w:rPr>
          <w:rFonts w:hint="eastAsia" w:ascii="仿宋_GB2312" w:eastAsia="仿宋_GB2312"/>
          <w:sz w:val="32"/>
          <w:szCs w:val="32"/>
        </w:rPr>
      </w:pPr>
      <w:r>
        <w:rPr>
          <w:rFonts w:hint="eastAsia" w:ascii="仿宋_GB2312" w:eastAsia="仿宋_GB2312"/>
          <w:sz w:val="32"/>
          <w:szCs w:val="32"/>
        </w:rPr>
        <w:t>　　联系人：张丽华，联系电话：0598-8758395。</w:t>
      </w:r>
    </w:p>
    <w:p w14:paraId="07383933">
      <w:pPr>
        <w:jc w:val="both"/>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4C"/>
    <w:rsid w:val="00122C14"/>
    <w:rsid w:val="00164AC9"/>
    <w:rsid w:val="00206F4C"/>
    <w:rsid w:val="002113C0"/>
    <w:rsid w:val="00265FD1"/>
    <w:rsid w:val="006C3EFF"/>
    <w:rsid w:val="00731388"/>
    <w:rsid w:val="007B0F8C"/>
    <w:rsid w:val="008C7D76"/>
    <w:rsid w:val="00955A29"/>
    <w:rsid w:val="009567DE"/>
    <w:rsid w:val="00A41370"/>
    <w:rsid w:val="00AC05B0"/>
    <w:rsid w:val="00BC2872"/>
    <w:rsid w:val="00C014A9"/>
    <w:rsid w:val="00C347A7"/>
    <w:rsid w:val="00DE12F3"/>
    <w:rsid w:val="00EB188B"/>
    <w:rsid w:val="00F0298C"/>
    <w:rsid w:val="00F070BB"/>
    <w:rsid w:val="527D6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489</Words>
  <Characters>531</Characters>
  <Lines>4</Lines>
  <Paragraphs>1</Paragraphs>
  <TotalTime>1</TotalTime>
  <ScaleCrop>false</ScaleCrop>
  <LinksUpToDate>false</LinksUpToDate>
  <CharactersWithSpaces>542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2025-06-23T08:21:00Z</dcterms:created>
  <dc:creator>耿晖 温</dc:creator>
  <cp:lastModifiedBy>张丽华</cp:lastModifiedBy>
  <dcterms:modified xsi:type="dcterms:W3CDTF">2026-08-18T03:33:33Z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eyJoZGlkIjoiODM2YzhlMmZjNmE3ODZmMWExZjViOGRkYmM3Y2U0MmYiLCJ1c2VySWQiOiI5NjkzMjk0NjQifQ==</vt:lpwstr>
  </property>
  <property fmtid="{D5CDD505-2E9C-101B-9397-08002B2CF9AE}" pid="3" name="KSOProductBuildVer">
    <vt:lpwstr>2052-12.1.0.28043</vt:lpwstr>
  </property>
  <property fmtid="{D5CDD505-2E9C-101B-9397-08002B2CF9AE}" pid="4" name="ICV">
    <vt:lpwstr>83F8A3D4E6E24E01BE348AEEEA25D330_12</vt:lpwstr>
  </property>
</Properties>
</file>