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B9FED7">
      <w:pPr>
        <w:spacing w:line="360" w:lineRule="auto"/>
        <w:jc w:val="center"/>
        <w:rPr>
          <w:rFonts w:hint="eastAsia" w:ascii="黑体" w:hAnsi="黑体" w:eastAsia="黑体" w:cs="黑体"/>
          <w:b/>
          <w:color w:val="000000"/>
          <w:sz w:val="36"/>
          <w:szCs w:val="36"/>
        </w:rPr>
      </w:pPr>
      <w:bookmarkStart w:id="1" w:name="_GoBack"/>
      <w:bookmarkEnd w:id="1"/>
    </w:p>
    <w:p w14:paraId="170C7B1D">
      <w:pPr>
        <w:spacing w:line="360" w:lineRule="auto"/>
        <w:jc w:val="center"/>
        <w:rPr>
          <w:rFonts w:ascii="黑体" w:hAnsi="黑体" w:eastAsia="黑体" w:cs="黑体"/>
          <w:b/>
          <w:color w:val="000000"/>
          <w:sz w:val="44"/>
          <w:szCs w:val="44"/>
        </w:rPr>
      </w:pPr>
      <w:r>
        <w:rPr>
          <w:rFonts w:hint="eastAsia" w:ascii="黑体" w:hAnsi="黑体" w:eastAsia="黑体" w:cs="黑体"/>
          <w:b/>
          <w:color w:val="000000"/>
          <w:sz w:val="44"/>
          <w:szCs w:val="44"/>
        </w:rPr>
        <w:t>《明溪县瀚仙矿场上龙坑方解石矿开采方案》</w:t>
      </w:r>
    </w:p>
    <w:p w14:paraId="5D497D9A">
      <w:pPr>
        <w:pStyle w:val="10"/>
        <w:rPr>
          <w:sz w:val="36"/>
          <w:szCs w:val="36"/>
        </w:rPr>
      </w:pPr>
    </w:p>
    <w:p w14:paraId="215BA87E">
      <w:pPr>
        <w:spacing w:line="360" w:lineRule="auto"/>
        <w:jc w:val="center"/>
        <w:rPr>
          <w:rFonts w:cs="仿宋"/>
          <w:b/>
          <w:sz w:val="35"/>
          <w:szCs w:val="35"/>
        </w:rPr>
      </w:pPr>
    </w:p>
    <w:p w14:paraId="228D28DB">
      <w:pPr>
        <w:spacing w:line="360" w:lineRule="auto"/>
        <w:jc w:val="center"/>
        <w:rPr>
          <w:rFonts w:hint="eastAsia" w:ascii="黑体" w:hAnsi="黑体" w:eastAsia="黑体" w:cs="黑体"/>
          <w:b/>
          <w:sz w:val="72"/>
          <w:szCs w:val="72"/>
        </w:rPr>
      </w:pPr>
      <w:r>
        <w:rPr>
          <w:rFonts w:hint="eastAsia" w:ascii="黑体" w:hAnsi="黑体" w:eastAsia="黑体" w:cs="黑体"/>
          <w:b/>
          <w:sz w:val="72"/>
          <w:szCs w:val="72"/>
        </w:rPr>
        <w:t>评 审 意 见 书</w:t>
      </w:r>
    </w:p>
    <w:p w14:paraId="03521664">
      <w:pPr>
        <w:pStyle w:val="10"/>
        <w:jc w:val="center"/>
        <w:rPr>
          <w:color w:val="auto"/>
          <w:lang w:val="en-US" w:eastAsia="zh-CN"/>
        </w:rPr>
      </w:pPr>
      <w:r>
        <w:rPr>
          <w:rFonts w:hint="eastAsia" w:ascii="黑体" w:hAnsi="黑体" w:eastAsia="黑体" w:cs="黑体"/>
          <w:color w:val="auto"/>
          <w:sz w:val="28"/>
          <w:szCs w:val="28"/>
          <w:lang w:val="en-US" w:eastAsia="zh-CN"/>
        </w:rPr>
        <w:t>明自然资开发审</w:t>
      </w:r>
      <w:r>
        <w:rPr>
          <w:rFonts w:hint="eastAsia" w:ascii="黑体" w:hAnsi="黑体" w:eastAsia="黑体" w:cs="黑体"/>
          <w:color w:val="auto"/>
          <w:sz w:val="28"/>
          <w:szCs w:val="28"/>
        </w:rPr>
        <w:t>〔202</w:t>
      </w:r>
      <w:r>
        <w:rPr>
          <w:rFonts w:hint="eastAsia" w:ascii="黑体" w:hAnsi="黑体" w:eastAsia="黑体" w:cs="黑体"/>
          <w:color w:val="auto"/>
          <w:sz w:val="28"/>
          <w:szCs w:val="28"/>
          <w:lang w:val="en-US" w:eastAsia="zh-CN"/>
        </w:rPr>
        <w:t>6</w:t>
      </w:r>
      <w:r>
        <w:rPr>
          <w:rFonts w:hint="eastAsia" w:ascii="黑体" w:hAnsi="黑体" w:eastAsia="黑体" w:cs="黑体"/>
          <w:color w:val="auto"/>
          <w:sz w:val="28"/>
          <w:szCs w:val="28"/>
        </w:rPr>
        <w:t>〕</w:t>
      </w:r>
      <w:r>
        <w:rPr>
          <w:rFonts w:hint="eastAsia" w:ascii="黑体" w:hAnsi="黑体" w:eastAsia="黑体" w:cs="黑体"/>
          <w:color w:val="auto"/>
          <w:sz w:val="28"/>
          <w:szCs w:val="28"/>
          <w:lang w:eastAsia="zh-CN"/>
        </w:rPr>
        <w:t>0</w:t>
      </w:r>
      <w:r>
        <w:rPr>
          <w:rFonts w:hint="eastAsia" w:ascii="黑体" w:hAnsi="黑体" w:eastAsia="黑体" w:cs="黑体"/>
          <w:color w:val="auto"/>
          <w:sz w:val="28"/>
          <w:szCs w:val="28"/>
          <w:lang w:val="en-US" w:eastAsia="zh-CN"/>
        </w:rPr>
        <w:t>2</w:t>
      </w:r>
      <w:r>
        <w:rPr>
          <w:rFonts w:hint="eastAsia" w:ascii="黑体" w:hAnsi="黑体" w:eastAsia="黑体" w:cs="黑体"/>
          <w:color w:val="auto"/>
          <w:sz w:val="28"/>
          <w:szCs w:val="28"/>
        </w:rPr>
        <w:t>号</w:t>
      </w:r>
    </w:p>
    <w:p w14:paraId="0E5B83E9">
      <w:pPr>
        <w:spacing w:line="360" w:lineRule="auto"/>
        <w:jc w:val="center"/>
        <w:rPr>
          <w:rFonts w:cs="仿宋"/>
          <w:b/>
          <w:sz w:val="35"/>
          <w:szCs w:val="35"/>
        </w:rPr>
      </w:pPr>
    </w:p>
    <w:p w14:paraId="2DD4B52E">
      <w:pPr>
        <w:spacing w:line="360" w:lineRule="auto"/>
        <w:jc w:val="center"/>
        <w:rPr>
          <w:rFonts w:cs="仿宋"/>
          <w:b/>
          <w:sz w:val="35"/>
          <w:szCs w:val="35"/>
        </w:rPr>
      </w:pPr>
    </w:p>
    <w:p w14:paraId="63184BF2">
      <w:pPr>
        <w:snapToGrid w:val="0"/>
        <w:spacing w:line="360" w:lineRule="auto"/>
        <w:jc w:val="center"/>
        <w:rPr>
          <w:rFonts w:cs="仿宋"/>
          <w:b/>
          <w:spacing w:val="20"/>
          <w:sz w:val="35"/>
          <w:szCs w:val="35"/>
        </w:rPr>
      </w:pPr>
    </w:p>
    <w:p w14:paraId="3A7B303F">
      <w:pPr>
        <w:pStyle w:val="10"/>
        <w:rPr>
          <w:rFonts w:cs="仿宋"/>
          <w:b/>
          <w:spacing w:val="20"/>
          <w:sz w:val="35"/>
          <w:szCs w:val="35"/>
        </w:rPr>
      </w:pPr>
    </w:p>
    <w:p w14:paraId="1A803819">
      <w:pPr>
        <w:pStyle w:val="10"/>
        <w:rPr>
          <w:rFonts w:cs="仿宋"/>
          <w:b/>
          <w:spacing w:val="20"/>
          <w:sz w:val="35"/>
          <w:szCs w:val="35"/>
        </w:rPr>
      </w:pPr>
    </w:p>
    <w:p w14:paraId="15D66646">
      <w:pPr>
        <w:pStyle w:val="10"/>
        <w:rPr>
          <w:rFonts w:cs="仿宋"/>
          <w:b/>
          <w:spacing w:val="20"/>
          <w:sz w:val="35"/>
          <w:szCs w:val="35"/>
        </w:rPr>
      </w:pPr>
    </w:p>
    <w:p w14:paraId="48448CC5">
      <w:pPr>
        <w:pStyle w:val="10"/>
        <w:rPr>
          <w:rFonts w:cs="仿宋"/>
          <w:b/>
          <w:spacing w:val="20"/>
          <w:sz w:val="35"/>
          <w:szCs w:val="35"/>
        </w:rPr>
      </w:pPr>
    </w:p>
    <w:p w14:paraId="268D0812">
      <w:pPr>
        <w:pStyle w:val="10"/>
        <w:rPr>
          <w:rFonts w:cs="仿宋"/>
          <w:b/>
          <w:spacing w:val="20"/>
          <w:sz w:val="35"/>
          <w:szCs w:val="35"/>
        </w:rPr>
      </w:pPr>
    </w:p>
    <w:p w14:paraId="17F0B2FC">
      <w:pPr>
        <w:pStyle w:val="10"/>
        <w:rPr>
          <w:rFonts w:cs="仿宋"/>
          <w:b/>
          <w:spacing w:val="20"/>
          <w:sz w:val="35"/>
          <w:szCs w:val="35"/>
        </w:rPr>
      </w:pPr>
    </w:p>
    <w:p w14:paraId="054701A7">
      <w:pPr>
        <w:pStyle w:val="10"/>
        <w:rPr>
          <w:rFonts w:cs="仿宋"/>
          <w:b/>
          <w:spacing w:val="20"/>
          <w:sz w:val="35"/>
          <w:szCs w:val="35"/>
        </w:rPr>
      </w:pPr>
    </w:p>
    <w:p w14:paraId="420B1428">
      <w:pPr>
        <w:pStyle w:val="10"/>
        <w:rPr>
          <w:rFonts w:cs="仿宋"/>
          <w:b/>
          <w:spacing w:val="20"/>
          <w:sz w:val="35"/>
          <w:szCs w:val="35"/>
        </w:rPr>
      </w:pPr>
    </w:p>
    <w:p w14:paraId="4314C6F4">
      <w:pPr>
        <w:pStyle w:val="10"/>
        <w:rPr>
          <w:rFonts w:cs="仿宋"/>
          <w:b/>
          <w:spacing w:val="20"/>
          <w:sz w:val="35"/>
          <w:szCs w:val="35"/>
        </w:rPr>
      </w:pPr>
    </w:p>
    <w:p w14:paraId="41ABDB73">
      <w:pPr>
        <w:pStyle w:val="10"/>
        <w:rPr>
          <w:rFonts w:cs="仿宋"/>
          <w:b/>
          <w:spacing w:val="20"/>
          <w:sz w:val="35"/>
          <w:szCs w:val="35"/>
        </w:rPr>
      </w:pPr>
    </w:p>
    <w:p w14:paraId="6FCC536F">
      <w:pPr>
        <w:snapToGrid w:val="0"/>
        <w:spacing w:line="360" w:lineRule="auto"/>
        <w:jc w:val="center"/>
        <w:rPr>
          <w:rFonts w:cs="仿宋"/>
          <w:b/>
          <w:spacing w:val="20"/>
          <w:sz w:val="35"/>
          <w:szCs w:val="35"/>
        </w:rPr>
      </w:pPr>
    </w:p>
    <w:p w14:paraId="15BD4C2F">
      <w:pPr>
        <w:snapToGrid w:val="0"/>
        <w:spacing w:line="360" w:lineRule="auto"/>
        <w:jc w:val="center"/>
        <w:rPr>
          <w:rFonts w:cs="仿宋"/>
          <w:b/>
          <w:spacing w:val="20"/>
          <w:sz w:val="35"/>
          <w:szCs w:val="35"/>
        </w:rPr>
      </w:pPr>
    </w:p>
    <w:p w14:paraId="29183667">
      <w:pPr>
        <w:snapToGrid w:val="0"/>
        <w:spacing w:line="360" w:lineRule="auto"/>
        <w:jc w:val="center"/>
        <w:rPr>
          <w:rFonts w:hint="eastAsia" w:ascii="黑体" w:hAnsi="黑体" w:eastAsia="黑体" w:cs="黑体"/>
          <w:b/>
          <w:spacing w:val="20"/>
          <w:sz w:val="35"/>
          <w:szCs w:val="35"/>
        </w:rPr>
      </w:pPr>
    </w:p>
    <w:p w14:paraId="4D67E996">
      <w:pPr>
        <w:spacing w:line="360" w:lineRule="auto"/>
        <w:jc w:val="center"/>
        <w:rPr>
          <w:rFonts w:hint="eastAsia" w:cs="仿宋_GB2312"/>
          <w:b/>
          <w:spacing w:val="20"/>
          <w:sz w:val="36"/>
          <w:szCs w:val="36"/>
        </w:rPr>
      </w:pPr>
      <w:r>
        <w:rPr>
          <w:rFonts w:hint="eastAsia" w:cs="仿宋_GB2312"/>
          <w:b/>
          <w:spacing w:val="20"/>
          <w:sz w:val="36"/>
          <w:szCs w:val="36"/>
        </w:rPr>
        <w:t>明溪县自然资源局</w:t>
      </w:r>
    </w:p>
    <w:p w14:paraId="1BB0843D">
      <w:pPr>
        <w:spacing w:line="360" w:lineRule="auto"/>
        <w:jc w:val="center"/>
        <w:rPr>
          <w:rFonts w:hint="eastAsia" w:cs="仿宋_GB2312"/>
          <w:b/>
          <w:color w:val="auto"/>
          <w:sz w:val="36"/>
          <w:szCs w:val="36"/>
        </w:rPr>
      </w:pPr>
      <w:r>
        <w:rPr>
          <w:rFonts w:hint="eastAsia" w:cs="仿宋_GB2312"/>
          <w:b/>
          <w:color w:val="auto"/>
          <w:sz w:val="36"/>
          <w:szCs w:val="36"/>
        </w:rPr>
        <w:t>2026年8月</w:t>
      </w:r>
      <w:r>
        <w:rPr>
          <w:rFonts w:hint="eastAsia" w:cs="仿宋_GB2312"/>
          <w:b/>
          <w:color w:val="auto"/>
          <w:sz w:val="36"/>
          <w:szCs w:val="36"/>
          <w:lang w:val="en-US" w:eastAsia="zh-CN"/>
        </w:rPr>
        <w:t>1</w:t>
      </w:r>
      <w:r>
        <w:rPr>
          <w:rFonts w:hint="eastAsia" w:cs="仿宋_GB2312"/>
          <w:b/>
          <w:color w:val="auto"/>
          <w:sz w:val="36"/>
          <w:szCs w:val="36"/>
          <w:lang w:val="en-US" w:eastAsia="zh-CN"/>
        </w:rPr>
        <w:t>1</w:t>
      </w:r>
      <w:r>
        <w:rPr>
          <w:rFonts w:hint="eastAsia" w:cs="仿宋_GB2312"/>
          <w:b/>
          <w:color w:val="auto"/>
          <w:sz w:val="36"/>
          <w:szCs w:val="36"/>
        </w:rPr>
        <w:t>日</w:t>
      </w:r>
    </w:p>
    <w:p w14:paraId="29581252">
      <w:pPr>
        <w:pStyle w:val="7"/>
        <w:adjustRightInd/>
        <w:snapToGrid/>
        <w:spacing w:line="600" w:lineRule="exact"/>
        <w:ind w:right="-136" w:rightChars="-65" w:firstLine="0" w:firstLineChars="0"/>
        <w:jc w:val="center"/>
        <w:rPr>
          <w:rFonts w:ascii="宋体" w:hAnsi="宋体" w:cs="宋体"/>
          <w:b/>
          <w:color w:val="FF0000"/>
          <w:kern w:val="2"/>
          <w:sz w:val="30"/>
          <w:szCs w:val="30"/>
        </w:rPr>
        <w:sectPr>
          <w:headerReference r:id="rId3" w:type="default"/>
          <w:pgSz w:w="11906" w:h="16838"/>
          <w:pgMar w:top="1134" w:right="1247" w:bottom="1134" w:left="1587" w:header="851" w:footer="992" w:gutter="0"/>
          <w:cols w:space="720" w:num="1"/>
          <w:docGrid w:linePitch="312" w:charSpace="0"/>
        </w:sectPr>
      </w:pPr>
    </w:p>
    <w:p w14:paraId="3F751875">
      <w:pPr>
        <w:pStyle w:val="8"/>
        <w:rPr>
          <w:rFonts w:hint="eastAsia"/>
        </w:rPr>
        <w:sectPr>
          <w:footerReference r:id="rId4" w:type="default"/>
          <w:pgSz w:w="11906" w:h="16838"/>
          <w:pgMar w:top="1134" w:right="1247" w:bottom="1134" w:left="1587" w:header="851" w:footer="992" w:gutter="0"/>
          <w:pgNumType w:start="1"/>
          <w:cols w:space="720" w:num="1"/>
          <w:docGrid w:linePitch="312" w:charSpace="0"/>
        </w:sectPr>
      </w:pPr>
    </w:p>
    <w:p w14:paraId="60607DD2">
      <w:pPr>
        <w:spacing w:line="680" w:lineRule="exact"/>
        <w:ind w:firstLine="643" w:firstLineChars="200"/>
        <w:rPr>
          <w:rFonts w:eastAsia="仿宋"/>
          <w:b/>
          <w:bCs/>
          <w:sz w:val="32"/>
          <w:szCs w:val="32"/>
        </w:rPr>
      </w:pPr>
    </w:p>
    <w:p w14:paraId="0B04CE42">
      <w:pPr>
        <w:spacing w:line="680" w:lineRule="exact"/>
        <w:ind w:firstLine="643" w:firstLineChars="200"/>
        <w:rPr>
          <w:rFonts w:eastAsia="仿宋"/>
          <w:b/>
          <w:bCs/>
          <w:sz w:val="32"/>
          <w:szCs w:val="32"/>
        </w:rPr>
      </w:pPr>
      <w:r>
        <w:rPr>
          <w:rFonts w:eastAsia="仿宋"/>
          <w:b/>
          <w:bCs/>
          <w:sz w:val="32"/>
          <w:szCs w:val="32"/>
        </w:rPr>
        <w:t>送  审  单  位：明溪县钰岩石材料加工厂</w:t>
      </w:r>
    </w:p>
    <w:p w14:paraId="48772221">
      <w:pPr>
        <w:spacing w:line="680" w:lineRule="exact"/>
        <w:ind w:firstLine="643" w:firstLineChars="200"/>
        <w:rPr>
          <w:rFonts w:eastAsia="仿宋"/>
          <w:b/>
          <w:bCs/>
          <w:sz w:val="32"/>
          <w:szCs w:val="32"/>
        </w:rPr>
      </w:pPr>
    </w:p>
    <w:p w14:paraId="0811E2C4">
      <w:pPr>
        <w:spacing w:line="680" w:lineRule="exact"/>
        <w:ind w:firstLine="643" w:firstLineChars="200"/>
        <w:rPr>
          <w:rFonts w:eastAsia="仿宋"/>
          <w:b/>
          <w:bCs/>
          <w:sz w:val="32"/>
          <w:szCs w:val="32"/>
        </w:rPr>
      </w:pPr>
      <w:r>
        <w:rPr>
          <w:rFonts w:eastAsia="仿宋"/>
          <w:b/>
          <w:bCs/>
          <w:sz w:val="32"/>
          <w:szCs w:val="32"/>
        </w:rPr>
        <w:t>报告编写单位：福建所思达勘测设计院有限公司大田分公司</w:t>
      </w:r>
    </w:p>
    <w:p w14:paraId="5BBB099E">
      <w:pPr>
        <w:pStyle w:val="10"/>
        <w:ind w:firstLine="643" w:firstLineChars="200"/>
        <w:rPr>
          <w:rFonts w:eastAsia="仿宋"/>
          <w:b/>
          <w:bCs/>
          <w:sz w:val="32"/>
          <w:szCs w:val="32"/>
        </w:rPr>
      </w:pPr>
    </w:p>
    <w:p w14:paraId="6046FC10">
      <w:pPr>
        <w:pStyle w:val="10"/>
        <w:ind w:firstLine="643" w:firstLineChars="200"/>
        <w:rPr>
          <w:rFonts w:eastAsia="仿宋"/>
          <w:b/>
          <w:bCs/>
          <w:sz w:val="32"/>
          <w:szCs w:val="32"/>
        </w:rPr>
      </w:pPr>
    </w:p>
    <w:p w14:paraId="4511311D">
      <w:pPr>
        <w:spacing w:line="680" w:lineRule="exact"/>
        <w:ind w:firstLine="643" w:firstLineChars="200"/>
        <w:rPr>
          <w:rFonts w:eastAsia="仿宋"/>
          <w:b/>
          <w:bCs/>
          <w:color w:val="auto"/>
          <w:sz w:val="32"/>
          <w:szCs w:val="32"/>
        </w:rPr>
      </w:pPr>
      <w:r>
        <w:rPr>
          <w:rFonts w:eastAsia="仿宋"/>
          <w:b/>
          <w:bCs/>
          <w:color w:val="auto"/>
          <w:sz w:val="32"/>
          <w:szCs w:val="32"/>
        </w:rPr>
        <w:t>报告编写人员：</w:t>
      </w:r>
      <w:r>
        <w:rPr>
          <w:rFonts w:hint="eastAsia" w:eastAsia="仿宋"/>
          <w:b/>
          <w:bCs/>
          <w:color w:val="auto"/>
          <w:sz w:val="32"/>
          <w:szCs w:val="32"/>
        </w:rPr>
        <w:t>傅鸿宇</w:t>
      </w:r>
      <w:r>
        <w:rPr>
          <w:rFonts w:eastAsia="仿宋"/>
          <w:b/>
          <w:bCs/>
          <w:color w:val="auto"/>
          <w:sz w:val="32"/>
          <w:szCs w:val="32"/>
        </w:rPr>
        <w:t xml:space="preserve"> 严振伟   </w:t>
      </w:r>
    </w:p>
    <w:p w14:paraId="56649DCD">
      <w:pPr>
        <w:spacing w:line="680" w:lineRule="exact"/>
        <w:ind w:firstLine="643" w:firstLineChars="200"/>
        <w:rPr>
          <w:rFonts w:eastAsia="仿宋"/>
          <w:b/>
          <w:bCs/>
          <w:color w:val="auto"/>
          <w:sz w:val="32"/>
          <w:szCs w:val="32"/>
        </w:rPr>
      </w:pPr>
    </w:p>
    <w:p w14:paraId="43771F0B">
      <w:pPr>
        <w:spacing w:line="680" w:lineRule="exact"/>
        <w:ind w:firstLine="643" w:firstLineChars="200"/>
        <w:rPr>
          <w:rFonts w:eastAsia="仿宋"/>
          <w:b/>
          <w:bCs/>
          <w:color w:val="auto"/>
          <w:sz w:val="32"/>
          <w:szCs w:val="32"/>
        </w:rPr>
      </w:pPr>
      <w:r>
        <w:rPr>
          <w:rFonts w:eastAsia="仿宋"/>
          <w:b/>
          <w:bCs/>
          <w:color w:val="auto"/>
          <w:sz w:val="32"/>
          <w:szCs w:val="32"/>
        </w:rPr>
        <w:t>报告编写单位技术负责人：</w:t>
      </w:r>
      <w:r>
        <w:rPr>
          <w:rFonts w:hint="eastAsia" w:eastAsia="仿宋"/>
          <w:b/>
          <w:bCs/>
          <w:color w:val="auto"/>
          <w:sz w:val="32"/>
          <w:szCs w:val="32"/>
        </w:rPr>
        <w:t>傅鸿宇</w:t>
      </w:r>
    </w:p>
    <w:p w14:paraId="1600FE14">
      <w:pPr>
        <w:spacing w:line="680" w:lineRule="exact"/>
        <w:ind w:firstLine="1269" w:firstLineChars="395"/>
        <w:rPr>
          <w:rFonts w:eastAsia="仿宋"/>
          <w:b/>
          <w:bCs/>
          <w:color w:val="auto"/>
          <w:sz w:val="32"/>
          <w:szCs w:val="32"/>
        </w:rPr>
      </w:pPr>
    </w:p>
    <w:p w14:paraId="032F1F0A">
      <w:pPr>
        <w:pStyle w:val="28"/>
        <w:ind w:firstLine="640"/>
        <w:rPr>
          <w:rFonts w:eastAsia="仿宋"/>
          <w:color w:val="auto"/>
          <w:sz w:val="32"/>
          <w:szCs w:val="32"/>
        </w:rPr>
      </w:pPr>
    </w:p>
    <w:p w14:paraId="42386722">
      <w:pPr>
        <w:spacing w:line="680" w:lineRule="exact"/>
        <w:ind w:firstLine="1269" w:firstLineChars="395"/>
        <w:rPr>
          <w:rFonts w:eastAsia="仿宋"/>
          <w:b/>
          <w:bCs/>
          <w:color w:val="auto"/>
          <w:sz w:val="32"/>
          <w:szCs w:val="32"/>
        </w:rPr>
      </w:pPr>
      <w:r>
        <w:rPr>
          <w:rFonts w:eastAsia="仿宋"/>
          <w:b/>
          <w:bCs/>
          <w:color w:val="auto"/>
          <w:sz w:val="32"/>
          <w:szCs w:val="32"/>
        </w:rPr>
        <w:t>评审专家组</w:t>
      </w:r>
    </w:p>
    <w:p w14:paraId="4608CC7C">
      <w:pPr>
        <w:spacing w:line="680" w:lineRule="exact"/>
        <w:ind w:firstLine="1911" w:firstLineChars="595"/>
        <w:rPr>
          <w:rFonts w:eastAsia="仿宋"/>
          <w:b/>
          <w:bCs/>
          <w:color w:val="auto"/>
          <w:sz w:val="32"/>
          <w:szCs w:val="32"/>
        </w:rPr>
      </w:pPr>
      <w:r>
        <w:rPr>
          <w:rFonts w:eastAsia="仿宋"/>
          <w:b/>
          <w:bCs/>
          <w:color w:val="auto"/>
          <w:sz w:val="32"/>
          <w:szCs w:val="32"/>
        </w:rPr>
        <w:t>组  长：严积琼</w:t>
      </w:r>
    </w:p>
    <w:p w14:paraId="35CE53F1">
      <w:pPr>
        <w:spacing w:line="680" w:lineRule="exact"/>
        <w:ind w:firstLine="1911" w:firstLineChars="595"/>
        <w:rPr>
          <w:rFonts w:eastAsia="仿宋"/>
          <w:b/>
          <w:bCs/>
          <w:color w:val="auto"/>
          <w:sz w:val="32"/>
          <w:szCs w:val="32"/>
        </w:rPr>
      </w:pPr>
      <w:r>
        <w:rPr>
          <w:rFonts w:eastAsia="仿宋"/>
          <w:b/>
          <w:bCs/>
          <w:color w:val="auto"/>
          <w:sz w:val="32"/>
          <w:szCs w:val="32"/>
        </w:rPr>
        <w:t xml:space="preserve">成  员：王仁茂  黄光明  曾明祥  罗庆明 </w:t>
      </w:r>
    </w:p>
    <w:p w14:paraId="4E679646">
      <w:pPr>
        <w:pStyle w:val="10"/>
        <w:rPr>
          <w:rFonts w:eastAsia="仿宋"/>
          <w:b/>
          <w:bCs/>
          <w:color w:val="auto"/>
          <w:sz w:val="32"/>
          <w:szCs w:val="32"/>
        </w:rPr>
      </w:pPr>
    </w:p>
    <w:p w14:paraId="53F9E3A6">
      <w:pPr>
        <w:pStyle w:val="10"/>
        <w:rPr>
          <w:rFonts w:eastAsia="仿宋"/>
          <w:b/>
          <w:bCs/>
          <w:color w:val="auto"/>
          <w:sz w:val="32"/>
          <w:szCs w:val="32"/>
        </w:rPr>
      </w:pPr>
    </w:p>
    <w:p w14:paraId="768B508A">
      <w:pPr>
        <w:spacing w:line="680" w:lineRule="exact"/>
        <w:ind w:firstLine="1285" w:firstLineChars="400"/>
        <w:rPr>
          <w:rFonts w:eastAsia="仿宋"/>
          <w:b/>
          <w:bCs/>
          <w:color w:val="auto"/>
          <w:sz w:val="32"/>
          <w:szCs w:val="32"/>
        </w:rPr>
      </w:pPr>
      <w:r>
        <w:rPr>
          <w:rFonts w:eastAsia="仿宋"/>
          <w:b/>
          <w:bCs/>
          <w:color w:val="auto"/>
          <w:sz w:val="32"/>
          <w:szCs w:val="32"/>
        </w:rPr>
        <w:t>评审通过日期：2026年</w:t>
      </w:r>
      <w:r>
        <w:rPr>
          <w:rFonts w:hint="eastAsia" w:eastAsia="仿宋"/>
          <w:b/>
          <w:bCs/>
          <w:color w:val="auto"/>
          <w:sz w:val="32"/>
          <w:szCs w:val="32"/>
        </w:rPr>
        <w:t>8</w:t>
      </w:r>
      <w:r>
        <w:rPr>
          <w:rFonts w:eastAsia="仿宋"/>
          <w:b/>
          <w:bCs/>
          <w:color w:val="auto"/>
          <w:sz w:val="32"/>
          <w:szCs w:val="32"/>
        </w:rPr>
        <w:t>月</w:t>
      </w:r>
      <w:r>
        <w:rPr>
          <w:rFonts w:hint="eastAsia" w:eastAsia="仿宋"/>
          <w:b/>
          <w:bCs/>
          <w:color w:val="auto"/>
          <w:sz w:val="32"/>
          <w:szCs w:val="32"/>
          <w:lang w:val="en-US" w:eastAsia="zh-CN"/>
        </w:rPr>
        <w:t>1</w:t>
      </w:r>
      <w:r>
        <w:rPr>
          <w:rFonts w:hint="eastAsia" w:eastAsia="仿宋"/>
          <w:b/>
          <w:bCs/>
          <w:color w:val="auto"/>
          <w:sz w:val="32"/>
          <w:szCs w:val="32"/>
          <w:lang w:val="en-US" w:eastAsia="zh-CN"/>
        </w:rPr>
        <w:t>1</w:t>
      </w:r>
      <w:r>
        <w:rPr>
          <w:rFonts w:eastAsia="仿宋"/>
          <w:b/>
          <w:bCs/>
          <w:color w:val="auto"/>
          <w:sz w:val="32"/>
          <w:szCs w:val="32"/>
        </w:rPr>
        <w:t>日</w:t>
      </w:r>
    </w:p>
    <w:p w14:paraId="69EEDE13">
      <w:pPr>
        <w:spacing w:before="44" w:line="249" w:lineRule="auto"/>
        <w:ind w:right="10"/>
        <w:jc w:val="center"/>
        <w:rPr>
          <w:rFonts w:eastAsia="仿宋"/>
          <w:b/>
          <w:bCs/>
          <w:sz w:val="36"/>
          <w:szCs w:val="36"/>
          <w:lang w:bidi="en-US"/>
        </w:rPr>
        <w:sectPr>
          <w:footerReference r:id="rId5" w:type="default"/>
          <w:pgSz w:w="11906" w:h="16838"/>
          <w:pgMar w:top="1134" w:right="1134" w:bottom="1134" w:left="1588" w:header="851" w:footer="992" w:gutter="0"/>
          <w:pgNumType w:start="1"/>
          <w:cols w:space="720" w:num="1"/>
          <w:docGrid w:type="lines" w:linePitch="312" w:charSpace="0"/>
        </w:sectPr>
      </w:pPr>
    </w:p>
    <w:p w14:paraId="719D9872">
      <w:pPr>
        <w:spacing w:before="44" w:line="249" w:lineRule="auto"/>
        <w:ind w:right="10"/>
        <w:jc w:val="center"/>
        <w:rPr>
          <w:rFonts w:hint="eastAsia" w:eastAsia="仿宋"/>
          <w:b/>
          <w:bCs/>
          <w:sz w:val="36"/>
          <w:szCs w:val="36"/>
          <w:lang w:bidi="en-US"/>
        </w:rPr>
      </w:pPr>
    </w:p>
    <w:p w14:paraId="01396551">
      <w:pPr>
        <w:spacing w:before="44" w:line="249" w:lineRule="auto"/>
        <w:ind w:right="10"/>
        <w:jc w:val="center"/>
        <w:rPr>
          <w:rFonts w:hint="eastAsia" w:eastAsia="仿宋"/>
          <w:b/>
          <w:bCs/>
          <w:sz w:val="36"/>
          <w:szCs w:val="36"/>
          <w:lang w:bidi="en-US"/>
        </w:rPr>
      </w:pPr>
    </w:p>
    <w:p w14:paraId="49A59C9F">
      <w:pPr>
        <w:spacing w:before="44" w:line="249" w:lineRule="auto"/>
        <w:ind w:right="10"/>
        <w:jc w:val="center"/>
        <w:rPr>
          <w:rFonts w:hint="eastAsia" w:eastAsia="仿宋"/>
          <w:b/>
          <w:bCs/>
          <w:sz w:val="36"/>
          <w:szCs w:val="36"/>
          <w:lang w:bidi="en-US"/>
        </w:rPr>
      </w:pPr>
    </w:p>
    <w:p w14:paraId="514DFA4B">
      <w:pPr>
        <w:spacing w:before="44" w:line="249" w:lineRule="auto"/>
        <w:ind w:right="10"/>
        <w:jc w:val="center"/>
        <w:rPr>
          <w:rFonts w:hint="eastAsia" w:eastAsia="仿宋"/>
          <w:b/>
          <w:bCs/>
          <w:sz w:val="36"/>
          <w:szCs w:val="36"/>
          <w:lang w:bidi="en-US"/>
        </w:rPr>
      </w:pPr>
    </w:p>
    <w:p w14:paraId="4DAED074">
      <w:pPr>
        <w:spacing w:before="44" w:line="249" w:lineRule="auto"/>
        <w:ind w:right="10"/>
        <w:jc w:val="center"/>
        <w:rPr>
          <w:rFonts w:hint="eastAsia" w:eastAsia="仿宋"/>
          <w:b/>
          <w:bCs/>
          <w:sz w:val="36"/>
          <w:szCs w:val="36"/>
          <w:lang w:bidi="en-US"/>
        </w:rPr>
      </w:pPr>
    </w:p>
    <w:p w14:paraId="4FD95E97">
      <w:pPr>
        <w:spacing w:before="44" w:line="249" w:lineRule="auto"/>
        <w:ind w:right="10"/>
        <w:jc w:val="center"/>
        <w:rPr>
          <w:rFonts w:hint="eastAsia" w:eastAsia="仿宋"/>
          <w:b/>
          <w:bCs/>
          <w:sz w:val="36"/>
          <w:szCs w:val="36"/>
          <w:lang w:bidi="en-US"/>
        </w:rPr>
      </w:pPr>
    </w:p>
    <w:p w14:paraId="6430ADB6">
      <w:pPr>
        <w:spacing w:before="44" w:line="249" w:lineRule="auto"/>
        <w:ind w:right="10"/>
        <w:jc w:val="center"/>
        <w:rPr>
          <w:rFonts w:hint="eastAsia" w:eastAsia="仿宋"/>
          <w:b/>
          <w:bCs/>
          <w:sz w:val="36"/>
          <w:szCs w:val="36"/>
          <w:lang w:bidi="en-US"/>
        </w:rPr>
      </w:pPr>
    </w:p>
    <w:p w14:paraId="6CCDEB53">
      <w:pPr>
        <w:spacing w:before="44" w:line="249" w:lineRule="auto"/>
        <w:ind w:right="10"/>
        <w:jc w:val="center"/>
        <w:rPr>
          <w:rFonts w:hint="eastAsia" w:eastAsia="仿宋"/>
          <w:b/>
          <w:bCs/>
          <w:sz w:val="36"/>
          <w:szCs w:val="36"/>
          <w:lang w:bidi="en-US"/>
        </w:rPr>
      </w:pPr>
    </w:p>
    <w:p w14:paraId="777050CF">
      <w:pPr>
        <w:spacing w:before="44" w:line="249" w:lineRule="auto"/>
        <w:ind w:right="10"/>
        <w:jc w:val="center"/>
        <w:rPr>
          <w:rFonts w:hint="eastAsia" w:eastAsia="仿宋"/>
          <w:b/>
          <w:bCs/>
          <w:sz w:val="36"/>
          <w:szCs w:val="36"/>
          <w:lang w:bidi="en-US"/>
        </w:rPr>
      </w:pPr>
    </w:p>
    <w:p w14:paraId="2E02AA8F">
      <w:pPr>
        <w:spacing w:before="44" w:line="249" w:lineRule="auto"/>
        <w:ind w:right="10"/>
        <w:jc w:val="center"/>
        <w:rPr>
          <w:rFonts w:hint="eastAsia" w:eastAsia="仿宋"/>
          <w:b/>
          <w:bCs/>
          <w:sz w:val="36"/>
          <w:szCs w:val="36"/>
          <w:lang w:bidi="en-US"/>
        </w:rPr>
      </w:pPr>
    </w:p>
    <w:p w14:paraId="460A3332">
      <w:pPr>
        <w:spacing w:before="44" w:line="249" w:lineRule="auto"/>
        <w:ind w:right="10"/>
        <w:jc w:val="center"/>
        <w:rPr>
          <w:rFonts w:hint="eastAsia" w:eastAsia="仿宋"/>
          <w:b/>
          <w:bCs/>
          <w:sz w:val="36"/>
          <w:szCs w:val="36"/>
          <w:lang w:bidi="en-US"/>
        </w:rPr>
      </w:pPr>
    </w:p>
    <w:p w14:paraId="3702188A">
      <w:pPr>
        <w:spacing w:before="44" w:line="249" w:lineRule="auto"/>
        <w:ind w:right="10"/>
        <w:jc w:val="center"/>
        <w:rPr>
          <w:rFonts w:hint="eastAsia" w:eastAsia="仿宋"/>
          <w:b/>
          <w:bCs/>
          <w:sz w:val="36"/>
          <w:szCs w:val="36"/>
          <w:lang w:bidi="en-US"/>
        </w:rPr>
      </w:pPr>
    </w:p>
    <w:p w14:paraId="0F0F52D7">
      <w:pPr>
        <w:spacing w:before="44" w:line="249" w:lineRule="auto"/>
        <w:ind w:right="10"/>
        <w:jc w:val="center"/>
        <w:rPr>
          <w:rFonts w:hint="eastAsia" w:eastAsia="仿宋"/>
          <w:b/>
          <w:bCs/>
          <w:sz w:val="36"/>
          <w:szCs w:val="36"/>
          <w:lang w:bidi="en-US"/>
        </w:rPr>
      </w:pPr>
    </w:p>
    <w:p w14:paraId="2C779FA0">
      <w:pPr>
        <w:spacing w:before="44" w:line="249" w:lineRule="auto"/>
        <w:ind w:right="10"/>
        <w:jc w:val="center"/>
        <w:rPr>
          <w:rFonts w:hint="eastAsia" w:eastAsia="仿宋"/>
          <w:b/>
          <w:bCs/>
          <w:sz w:val="36"/>
          <w:szCs w:val="36"/>
          <w:lang w:bidi="en-US"/>
        </w:rPr>
      </w:pPr>
    </w:p>
    <w:p w14:paraId="58852491">
      <w:pPr>
        <w:spacing w:before="44" w:line="249" w:lineRule="auto"/>
        <w:ind w:right="10"/>
        <w:jc w:val="center"/>
        <w:rPr>
          <w:rFonts w:hint="eastAsia" w:eastAsia="仿宋"/>
          <w:b/>
          <w:bCs/>
          <w:sz w:val="36"/>
          <w:szCs w:val="36"/>
          <w:lang w:bidi="en-US"/>
        </w:rPr>
      </w:pPr>
    </w:p>
    <w:p w14:paraId="06183497">
      <w:pPr>
        <w:spacing w:before="44" w:line="249" w:lineRule="auto"/>
        <w:ind w:right="10"/>
        <w:jc w:val="center"/>
        <w:rPr>
          <w:rFonts w:hint="eastAsia" w:eastAsia="仿宋"/>
          <w:b/>
          <w:bCs/>
          <w:sz w:val="36"/>
          <w:szCs w:val="36"/>
          <w:lang w:bidi="en-US"/>
        </w:rPr>
      </w:pPr>
    </w:p>
    <w:p w14:paraId="2E1D1749">
      <w:pPr>
        <w:spacing w:before="44" w:line="249" w:lineRule="auto"/>
        <w:ind w:right="10"/>
        <w:jc w:val="center"/>
        <w:rPr>
          <w:rFonts w:hint="eastAsia" w:eastAsia="仿宋"/>
          <w:b/>
          <w:bCs/>
          <w:sz w:val="36"/>
          <w:szCs w:val="36"/>
          <w:lang w:bidi="en-US"/>
        </w:rPr>
      </w:pPr>
    </w:p>
    <w:p w14:paraId="2BE171D4">
      <w:pPr>
        <w:spacing w:before="44" w:line="249" w:lineRule="auto"/>
        <w:ind w:right="10"/>
        <w:jc w:val="center"/>
        <w:rPr>
          <w:rFonts w:hint="eastAsia" w:eastAsia="仿宋"/>
          <w:b/>
          <w:bCs/>
          <w:sz w:val="36"/>
          <w:szCs w:val="36"/>
          <w:lang w:bidi="en-US"/>
        </w:rPr>
      </w:pPr>
    </w:p>
    <w:p w14:paraId="4BB88631">
      <w:pPr>
        <w:spacing w:before="44" w:line="249" w:lineRule="auto"/>
        <w:ind w:right="10"/>
        <w:jc w:val="center"/>
        <w:rPr>
          <w:rFonts w:hint="eastAsia" w:eastAsia="仿宋"/>
          <w:b/>
          <w:bCs/>
          <w:sz w:val="36"/>
          <w:szCs w:val="36"/>
          <w:lang w:bidi="en-US"/>
        </w:rPr>
      </w:pPr>
    </w:p>
    <w:p w14:paraId="493574E7">
      <w:pPr>
        <w:spacing w:before="44" w:line="249" w:lineRule="auto"/>
        <w:ind w:right="10"/>
        <w:jc w:val="center"/>
        <w:rPr>
          <w:rFonts w:hint="eastAsia" w:eastAsia="仿宋"/>
          <w:b/>
          <w:bCs/>
          <w:sz w:val="36"/>
          <w:szCs w:val="36"/>
          <w:lang w:bidi="en-US"/>
        </w:rPr>
      </w:pPr>
    </w:p>
    <w:p w14:paraId="7767067C">
      <w:pPr>
        <w:spacing w:before="44" w:line="249" w:lineRule="auto"/>
        <w:ind w:right="10"/>
        <w:jc w:val="center"/>
        <w:rPr>
          <w:rFonts w:hint="eastAsia" w:eastAsia="仿宋"/>
          <w:b/>
          <w:bCs/>
          <w:sz w:val="36"/>
          <w:szCs w:val="36"/>
          <w:lang w:bidi="en-US"/>
        </w:rPr>
      </w:pPr>
    </w:p>
    <w:p w14:paraId="1D97FDC7">
      <w:pPr>
        <w:spacing w:line="360" w:lineRule="auto"/>
        <w:jc w:val="center"/>
        <w:rPr>
          <w:rFonts w:eastAsia="黑体"/>
          <w:b/>
          <w:color w:val="000000"/>
          <w:sz w:val="44"/>
          <w:szCs w:val="44"/>
        </w:rPr>
        <w:sectPr>
          <w:footerReference r:id="rId6" w:type="default"/>
          <w:pgSz w:w="11906" w:h="16838"/>
          <w:pgMar w:top="1134" w:right="1134" w:bottom="1134" w:left="1588" w:header="851" w:footer="992" w:gutter="0"/>
          <w:pgNumType w:start="1"/>
          <w:cols w:space="720" w:num="1"/>
          <w:docGrid w:type="lines" w:linePitch="312" w:charSpace="0"/>
        </w:sectPr>
      </w:pPr>
    </w:p>
    <w:p w14:paraId="568BFF29">
      <w:pPr>
        <w:spacing w:line="360" w:lineRule="auto"/>
        <w:jc w:val="center"/>
        <w:rPr>
          <w:b/>
          <w:sz w:val="35"/>
          <w:szCs w:val="35"/>
        </w:rPr>
      </w:pPr>
      <w:r>
        <w:rPr>
          <w:rFonts w:eastAsia="黑体"/>
          <w:b/>
          <w:color w:val="000000"/>
          <w:sz w:val="44"/>
          <w:szCs w:val="44"/>
        </w:rPr>
        <w:t>《明溪县瀚仙矿场上龙坑方解石矿开采方案》</w:t>
      </w:r>
    </w:p>
    <w:p w14:paraId="63828281">
      <w:pPr>
        <w:spacing w:line="360" w:lineRule="auto"/>
        <w:jc w:val="center"/>
        <w:rPr>
          <w:rFonts w:eastAsia="黑体"/>
          <w:b/>
          <w:sz w:val="44"/>
          <w:szCs w:val="44"/>
        </w:rPr>
      </w:pPr>
      <w:r>
        <w:rPr>
          <w:rFonts w:eastAsia="黑体"/>
          <w:b/>
          <w:sz w:val="44"/>
          <w:szCs w:val="44"/>
        </w:rPr>
        <w:t xml:space="preserve">评 审 意 见 </w:t>
      </w:r>
    </w:p>
    <w:p w14:paraId="7B281074">
      <w:pPr>
        <w:pStyle w:val="10"/>
        <w:jc w:val="center"/>
        <w:rPr>
          <w:rFonts w:eastAsia="黑体"/>
          <w:color w:val="FF0000"/>
          <w:sz w:val="28"/>
          <w:szCs w:val="28"/>
          <w:lang w:val="en-US" w:eastAsia="zh-CN"/>
        </w:rPr>
      </w:pPr>
    </w:p>
    <w:p w14:paraId="7A3141DB">
      <w:pPr>
        <w:pStyle w:val="10"/>
        <w:jc w:val="center"/>
        <w:rPr>
          <w:color w:val="auto"/>
          <w:lang w:val="en-US" w:eastAsia="zh-CN"/>
        </w:rPr>
      </w:pPr>
      <w:r>
        <w:rPr>
          <w:rFonts w:eastAsia="黑体"/>
          <w:color w:val="auto"/>
          <w:sz w:val="28"/>
          <w:szCs w:val="28"/>
          <w:lang w:val="en-US" w:eastAsia="zh-CN"/>
        </w:rPr>
        <w:t>明自然资开发审</w:t>
      </w:r>
      <w:r>
        <w:rPr>
          <w:rFonts w:eastAsia="黑体"/>
          <w:color w:val="auto"/>
          <w:sz w:val="28"/>
          <w:szCs w:val="28"/>
        </w:rPr>
        <w:t>〔202</w:t>
      </w:r>
      <w:r>
        <w:rPr>
          <w:rFonts w:eastAsia="黑体"/>
          <w:color w:val="auto"/>
          <w:sz w:val="28"/>
          <w:szCs w:val="28"/>
          <w:lang w:val="en-US" w:eastAsia="zh-CN"/>
        </w:rPr>
        <w:t>6</w:t>
      </w:r>
      <w:r>
        <w:rPr>
          <w:rFonts w:eastAsia="黑体"/>
          <w:color w:val="auto"/>
          <w:sz w:val="28"/>
          <w:szCs w:val="28"/>
        </w:rPr>
        <w:t>〕</w:t>
      </w:r>
      <w:r>
        <w:rPr>
          <w:rFonts w:eastAsia="黑体"/>
          <w:color w:val="auto"/>
          <w:sz w:val="28"/>
          <w:szCs w:val="28"/>
          <w:lang w:eastAsia="zh-CN"/>
        </w:rPr>
        <w:t>0</w:t>
      </w:r>
      <w:r>
        <w:rPr>
          <w:rFonts w:hint="eastAsia" w:eastAsia="黑体"/>
          <w:color w:val="auto"/>
          <w:sz w:val="28"/>
          <w:szCs w:val="28"/>
          <w:lang w:val="en-US" w:eastAsia="zh-CN"/>
        </w:rPr>
        <w:t>2</w:t>
      </w:r>
      <w:r>
        <w:rPr>
          <w:rFonts w:eastAsia="黑体"/>
          <w:color w:val="auto"/>
          <w:sz w:val="28"/>
          <w:szCs w:val="28"/>
        </w:rPr>
        <w:t>号</w:t>
      </w:r>
    </w:p>
    <w:p w14:paraId="0EB2E414">
      <w:pPr>
        <w:spacing w:before="44" w:line="249" w:lineRule="auto"/>
        <w:ind w:right="10"/>
        <w:jc w:val="center"/>
        <w:rPr>
          <w:rFonts w:eastAsia="仿宋"/>
          <w:b/>
          <w:bCs/>
          <w:color w:val="auto"/>
          <w:sz w:val="36"/>
          <w:szCs w:val="36"/>
          <w:lang w:bidi="en-US"/>
        </w:rPr>
      </w:pPr>
    </w:p>
    <w:p w14:paraId="762A7E95">
      <w:pPr>
        <w:spacing w:before="44" w:line="249" w:lineRule="auto"/>
        <w:ind w:right="10"/>
        <w:jc w:val="left"/>
        <w:rPr>
          <w:rFonts w:eastAsia="仿宋"/>
          <w:b/>
          <w:bCs/>
          <w:color w:val="auto"/>
          <w:sz w:val="32"/>
          <w:szCs w:val="32"/>
          <w:lang w:bidi="en-US"/>
        </w:rPr>
      </w:pPr>
      <w:r>
        <w:rPr>
          <w:rFonts w:eastAsia="仿宋"/>
          <w:b/>
          <w:bCs/>
          <w:color w:val="auto"/>
          <w:sz w:val="36"/>
          <w:szCs w:val="36"/>
          <w:lang w:bidi="en-US"/>
        </w:rPr>
        <w:t xml:space="preserve">  </w:t>
      </w:r>
      <w:r>
        <w:rPr>
          <w:rFonts w:eastAsia="仿宋"/>
          <w:b/>
          <w:bCs/>
          <w:color w:val="auto"/>
          <w:sz w:val="32"/>
          <w:szCs w:val="32"/>
          <w:lang w:bidi="en-US"/>
        </w:rPr>
        <w:t xml:space="preserve"> </w:t>
      </w:r>
      <w:r>
        <w:rPr>
          <w:rFonts w:eastAsia="仿宋"/>
          <w:bCs/>
          <w:color w:val="auto"/>
          <w:sz w:val="32"/>
          <w:szCs w:val="32"/>
          <w:lang w:bidi="en-US"/>
        </w:rPr>
        <w:t>经组织专家评审，采矿权人明溪县钰岩石材料加工厂委托福建所思达勘测设计院有限公司大田分公司于2026年7月最终提交《明溪县瀚仙矿场上龙坑方解石矿开采方案》同意予以通过</w:t>
      </w:r>
      <w:r>
        <w:rPr>
          <w:rFonts w:eastAsia="仿宋"/>
          <w:b/>
          <w:bCs/>
          <w:color w:val="auto"/>
          <w:sz w:val="32"/>
          <w:szCs w:val="32"/>
          <w:lang w:bidi="en-US"/>
        </w:rPr>
        <w:t>。</w:t>
      </w:r>
    </w:p>
    <w:p w14:paraId="3929E485">
      <w:pPr>
        <w:spacing w:before="44" w:line="249" w:lineRule="auto"/>
        <w:ind w:right="10"/>
        <w:jc w:val="center"/>
        <w:rPr>
          <w:rFonts w:eastAsia="仿宋"/>
          <w:b/>
          <w:bCs/>
          <w:sz w:val="36"/>
          <w:szCs w:val="36"/>
          <w:lang w:bidi="en-US"/>
        </w:rPr>
      </w:pPr>
    </w:p>
    <w:p w14:paraId="285A6856">
      <w:pPr>
        <w:spacing w:before="44" w:line="249" w:lineRule="auto"/>
        <w:ind w:right="10"/>
        <w:jc w:val="center"/>
        <w:rPr>
          <w:rFonts w:eastAsia="仿宋"/>
          <w:b/>
          <w:bCs/>
          <w:sz w:val="36"/>
          <w:szCs w:val="36"/>
          <w:lang w:bidi="en-US"/>
        </w:rPr>
      </w:pPr>
    </w:p>
    <w:p w14:paraId="795A3DDB">
      <w:pPr>
        <w:spacing w:before="44" w:line="249" w:lineRule="auto"/>
        <w:ind w:right="10"/>
        <w:jc w:val="center"/>
        <w:rPr>
          <w:rFonts w:eastAsia="仿宋"/>
          <w:b/>
          <w:bCs/>
          <w:sz w:val="36"/>
          <w:szCs w:val="36"/>
          <w:lang w:bidi="en-US"/>
        </w:rPr>
      </w:pPr>
    </w:p>
    <w:p w14:paraId="024EE100">
      <w:pPr>
        <w:spacing w:before="44" w:line="249" w:lineRule="auto"/>
        <w:ind w:right="10"/>
        <w:jc w:val="center"/>
        <w:rPr>
          <w:rFonts w:eastAsia="仿宋"/>
          <w:b/>
          <w:bCs/>
          <w:sz w:val="36"/>
          <w:szCs w:val="36"/>
          <w:lang w:bidi="en-US"/>
        </w:rPr>
      </w:pPr>
    </w:p>
    <w:p w14:paraId="02F1D2BD">
      <w:pPr>
        <w:spacing w:before="44" w:line="249" w:lineRule="auto"/>
        <w:ind w:right="10"/>
        <w:jc w:val="center"/>
        <w:rPr>
          <w:rFonts w:eastAsia="仿宋"/>
          <w:b/>
          <w:bCs/>
          <w:sz w:val="36"/>
          <w:szCs w:val="36"/>
          <w:lang w:bidi="en-US"/>
        </w:rPr>
      </w:pPr>
    </w:p>
    <w:p w14:paraId="4ABC7ADD">
      <w:pPr>
        <w:spacing w:before="44" w:line="249" w:lineRule="auto"/>
        <w:ind w:right="10"/>
        <w:jc w:val="center"/>
        <w:rPr>
          <w:rFonts w:eastAsia="仿宋"/>
          <w:b/>
          <w:bCs/>
          <w:sz w:val="36"/>
          <w:szCs w:val="36"/>
          <w:lang w:bidi="en-US"/>
        </w:rPr>
      </w:pPr>
    </w:p>
    <w:p w14:paraId="0C7AFD13">
      <w:pPr>
        <w:spacing w:before="44" w:line="249" w:lineRule="auto"/>
        <w:ind w:right="10"/>
        <w:jc w:val="center"/>
        <w:rPr>
          <w:rFonts w:eastAsia="仿宋"/>
          <w:b/>
          <w:bCs/>
          <w:sz w:val="36"/>
          <w:szCs w:val="36"/>
          <w:lang w:bidi="en-US"/>
        </w:rPr>
      </w:pPr>
    </w:p>
    <w:p w14:paraId="47A1F8EA">
      <w:pPr>
        <w:spacing w:before="44" w:line="249" w:lineRule="auto"/>
        <w:ind w:right="10"/>
        <w:jc w:val="center"/>
        <w:rPr>
          <w:rFonts w:eastAsia="仿宋"/>
          <w:b/>
          <w:bCs/>
          <w:sz w:val="36"/>
          <w:szCs w:val="36"/>
          <w:lang w:bidi="en-US"/>
        </w:rPr>
      </w:pPr>
    </w:p>
    <w:p w14:paraId="62261806">
      <w:pPr>
        <w:spacing w:before="44" w:line="249" w:lineRule="auto"/>
        <w:ind w:right="10"/>
        <w:jc w:val="center"/>
        <w:rPr>
          <w:rFonts w:eastAsia="仿宋"/>
          <w:b/>
          <w:bCs/>
          <w:color w:val="auto"/>
          <w:sz w:val="36"/>
          <w:szCs w:val="36"/>
          <w:lang w:bidi="en-US"/>
        </w:rPr>
      </w:pPr>
    </w:p>
    <w:p w14:paraId="45662D97">
      <w:pPr>
        <w:spacing w:before="44" w:line="249" w:lineRule="auto"/>
        <w:ind w:right="10"/>
        <w:jc w:val="left"/>
        <w:rPr>
          <w:rFonts w:eastAsia="仿宋"/>
          <w:bCs/>
          <w:color w:val="auto"/>
          <w:sz w:val="32"/>
          <w:szCs w:val="32"/>
          <w:lang w:bidi="en-US"/>
        </w:rPr>
      </w:pPr>
      <w:r>
        <w:rPr>
          <w:rFonts w:eastAsia="仿宋"/>
          <w:b/>
          <w:bCs/>
          <w:color w:val="auto"/>
          <w:sz w:val="36"/>
          <w:szCs w:val="36"/>
          <w:lang w:bidi="en-US"/>
        </w:rPr>
        <w:t xml:space="preserve">      </w:t>
      </w:r>
      <w:r>
        <w:rPr>
          <w:rFonts w:eastAsia="仿宋"/>
          <w:bCs/>
          <w:color w:val="auto"/>
          <w:sz w:val="36"/>
          <w:szCs w:val="36"/>
          <w:lang w:bidi="en-US"/>
        </w:rPr>
        <w:t xml:space="preserve">                         </w:t>
      </w:r>
      <w:r>
        <w:rPr>
          <w:rFonts w:eastAsia="仿宋"/>
          <w:bCs/>
          <w:color w:val="auto"/>
          <w:sz w:val="32"/>
          <w:szCs w:val="32"/>
          <w:lang w:bidi="en-US"/>
        </w:rPr>
        <w:t>明溪县自然资源局</w:t>
      </w:r>
    </w:p>
    <w:p w14:paraId="533E4204">
      <w:pPr>
        <w:spacing w:before="44" w:line="249" w:lineRule="auto"/>
        <w:ind w:right="10"/>
        <w:jc w:val="left"/>
        <w:rPr>
          <w:rFonts w:eastAsia="仿宋"/>
          <w:bCs/>
          <w:color w:val="auto"/>
          <w:sz w:val="32"/>
          <w:szCs w:val="32"/>
          <w:lang w:bidi="en-US"/>
        </w:rPr>
      </w:pPr>
      <w:r>
        <w:rPr>
          <w:rFonts w:eastAsia="仿宋"/>
          <w:bCs/>
          <w:color w:val="auto"/>
          <w:sz w:val="32"/>
          <w:szCs w:val="32"/>
          <w:lang w:bidi="en-US"/>
        </w:rPr>
        <w:t xml:space="preserve">                                    2026年8月</w:t>
      </w:r>
      <w:r>
        <w:rPr>
          <w:rFonts w:hint="eastAsia" w:eastAsia="仿宋"/>
          <w:bCs/>
          <w:color w:val="auto"/>
          <w:sz w:val="32"/>
          <w:szCs w:val="32"/>
          <w:lang w:val="en-US" w:eastAsia="zh-CN" w:bidi="en-US"/>
        </w:rPr>
        <w:t>1</w:t>
      </w:r>
      <w:r>
        <w:rPr>
          <w:rFonts w:hint="eastAsia" w:eastAsia="仿宋"/>
          <w:bCs/>
          <w:color w:val="auto"/>
          <w:sz w:val="32"/>
          <w:szCs w:val="32"/>
          <w:lang w:val="en-US" w:eastAsia="zh-CN" w:bidi="en-US"/>
        </w:rPr>
        <w:t>1</w:t>
      </w:r>
      <w:r>
        <w:rPr>
          <w:rFonts w:eastAsia="仿宋"/>
          <w:bCs/>
          <w:color w:val="auto"/>
          <w:sz w:val="32"/>
          <w:szCs w:val="32"/>
          <w:lang w:bidi="en-US"/>
        </w:rPr>
        <w:t>日</w:t>
      </w:r>
    </w:p>
    <w:p w14:paraId="783AB29E">
      <w:pPr>
        <w:spacing w:before="44" w:line="249" w:lineRule="auto"/>
        <w:ind w:right="10"/>
        <w:jc w:val="center"/>
        <w:rPr>
          <w:rFonts w:eastAsia="仿宋"/>
          <w:bCs/>
          <w:sz w:val="36"/>
          <w:szCs w:val="36"/>
          <w:lang w:bidi="en-US"/>
        </w:rPr>
      </w:pPr>
    </w:p>
    <w:p w14:paraId="2DCF8189">
      <w:pPr>
        <w:spacing w:before="44" w:line="249" w:lineRule="auto"/>
        <w:ind w:right="10"/>
        <w:rPr>
          <w:rFonts w:eastAsia="仿宋"/>
          <w:bCs/>
          <w:sz w:val="30"/>
          <w:szCs w:val="30"/>
          <w:lang w:bidi="en-US"/>
        </w:rPr>
      </w:pPr>
    </w:p>
    <w:p w14:paraId="09D72D99">
      <w:pPr>
        <w:spacing w:before="44" w:line="249" w:lineRule="auto"/>
        <w:ind w:right="10"/>
        <w:rPr>
          <w:rFonts w:eastAsia="仿宋"/>
          <w:bCs/>
          <w:sz w:val="30"/>
          <w:szCs w:val="30"/>
        </w:rPr>
      </w:pPr>
      <w:r>
        <w:rPr>
          <w:rFonts w:eastAsia="仿宋"/>
          <w:bCs/>
          <w:sz w:val="30"/>
          <w:szCs w:val="30"/>
          <w:lang w:bidi="en-US"/>
        </w:rPr>
        <w:t>附件：《明溪县瀚仙矿场上龙坑方解石矿开采方案》</w:t>
      </w:r>
      <w:r>
        <w:rPr>
          <w:rFonts w:eastAsia="仿宋"/>
          <w:bCs/>
          <w:sz w:val="30"/>
          <w:szCs w:val="30"/>
        </w:rPr>
        <w:t>专家组评审意见</w:t>
      </w:r>
    </w:p>
    <w:p w14:paraId="523BA004">
      <w:pPr>
        <w:spacing w:line="360" w:lineRule="auto"/>
        <w:ind w:right="10"/>
        <w:jc w:val="center"/>
        <w:rPr>
          <w:rFonts w:eastAsia="仿宋"/>
          <w:b/>
          <w:bCs/>
          <w:sz w:val="36"/>
          <w:szCs w:val="36"/>
          <w:lang w:bidi="en-US"/>
        </w:rPr>
        <w:sectPr>
          <w:footerReference r:id="rId7" w:type="default"/>
          <w:pgSz w:w="11906" w:h="16838"/>
          <w:pgMar w:top="1134" w:right="1134" w:bottom="1134" w:left="1588" w:header="851" w:footer="992" w:gutter="0"/>
          <w:pgNumType w:start="1"/>
          <w:cols w:space="720" w:num="1"/>
          <w:docGrid w:type="lines" w:linePitch="312" w:charSpace="0"/>
        </w:sectPr>
      </w:pPr>
    </w:p>
    <w:p w14:paraId="5CD32073">
      <w:pPr>
        <w:spacing w:line="360" w:lineRule="auto"/>
        <w:ind w:right="10"/>
        <w:jc w:val="center"/>
        <w:rPr>
          <w:rFonts w:eastAsia="仿宋"/>
          <w:b/>
          <w:bCs/>
          <w:sz w:val="36"/>
          <w:szCs w:val="36"/>
          <w:lang w:bidi="en-US"/>
        </w:rPr>
      </w:pPr>
      <w:r>
        <w:rPr>
          <w:rFonts w:eastAsia="仿宋"/>
          <w:b/>
          <w:bCs/>
          <w:sz w:val="36"/>
          <w:szCs w:val="36"/>
          <w:lang w:bidi="en-US"/>
        </w:rPr>
        <w:t>《明溪县瀚仙矿场上龙坑方解石矿开采方案》</w:t>
      </w:r>
    </w:p>
    <w:p w14:paraId="4DB90B6D">
      <w:pPr>
        <w:spacing w:line="360" w:lineRule="auto"/>
        <w:jc w:val="center"/>
        <w:rPr>
          <w:rFonts w:eastAsia="仿宋"/>
          <w:b/>
          <w:bCs/>
          <w:sz w:val="36"/>
          <w:szCs w:val="36"/>
        </w:rPr>
      </w:pPr>
      <w:r>
        <w:rPr>
          <w:rFonts w:eastAsia="仿宋"/>
          <w:b/>
          <w:bCs/>
          <w:sz w:val="36"/>
          <w:szCs w:val="36"/>
        </w:rPr>
        <w:t>专家组评审意见</w:t>
      </w:r>
    </w:p>
    <w:p w14:paraId="1E2C712F">
      <w:pPr>
        <w:spacing w:line="360" w:lineRule="auto"/>
        <w:ind w:right="10"/>
        <w:jc w:val="left"/>
        <w:rPr>
          <w:rFonts w:eastAsia="仿宋"/>
          <w:bCs/>
          <w:sz w:val="32"/>
          <w:szCs w:val="32"/>
          <w:lang w:bidi="en-US"/>
        </w:rPr>
      </w:pPr>
      <w:r>
        <w:rPr>
          <w:rFonts w:eastAsia="仿宋"/>
          <w:bCs/>
          <w:sz w:val="32"/>
          <w:szCs w:val="32"/>
          <w:lang w:bidi="en-US"/>
        </w:rPr>
        <w:t xml:space="preserve">    </w:t>
      </w:r>
      <w:bookmarkStart w:id="0" w:name="_Hlk169771086"/>
      <w:r>
        <w:rPr>
          <w:rFonts w:eastAsia="仿宋"/>
          <w:bCs/>
          <w:sz w:val="32"/>
          <w:szCs w:val="32"/>
          <w:lang w:bidi="en-US"/>
        </w:rPr>
        <w:t>为了进一步合理开发利用明溪县瀚仙矿场上龙坑方解石矿矿产资源，详细查明矿体在深部的变化情况，扩大矿产资源量为今后矿山扩建提供地质依据，</w:t>
      </w:r>
      <w:bookmarkEnd w:id="0"/>
      <w:r>
        <w:rPr>
          <w:rFonts w:eastAsia="仿宋"/>
          <w:bCs/>
          <w:sz w:val="32"/>
          <w:szCs w:val="32"/>
          <w:lang w:bidi="en-US"/>
        </w:rPr>
        <w:t>明溪县钰岩石材料加工厂委托中化地质矿山总局福建地质勘查院对福建省明溪县上龙坑矿区进行资源储量核实及深部勘探工作，该院于2025年8月编制的《福建省明溪县上龙坑矿区方解石矿资源储量核实暨深部勘探地质报告（2025年）》，并于2026年6月12日通过福建省自然资源评审中心组织专家的评审(闽自然资储评字〔2026〕14号）；为办理深部扩深的《采矿许可证》以及提高生产规模提供依据，明溪县钰岩石材料加工厂委托福建所思达勘测设计院有限公司大田分公司编制了《明溪县瀚仙矿场上龙坑方解石矿开采方案》（以下简称《开采方案》）。</w:t>
      </w:r>
    </w:p>
    <w:p w14:paraId="1C2EB3B9">
      <w:pPr>
        <w:spacing w:line="360" w:lineRule="auto"/>
        <w:ind w:right="10" w:firstLine="640" w:firstLineChars="200"/>
        <w:jc w:val="left"/>
        <w:rPr>
          <w:rFonts w:eastAsia="仿宋"/>
          <w:bCs/>
          <w:sz w:val="32"/>
          <w:szCs w:val="32"/>
          <w:lang w:bidi="en-US"/>
        </w:rPr>
      </w:pPr>
      <w:r>
        <w:rPr>
          <w:rFonts w:eastAsia="仿宋"/>
          <w:bCs/>
          <w:sz w:val="32"/>
          <w:szCs w:val="32"/>
          <w:lang w:bidi="en-US"/>
        </w:rPr>
        <w:t>明溪县自然资源局按照</w:t>
      </w:r>
      <w:r>
        <w:rPr>
          <w:rFonts w:eastAsia="仿宋"/>
          <w:bCs/>
          <w:color w:val="auto"/>
          <w:sz w:val="32"/>
          <w:szCs w:val="32"/>
          <w:lang w:bidi="en-US"/>
        </w:rPr>
        <w:t>《福建省自然资源厅办公室关于做好矿产资源法实施衔接过渡期矿产资源勘查方案和开采方案评审工作的通知》（闽自然资办</w:t>
      </w:r>
      <w:r>
        <w:rPr>
          <w:rFonts w:eastAsia="仿宋"/>
          <w:bCs/>
          <w:sz w:val="32"/>
          <w:szCs w:val="32"/>
          <w:lang w:bidi="en-US"/>
        </w:rPr>
        <w:t>〔202</w:t>
      </w:r>
      <w:r>
        <w:rPr>
          <w:rFonts w:hint="eastAsia" w:eastAsia="仿宋"/>
          <w:bCs/>
          <w:sz w:val="32"/>
          <w:szCs w:val="32"/>
          <w:lang w:val="en-US" w:eastAsia="zh-CN" w:bidi="en-US"/>
        </w:rPr>
        <w:t>5</w:t>
      </w:r>
      <w:r>
        <w:rPr>
          <w:rFonts w:eastAsia="仿宋"/>
          <w:bCs/>
          <w:sz w:val="32"/>
          <w:szCs w:val="32"/>
          <w:lang w:bidi="en-US"/>
        </w:rPr>
        <w:t>〕</w:t>
      </w:r>
      <w:r>
        <w:rPr>
          <w:rFonts w:eastAsia="仿宋"/>
          <w:bCs/>
          <w:color w:val="auto"/>
          <w:sz w:val="32"/>
          <w:szCs w:val="32"/>
          <w:lang w:bidi="en-US"/>
        </w:rPr>
        <w:t>13号</w:t>
      </w:r>
      <w:r>
        <w:rPr>
          <w:rFonts w:hint="eastAsia" w:eastAsia="仿宋"/>
          <w:bCs/>
          <w:color w:val="auto"/>
          <w:sz w:val="32"/>
          <w:szCs w:val="32"/>
          <w:lang w:eastAsia="zh-CN" w:bidi="en-US"/>
        </w:rPr>
        <w:t>）</w:t>
      </w:r>
      <w:r>
        <w:rPr>
          <w:rFonts w:eastAsia="仿宋"/>
          <w:bCs/>
          <w:color w:val="auto"/>
          <w:sz w:val="32"/>
          <w:szCs w:val="32"/>
          <w:lang w:bidi="en-US"/>
        </w:rPr>
        <w:t>规定，组织五名专家组成评审专家组，对该《开采方案》进行评审。专</w:t>
      </w:r>
      <w:r>
        <w:rPr>
          <w:rFonts w:eastAsia="仿宋"/>
          <w:bCs/>
          <w:sz w:val="32"/>
          <w:szCs w:val="32"/>
          <w:lang w:bidi="en-US"/>
        </w:rPr>
        <w:t>家组审阅方案及有关附件后，于2026年7月16日会同评审专家以及有关人员到矿山进行了现场踏勘，并召开了方案现场评审会。编制单位根据会议要求及评审专家意见，对方案进行了修改，并于2026年7月28日再次提交了修改稿。经评审专家确认，存在问题已修改完善。明溪县自然资源局在评审专家审查意见基础上，经研究形成本评审意见书。</w:t>
      </w:r>
    </w:p>
    <w:p w14:paraId="48D6EC3B">
      <w:pPr>
        <w:spacing w:line="360" w:lineRule="auto"/>
        <w:ind w:firstLine="643" w:firstLineChars="200"/>
        <w:jc w:val="left"/>
        <w:rPr>
          <w:rFonts w:eastAsia="仿宋"/>
          <w:b/>
          <w:sz w:val="32"/>
          <w:szCs w:val="32"/>
          <w:lang w:bidi="en-US"/>
        </w:rPr>
      </w:pPr>
      <w:r>
        <w:rPr>
          <w:rFonts w:eastAsia="仿宋"/>
          <w:b/>
          <w:sz w:val="32"/>
          <w:szCs w:val="32"/>
          <w:lang w:bidi="en-US"/>
        </w:rPr>
        <w:t>一、项目概况</w:t>
      </w:r>
    </w:p>
    <w:p w14:paraId="333D46C6">
      <w:pPr>
        <w:spacing w:line="360" w:lineRule="auto"/>
        <w:ind w:firstLine="640" w:firstLineChars="200"/>
        <w:jc w:val="left"/>
        <w:rPr>
          <w:rFonts w:eastAsia="仿宋"/>
          <w:bCs/>
          <w:sz w:val="32"/>
          <w:szCs w:val="32"/>
          <w:lang w:bidi="en-US"/>
        </w:rPr>
      </w:pPr>
      <w:r>
        <w:rPr>
          <w:rFonts w:eastAsia="仿宋"/>
          <w:bCs/>
          <w:sz w:val="32"/>
          <w:szCs w:val="32"/>
          <w:lang w:bidi="en-US"/>
        </w:rPr>
        <w:t xml:space="preserve">1.交通位置 </w:t>
      </w:r>
    </w:p>
    <w:p w14:paraId="3BF661B1">
      <w:pPr>
        <w:spacing w:line="360" w:lineRule="auto"/>
        <w:ind w:firstLine="640" w:firstLineChars="200"/>
        <w:jc w:val="left"/>
        <w:rPr>
          <w:rFonts w:eastAsia="仿宋"/>
          <w:bCs/>
          <w:sz w:val="32"/>
          <w:szCs w:val="32"/>
          <w:lang w:bidi="en-US"/>
        </w:rPr>
      </w:pPr>
      <w:r>
        <w:rPr>
          <w:rFonts w:eastAsia="仿宋"/>
          <w:bCs/>
          <w:sz w:val="32"/>
          <w:szCs w:val="32"/>
          <w:lang w:bidi="en-US"/>
        </w:rPr>
        <w:t>矿区位于明溪县城关33°方向，直距约9km处，隶属明溪县瀚仙镇坪地村管辖，地理坐标：东经117°14′37.63″～117°15′05.82″，北纬26°25′29.99″～26°25′42.49″；矿山有简易公路与省道S204线（路程约10km）相连，连接处到明溪县城约2km；县内还有莆炎、永宁两条高速公路，交通便利。</w:t>
      </w:r>
    </w:p>
    <w:p w14:paraId="15AFDBFE">
      <w:pPr>
        <w:spacing w:line="360" w:lineRule="auto"/>
        <w:ind w:firstLine="640" w:firstLineChars="200"/>
        <w:jc w:val="left"/>
        <w:rPr>
          <w:rFonts w:eastAsia="仿宋"/>
          <w:bCs/>
          <w:sz w:val="32"/>
          <w:szCs w:val="32"/>
          <w:lang w:bidi="en-US"/>
        </w:rPr>
      </w:pPr>
      <w:r>
        <w:rPr>
          <w:rFonts w:eastAsia="仿宋"/>
          <w:bCs/>
          <w:sz w:val="32"/>
          <w:szCs w:val="32"/>
          <w:lang w:bidi="en-US"/>
        </w:rPr>
        <w:t>2.采矿权设置情况</w:t>
      </w:r>
    </w:p>
    <w:p w14:paraId="27214B12">
      <w:pPr>
        <w:spacing w:line="360" w:lineRule="auto"/>
        <w:ind w:firstLine="640" w:firstLineChars="200"/>
        <w:jc w:val="left"/>
        <w:rPr>
          <w:rFonts w:eastAsia="仿宋"/>
          <w:bCs/>
          <w:sz w:val="32"/>
          <w:szCs w:val="32"/>
          <w:lang w:bidi="en-US"/>
        </w:rPr>
      </w:pPr>
      <w:r>
        <w:rPr>
          <w:rFonts w:eastAsia="仿宋"/>
          <w:bCs/>
          <w:sz w:val="32"/>
          <w:szCs w:val="32"/>
          <w:lang w:bidi="en-US"/>
        </w:rPr>
        <w:t>（1）原采矿许可证</w:t>
      </w:r>
    </w:p>
    <w:p w14:paraId="5078F0BF">
      <w:pPr>
        <w:spacing w:line="360" w:lineRule="auto"/>
        <w:ind w:firstLine="640" w:firstLineChars="200"/>
        <w:jc w:val="left"/>
        <w:rPr>
          <w:rFonts w:eastAsia="仿宋"/>
          <w:bCs/>
          <w:sz w:val="32"/>
          <w:szCs w:val="32"/>
          <w:lang w:bidi="en-US"/>
        </w:rPr>
      </w:pPr>
      <w:r>
        <w:rPr>
          <w:rFonts w:eastAsia="仿宋"/>
          <w:bCs/>
          <w:sz w:val="32"/>
          <w:szCs w:val="32"/>
          <w:lang w:bidi="en-US"/>
        </w:rPr>
        <w:t>矿山采矿权人：明溪县钰岩石材料加工厂，采矿许可证证号：C3504212010016120054514，矿山名称：明溪县瀚仙矿场上龙坑方解石矿，经济类型：其他企业，开采矿种：方解石，开采方式：地下开采，生产规模5万吨/年，矿区面积0.1805km</w:t>
      </w:r>
      <w:r>
        <w:rPr>
          <w:rFonts w:eastAsia="仿宋"/>
          <w:bCs/>
          <w:sz w:val="32"/>
          <w:szCs w:val="32"/>
          <w:vertAlign w:val="superscript"/>
          <w:lang w:bidi="en-US"/>
        </w:rPr>
        <w:t>2</w:t>
      </w:r>
      <w:r>
        <w:rPr>
          <w:rFonts w:eastAsia="仿宋"/>
          <w:bCs/>
          <w:sz w:val="32"/>
          <w:szCs w:val="32"/>
          <w:lang w:bidi="en-US"/>
        </w:rPr>
        <w:t>，开采标高：+480m～+380m。发证机关：明溪县自然资源局，有效期限：自2023年10月9日至2033年10月9日。矿区范围由以下6个拐点坐标圈定，具体详见下表。</w:t>
      </w:r>
    </w:p>
    <w:p w14:paraId="45DA110F">
      <w:pPr>
        <w:spacing w:line="360" w:lineRule="auto"/>
        <w:ind w:firstLine="643" w:firstLineChars="200"/>
        <w:jc w:val="center"/>
        <w:rPr>
          <w:rFonts w:eastAsia="仿宋"/>
          <w:b/>
          <w:sz w:val="32"/>
          <w:szCs w:val="32"/>
          <w:lang w:bidi="en-US"/>
        </w:rPr>
      </w:pPr>
      <w:r>
        <w:rPr>
          <w:rFonts w:eastAsia="仿宋"/>
          <w:b/>
          <w:sz w:val="32"/>
          <w:szCs w:val="32"/>
          <w:lang w:bidi="en-US"/>
        </w:rPr>
        <w:t xml:space="preserve">  原矿区范围拐点坐标表</w:t>
      </w:r>
    </w:p>
    <w:tbl>
      <w:tblPr>
        <w:tblStyle w:val="15"/>
        <w:tblW w:w="8853" w:type="dxa"/>
        <w:jc w:val="center"/>
        <w:tblLayout w:type="fixed"/>
        <w:tblCellMar>
          <w:top w:w="0" w:type="dxa"/>
          <w:left w:w="108" w:type="dxa"/>
          <w:bottom w:w="0" w:type="dxa"/>
          <w:right w:w="108" w:type="dxa"/>
        </w:tblCellMar>
      </w:tblPr>
      <w:tblGrid>
        <w:gridCol w:w="718"/>
        <w:gridCol w:w="1739"/>
        <w:gridCol w:w="1891"/>
        <w:gridCol w:w="801"/>
        <w:gridCol w:w="1721"/>
        <w:gridCol w:w="1983"/>
      </w:tblGrid>
      <w:tr w14:paraId="0056389F">
        <w:tblPrEx>
          <w:tblCellMar>
            <w:top w:w="0" w:type="dxa"/>
            <w:left w:w="108" w:type="dxa"/>
            <w:bottom w:w="0" w:type="dxa"/>
            <w:right w:w="108" w:type="dxa"/>
          </w:tblCellMar>
        </w:tblPrEx>
        <w:trPr>
          <w:trHeight w:val="567" w:hRule="atLeast"/>
          <w:jc w:val="center"/>
        </w:trPr>
        <w:tc>
          <w:tcPr>
            <w:tcW w:w="718" w:type="dxa"/>
            <w:vMerge w:val="restart"/>
            <w:tcBorders>
              <w:top w:val="single" w:color="auto" w:sz="4" w:space="0"/>
              <w:left w:val="single" w:color="auto" w:sz="4" w:space="0"/>
              <w:bottom w:val="single" w:color="auto" w:sz="4" w:space="0"/>
              <w:right w:val="single" w:color="auto" w:sz="4" w:space="0"/>
            </w:tcBorders>
            <w:noWrap/>
            <w:vAlign w:val="center"/>
          </w:tcPr>
          <w:p w14:paraId="2A2588C6">
            <w:pPr>
              <w:widowControl/>
              <w:jc w:val="center"/>
              <w:rPr>
                <w:rFonts w:eastAsia="仿宋"/>
                <w:kern w:val="0"/>
                <w:sz w:val="24"/>
              </w:rPr>
            </w:pPr>
            <w:r>
              <w:rPr>
                <w:rFonts w:eastAsia="仿宋"/>
                <w:kern w:val="0"/>
                <w:sz w:val="24"/>
              </w:rPr>
              <w:t>拐点编号</w:t>
            </w:r>
          </w:p>
        </w:tc>
        <w:tc>
          <w:tcPr>
            <w:tcW w:w="3630" w:type="dxa"/>
            <w:gridSpan w:val="2"/>
            <w:tcBorders>
              <w:top w:val="single" w:color="auto" w:sz="4" w:space="0"/>
              <w:left w:val="nil"/>
              <w:bottom w:val="single" w:color="auto" w:sz="4" w:space="0"/>
              <w:right w:val="single" w:color="auto" w:sz="4" w:space="0"/>
            </w:tcBorders>
            <w:noWrap/>
            <w:vAlign w:val="center"/>
          </w:tcPr>
          <w:p w14:paraId="05D8FD6A">
            <w:pPr>
              <w:widowControl/>
              <w:jc w:val="center"/>
              <w:rPr>
                <w:rFonts w:eastAsia="仿宋"/>
                <w:kern w:val="0"/>
                <w:sz w:val="24"/>
              </w:rPr>
            </w:pPr>
            <w:r>
              <w:rPr>
                <w:rFonts w:eastAsia="仿宋"/>
                <w:kern w:val="0"/>
                <w:sz w:val="24"/>
              </w:rPr>
              <w:t>2000国家大地坐标系</w:t>
            </w:r>
          </w:p>
        </w:tc>
        <w:tc>
          <w:tcPr>
            <w:tcW w:w="801" w:type="dxa"/>
            <w:vMerge w:val="restart"/>
            <w:tcBorders>
              <w:top w:val="single" w:color="auto" w:sz="4" w:space="0"/>
              <w:left w:val="single" w:color="auto" w:sz="4" w:space="0"/>
              <w:right w:val="single" w:color="auto" w:sz="4" w:space="0"/>
            </w:tcBorders>
            <w:noWrap/>
            <w:vAlign w:val="center"/>
          </w:tcPr>
          <w:p w14:paraId="7D214A60">
            <w:pPr>
              <w:widowControl/>
              <w:jc w:val="center"/>
              <w:rPr>
                <w:rFonts w:eastAsia="仿宋"/>
                <w:kern w:val="0"/>
                <w:sz w:val="24"/>
              </w:rPr>
            </w:pPr>
            <w:r>
              <w:rPr>
                <w:rFonts w:eastAsia="仿宋"/>
                <w:kern w:val="0"/>
                <w:sz w:val="24"/>
              </w:rPr>
              <w:t>拐点编号</w:t>
            </w:r>
          </w:p>
        </w:tc>
        <w:tc>
          <w:tcPr>
            <w:tcW w:w="3704" w:type="dxa"/>
            <w:gridSpan w:val="2"/>
            <w:tcBorders>
              <w:top w:val="single" w:color="auto" w:sz="4" w:space="0"/>
              <w:left w:val="single" w:color="auto" w:sz="4" w:space="0"/>
              <w:bottom w:val="single" w:color="auto" w:sz="4" w:space="0"/>
              <w:right w:val="single" w:color="auto" w:sz="4" w:space="0"/>
            </w:tcBorders>
            <w:noWrap/>
            <w:vAlign w:val="center"/>
          </w:tcPr>
          <w:p w14:paraId="3389DD59">
            <w:pPr>
              <w:widowControl/>
              <w:jc w:val="center"/>
              <w:rPr>
                <w:rFonts w:eastAsia="仿宋"/>
                <w:kern w:val="0"/>
                <w:sz w:val="24"/>
              </w:rPr>
            </w:pPr>
            <w:r>
              <w:rPr>
                <w:rFonts w:eastAsia="仿宋"/>
                <w:kern w:val="0"/>
                <w:sz w:val="24"/>
              </w:rPr>
              <w:t>2000国家大地坐标系</w:t>
            </w:r>
          </w:p>
        </w:tc>
      </w:tr>
      <w:tr w14:paraId="76B5406A">
        <w:tblPrEx>
          <w:tblCellMar>
            <w:top w:w="0" w:type="dxa"/>
            <w:left w:w="108" w:type="dxa"/>
            <w:bottom w:w="0" w:type="dxa"/>
            <w:right w:w="108" w:type="dxa"/>
          </w:tblCellMar>
        </w:tblPrEx>
        <w:trPr>
          <w:trHeight w:val="567" w:hRule="atLeast"/>
          <w:jc w:val="center"/>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1F031CDB">
            <w:pPr>
              <w:widowControl/>
              <w:jc w:val="left"/>
              <w:rPr>
                <w:rFonts w:eastAsia="仿宋"/>
                <w:kern w:val="0"/>
                <w:sz w:val="24"/>
              </w:rPr>
            </w:pPr>
          </w:p>
        </w:tc>
        <w:tc>
          <w:tcPr>
            <w:tcW w:w="1739" w:type="dxa"/>
            <w:tcBorders>
              <w:top w:val="single" w:color="auto" w:sz="4" w:space="0"/>
              <w:left w:val="nil"/>
              <w:bottom w:val="single" w:color="auto" w:sz="4" w:space="0"/>
              <w:right w:val="single" w:color="auto" w:sz="4" w:space="0"/>
            </w:tcBorders>
            <w:noWrap/>
            <w:vAlign w:val="center"/>
          </w:tcPr>
          <w:p w14:paraId="1E19B2C8">
            <w:pPr>
              <w:widowControl/>
              <w:jc w:val="center"/>
              <w:rPr>
                <w:rFonts w:eastAsia="仿宋"/>
                <w:kern w:val="0"/>
                <w:sz w:val="24"/>
              </w:rPr>
            </w:pPr>
            <w:r>
              <w:rPr>
                <w:rFonts w:eastAsia="仿宋"/>
                <w:kern w:val="0"/>
                <w:sz w:val="24"/>
              </w:rPr>
              <w:t>X</w:t>
            </w:r>
          </w:p>
        </w:tc>
        <w:tc>
          <w:tcPr>
            <w:tcW w:w="1891" w:type="dxa"/>
            <w:tcBorders>
              <w:top w:val="single" w:color="auto" w:sz="4" w:space="0"/>
              <w:left w:val="nil"/>
              <w:bottom w:val="single" w:color="auto" w:sz="4" w:space="0"/>
              <w:right w:val="single" w:color="auto" w:sz="4" w:space="0"/>
            </w:tcBorders>
            <w:noWrap/>
            <w:vAlign w:val="center"/>
          </w:tcPr>
          <w:p w14:paraId="6F88F365">
            <w:pPr>
              <w:widowControl/>
              <w:jc w:val="center"/>
              <w:rPr>
                <w:rFonts w:eastAsia="仿宋"/>
                <w:kern w:val="0"/>
                <w:sz w:val="24"/>
              </w:rPr>
            </w:pPr>
            <w:r>
              <w:rPr>
                <w:rFonts w:eastAsia="仿宋"/>
                <w:kern w:val="0"/>
                <w:sz w:val="24"/>
              </w:rPr>
              <w:t>Y</w:t>
            </w:r>
          </w:p>
        </w:tc>
        <w:tc>
          <w:tcPr>
            <w:tcW w:w="801" w:type="dxa"/>
            <w:vMerge w:val="continue"/>
            <w:tcBorders>
              <w:left w:val="single" w:color="auto" w:sz="4" w:space="0"/>
              <w:bottom w:val="single" w:color="auto" w:sz="4" w:space="0"/>
              <w:right w:val="single" w:color="auto" w:sz="4" w:space="0"/>
            </w:tcBorders>
            <w:noWrap w:val="0"/>
            <w:vAlign w:val="center"/>
          </w:tcPr>
          <w:p w14:paraId="3CBE5BA0">
            <w:pPr>
              <w:widowControl/>
              <w:jc w:val="center"/>
              <w:rPr>
                <w:rFonts w:eastAsia="仿宋"/>
                <w:kern w:val="0"/>
                <w:sz w:val="24"/>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14:paraId="2DB82429">
            <w:pPr>
              <w:widowControl/>
              <w:jc w:val="center"/>
              <w:rPr>
                <w:rFonts w:eastAsia="仿宋"/>
                <w:kern w:val="0"/>
                <w:sz w:val="24"/>
              </w:rPr>
            </w:pPr>
            <w:r>
              <w:rPr>
                <w:rFonts w:eastAsia="仿宋"/>
                <w:kern w:val="0"/>
                <w:sz w:val="24"/>
              </w:rPr>
              <w:t>X</w:t>
            </w:r>
          </w:p>
        </w:tc>
        <w:tc>
          <w:tcPr>
            <w:tcW w:w="1983" w:type="dxa"/>
            <w:tcBorders>
              <w:top w:val="single" w:color="auto" w:sz="4" w:space="0"/>
              <w:left w:val="single" w:color="auto" w:sz="4" w:space="0"/>
              <w:bottom w:val="single" w:color="auto" w:sz="4" w:space="0"/>
              <w:right w:val="single" w:color="auto" w:sz="4" w:space="0"/>
            </w:tcBorders>
            <w:noWrap w:val="0"/>
            <w:vAlign w:val="center"/>
          </w:tcPr>
          <w:p w14:paraId="550B5B05">
            <w:pPr>
              <w:widowControl/>
              <w:jc w:val="center"/>
              <w:rPr>
                <w:rFonts w:eastAsia="仿宋"/>
                <w:kern w:val="0"/>
                <w:sz w:val="24"/>
              </w:rPr>
            </w:pPr>
            <w:r>
              <w:rPr>
                <w:rFonts w:eastAsia="仿宋"/>
                <w:kern w:val="0"/>
                <w:sz w:val="24"/>
              </w:rPr>
              <w:t>Y</w:t>
            </w:r>
          </w:p>
        </w:tc>
      </w:tr>
      <w:tr w14:paraId="2726E74F">
        <w:tblPrEx>
          <w:tblCellMar>
            <w:top w:w="0" w:type="dxa"/>
            <w:left w:w="108" w:type="dxa"/>
            <w:bottom w:w="0" w:type="dxa"/>
            <w:right w:w="108" w:type="dxa"/>
          </w:tblCellMar>
        </w:tblPrEx>
        <w:trPr>
          <w:trHeight w:val="567" w:hRule="atLeast"/>
          <w:jc w:val="center"/>
        </w:trPr>
        <w:tc>
          <w:tcPr>
            <w:tcW w:w="718" w:type="dxa"/>
            <w:tcBorders>
              <w:top w:val="nil"/>
              <w:left w:val="single" w:color="auto" w:sz="4" w:space="0"/>
              <w:bottom w:val="single" w:color="auto" w:sz="4" w:space="0"/>
              <w:right w:val="single" w:color="auto" w:sz="4" w:space="0"/>
            </w:tcBorders>
            <w:noWrap/>
            <w:vAlign w:val="center"/>
          </w:tcPr>
          <w:p w14:paraId="0111ECCD">
            <w:pPr>
              <w:widowControl/>
              <w:jc w:val="center"/>
              <w:rPr>
                <w:rFonts w:eastAsia="仿宋"/>
                <w:kern w:val="0"/>
                <w:sz w:val="24"/>
              </w:rPr>
            </w:pPr>
            <w:r>
              <w:rPr>
                <w:rFonts w:eastAsia="仿宋"/>
                <w:kern w:val="0"/>
                <w:sz w:val="24"/>
              </w:rPr>
              <w:t>1</w:t>
            </w:r>
          </w:p>
        </w:tc>
        <w:tc>
          <w:tcPr>
            <w:tcW w:w="1739" w:type="dxa"/>
            <w:tcBorders>
              <w:top w:val="nil"/>
              <w:left w:val="nil"/>
              <w:bottom w:val="single" w:color="auto" w:sz="4" w:space="0"/>
              <w:right w:val="single" w:color="auto" w:sz="4" w:space="0"/>
            </w:tcBorders>
            <w:noWrap/>
            <w:vAlign w:val="center"/>
          </w:tcPr>
          <w:p w14:paraId="32B0AAB0">
            <w:pPr>
              <w:widowControl/>
              <w:jc w:val="center"/>
              <w:rPr>
                <w:rFonts w:eastAsia="仿宋"/>
                <w:sz w:val="24"/>
              </w:rPr>
            </w:pPr>
            <w:r>
              <w:rPr>
                <w:rFonts w:eastAsia="仿宋"/>
                <w:sz w:val="24"/>
              </w:rPr>
              <w:t xml:space="preserve">2923943.8080 </w:t>
            </w:r>
          </w:p>
        </w:tc>
        <w:tc>
          <w:tcPr>
            <w:tcW w:w="1891" w:type="dxa"/>
            <w:tcBorders>
              <w:top w:val="nil"/>
              <w:left w:val="nil"/>
              <w:bottom w:val="single" w:color="auto" w:sz="4" w:space="0"/>
              <w:right w:val="single" w:color="auto" w:sz="4" w:space="0"/>
            </w:tcBorders>
            <w:noWrap/>
            <w:vAlign w:val="center"/>
          </w:tcPr>
          <w:p w14:paraId="34E48D1E">
            <w:pPr>
              <w:widowControl/>
              <w:jc w:val="center"/>
              <w:rPr>
                <w:rFonts w:eastAsia="仿宋"/>
                <w:sz w:val="24"/>
              </w:rPr>
            </w:pPr>
            <w:r>
              <w:rPr>
                <w:rFonts w:eastAsia="仿宋"/>
                <w:sz w:val="24"/>
              </w:rPr>
              <w:t xml:space="preserve">39524319.1750 </w:t>
            </w:r>
          </w:p>
        </w:tc>
        <w:tc>
          <w:tcPr>
            <w:tcW w:w="801" w:type="dxa"/>
            <w:tcBorders>
              <w:top w:val="nil"/>
              <w:left w:val="nil"/>
              <w:bottom w:val="single" w:color="auto" w:sz="4" w:space="0"/>
              <w:right w:val="single" w:color="auto" w:sz="4" w:space="0"/>
            </w:tcBorders>
            <w:noWrap/>
            <w:vAlign w:val="center"/>
          </w:tcPr>
          <w:p w14:paraId="018180F7">
            <w:pPr>
              <w:widowControl/>
              <w:jc w:val="center"/>
              <w:rPr>
                <w:rFonts w:eastAsia="仿宋"/>
                <w:sz w:val="24"/>
              </w:rPr>
            </w:pPr>
            <w:r>
              <w:rPr>
                <w:rFonts w:eastAsia="仿宋"/>
                <w:sz w:val="24"/>
              </w:rPr>
              <w:t>4</w:t>
            </w:r>
          </w:p>
        </w:tc>
        <w:tc>
          <w:tcPr>
            <w:tcW w:w="1721" w:type="dxa"/>
            <w:tcBorders>
              <w:top w:val="nil"/>
              <w:left w:val="single" w:color="auto" w:sz="4" w:space="0"/>
              <w:bottom w:val="single" w:color="auto" w:sz="4" w:space="0"/>
              <w:right w:val="single" w:color="auto" w:sz="4" w:space="0"/>
            </w:tcBorders>
            <w:noWrap/>
            <w:vAlign w:val="center"/>
          </w:tcPr>
          <w:p w14:paraId="777B7225">
            <w:pPr>
              <w:widowControl/>
              <w:jc w:val="center"/>
              <w:rPr>
                <w:rFonts w:eastAsia="仿宋"/>
                <w:sz w:val="24"/>
              </w:rPr>
            </w:pPr>
            <w:r>
              <w:rPr>
                <w:rFonts w:eastAsia="仿宋"/>
                <w:sz w:val="24"/>
              </w:rPr>
              <w:t xml:space="preserve">2924329.8150 </w:t>
            </w:r>
          </w:p>
        </w:tc>
        <w:tc>
          <w:tcPr>
            <w:tcW w:w="1983" w:type="dxa"/>
            <w:tcBorders>
              <w:top w:val="nil"/>
              <w:left w:val="single" w:color="auto" w:sz="4" w:space="0"/>
              <w:bottom w:val="single" w:color="auto" w:sz="4" w:space="0"/>
              <w:right w:val="single" w:color="auto" w:sz="4" w:space="0"/>
            </w:tcBorders>
            <w:noWrap/>
            <w:vAlign w:val="center"/>
          </w:tcPr>
          <w:p w14:paraId="16626E1B">
            <w:pPr>
              <w:widowControl/>
              <w:jc w:val="center"/>
              <w:rPr>
                <w:rFonts w:eastAsia="仿宋"/>
                <w:sz w:val="24"/>
              </w:rPr>
            </w:pPr>
            <w:r>
              <w:rPr>
                <w:rFonts w:eastAsia="仿宋"/>
                <w:sz w:val="24"/>
              </w:rPr>
              <w:t xml:space="preserve">39525099.1810 </w:t>
            </w:r>
          </w:p>
        </w:tc>
      </w:tr>
      <w:tr w14:paraId="34B1C4DA">
        <w:tblPrEx>
          <w:tblCellMar>
            <w:top w:w="0" w:type="dxa"/>
            <w:left w:w="108" w:type="dxa"/>
            <w:bottom w:w="0" w:type="dxa"/>
            <w:right w:w="108" w:type="dxa"/>
          </w:tblCellMar>
        </w:tblPrEx>
        <w:trPr>
          <w:trHeight w:val="567" w:hRule="atLeast"/>
          <w:jc w:val="center"/>
        </w:trPr>
        <w:tc>
          <w:tcPr>
            <w:tcW w:w="718" w:type="dxa"/>
            <w:tcBorders>
              <w:top w:val="nil"/>
              <w:left w:val="single" w:color="auto" w:sz="4" w:space="0"/>
              <w:bottom w:val="single" w:color="auto" w:sz="4" w:space="0"/>
              <w:right w:val="single" w:color="auto" w:sz="4" w:space="0"/>
            </w:tcBorders>
            <w:noWrap/>
            <w:vAlign w:val="center"/>
          </w:tcPr>
          <w:p w14:paraId="78BE2392">
            <w:pPr>
              <w:widowControl/>
              <w:jc w:val="center"/>
              <w:rPr>
                <w:rFonts w:eastAsia="仿宋"/>
                <w:kern w:val="0"/>
                <w:sz w:val="24"/>
              </w:rPr>
            </w:pPr>
            <w:r>
              <w:rPr>
                <w:rFonts w:eastAsia="仿宋"/>
                <w:kern w:val="0"/>
                <w:sz w:val="24"/>
              </w:rPr>
              <w:t>2</w:t>
            </w:r>
          </w:p>
        </w:tc>
        <w:tc>
          <w:tcPr>
            <w:tcW w:w="1739" w:type="dxa"/>
            <w:tcBorders>
              <w:top w:val="nil"/>
              <w:left w:val="nil"/>
              <w:bottom w:val="single" w:color="auto" w:sz="4" w:space="0"/>
              <w:right w:val="single" w:color="auto" w:sz="4" w:space="0"/>
            </w:tcBorders>
            <w:noWrap/>
            <w:vAlign w:val="center"/>
          </w:tcPr>
          <w:p w14:paraId="579C425C">
            <w:pPr>
              <w:widowControl/>
              <w:jc w:val="center"/>
              <w:rPr>
                <w:rFonts w:eastAsia="仿宋"/>
                <w:sz w:val="24"/>
              </w:rPr>
            </w:pPr>
            <w:r>
              <w:rPr>
                <w:rFonts w:eastAsia="仿宋"/>
                <w:sz w:val="24"/>
              </w:rPr>
              <w:t xml:space="preserve">2924113.8110 </w:t>
            </w:r>
          </w:p>
        </w:tc>
        <w:tc>
          <w:tcPr>
            <w:tcW w:w="1891" w:type="dxa"/>
            <w:tcBorders>
              <w:top w:val="nil"/>
              <w:left w:val="nil"/>
              <w:bottom w:val="single" w:color="auto" w:sz="4" w:space="0"/>
              <w:right w:val="single" w:color="auto" w:sz="4" w:space="0"/>
            </w:tcBorders>
            <w:noWrap/>
            <w:vAlign w:val="center"/>
          </w:tcPr>
          <w:p w14:paraId="6D8AFC72">
            <w:pPr>
              <w:widowControl/>
              <w:jc w:val="center"/>
              <w:rPr>
                <w:rFonts w:eastAsia="仿宋"/>
                <w:sz w:val="24"/>
              </w:rPr>
            </w:pPr>
            <w:r>
              <w:rPr>
                <w:rFonts w:eastAsia="仿宋"/>
                <w:sz w:val="24"/>
              </w:rPr>
              <w:t xml:space="preserve">39524711.1780 </w:t>
            </w:r>
          </w:p>
        </w:tc>
        <w:tc>
          <w:tcPr>
            <w:tcW w:w="801" w:type="dxa"/>
            <w:tcBorders>
              <w:top w:val="nil"/>
              <w:left w:val="nil"/>
              <w:bottom w:val="single" w:color="auto" w:sz="4" w:space="0"/>
              <w:right w:val="single" w:color="auto" w:sz="4" w:space="0"/>
            </w:tcBorders>
            <w:noWrap/>
            <w:vAlign w:val="center"/>
          </w:tcPr>
          <w:p w14:paraId="2E0CCCA5">
            <w:pPr>
              <w:widowControl/>
              <w:jc w:val="center"/>
              <w:rPr>
                <w:rFonts w:eastAsia="仿宋"/>
                <w:sz w:val="24"/>
              </w:rPr>
            </w:pPr>
            <w:r>
              <w:rPr>
                <w:rFonts w:eastAsia="仿宋"/>
                <w:sz w:val="24"/>
              </w:rPr>
              <w:t>5</w:t>
            </w:r>
          </w:p>
        </w:tc>
        <w:tc>
          <w:tcPr>
            <w:tcW w:w="1721" w:type="dxa"/>
            <w:tcBorders>
              <w:top w:val="nil"/>
              <w:left w:val="single" w:color="auto" w:sz="4" w:space="0"/>
              <w:bottom w:val="single" w:color="auto" w:sz="4" w:space="0"/>
              <w:right w:val="single" w:color="auto" w:sz="4" w:space="0"/>
            </w:tcBorders>
            <w:noWrap/>
            <w:vAlign w:val="center"/>
          </w:tcPr>
          <w:p w14:paraId="685ADA3E">
            <w:pPr>
              <w:widowControl/>
              <w:jc w:val="center"/>
              <w:rPr>
                <w:rFonts w:eastAsia="仿宋"/>
                <w:sz w:val="24"/>
              </w:rPr>
            </w:pPr>
            <w:r>
              <w:rPr>
                <w:rFonts w:eastAsia="仿宋"/>
                <w:sz w:val="24"/>
              </w:rPr>
              <w:t xml:space="preserve">2924030.8110 </w:t>
            </w:r>
          </w:p>
        </w:tc>
        <w:tc>
          <w:tcPr>
            <w:tcW w:w="1983" w:type="dxa"/>
            <w:tcBorders>
              <w:top w:val="nil"/>
              <w:left w:val="single" w:color="auto" w:sz="4" w:space="0"/>
              <w:bottom w:val="single" w:color="auto" w:sz="4" w:space="0"/>
              <w:right w:val="single" w:color="auto" w:sz="4" w:space="0"/>
            </w:tcBorders>
            <w:noWrap/>
            <w:vAlign w:val="center"/>
          </w:tcPr>
          <w:p w14:paraId="2F935A2B">
            <w:pPr>
              <w:widowControl/>
              <w:jc w:val="center"/>
              <w:rPr>
                <w:rFonts w:eastAsia="仿宋"/>
                <w:sz w:val="24"/>
              </w:rPr>
            </w:pPr>
            <w:r>
              <w:rPr>
                <w:rFonts w:eastAsia="仿宋"/>
                <w:sz w:val="24"/>
              </w:rPr>
              <w:t xml:space="preserve">39525099.1820 </w:t>
            </w:r>
          </w:p>
        </w:tc>
      </w:tr>
      <w:tr w14:paraId="01EA27F3">
        <w:tblPrEx>
          <w:tblCellMar>
            <w:top w:w="0" w:type="dxa"/>
            <w:left w:w="108" w:type="dxa"/>
            <w:bottom w:w="0" w:type="dxa"/>
            <w:right w:w="108" w:type="dxa"/>
          </w:tblCellMar>
        </w:tblPrEx>
        <w:trPr>
          <w:trHeight w:val="567" w:hRule="atLeast"/>
          <w:jc w:val="center"/>
        </w:trPr>
        <w:tc>
          <w:tcPr>
            <w:tcW w:w="718" w:type="dxa"/>
            <w:tcBorders>
              <w:top w:val="nil"/>
              <w:left w:val="single" w:color="auto" w:sz="4" w:space="0"/>
              <w:bottom w:val="single" w:color="auto" w:sz="4" w:space="0"/>
              <w:right w:val="single" w:color="auto" w:sz="4" w:space="0"/>
            </w:tcBorders>
            <w:noWrap/>
            <w:vAlign w:val="center"/>
          </w:tcPr>
          <w:p w14:paraId="22901CE0">
            <w:pPr>
              <w:widowControl/>
              <w:jc w:val="center"/>
              <w:rPr>
                <w:rFonts w:eastAsia="仿宋"/>
                <w:kern w:val="0"/>
                <w:sz w:val="24"/>
              </w:rPr>
            </w:pPr>
            <w:r>
              <w:rPr>
                <w:rFonts w:eastAsia="仿宋"/>
                <w:kern w:val="0"/>
                <w:sz w:val="24"/>
              </w:rPr>
              <w:t>3</w:t>
            </w:r>
          </w:p>
        </w:tc>
        <w:tc>
          <w:tcPr>
            <w:tcW w:w="1739" w:type="dxa"/>
            <w:tcBorders>
              <w:top w:val="nil"/>
              <w:left w:val="nil"/>
              <w:bottom w:val="single" w:color="auto" w:sz="4" w:space="0"/>
              <w:right w:val="single" w:color="auto" w:sz="4" w:space="0"/>
            </w:tcBorders>
            <w:noWrap/>
            <w:vAlign w:val="center"/>
          </w:tcPr>
          <w:p w14:paraId="7F92CAB9">
            <w:pPr>
              <w:widowControl/>
              <w:jc w:val="center"/>
              <w:rPr>
                <w:rFonts w:eastAsia="仿宋"/>
                <w:sz w:val="24"/>
              </w:rPr>
            </w:pPr>
            <w:r>
              <w:rPr>
                <w:rFonts w:eastAsia="仿宋"/>
                <w:sz w:val="24"/>
              </w:rPr>
              <w:t xml:space="preserve">2924217.8120 </w:t>
            </w:r>
          </w:p>
        </w:tc>
        <w:tc>
          <w:tcPr>
            <w:tcW w:w="1891" w:type="dxa"/>
            <w:tcBorders>
              <w:top w:val="nil"/>
              <w:left w:val="nil"/>
              <w:bottom w:val="single" w:color="auto" w:sz="4" w:space="0"/>
              <w:right w:val="single" w:color="auto" w:sz="4" w:space="0"/>
            </w:tcBorders>
            <w:noWrap/>
            <w:vAlign w:val="center"/>
          </w:tcPr>
          <w:p w14:paraId="351AAE72">
            <w:pPr>
              <w:widowControl/>
              <w:jc w:val="center"/>
              <w:rPr>
                <w:rFonts w:eastAsia="仿宋"/>
                <w:sz w:val="24"/>
              </w:rPr>
            </w:pPr>
            <w:r>
              <w:rPr>
                <w:rFonts w:eastAsia="仿宋"/>
                <w:sz w:val="24"/>
              </w:rPr>
              <w:t xml:space="preserve">39524711.1770 </w:t>
            </w:r>
          </w:p>
        </w:tc>
        <w:tc>
          <w:tcPr>
            <w:tcW w:w="801" w:type="dxa"/>
            <w:tcBorders>
              <w:top w:val="nil"/>
              <w:left w:val="nil"/>
              <w:bottom w:val="single" w:color="auto" w:sz="4" w:space="0"/>
              <w:right w:val="single" w:color="auto" w:sz="4" w:space="0"/>
            </w:tcBorders>
            <w:noWrap/>
            <w:vAlign w:val="center"/>
          </w:tcPr>
          <w:p w14:paraId="4CA8A091">
            <w:pPr>
              <w:widowControl/>
              <w:jc w:val="center"/>
              <w:rPr>
                <w:rFonts w:eastAsia="仿宋"/>
                <w:sz w:val="24"/>
              </w:rPr>
            </w:pPr>
            <w:r>
              <w:rPr>
                <w:rFonts w:eastAsia="仿宋"/>
                <w:sz w:val="24"/>
              </w:rPr>
              <w:t>6</w:t>
            </w:r>
          </w:p>
        </w:tc>
        <w:tc>
          <w:tcPr>
            <w:tcW w:w="1721" w:type="dxa"/>
            <w:tcBorders>
              <w:top w:val="nil"/>
              <w:left w:val="single" w:color="auto" w:sz="4" w:space="0"/>
              <w:bottom w:val="single" w:color="auto" w:sz="4" w:space="0"/>
              <w:right w:val="single" w:color="auto" w:sz="4" w:space="0"/>
            </w:tcBorders>
            <w:noWrap/>
            <w:vAlign w:val="center"/>
          </w:tcPr>
          <w:p w14:paraId="6213001D">
            <w:pPr>
              <w:widowControl/>
              <w:jc w:val="center"/>
              <w:rPr>
                <w:rFonts w:eastAsia="仿宋"/>
                <w:sz w:val="24"/>
              </w:rPr>
            </w:pPr>
            <w:r>
              <w:rPr>
                <w:rFonts w:eastAsia="仿宋"/>
                <w:sz w:val="24"/>
              </w:rPr>
              <w:t xml:space="preserve">2923807.8050 </w:t>
            </w:r>
          </w:p>
        </w:tc>
        <w:tc>
          <w:tcPr>
            <w:tcW w:w="1983" w:type="dxa"/>
            <w:tcBorders>
              <w:top w:val="nil"/>
              <w:left w:val="single" w:color="auto" w:sz="4" w:space="0"/>
              <w:bottom w:val="single" w:color="auto" w:sz="4" w:space="0"/>
              <w:right w:val="single" w:color="auto" w:sz="4" w:space="0"/>
            </w:tcBorders>
            <w:noWrap/>
            <w:vAlign w:val="center"/>
          </w:tcPr>
          <w:p w14:paraId="0556B2B9">
            <w:pPr>
              <w:widowControl/>
              <w:jc w:val="center"/>
              <w:rPr>
                <w:rFonts w:eastAsia="仿宋"/>
                <w:sz w:val="24"/>
              </w:rPr>
            </w:pPr>
            <w:r>
              <w:rPr>
                <w:rFonts w:eastAsia="仿宋"/>
                <w:sz w:val="24"/>
              </w:rPr>
              <w:t xml:space="preserve">39524319.1730 </w:t>
            </w:r>
          </w:p>
        </w:tc>
      </w:tr>
      <w:tr w14:paraId="43B19179">
        <w:tblPrEx>
          <w:tblCellMar>
            <w:top w:w="0" w:type="dxa"/>
            <w:left w:w="108" w:type="dxa"/>
            <w:bottom w:w="0" w:type="dxa"/>
            <w:right w:w="108" w:type="dxa"/>
          </w:tblCellMar>
        </w:tblPrEx>
        <w:trPr>
          <w:trHeight w:val="567" w:hRule="atLeast"/>
          <w:jc w:val="center"/>
        </w:trPr>
        <w:tc>
          <w:tcPr>
            <w:tcW w:w="8853" w:type="dxa"/>
            <w:gridSpan w:val="6"/>
            <w:tcBorders>
              <w:top w:val="single" w:color="auto" w:sz="4" w:space="0"/>
              <w:left w:val="single" w:color="auto" w:sz="4" w:space="0"/>
              <w:bottom w:val="single" w:color="auto" w:sz="4" w:space="0"/>
              <w:right w:val="single" w:color="auto" w:sz="4" w:space="0"/>
            </w:tcBorders>
            <w:noWrap/>
            <w:vAlign w:val="center"/>
          </w:tcPr>
          <w:p w14:paraId="235C76CB">
            <w:pPr>
              <w:widowControl/>
              <w:jc w:val="center"/>
              <w:rPr>
                <w:rFonts w:eastAsia="仿宋"/>
                <w:kern w:val="0"/>
                <w:sz w:val="24"/>
              </w:rPr>
            </w:pPr>
            <w:r>
              <w:rPr>
                <w:rFonts w:eastAsia="仿宋"/>
                <w:sz w:val="24"/>
              </w:rPr>
              <w:t>矿区面积：0.1805km</w:t>
            </w:r>
            <w:r>
              <w:rPr>
                <w:rFonts w:eastAsia="仿宋"/>
                <w:sz w:val="24"/>
                <w:vertAlign w:val="superscript"/>
              </w:rPr>
              <w:t>2</w:t>
            </w:r>
            <w:r>
              <w:rPr>
                <w:rFonts w:eastAsia="仿宋"/>
                <w:sz w:val="24"/>
              </w:rPr>
              <w:t>；开采标高：+480～+380m</w:t>
            </w:r>
          </w:p>
        </w:tc>
      </w:tr>
    </w:tbl>
    <w:p w14:paraId="207728D5">
      <w:pPr>
        <w:adjustRightInd w:val="0"/>
        <w:snapToGrid w:val="0"/>
        <w:spacing w:line="360" w:lineRule="auto"/>
        <w:ind w:firstLine="640" w:firstLineChars="200"/>
        <w:textAlignment w:val="baseline"/>
        <w:rPr>
          <w:rFonts w:eastAsia="仿宋"/>
          <w:b/>
          <w:sz w:val="32"/>
          <w:szCs w:val="32"/>
        </w:rPr>
      </w:pPr>
      <w:r>
        <w:rPr>
          <w:rFonts w:eastAsia="仿宋"/>
          <w:bCs/>
          <w:sz w:val="32"/>
          <w:szCs w:val="32"/>
          <w:lang w:bidi="en-US"/>
        </w:rPr>
        <w:t>（2）</w:t>
      </w:r>
      <w:r>
        <w:rPr>
          <w:rFonts w:eastAsia="仿宋"/>
          <w:b/>
          <w:sz w:val="32"/>
          <w:szCs w:val="32"/>
        </w:rPr>
        <w:t>本次申请采矿许可证设置情况</w:t>
      </w:r>
    </w:p>
    <w:p w14:paraId="574EB4DD">
      <w:pPr>
        <w:adjustRightInd w:val="0"/>
        <w:snapToGrid w:val="0"/>
        <w:spacing w:line="360" w:lineRule="auto"/>
        <w:ind w:firstLine="640" w:firstLineChars="200"/>
        <w:textAlignment w:val="baseline"/>
        <w:rPr>
          <w:rFonts w:eastAsia="仿宋"/>
          <w:snapToGrid w:val="0"/>
          <w:sz w:val="32"/>
          <w:szCs w:val="32"/>
        </w:rPr>
      </w:pPr>
      <w:r>
        <w:rPr>
          <w:rFonts w:eastAsia="仿宋"/>
          <w:snapToGrid w:val="0"/>
          <w:sz w:val="32"/>
          <w:szCs w:val="32"/>
        </w:rPr>
        <w:t>本次拟变更采矿权矿区范围</w:t>
      </w:r>
      <w:r>
        <w:rPr>
          <w:rFonts w:eastAsia="仿宋"/>
          <w:sz w:val="32"/>
          <w:szCs w:val="32"/>
        </w:rPr>
        <w:t>（扩大开采标高）</w:t>
      </w:r>
      <w:r>
        <w:rPr>
          <w:rFonts w:eastAsia="仿宋"/>
          <w:snapToGrid w:val="0"/>
          <w:sz w:val="32"/>
          <w:szCs w:val="32"/>
        </w:rPr>
        <w:t>后，开采矿种仍为方解石；生产规模由5万t/年扩大为40万t /年，开采标高调整为：+480m～+280m，矿山服务年限16年，本次拟变更采矿权矿区范围</w:t>
      </w:r>
      <w:r>
        <w:rPr>
          <w:rFonts w:eastAsia="仿宋"/>
          <w:sz w:val="32"/>
          <w:szCs w:val="32"/>
        </w:rPr>
        <w:t>（扩大开采标高）</w:t>
      </w:r>
      <w:r>
        <w:rPr>
          <w:rFonts w:eastAsia="仿宋"/>
          <w:snapToGrid w:val="0"/>
          <w:sz w:val="32"/>
          <w:szCs w:val="32"/>
        </w:rPr>
        <w:t>矿山的开采方式、矿区面积均保持不变</w:t>
      </w:r>
      <w:r>
        <w:rPr>
          <w:rFonts w:eastAsia="仿宋"/>
          <w:sz w:val="32"/>
          <w:szCs w:val="32"/>
        </w:rPr>
        <w:t>，</w:t>
      </w:r>
      <w:r>
        <w:rPr>
          <w:rFonts w:eastAsia="仿宋"/>
          <w:snapToGrid w:val="0"/>
          <w:sz w:val="32"/>
          <w:szCs w:val="32"/>
        </w:rPr>
        <w:t>故本次拟申请开采区域由以下6个拐点坐标组成，具体详见下表。</w:t>
      </w:r>
    </w:p>
    <w:p w14:paraId="7DA3D2A9">
      <w:pPr>
        <w:adjustRightInd w:val="0"/>
        <w:snapToGrid w:val="0"/>
        <w:spacing w:line="360" w:lineRule="auto"/>
        <w:jc w:val="center"/>
        <w:textAlignment w:val="baseline"/>
        <w:rPr>
          <w:rFonts w:eastAsia="仿宋"/>
          <w:b/>
          <w:sz w:val="32"/>
          <w:szCs w:val="32"/>
        </w:rPr>
      </w:pPr>
      <w:r>
        <w:rPr>
          <w:rFonts w:eastAsia="仿宋"/>
          <w:b/>
          <w:sz w:val="32"/>
          <w:szCs w:val="32"/>
        </w:rPr>
        <w:t xml:space="preserve">     拟申请开采区域拐点坐标表      </w:t>
      </w:r>
    </w:p>
    <w:tbl>
      <w:tblPr>
        <w:tblStyle w:val="15"/>
        <w:tblW w:w="8853" w:type="dxa"/>
        <w:jc w:val="center"/>
        <w:tblLayout w:type="fixed"/>
        <w:tblCellMar>
          <w:top w:w="0" w:type="dxa"/>
          <w:left w:w="108" w:type="dxa"/>
          <w:bottom w:w="0" w:type="dxa"/>
          <w:right w:w="108" w:type="dxa"/>
        </w:tblCellMar>
      </w:tblPr>
      <w:tblGrid>
        <w:gridCol w:w="718"/>
        <w:gridCol w:w="1739"/>
        <w:gridCol w:w="1891"/>
        <w:gridCol w:w="801"/>
        <w:gridCol w:w="1721"/>
        <w:gridCol w:w="1983"/>
      </w:tblGrid>
      <w:tr w14:paraId="0F418BDE">
        <w:tblPrEx>
          <w:tblCellMar>
            <w:top w:w="0" w:type="dxa"/>
            <w:left w:w="108" w:type="dxa"/>
            <w:bottom w:w="0" w:type="dxa"/>
            <w:right w:w="108" w:type="dxa"/>
          </w:tblCellMar>
        </w:tblPrEx>
        <w:trPr>
          <w:trHeight w:val="567" w:hRule="atLeast"/>
          <w:jc w:val="center"/>
        </w:trPr>
        <w:tc>
          <w:tcPr>
            <w:tcW w:w="718" w:type="dxa"/>
            <w:vMerge w:val="restart"/>
            <w:tcBorders>
              <w:top w:val="single" w:color="auto" w:sz="4" w:space="0"/>
              <w:left w:val="single" w:color="auto" w:sz="4" w:space="0"/>
              <w:bottom w:val="single" w:color="auto" w:sz="4" w:space="0"/>
              <w:right w:val="single" w:color="auto" w:sz="4" w:space="0"/>
            </w:tcBorders>
            <w:noWrap/>
            <w:vAlign w:val="center"/>
          </w:tcPr>
          <w:p w14:paraId="5B243480">
            <w:pPr>
              <w:widowControl/>
              <w:jc w:val="center"/>
              <w:rPr>
                <w:rFonts w:eastAsia="仿宋"/>
                <w:kern w:val="0"/>
                <w:sz w:val="24"/>
              </w:rPr>
            </w:pPr>
            <w:r>
              <w:rPr>
                <w:rFonts w:eastAsia="仿宋"/>
                <w:kern w:val="0"/>
                <w:sz w:val="24"/>
              </w:rPr>
              <w:t>拐点编号</w:t>
            </w:r>
          </w:p>
        </w:tc>
        <w:tc>
          <w:tcPr>
            <w:tcW w:w="3630" w:type="dxa"/>
            <w:gridSpan w:val="2"/>
            <w:tcBorders>
              <w:top w:val="single" w:color="auto" w:sz="4" w:space="0"/>
              <w:left w:val="nil"/>
              <w:bottom w:val="single" w:color="auto" w:sz="4" w:space="0"/>
              <w:right w:val="single" w:color="auto" w:sz="4" w:space="0"/>
            </w:tcBorders>
            <w:noWrap/>
            <w:vAlign w:val="center"/>
          </w:tcPr>
          <w:p w14:paraId="562DAE61">
            <w:pPr>
              <w:widowControl/>
              <w:jc w:val="center"/>
              <w:rPr>
                <w:rFonts w:eastAsia="仿宋"/>
                <w:kern w:val="0"/>
                <w:sz w:val="24"/>
              </w:rPr>
            </w:pPr>
            <w:r>
              <w:rPr>
                <w:rFonts w:eastAsia="仿宋"/>
                <w:kern w:val="0"/>
                <w:sz w:val="24"/>
              </w:rPr>
              <w:t>2000国家大地坐标系</w:t>
            </w:r>
          </w:p>
        </w:tc>
        <w:tc>
          <w:tcPr>
            <w:tcW w:w="801" w:type="dxa"/>
            <w:vMerge w:val="restart"/>
            <w:tcBorders>
              <w:top w:val="single" w:color="auto" w:sz="4" w:space="0"/>
              <w:left w:val="single" w:color="auto" w:sz="4" w:space="0"/>
              <w:right w:val="single" w:color="auto" w:sz="4" w:space="0"/>
            </w:tcBorders>
            <w:noWrap/>
            <w:vAlign w:val="center"/>
          </w:tcPr>
          <w:p w14:paraId="39342A47">
            <w:pPr>
              <w:widowControl/>
              <w:jc w:val="center"/>
              <w:rPr>
                <w:rFonts w:eastAsia="仿宋"/>
                <w:kern w:val="0"/>
                <w:sz w:val="24"/>
              </w:rPr>
            </w:pPr>
            <w:r>
              <w:rPr>
                <w:rFonts w:eastAsia="仿宋"/>
                <w:kern w:val="0"/>
                <w:sz w:val="24"/>
              </w:rPr>
              <w:t>拐点编号</w:t>
            </w:r>
          </w:p>
        </w:tc>
        <w:tc>
          <w:tcPr>
            <w:tcW w:w="3704" w:type="dxa"/>
            <w:gridSpan w:val="2"/>
            <w:tcBorders>
              <w:top w:val="single" w:color="auto" w:sz="4" w:space="0"/>
              <w:left w:val="single" w:color="auto" w:sz="4" w:space="0"/>
              <w:bottom w:val="single" w:color="auto" w:sz="4" w:space="0"/>
              <w:right w:val="single" w:color="auto" w:sz="4" w:space="0"/>
            </w:tcBorders>
            <w:noWrap/>
            <w:vAlign w:val="center"/>
          </w:tcPr>
          <w:p w14:paraId="4C60C2D4">
            <w:pPr>
              <w:widowControl/>
              <w:jc w:val="center"/>
              <w:rPr>
                <w:rFonts w:eastAsia="仿宋"/>
                <w:kern w:val="0"/>
                <w:sz w:val="24"/>
              </w:rPr>
            </w:pPr>
            <w:r>
              <w:rPr>
                <w:rFonts w:eastAsia="仿宋"/>
                <w:kern w:val="0"/>
                <w:sz w:val="24"/>
              </w:rPr>
              <w:t>2000国家大地坐标系</w:t>
            </w:r>
          </w:p>
        </w:tc>
      </w:tr>
      <w:tr w14:paraId="12CCEBA5">
        <w:tblPrEx>
          <w:tblCellMar>
            <w:top w:w="0" w:type="dxa"/>
            <w:left w:w="108" w:type="dxa"/>
            <w:bottom w:w="0" w:type="dxa"/>
            <w:right w:w="108" w:type="dxa"/>
          </w:tblCellMar>
        </w:tblPrEx>
        <w:trPr>
          <w:trHeight w:val="567" w:hRule="atLeast"/>
          <w:jc w:val="center"/>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059793D2">
            <w:pPr>
              <w:widowControl/>
              <w:jc w:val="left"/>
              <w:rPr>
                <w:rFonts w:eastAsia="仿宋"/>
                <w:kern w:val="0"/>
                <w:sz w:val="24"/>
              </w:rPr>
            </w:pPr>
          </w:p>
        </w:tc>
        <w:tc>
          <w:tcPr>
            <w:tcW w:w="1739" w:type="dxa"/>
            <w:tcBorders>
              <w:top w:val="single" w:color="auto" w:sz="4" w:space="0"/>
              <w:left w:val="nil"/>
              <w:bottom w:val="single" w:color="auto" w:sz="4" w:space="0"/>
              <w:right w:val="single" w:color="auto" w:sz="4" w:space="0"/>
            </w:tcBorders>
            <w:noWrap/>
            <w:vAlign w:val="center"/>
          </w:tcPr>
          <w:p w14:paraId="5746D96F">
            <w:pPr>
              <w:widowControl/>
              <w:jc w:val="center"/>
              <w:rPr>
                <w:rFonts w:eastAsia="仿宋"/>
                <w:kern w:val="0"/>
                <w:sz w:val="24"/>
              </w:rPr>
            </w:pPr>
            <w:r>
              <w:rPr>
                <w:rFonts w:eastAsia="仿宋"/>
                <w:kern w:val="0"/>
                <w:sz w:val="24"/>
              </w:rPr>
              <w:t>X</w:t>
            </w:r>
          </w:p>
        </w:tc>
        <w:tc>
          <w:tcPr>
            <w:tcW w:w="1891" w:type="dxa"/>
            <w:tcBorders>
              <w:top w:val="single" w:color="auto" w:sz="4" w:space="0"/>
              <w:left w:val="nil"/>
              <w:bottom w:val="single" w:color="auto" w:sz="4" w:space="0"/>
              <w:right w:val="single" w:color="auto" w:sz="4" w:space="0"/>
            </w:tcBorders>
            <w:noWrap/>
            <w:vAlign w:val="center"/>
          </w:tcPr>
          <w:p w14:paraId="4D330B56">
            <w:pPr>
              <w:widowControl/>
              <w:jc w:val="center"/>
              <w:rPr>
                <w:rFonts w:eastAsia="仿宋"/>
                <w:kern w:val="0"/>
                <w:sz w:val="24"/>
              </w:rPr>
            </w:pPr>
            <w:r>
              <w:rPr>
                <w:rFonts w:eastAsia="仿宋"/>
                <w:kern w:val="0"/>
                <w:sz w:val="24"/>
              </w:rPr>
              <w:t>Y</w:t>
            </w:r>
          </w:p>
        </w:tc>
        <w:tc>
          <w:tcPr>
            <w:tcW w:w="801" w:type="dxa"/>
            <w:vMerge w:val="continue"/>
            <w:tcBorders>
              <w:left w:val="single" w:color="auto" w:sz="4" w:space="0"/>
              <w:bottom w:val="single" w:color="auto" w:sz="4" w:space="0"/>
              <w:right w:val="single" w:color="auto" w:sz="4" w:space="0"/>
            </w:tcBorders>
            <w:noWrap w:val="0"/>
            <w:vAlign w:val="center"/>
          </w:tcPr>
          <w:p w14:paraId="61BD08DE">
            <w:pPr>
              <w:widowControl/>
              <w:jc w:val="center"/>
              <w:rPr>
                <w:rFonts w:eastAsia="仿宋"/>
                <w:kern w:val="0"/>
                <w:sz w:val="24"/>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14:paraId="1CCAAD53">
            <w:pPr>
              <w:widowControl/>
              <w:jc w:val="center"/>
              <w:rPr>
                <w:rFonts w:eastAsia="仿宋"/>
                <w:kern w:val="0"/>
                <w:sz w:val="24"/>
              </w:rPr>
            </w:pPr>
            <w:r>
              <w:rPr>
                <w:rFonts w:eastAsia="仿宋"/>
                <w:kern w:val="0"/>
                <w:sz w:val="24"/>
              </w:rPr>
              <w:t>X</w:t>
            </w:r>
          </w:p>
        </w:tc>
        <w:tc>
          <w:tcPr>
            <w:tcW w:w="1983" w:type="dxa"/>
            <w:tcBorders>
              <w:top w:val="single" w:color="auto" w:sz="4" w:space="0"/>
              <w:left w:val="single" w:color="auto" w:sz="4" w:space="0"/>
              <w:bottom w:val="single" w:color="auto" w:sz="4" w:space="0"/>
              <w:right w:val="single" w:color="auto" w:sz="4" w:space="0"/>
            </w:tcBorders>
            <w:noWrap w:val="0"/>
            <w:vAlign w:val="center"/>
          </w:tcPr>
          <w:p w14:paraId="79D90A1C">
            <w:pPr>
              <w:widowControl/>
              <w:jc w:val="center"/>
              <w:rPr>
                <w:rFonts w:eastAsia="仿宋"/>
                <w:kern w:val="0"/>
                <w:sz w:val="24"/>
              </w:rPr>
            </w:pPr>
            <w:r>
              <w:rPr>
                <w:rFonts w:eastAsia="仿宋"/>
                <w:kern w:val="0"/>
                <w:sz w:val="24"/>
              </w:rPr>
              <w:t>Y</w:t>
            </w:r>
          </w:p>
        </w:tc>
      </w:tr>
      <w:tr w14:paraId="493C2969">
        <w:tblPrEx>
          <w:tblCellMar>
            <w:top w:w="0" w:type="dxa"/>
            <w:left w:w="108" w:type="dxa"/>
            <w:bottom w:w="0" w:type="dxa"/>
            <w:right w:w="108" w:type="dxa"/>
          </w:tblCellMar>
        </w:tblPrEx>
        <w:trPr>
          <w:trHeight w:val="567" w:hRule="atLeast"/>
          <w:jc w:val="center"/>
        </w:trPr>
        <w:tc>
          <w:tcPr>
            <w:tcW w:w="718" w:type="dxa"/>
            <w:tcBorders>
              <w:top w:val="nil"/>
              <w:left w:val="single" w:color="auto" w:sz="4" w:space="0"/>
              <w:bottom w:val="single" w:color="auto" w:sz="4" w:space="0"/>
              <w:right w:val="single" w:color="auto" w:sz="4" w:space="0"/>
            </w:tcBorders>
            <w:noWrap/>
            <w:vAlign w:val="center"/>
          </w:tcPr>
          <w:p w14:paraId="2BC145BB">
            <w:pPr>
              <w:widowControl/>
              <w:jc w:val="center"/>
              <w:rPr>
                <w:rFonts w:eastAsia="仿宋"/>
                <w:kern w:val="0"/>
                <w:sz w:val="24"/>
              </w:rPr>
            </w:pPr>
            <w:r>
              <w:rPr>
                <w:rFonts w:eastAsia="仿宋"/>
                <w:kern w:val="0"/>
                <w:sz w:val="24"/>
              </w:rPr>
              <w:t>1</w:t>
            </w:r>
          </w:p>
        </w:tc>
        <w:tc>
          <w:tcPr>
            <w:tcW w:w="1739" w:type="dxa"/>
            <w:tcBorders>
              <w:top w:val="nil"/>
              <w:left w:val="nil"/>
              <w:bottom w:val="single" w:color="auto" w:sz="4" w:space="0"/>
              <w:right w:val="single" w:color="auto" w:sz="4" w:space="0"/>
            </w:tcBorders>
            <w:noWrap/>
            <w:vAlign w:val="center"/>
          </w:tcPr>
          <w:p w14:paraId="53475098">
            <w:pPr>
              <w:widowControl/>
              <w:jc w:val="center"/>
              <w:rPr>
                <w:rFonts w:eastAsia="仿宋"/>
                <w:kern w:val="0"/>
                <w:sz w:val="24"/>
              </w:rPr>
            </w:pPr>
            <w:r>
              <w:rPr>
                <w:rFonts w:eastAsia="仿宋"/>
                <w:sz w:val="24"/>
              </w:rPr>
              <w:t xml:space="preserve">2923943.80 </w:t>
            </w:r>
          </w:p>
        </w:tc>
        <w:tc>
          <w:tcPr>
            <w:tcW w:w="1891" w:type="dxa"/>
            <w:tcBorders>
              <w:top w:val="nil"/>
              <w:left w:val="nil"/>
              <w:bottom w:val="single" w:color="auto" w:sz="4" w:space="0"/>
              <w:right w:val="single" w:color="auto" w:sz="4" w:space="0"/>
            </w:tcBorders>
            <w:noWrap/>
            <w:vAlign w:val="center"/>
          </w:tcPr>
          <w:p w14:paraId="661DD0CD">
            <w:pPr>
              <w:widowControl/>
              <w:jc w:val="center"/>
              <w:rPr>
                <w:rFonts w:eastAsia="仿宋"/>
                <w:kern w:val="0"/>
                <w:sz w:val="24"/>
              </w:rPr>
            </w:pPr>
            <w:r>
              <w:rPr>
                <w:rFonts w:eastAsia="仿宋"/>
                <w:sz w:val="24"/>
              </w:rPr>
              <w:t xml:space="preserve">39524319.18 </w:t>
            </w:r>
          </w:p>
        </w:tc>
        <w:tc>
          <w:tcPr>
            <w:tcW w:w="801" w:type="dxa"/>
            <w:tcBorders>
              <w:top w:val="nil"/>
              <w:left w:val="nil"/>
              <w:bottom w:val="single" w:color="auto" w:sz="4" w:space="0"/>
              <w:right w:val="single" w:color="auto" w:sz="4" w:space="0"/>
            </w:tcBorders>
            <w:noWrap/>
            <w:vAlign w:val="center"/>
          </w:tcPr>
          <w:p w14:paraId="73B85229">
            <w:pPr>
              <w:widowControl/>
              <w:jc w:val="center"/>
              <w:rPr>
                <w:rFonts w:eastAsia="仿宋"/>
                <w:kern w:val="0"/>
                <w:sz w:val="24"/>
              </w:rPr>
            </w:pPr>
            <w:r>
              <w:rPr>
                <w:rFonts w:eastAsia="仿宋"/>
                <w:kern w:val="0"/>
                <w:sz w:val="24"/>
              </w:rPr>
              <w:t>4</w:t>
            </w:r>
          </w:p>
        </w:tc>
        <w:tc>
          <w:tcPr>
            <w:tcW w:w="1721" w:type="dxa"/>
            <w:tcBorders>
              <w:top w:val="nil"/>
              <w:left w:val="single" w:color="auto" w:sz="4" w:space="0"/>
              <w:bottom w:val="single" w:color="auto" w:sz="4" w:space="0"/>
              <w:right w:val="single" w:color="auto" w:sz="4" w:space="0"/>
            </w:tcBorders>
            <w:noWrap/>
            <w:vAlign w:val="center"/>
          </w:tcPr>
          <w:p w14:paraId="7749C281">
            <w:pPr>
              <w:widowControl/>
              <w:jc w:val="center"/>
              <w:rPr>
                <w:rFonts w:eastAsia="仿宋"/>
                <w:kern w:val="0"/>
                <w:sz w:val="24"/>
              </w:rPr>
            </w:pPr>
            <w:r>
              <w:rPr>
                <w:rFonts w:eastAsia="仿宋"/>
                <w:sz w:val="24"/>
              </w:rPr>
              <w:t xml:space="preserve">2924329.81 </w:t>
            </w:r>
          </w:p>
        </w:tc>
        <w:tc>
          <w:tcPr>
            <w:tcW w:w="1983" w:type="dxa"/>
            <w:tcBorders>
              <w:top w:val="nil"/>
              <w:left w:val="single" w:color="auto" w:sz="4" w:space="0"/>
              <w:bottom w:val="single" w:color="auto" w:sz="4" w:space="0"/>
              <w:right w:val="single" w:color="auto" w:sz="4" w:space="0"/>
            </w:tcBorders>
            <w:noWrap/>
            <w:vAlign w:val="center"/>
          </w:tcPr>
          <w:p w14:paraId="2EC649D6">
            <w:pPr>
              <w:widowControl/>
              <w:jc w:val="center"/>
              <w:rPr>
                <w:rFonts w:eastAsia="仿宋"/>
                <w:kern w:val="0"/>
                <w:sz w:val="24"/>
              </w:rPr>
            </w:pPr>
            <w:r>
              <w:rPr>
                <w:rFonts w:eastAsia="仿宋"/>
                <w:sz w:val="24"/>
              </w:rPr>
              <w:t xml:space="preserve">39525099.18 </w:t>
            </w:r>
          </w:p>
        </w:tc>
      </w:tr>
      <w:tr w14:paraId="54473E07">
        <w:tblPrEx>
          <w:tblCellMar>
            <w:top w:w="0" w:type="dxa"/>
            <w:left w:w="108" w:type="dxa"/>
            <w:bottom w:w="0" w:type="dxa"/>
            <w:right w:w="108" w:type="dxa"/>
          </w:tblCellMar>
        </w:tblPrEx>
        <w:trPr>
          <w:trHeight w:val="567" w:hRule="atLeast"/>
          <w:jc w:val="center"/>
        </w:trPr>
        <w:tc>
          <w:tcPr>
            <w:tcW w:w="718" w:type="dxa"/>
            <w:tcBorders>
              <w:top w:val="nil"/>
              <w:left w:val="single" w:color="auto" w:sz="4" w:space="0"/>
              <w:bottom w:val="single" w:color="auto" w:sz="4" w:space="0"/>
              <w:right w:val="single" w:color="auto" w:sz="4" w:space="0"/>
            </w:tcBorders>
            <w:noWrap/>
            <w:vAlign w:val="center"/>
          </w:tcPr>
          <w:p w14:paraId="1E42CA4B">
            <w:pPr>
              <w:widowControl/>
              <w:jc w:val="center"/>
              <w:rPr>
                <w:rFonts w:eastAsia="仿宋"/>
                <w:kern w:val="0"/>
                <w:sz w:val="24"/>
              </w:rPr>
            </w:pPr>
            <w:r>
              <w:rPr>
                <w:rFonts w:eastAsia="仿宋"/>
                <w:kern w:val="0"/>
                <w:sz w:val="24"/>
              </w:rPr>
              <w:t>2</w:t>
            </w:r>
          </w:p>
        </w:tc>
        <w:tc>
          <w:tcPr>
            <w:tcW w:w="1739" w:type="dxa"/>
            <w:tcBorders>
              <w:top w:val="nil"/>
              <w:left w:val="nil"/>
              <w:bottom w:val="single" w:color="auto" w:sz="4" w:space="0"/>
              <w:right w:val="single" w:color="auto" w:sz="4" w:space="0"/>
            </w:tcBorders>
            <w:noWrap/>
            <w:vAlign w:val="center"/>
          </w:tcPr>
          <w:p w14:paraId="10FE3EF7">
            <w:pPr>
              <w:widowControl/>
              <w:jc w:val="center"/>
              <w:rPr>
                <w:rFonts w:eastAsia="仿宋"/>
                <w:kern w:val="0"/>
                <w:sz w:val="24"/>
              </w:rPr>
            </w:pPr>
            <w:r>
              <w:rPr>
                <w:rFonts w:eastAsia="仿宋"/>
                <w:sz w:val="24"/>
              </w:rPr>
              <w:t xml:space="preserve">2924113.81 </w:t>
            </w:r>
          </w:p>
        </w:tc>
        <w:tc>
          <w:tcPr>
            <w:tcW w:w="1891" w:type="dxa"/>
            <w:tcBorders>
              <w:top w:val="nil"/>
              <w:left w:val="nil"/>
              <w:bottom w:val="single" w:color="auto" w:sz="4" w:space="0"/>
              <w:right w:val="single" w:color="auto" w:sz="4" w:space="0"/>
            </w:tcBorders>
            <w:noWrap/>
            <w:vAlign w:val="center"/>
          </w:tcPr>
          <w:p w14:paraId="37F74E93">
            <w:pPr>
              <w:widowControl/>
              <w:jc w:val="center"/>
              <w:rPr>
                <w:rFonts w:eastAsia="仿宋"/>
                <w:kern w:val="0"/>
                <w:sz w:val="24"/>
              </w:rPr>
            </w:pPr>
            <w:r>
              <w:rPr>
                <w:rFonts w:eastAsia="仿宋"/>
                <w:sz w:val="24"/>
              </w:rPr>
              <w:t xml:space="preserve">39524711.18 </w:t>
            </w:r>
          </w:p>
        </w:tc>
        <w:tc>
          <w:tcPr>
            <w:tcW w:w="801" w:type="dxa"/>
            <w:tcBorders>
              <w:top w:val="nil"/>
              <w:left w:val="nil"/>
              <w:bottom w:val="single" w:color="auto" w:sz="4" w:space="0"/>
              <w:right w:val="single" w:color="auto" w:sz="4" w:space="0"/>
            </w:tcBorders>
            <w:noWrap/>
            <w:vAlign w:val="center"/>
          </w:tcPr>
          <w:p w14:paraId="1E278E51">
            <w:pPr>
              <w:widowControl/>
              <w:jc w:val="center"/>
              <w:rPr>
                <w:rFonts w:eastAsia="仿宋"/>
                <w:kern w:val="0"/>
                <w:sz w:val="24"/>
              </w:rPr>
            </w:pPr>
            <w:r>
              <w:rPr>
                <w:rFonts w:eastAsia="仿宋"/>
                <w:kern w:val="0"/>
                <w:sz w:val="24"/>
              </w:rPr>
              <w:t>5</w:t>
            </w:r>
          </w:p>
        </w:tc>
        <w:tc>
          <w:tcPr>
            <w:tcW w:w="1721" w:type="dxa"/>
            <w:tcBorders>
              <w:top w:val="nil"/>
              <w:left w:val="single" w:color="auto" w:sz="4" w:space="0"/>
              <w:bottom w:val="single" w:color="auto" w:sz="4" w:space="0"/>
              <w:right w:val="single" w:color="auto" w:sz="4" w:space="0"/>
            </w:tcBorders>
            <w:noWrap/>
            <w:vAlign w:val="center"/>
          </w:tcPr>
          <w:p w14:paraId="07E2D833">
            <w:pPr>
              <w:widowControl/>
              <w:jc w:val="center"/>
              <w:rPr>
                <w:rFonts w:eastAsia="仿宋"/>
                <w:kern w:val="0"/>
                <w:sz w:val="24"/>
              </w:rPr>
            </w:pPr>
            <w:r>
              <w:rPr>
                <w:rFonts w:eastAsia="仿宋"/>
                <w:sz w:val="24"/>
              </w:rPr>
              <w:t xml:space="preserve">2924030.82 </w:t>
            </w:r>
          </w:p>
        </w:tc>
        <w:tc>
          <w:tcPr>
            <w:tcW w:w="1983" w:type="dxa"/>
            <w:tcBorders>
              <w:top w:val="nil"/>
              <w:left w:val="single" w:color="auto" w:sz="4" w:space="0"/>
              <w:bottom w:val="single" w:color="auto" w:sz="4" w:space="0"/>
              <w:right w:val="single" w:color="auto" w:sz="4" w:space="0"/>
            </w:tcBorders>
            <w:noWrap/>
            <w:vAlign w:val="center"/>
          </w:tcPr>
          <w:p w14:paraId="2841AE6E">
            <w:pPr>
              <w:widowControl/>
              <w:jc w:val="center"/>
              <w:rPr>
                <w:rFonts w:eastAsia="仿宋"/>
                <w:kern w:val="0"/>
                <w:sz w:val="24"/>
              </w:rPr>
            </w:pPr>
            <w:r>
              <w:rPr>
                <w:rFonts w:eastAsia="仿宋"/>
                <w:sz w:val="24"/>
              </w:rPr>
              <w:t xml:space="preserve">39525099.18 </w:t>
            </w:r>
          </w:p>
        </w:tc>
      </w:tr>
      <w:tr w14:paraId="398477F0">
        <w:tblPrEx>
          <w:tblCellMar>
            <w:top w:w="0" w:type="dxa"/>
            <w:left w:w="108" w:type="dxa"/>
            <w:bottom w:w="0" w:type="dxa"/>
            <w:right w:w="108" w:type="dxa"/>
          </w:tblCellMar>
        </w:tblPrEx>
        <w:trPr>
          <w:trHeight w:val="567" w:hRule="atLeast"/>
          <w:jc w:val="center"/>
        </w:trPr>
        <w:tc>
          <w:tcPr>
            <w:tcW w:w="718" w:type="dxa"/>
            <w:tcBorders>
              <w:top w:val="nil"/>
              <w:left w:val="single" w:color="auto" w:sz="4" w:space="0"/>
              <w:bottom w:val="single" w:color="auto" w:sz="4" w:space="0"/>
              <w:right w:val="single" w:color="auto" w:sz="4" w:space="0"/>
            </w:tcBorders>
            <w:noWrap/>
            <w:vAlign w:val="center"/>
          </w:tcPr>
          <w:p w14:paraId="080C1117">
            <w:pPr>
              <w:widowControl/>
              <w:jc w:val="center"/>
              <w:rPr>
                <w:rFonts w:eastAsia="仿宋"/>
                <w:kern w:val="0"/>
                <w:sz w:val="24"/>
              </w:rPr>
            </w:pPr>
            <w:r>
              <w:rPr>
                <w:rFonts w:eastAsia="仿宋"/>
                <w:kern w:val="0"/>
                <w:sz w:val="24"/>
              </w:rPr>
              <w:t>3</w:t>
            </w:r>
          </w:p>
        </w:tc>
        <w:tc>
          <w:tcPr>
            <w:tcW w:w="1739" w:type="dxa"/>
            <w:tcBorders>
              <w:top w:val="nil"/>
              <w:left w:val="nil"/>
              <w:bottom w:val="single" w:color="auto" w:sz="4" w:space="0"/>
              <w:right w:val="single" w:color="auto" w:sz="4" w:space="0"/>
            </w:tcBorders>
            <w:noWrap/>
            <w:vAlign w:val="center"/>
          </w:tcPr>
          <w:p w14:paraId="22476C51">
            <w:pPr>
              <w:widowControl/>
              <w:jc w:val="center"/>
              <w:rPr>
                <w:rFonts w:eastAsia="仿宋"/>
                <w:kern w:val="0"/>
                <w:sz w:val="24"/>
              </w:rPr>
            </w:pPr>
            <w:r>
              <w:rPr>
                <w:rFonts w:eastAsia="仿宋"/>
                <w:sz w:val="24"/>
              </w:rPr>
              <w:t xml:space="preserve">2924217.81 </w:t>
            </w:r>
          </w:p>
        </w:tc>
        <w:tc>
          <w:tcPr>
            <w:tcW w:w="1891" w:type="dxa"/>
            <w:tcBorders>
              <w:top w:val="nil"/>
              <w:left w:val="nil"/>
              <w:bottom w:val="single" w:color="auto" w:sz="4" w:space="0"/>
              <w:right w:val="single" w:color="auto" w:sz="4" w:space="0"/>
            </w:tcBorders>
            <w:noWrap/>
            <w:vAlign w:val="center"/>
          </w:tcPr>
          <w:p w14:paraId="191CBA96">
            <w:pPr>
              <w:widowControl/>
              <w:jc w:val="center"/>
              <w:rPr>
                <w:rFonts w:eastAsia="仿宋"/>
                <w:kern w:val="0"/>
                <w:sz w:val="24"/>
              </w:rPr>
            </w:pPr>
            <w:r>
              <w:rPr>
                <w:rFonts w:eastAsia="仿宋"/>
                <w:sz w:val="24"/>
              </w:rPr>
              <w:t xml:space="preserve">39524711.18 </w:t>
            </w:r>
          </w:p>
        </w:tc>
        <w:tc>
          <w:tcPr>
            <w:tcW w:w="801" w:type="dxa"/>
            <w:tcBorders>
              <w:top w:val="nil"/>
              <w:left w:val="nil"/>
              <w:bottom w:val="single" w:color="auto" w:sz="4" w:space="0"/>
              <w:right w:val="single" w:color="auto" w:sz="4" w:space="0"/>
            </w:tcBorders>
            <w:noWrap/>
            <w:vAlign w:val="center"/>
          </w:tcPr>
          <w:p w14:paraId="0B49B0C0">
            <w:pPr>
              <w:widowControl/>
              <w:jc w:val="center"/>
              <w:rPr>
                <w:rFonts w:eastAsia="仿宋"/>
                <w:kern w:val="0"/>
                <w:sz w:val="24"/>
              </w:rPr>
            </w:pPr>
            <w:r>
              <w:rPr>
                <w:rFonts w:eastAsia="仿宋"/>
                <w:kern w:val="0"/>
                <w:sz w:val="24"/>
              </w:rPr>
              <w:t>6</w:t>
            </w:r>
          </w:p>
        </w:tc>
        <w:tc>
          <w:tcPr>
            <w:tcW w:w="1721" w:type="dxa"/>
            <w:tcBorders>
              <w:top w:val="nil"/>
              <w:left w:val="single" w:color="auto" w:sz="4" w:space="0"/>
              <w:bottom w:val="single" w:color="auto" w:sz="4" w:space="0"/>
              <w:right w:val="single" w:color="auto" w:sz="4" w:space="0"/>
            </w:tcBorders>
            <w:noWrap/>
            <w:vAlign w:val="center"/>
          </w:tcPr>
          <w:p w14:paraId="08704E29">
            <w:pPr>
              <w:widowControl/>
              <w:jc w:val="center"/>
              <w:rPr>
                <w:rFonts w:eastAsia="仿宋"/>
                <w:kern w:val="0"/>
                <w:sz w:val="24"/>
              </w:rPr>
            </w:pPr>
            <w:r>
              <w:rPr>
                <w:rFonts w:eastAsia="仿宋"/>
                <w:sz w:val="24"/>
              </w:rPr>
              <w:t xml:space="preserve">2923807.81 </w:t>
            </w:r>
          </w:p>
        </w:tc>
        <w:tc>
          <w:tcPr>
            <w:tcW w:w="1983" w:type="dxa"/>
            <w:tcBorders>
              <w:top w:val="nil"/>
              <w:left w:val="single" w:color="auto" w:sz="4" w:space="0"/>
              <w:bottom w:val="single" w:color="auto" w:sz="4" w:space="0"/>
              <w:right w:val="single" w:color="auto" w:sz="4" w:space="0"/>
            </w:tcBorders>
            <w:noWrap/>
            <w:vAlign w:val="center"/>
          </w:tcPr>
          <w:p w14:paraId="76374A14">
            <w:pPr>
              <w:widowControl/>
              <w:jc w:val="center"/>
              <w:rPr>
                <w:rFonts w:eastAsia="仿宋"/>
                <w:kern w:val="0"/>
                <w:sz w:val="24"/>
              </w:rPr>
            </w:pPr>
            <w:r>
              <w:rPr>
                <w:rFonts w:eastAsia="仿宋"/>
                <w:sz w:val="24"/>
              </w:rPr>
              <w:t xml:space="preserve">39524319.18 </w:t>
            </w:r>
          </w:p>
        </w:tc>
      </w:tr>
      <w:tr w14:paraId="754EFDF5">
        <w:tblPrEx>
          <w:tblCellMar>
            <w:top w:w="0" w:type="dxa"/>
            <w:left w:w="108" w:type="dxa"/>
            <w:bottom w:w="0" w:type="dxa"/>
            <w:right w:w="108" w:type="dxa"/>
          </w:tblCellMar>
        </w:tblPrEx>
        <w:trPr>
          <w:trHeight w:val="567" w:hRule="atLeast"/>
          <w:jc w:val="center"/>
        </w:trPr>
        <w:tc>
          <w:tcPr>
            <w:tcW w:w="8853" w:type="dxa"/>
            <w:gridSpan w:val="6"/>
            <w:tcBorders>
              <w:top w:val="single" w:color="auto" w:sz="4" w:space="0"/>
              <w:left w:val="single" w:color="auto" w:sz="4" w:space="0"/>
              <w:bottom w:val="single" w:color="auto" w:sz="4" w:space="0"/>
              <w:right w:val="single" w:color="auto" w:sz="4" w:space="0"/>
            </w:tcBorders>
            <w:noWrap/>
            <w:vAlign w:val="center"/>
          </w:tcPr>
          <w:p w14:paraId="210D11BC">
            <w:pPr>
              <w:widowControl/>
              <w:jc w:val="center"/>
              <w:rPr>
                <w:rFonts w:eastAsia="仿宋"/>
                <w:kern w:val="0"/>
                <w:sz w:val="24"/>
              </w:rPr>
            </w:pPr>
            <w:r>
              <w:rPr>
                <w:rFonts w:eastAsia="仿宋"/>
                <w:sz w:val="24"/>
              </w:rPr>
              <w:t>矿区面积：0.1805km</w:t>
            </w:r>
            <w:r>
              <w:rPr>
                <w:rFonts w:eastAsia="仿宋"/>
                <w:sz w:val="24"/>
                <w:vertAlign w:val="superscript"/>
              </w:rPr>
              <w:t>2</w:t>
            </w:r>
            <w:r>
              <w:rPr>
                <w:rFonts w:eastAsia="仿宋"/>
                <w:sz w:val="24"/>
              </w:rPr>
              <w:t>；开采标高：+480m～+280m</w:t>
            </w:r>
          </w:p>
        </w:tc>
      </w:tr>
    </w:tbl>
    <w:p w14:paraId="300A5E3A">
      <w:pPr>
        <w:spacing w:line="360" w:lineRule="auto"/>
        <w:ind w:firstLine="576"/>
        <w:jc w:val="left"/>
        <w:rPr>
          <w:rFonts w:eastAsia="仿宋"/>
          <w:b/>
          <w:bCs/>
          <w:sz w:val="32"/>
          <w:szCs w:val="32"/>
        </w:rPr>
      </w:pPr>
      <w:r>
        <w:rPr>
          <w:rFonts w:eastAsia="仿宋"/>
          <w:b/>
          <w:bCs/>
          <w:sz w:val="32"/>
          <w:szCs w:val="32"/>
        </w:rPr>
        <w:t>二、开采方案</w:t>
      </w:r>
    </w:p>
    <w:p w14:paraId="07A9FCB3">
      <w:pPr>
        <w:spacing w:line="360" w:lineRule="auto"/>
        <w:ind w:firstLine="640" w:firstLineChars="200"/>
        <w:jc w:val="left"/>
        <w:rPr>
          <w:rFonts w:eastAsia="仿宋"/>
          <w:bCs/>
          <w:sz w:val="32"/>
          <w:szCs w:val="32"/>
          <w:lang w:bidi="en-US"/>
        </w:rPr>
      </w:pPr>
      <w:r>
        <w:rPr>
          <w:rFonts w:eastAsia="仿宋"/>
          <w:bCs/>
          <w:sz w:val="32"/>
          <w:szCs w:val="32"/>
          <w:lang w:bidi="en-US"/>
        </w:rPr>
        <w:t>1.开采范围</w:t>
      </w:r>
    </w:p>
    <w:p w14:paraId="12D9AAB5">
      <w:pPr>
        <w:adjustRightInd w:val="0"/>
        <w:snapToGrid w:val="0"/>
        <w:spacing w:line="360" w:lineRule="auto"/>
        <w:ind w:firstLine="640" w:firstLineChars="200"/>
        <w:rPr>
          <w:rFonts w:eastAsia="仿宋"/>
          <w:sz w:val="32"/>
          <w:szCs w:val="32"/>
        </w:rPr>
      </w:pPr>
      <w:r>
        <w:rPr>
          <w:rFonts w:eastAsia="仿宋"/>
          <w:sz w:val="32"/>
          <w:szCs w:val="32"/>
        </w:rPr>
        <w:t>本次设计开采对象为矿区范围内的方解石矿体和</w:t>
      </w:r>
      <w:r>
        <w:rPr>
          <w:rFonts w:eastAsia="仿宋"/>
          <w:spacing w:val="-2"/>
          <w:sz w:val="32"/>
          <w:szCs w:val="32"/>
        </w:rPr>
        <w:t>白云石方解石矿</w:t>
      </w:r>
      <w:r>
        <w:rPr>
          <w:rFonts w:eastAsia="仿宋"/>
          <w:sz w:val="32"/>
          <w:szCs w:val="32"/>
        </w:rPr>
        <w:t>体，其中+410m中段以上可采储量已基本采空，剩余的矿体为地表保护层及矿柱无法开采；为了确保办公生活区〔拟建办公楼（原炸药库）、生活区、监控室〕、矿山通风和斜坡道运输的安全，并预防上龙坑溪水灌入采空区，本次设计在办公生活区周边、回风斜井XJ472周边和主平硐PD443两侧均留设20m保安矿柱，在矿山公路南侧、北侧10m范围内也留设为矿山公路保安矿柱，且+290m标高以下的矿体已基本被保安矿柱压覆。故本次设计开采范围为矿区范围内的方解石矿体和</w:t>
      </w:r>
      <w:r>
        <w:rPr>
          <w:rFonts w:eastAsia="仿宋"/>
          <w:spacing w:val="-2"/>
          <w:sz w:val="32"/>
          <w:szCs w:val="32"/>
        </w:rPr>
        <w:t>白云石方解石矿</w:t>
      </w:r>
      <w:r>
        <w:rPr>
          <w:rFonts w:eastAsia="仿宋"/>
          <w:sz w:val="32"/>
          <w:szCs w:val="32"/>
        </w:rPr>
        <w:t>体，扣除以上保安矿柱，设计开采标高+410m~+290m。</w:t>
      </w:r>
    </w:p>
    <w:p w14:paraId="339BB0D4">
      <w:pPr>
        <w:spacing w:line="360" w:lineRule="auto"/>
        <w:ind w:firstLine="640" w:firstLineChars="200"/>
        <w:jc w:val="left"/>
        <w:rPr>
          <w:rFonts w:eastAsia="仿宋"/>
          <w:bCs/>
          <w:sz w:val="32"/>
          <w:szCs w:val="32"/>
          <w:lang w:bidi="en-US"/>
        </w:rPr>
      </w:pPr>
      <w:r>
        <w:rPr>
          <w:rFonts w:eastAsia="仿宋"/>
          <w:bCs/>
          <w:sz w:val="32"/>
          <w:szCs w:val="32"/>
          <w:lang w:bidi="en-US"/>
        </w:rPr>
        <w:t>《开采方案》所确定的开采范围位于拟申请的开采区域内。</w:t>
      </w:r>
    </w:p>
    <w:p w14:paraId="64772C6A">
      <w:pPr>
        <w:spacing w:line="360" w:lineRule="auto"/>
        <w:ind w:firstLine="640" w:firstLineChars="200"/>
        <w:jc w:val="left"/>
        <w:rPr>
          <w:rFonts w:eastAsia="仿宋"/>
          <w:bCs/>
          <w:sz w:val="32"/>
          <w:szCs w:val="32"/>
          <w:lang w:bidi="en-US"/>
        </w:rPr>
      </w:pPr>
      <w:r>
        <w:rPr>
          <w:rFonts w:eastAsia="仿宋"/>
          <w:bCs/>
          <w:sz w:val="32"/>
          <w:szCs w:val="32"/>
          <w:lang w:bidi="en-US"/>
        </w:rPr>
        <w:t>2.开采方式</w:t>
      </w:r>
    </w:p>
    <w:p w14:paraId="25B2424C">
      <w:pPr>
        <w:spacing w:line="360" w:lineRule="auto"/>
        <w:ind w:firstLine="640" w:firstLineChars="200"/>
        <w:jc w:val="left"/>
        <w:rPr>
          <w:rFonts w:eastAsia="仿宋"/>
          <w:sz w:val="32"/>
          <w:szCs w:val="32"/>
        </w:rPr>
      </w:pPr>
      <w:r>
        <w:rPr>
          <w:rFonts w:eastAsia="仿宋"/>
          <w:sz w:val="32"/>
          <w:szCs w:val="32"/>
        </w:rPr>
        <w:t>本次拟扩深部分位于原矿区深部，为了减少矿山的成本投入和保护矿区及周边的基本农田，根据基本农田保护的有关政策，本次设计推荐矿山开采方式继续采用地下开采。</w:t>
      </w:r>
    </w:p>
    <w:p w14:paraId="68891E25">
      <w:pPr>
        <w:spacing w:line="360" w:lineRule="auto"/>
        <w:ind w:firstLine="640" w:firstLineChars="200"/>
        <w:jc w:val="left"/>
        <w:rPr>
          <w:rFonts w:eastAsia="仿宋"/>
          <w:sz w:val="32"/>
          <w:szCs w:val="32"/>
        </w:rPr>
      </w:pPr>
      <w:r>
        <w:rPr>
          <w:rFonts w:eastAsia="仿宋"/>
          <w:sz w:val="32"/>
          <w:szCs w:val="32"/>
        </w:rPr>
        <w:t>《开采方案》所确定的开采方式合理。</w:t>
      </w:r>
    </w:p>
    <w:p w14:paraId="33A1806F">
      <w:pPr>
        <w:spacing w:line="360" w:lineRule="auto"/>
        <w:ind w:firstLine="640" w:firstLineChars="200"/>
        <w:jc w:val="left"/>
        <w:rPr>
          <w:rFonts w:eastAsia="仿宋"/>
          <w:bCs/>
          <w:sz w:val="32"/>
          <w:szCs w:val="32"/>
          <w:lang w:bidi="en-US"/>
        </w:rPr>
      </w:pPr>
      <w:r>
        <w:rPr>
          <w:rFonts w:eastAsia="仿宋"/>
          <w:bCs/>
          <w:sz w:val="32"/>
          <w:szCs w:val="32"/>
          <w:lang w:bidi="en-US"/>
        </w:rPr>
        <w:t>3.开拓方式及开采顺序</w:t>
      </w:r>
    </w:p>
    <w:p w14:paraId="1F7F8B36">
      <w:pPr>
        <w:pStyle w:val="11"/>
        <w:adjustRightInd w:val="0"/>
        <w:snapToGrid w:val="0"/>
        <w:spacing w:line="360" w:lineRule="auto"/>
        <w:ind w:left="125" w:firstLine="640"/>
        <w:textAlignment w:val="baseline"/>
        <w:rPr>
          <w:rFonts w:eastAsia="仿宋"/>
          <w:snapToGrid w:val="0"/>
          <w:sz w:val="32"/>
          <w:szCs w:val="32"/>
        </w:rPr>
      </w:pPr>
      <w:r>
        <w:rPr>
          <w:rFonts w:eastAsia="仿宋"/>
          <w:snapToGrid w:val="0"/>
          <w:sz w:val="32"/>
          <w:szCs w:val="32"/>
        </w:rPr>
        <w:t>目前矿山采用斜坡道开拓、无轨矿用汽车运输，本次扩深主要为深部资源，因此设计继续采用斜坡道开拓、无轨矿用汽车运输。</w:t>
      </w:r>
    </w:p>
    <w:p w14:paraId="6814CFCB">
      <w:pPr>
        <w:pStyle w:val="2"/>
        <w:snapToGrid w:val="0"/>
        <w:spacing w:line="360" w:lineRule="auto"/>
        <w:ind w:firstLine="640" w:firstLineChars="200"/>
        <w:rPr>
          <w:rFonts w:eastAsia="仿宋"/>
          <w:color w:val="auto"/>
          <w:sz w:val="32"/>
          <w:szCs w:val="32"/>
        </w:rPr>
      </w:pPr>
      <w:r>
        <w:rPr>
          <w:rFonts w:eastAsia="仿宋"/>
          <w:color w:val="auto"/>
          <w:sz w:val="32"/>
          <w:szCs w:val="32"/>
          <w:lang w:val="en-US"/>
        </w:rPr>
        <w:t>设计自上而下共布置+390m、+340m、+290m等中段，</w:t>
      </w:r>
      <w:r>
        <w:rPr>
          <w:rFonts w:eastAsia="仿宋"/>
          <w:color w:val="auto"/>
          <w:sz w:val="32"/>
          <w:szCs w:val="32"/>
        </w:rPr>
        <w:t>中段之间自上而下，中段内由远及近后退式回采的原则，即先采远端，后往出口方向退采。</w:t>
      </w:r>
    </w:p>
    <w:p w14:paraId="776472CF">
      <w:pPr>
        <w:spacing w:line="360" w:lineRule="auto"/>
        <w:ind w:firstLine="640" w:firstLineChars="200"/>
        <w:jc w:val="left"/>
        <w:rPr>
          <w:rFonts w:eastAsia="仿宋"/>
          <w:bCs/>
          <w:sz w:val="32"/>
          <w:szCs w:val="32"/>
          <w:lang w:bidi="en-US"/>
        </w:rPr>
      </w:pPr>
      <w:r>
        <w:rPr>
          <w:rFonts w:eastAsia="仿宋"/>
          <w:bCs/>
          <w:sz w:val="32"/>
          <w:szCs w:val="32"/>
          <w:lang w:bidi="en-US"/>
        </w:rPr>
        <w:t>《开采方案》所确定开拓方式、开采顺序适合本矿基本条件。</w:t>
      </w:r>
    </w:p>
    <w:p w14:paraId="1D7A95EE">
      <w:pPr>
        <w:pStyle w:val="28"/>
        <w:spacing w:line="360" w:lineRule="auto"/>
        <w:ind w:firstLine="576" w:firstLineChars="0"/>
        <w:rPr>
          <w:rFonts w:eastAsia="仿宋"/>
          <w:bCs/>
          <w:sz w:val="32"/>
          <w:szCs w:val="32"/>
          <w:lang w:bidi="en-US"/>
        </w:rPr>
      </w:pPr>
      <w:r>
        <w:rPr>
          <w:rFonts w:eastAsia="仿宋"/>
          <w:bCs/>
          <w:sz w:val="32"/>
          <w:szCs w:val="32"/>
          <w:lang w:bidi="en-US"/>
        </w:rPr>
        <w:t>4.采矿方法</w:t>
      </w:r>
    </w:p>
    <w:p w14:paraId="6B87F123">
      <w:pPr>
        <w:pStyle w:val="28"/>
        <w:spacing w:line="360" w:lineRule="auto"/>
        <w:ind w:firstLine="576" w:firstLineChars="0"/>
        <w:rPr>
          <w:rFonts w:eastAsia="仿宋"/>
          <w:bCs/>
          <w:sz w:val="32"/>
          <w:szCs w:val="32"/>
          <w:lang w:bidi="en-US"/>
        </w:rPr>
      </w:pPr>
      <w:r>
        <w:rPr>
          <w:rFonts w:eastAsia="仿宋"/>
          <w:bCs/>
          <w:sz w:val="32"/>
          <w:szCs w:val="32"/>
          <w:lang w:bidi="en-US"/>
        </w:rPr>
        <w:t>根据地质报告中矿岩的物理性质、矿体的赋存特点、开采技术条件，设计选择采用</w:t>
      </w:r>
      <w:r>
        <w:rPr>
          <w:rFonts w:eastAsia="仿宋"/>
          <w:sz w:val="32"/>
          <w:szCs w:val="32"/>
        </w:rPr>
        <w:t>分段凿岩阶段矿房法为主、房柱采矿法为辅</w:t>
      </w:r>
      <w:r>
        <w:rPr>
          <w:rFonts w:eastAsia="仿宋"/>
          <w:bCs/>
          <w:sz w:val="32"/>
          <w:szCs w:val="32"/>
          <w:lang w:bidi="en-US"/>
        </w:rPr>
        <w:t>。</w:t>
      </w:r>
    </w:p>
    <w:p w14:paraId="09107DF4">
      <w:pPr>
        <w:spacing w:line="360" w:lineRule="auto"/>
        <w:ind w:firstLine="640" w:firstLineChars="200"/>
        <w:jc w:val="left"/>
        <w:rPr>
          <w:rFonts w:eastAsia="仿宋"/>
          <w:bCs/>
          <w:sz w:val="32"/>
          <w:szCs w:val="32"/>
          <w:lang w:bidi="en-US"/>
        </w:rPr>
      </w:pPr>
      <w:r>
        <w:rPr>
          <w:rFonts w:eastAsia="仿宋"/>
          <w:bCs/>
          <w:sz w:val="32"/>
          <w:szCs w:val="32"/>
          <w:lang w:bidi="en-US"/>
        </w:rPr>
        <w:t>《开采方案》所确定的采矿方法、开采工艺等基本适合本矿条件。</w:t>
      </w:r>
    </w:p>
    <w:p w14:paraId="71836731">
      <w:pPr>
        <w:spacing w:line="360" w:lineRule="auto"/>
        <w:ind w:firstLine="640" w:firstLineChars="200"/>
        <w:jc w:val="left"/>
        <w:rPr>
          <w:rFonts w:eastAsia="仿宋"/>
          <w:bCs/>
          <w:sz w:val="32"/>
          <w:szCs w:val="32"/>
          <w:lang w:bidi="en-US"/>
        </w:rPr>
      </w:pPr>
      <w:r>
        <w:rPr>
          <w:rFonts w:eastAsia="仿宋"/>
          <w:bCs/>
          <w:sz w:val="32"/>
          <w:szCs w:val="32"/>
          <w:lang w:bidi="en-US"/>
        </w:rPr>
        <w:t>5.保有资源量、设计利用资源储量及可采储量</w:t>
      </w:r>
    </w:p>
    <w:p w14:paraId="7EEC0CE1">
      <w:pPr>
        <w:adjustRightInd w:val="0"/>
        <w:snapToGrid w:val="0"/>
        <w:spacing w:line="360" w:lineRule="auto"/>
        <w:ind w:firstLine="561"/>
        <w:textAlignment w:val="baseline"/>
        <w:rPr>
          <w:rFonts w:eastAsia="仿宋"/>
          <w:sz w:val="32"/>
          <w:szCs w:val="32"/>
        </w:rPr>
      </w:pPr>
      <w:r>
        <w:rPr>
          <w:rFonts w:eastAsia="仿宋"/>
          <w:sz w:val="32"/>
          <w:szCs w:val="32"/>
        </w:rPr>
        <w:t>根据中化地质矿山总局福建地质勘查院于2025年8月提交的《福建省明溪县上龙坑矿区方解石矿资源储量核实暨深部详查地质报告（2025年）》、福建省自然资源评审中心于2026年6月12日出具的《福建省明溪县上龙坑矿区方解石矿资源储量核实暨深部勘探地质报告（2025年）矿产资源储量评审意见书》（闽自然资储评字〔2026〕14号），查明截至2025年4月30日，拟申请矿区范围内（+480m～+230m）保有方解石矿、白云石方解石矿总矿石资源量为</w:t>
      </w:r>
      <w:r>
        <w:rPr>
          <w:rFonts w:eastAsia="仿宋"/>
          <w:spacing w:val="-2"/>
          <w:sz w:val="32"/>
          <w:szCs w:val="32"/>
        </w:rPr>
        <w:t>1721.56万吨，其中探明资源量为258.80万吨，控制资源量为538.05万吨，推断资源量为924.71万吨</w:t>
      </w:r>
      <w:r>
        <w:rPr>
          <w:rFonts w:eastAsia="仿宋"/>
          <w:sz w:val="32"/>
          <w:szCs w:val="32"/>
        </w:rPr>
        <w:t>。根据业主提供的数据，从2025年5月至2026年4月，矿山共动用方解石矿资源量（矿石量）6.41万吨，均为控制资源量。故截至2026年4月底，拟申请矿区范围内（+480～+230m）保有方解石矿、白云石方解石矿总矿石资源量为1715.15万吨（方解石1040.88万吨，白云石方解石674.27万吨），其中探明资源量为258.80万吨（方解石</w:t>
      </w:r>
      <w:r>
        <w:rPr>
          <w:rFonts w:eastAsia="仿宋"/>
          <w:spacing w:val="-2"/>
          <w:sz w:val="32"/>
          <w:szCs w:val="32"/>
        </w:rPr>
        <w:t>181.44</w:t>
      </w:r>
      <w:r>
        <w:rPr>
          <w:rFonts w:eastAsia="仿宋"/>
          <w:sz w:val="32"/>
          <w:szCs w:val="32"/>
        </w:rPr>
        <w:t>万吨，白云石方解石</w:t>
      </w:r>
      <w:r>
        <w:rPr>
          <w:rFonts w:eastAsia="仿宋"/>
          <w:spacing w:val="-2"/>
          <w:sz w:val="32"/>
          <w:szCs w:val="32"/>
        </w:rPr>
        <w:t>77.36</w:t>
      </w:r>
      <w:r>
        <w:rPr>
          <w:rFonts w:eastAsia="仿宋"/>
          <w:sz w:val="32"/>
          <w:szCs w:val="32"/>
        </w:rPr>
        <w:t>万吨），控制资源量为531.64万吨（方解石421.31万吨，白云石方解石</w:t>
      </w:r>
      <w:r>
        <w:rPr>
          <w:rFonts w:eastAsia="仿宋"/>
          <w:spacing w:val="-2"/>
          <w:sz w:val="32"/>
          <w:szCs w:val="32"/>
        </w:rPr>
        <w:t>110.33</w:t>
      </w:r>
      <w:r>
        <w:rPr>
          <w:rFonts w:eastAsia="仿宋"/>
          <w:sz w:val="32"/>
          <w:szCs w:val="32"/>
        </w:rPr>
        <w:t>万吨），推断资源量为924.71万吨（方解石</w:t>
      </w:r>
      <w:r>
        <w:rPr>
          <w:rFonts w:eastAsia="仿宋"/>
          <w:spacing w:val="-2"/>
          <w:sz w:val="32"/>
          <w:szCs w:val="32"/>
        </w:rPr>
        <w:t>438.13</w:t>
      </w:r>
      <w:r>
        <w:rPr>
          <w:rFonts w:eastAsia="仿宋"/>
          <w:sz w:val="32"/>
          <w:szCs w:val="32"/>
        </w:rPr>
        <w:t>万吨，白云石方解石</w:t>
      </w:r>
      <w:r>
        <w:rPr>
          <w:rFonts w:eastAsia="仿宋"/>
          <w:spacing w:val="-2"/>
          <w:sz w:val="32"/>
          <w:szCs w:val="32"/>
        </w:rPr>
        <w:t>486.58</w:t>
      </w:r>
      <w:r>
        <w:rPr>
          <w:rFonts w:eastAsia="仿宋"/>
          <w:sz w:val="32"/>
          <w:szCs w:val="32"/>
        </w:rPr>
        <w:t>万吨）。</w:t>
      </w:r>
    </w:p>
    <w:p w14:paraId="1E3D66E1">
      <w:pPr>
        <w:adjustRightInd w:val="0"/>
        <w:snapToGrid w:val="0"/>
        <w:spacing w:line="360" w:lineRule="auto"/>
        <w:ind w:firstLine="561"/>
        <w:textAlignment w:val="baseline"/>
        <w:rPr>
          <w:rFonts w:eastAsia="仿宋"/>
          <w:sz w:val="32"/>
          <w:szCs w:val="32"/>
        </w:rPr>
      </w:pPr>
      <w:r>
        <w:rPr>
          <w:rFonts w:eastAsia="仿宋"/>
          <w:sz w:val="32"/>
          <w:szCs w:val="32"/>
        </w:rPr>
        <w:t>为确保开采安全，设计+410m标高不再开采作为设计损失，为了确保办公生活区〔拟建办公楼（原炸药库）、生活区、监控室〕，并预防上龙坑溪水灌入采空区，本次设计在办公生活区周边留设20m保安矿柱；为了确保矿石地面运输及人员往来的安全，设计在矿山公路南侧、北侧10m范围内也留设为保安矿柱。为了确保主平硐PD443的运输安全，本次设计在PD443主平硐两侧各留设20m的保安矿柱；综上所述，设计损失总矿石资源量为970.29万吨（方解石651.85万吨，白云石方解石318.44万吨），其中探明资源量为71.74万吨（方解石71.74万吨，白云石方解石0万吨），控制资源量为241.06万吨（方解石200.39万吨，白云石方解石40.67万吨），推断资源量为657.49万吨（方解石379.72万吨，白云石方解石277.77万吨）。</w:t>
      </w:r>
    </w:p>
    <w:p w14:paraId="78B3E873">
      <w:pPr>
        <w:spacing w:line="360" w:lineRule="auto"/>
        <w:ind w:firstLine="640" w:firstLineChars="200"/>
        <w:jc w:val="left"/>
        <w:rPr>
          <w:rFonts w:eastAsia="仿宋"/>
          <w:bCs/>
          <w:sz w:val="32"/>
          <w:szCs w:val="32"/>
          <w:lang w:bidi="en-US"/>
        </w:rPr>
      </w:pPr>
      <w:r>
        <w:rPr>
          <w:rFonts w:eastAsia="仿宋"/>
          <w:sz w:val="32"/>
          <w:szCs w:val="32"/>
        </w:rPr>
        <w:t>探明资源量可靠程度高，控制资源量可靠程度较高，本次设计均全部利用；推断资源量可靠程度相对较低，鉴于该矿属开采多年的矿山，本次可信度系数取0.8，设计利用储量为691.42万吨。其中方解石矿377.35万吨，白云石方解石矿314.07万吨</w:t>
      </w:r>
      <w:r>
        <w:rPr>
          <w:rFonts w:eastAsia="仿宋"/>
          <w:bCs/>
          <w:sz w:val="32"/>
          <w:szCs w:val="32"/>
          <w:lang w:bidi="en-US"/>
        </w:rPr>
        <w:t>；</w:t>
      </w:r>
      <w:r>
        <w:rPr>
          <w:rFonts w:eastAsia="仿宋"/>
          <w:spacing w:val="-2"/>
          <w:sz w:val="32"/>
          <w:szCs w:val="32"/>
        </w:rPr>
        <w:t>采矿回采率按75％计算，确定本矿的可采储量为518.57万吨，其中方解石矿283.01万吨，白云石方解石矿235.56万吨</w:t>
      </w:r>
      <w:r>
        <w:rPr>
          <w:rFonts w:eastAsia="仿宋"/>
          <w:bCs/>
          <w:sz w:val="32"/>
          <w:szCs w:val="32"/>
          <w:lang w:bidi="en-US"/>
        </w:rPr>
        <w:t>。</w:t>
      </w:r>
    </w:p>
    <w:p w14:paraId="2D7DFFA9">
      <w:pPr>
        <w:spacing w:line="360" w:lineRule="auto"/>
        <w:ind w:firstLine="640" w:firstLineChars="200"/>
        <w:jc w:val="left"/>
        <w:rPr>
          <w:rFonts w:eastAsia="仿宋"/>
          <w:bCs/>
          <w:sz w:val="32"/>
          <w:szCs w:val="32"/>
          <w:lang w:bidi="en-US"/>
        </w:rPr>
      </w:pPr>
      <w:r>
        <w:rPr>
          <w:rFonts w:eastAsia="仿宋"/>
          <w:bCs/>
          <w:sz w:val="32"/>
          <w:szCs w:val="32"/>
          <w:lang w:bidi="en-US"/>
        </w:rPr>
        <w:t>《开采方案》所涉及的矿山资源利用情况正常、合理，回采率符合相关文件规定。</w:t>
      </w:r>
    </w:p>
    <w:p w14:paraId="5BBBF22A">
      <w:pPr>
        <w:spacing w:line="360" w:lineRule="auto"/>
        <w:ind w:firstLine="640" w:firstLineChars="200"/>
        <w:jc w:val="left"/>
        <w:rPr>
          <w:rFonts w:eastAsia="仿宋"/>
          <w:bCs/>
          <w:sz w:val="32"/>
          <w:szCs w:val="32"/>
          <w:lang w:bidi="en-US"/>
        </w:rPr>
      </w:pPr>
      <w:r>
        <w:rPr>
          <w:rFonts w:eastAsia="仿宋"/>
          <w:bCs/>
          <w:sz w:val="32"/>
          <w:szCs w:val="32"/>
          <w:lang w:bidi="en-US"/>
        </w:rPr>
        <w:t>6.矿山开采矿种、产品方案、生产规模及服务年限</w:t>
      </w:r>
    </w:p>
    <w:p w14:paraId="5B2C8F3F">
      <w:pPr>
        <w:adjustRightInd w:val="0"/>
        <w:snapToGrid w:val="0"/>
        <w:spacing w:line="360" w:lineRule="auto"/>
        <w:ind w:firstLine="640" w:firstLineChars="200"/>
        <w:rPr>
          <w:rFonts w:eastAsia="仿宋"/>
          <w:sz w:val="32"/>
          <w:szCs w:val="32"/>
        </w:rPr>
      </w:pPr>
      <w:r>
        <w:rPr>
          <w:rFonts w:eastAsia="仿宋"/>
          <w:sz w:val="32"/>
          <w:szCs w:val="32"/>
        </w:rPr>
        <w:t>设计开采矿种为方解石；矿山为明溪县钰岩石材料加工厂附属矿山，为采选联合企业，方解石经配套石粉加工厂加工出售，产品方案为100-300目的石粉。</w:t>
      </w:r>
    </w:p>
    <w:p w14:paraId="6F2F7FDD">
      <w:pPr>
        <w:spacing w:line="360" w:lineRule="auto"/>
        <w:ind w:firstLine="640" w:firstLineChars="200"/>
        <w:jc w:val="left"/>
        <w:rPr>
          <w:rFonts w:eastAsia="仿宋"/>
          <w:bCs/>
          <w:sz w:val="32"/>
          <w:szCs w:val="32"/>
          <w:lang w:bidi="en-US"/>
        </w:rPr>
      </w:pPr>
      <w:r>
        <w:rPr>
          <w:rFonts w:eastAsia="仿宋"/>
          <w:bCs/>
          <w:sz w:val="32"/>
          <w:szCs w:val="32"/>
          <w:lang w:bidi="en-US"/>
        </w:rPr>
        <w:t>矿山生产规模为40万吨/年。</w:t>
      </w:r>
    </w:p>
    <w:p w14:paraId="2495584A">
      <w:pPr>
        <w:spacing w:line="360" w:lineRule="auto"/>
        <w:ind w:firstLine="640" w:firstLineChars="200"/>
        <w:jc w:val="left"/>
        <w:rPr>
          <w:rFonts w:eastAsia="仿宋"/>
          <w:bCs/>
          <w:sz w:val="32"/>
          <w:szCs w:val="32"/>
          <w:lang w:bidi="en-US"/>
        </w:rPr>
      </w:pPr>
      <w:r>
        <w:rPr>
          <w:rFonts w:eastAsia="仿宋"/>
          <w:bCs/>
          <w:sz w:val="32"/>
          <w:szCs w:val="32"/>
          <w:lang w:bidi="en-US"/>
        </w:rPr>
        <w:t>根据矿山保有资源量及设计的生产规模，</w:t>
      </w:r>
      <w:r>
        <w:rPr>
          <w:rFonts w:eastAsia="仿宋"/>
          <w:sz w:val="32"/>
          <w:szCs w:val="32"/>
        </w:rPr>
        <w:t>矿山稳产期约13.0年，加上基建期2年，减产扫尾期约1.0年，故本设计矿山服务年限约16年</w:t>
      </w:r>
      <w:r>
        <w:rPr>
          <w:rFonts w:eastAsia="仿宋"/>
          <w:bCs/>
          <w:sz w:val="32"/>
          <w:szCs w:val="32"/>
          <w:lang w:bidi="en-US"/>
        </w:rPr>
        <w:t>。</w:t>
      </w:r>
    </w:p>
    <w:p w14:paraId="4B715EB7">
      <w:pPr>
        <w:spacing w:line="360" w:lineRule="auto"/>
        <w:ind w:firstLine="640" w:firstLineChars="200"/>
        <w:jc w:val="left"/>
        <w:rPr>
          <w:rFonts w:eastAsia="仿宋"/>
          <w:bCs/>
          <w:sz w:val="32"/>
          <w:szCs w:val="32"/>
          <w:lang w:bidi="en-US"/>
        </w:rPr>
      </w:pPr>
      <w:r>
        <w:rPr>
          <w:rFonts w:eastAsia="仿宋"/>
          <w:bCs/>
          <w:sz w:val="32"/>
          <w:szCs w:val="32"/>
          <w:lang w:bidi="en-US"/>
        </w:rPr>
        <w:t>矿山产品方案、生产规模及服务年限与矿山情况基本相适应并满足有关规定的要求。</w:t>
      </w:r>
    </w:p>
    <w:p w14:paraId="64E7026F">
      <w:pPr>
        <w:spacing w:line="360" w:lineRule="auto"/>
        <w:ind w:firstLine="640" w:firstLineChars="200"/>
        <w:jc w:val="left"/>
        <w:rPr>
          <w:rFonts w:eastAsia="仿宋"/>
          <w:bCs/>
          <w:sz w:val="32"/>
          <w:szCs w:val="32"/>
          <w:lang w:bidi="en-US"/>
        </w:rPr>
      </w:pPr>
      <w:r>
        <w:rPr>
          <w:rFonts w:eastAsia="仿宋"/>
          <w:bCs/>
          <w:sz w:val="32"/>
          <w:szCs w:val="32"/>
          <w:lang w:bidi="en-US"/>
        </w:rPr>
        <w:t>7.对敏感目标的影响</w:t>
      </w:r>
    </w:p>
    <w:p w14:paraId="31F222F4">
      <w:pPr>
        <w:spacing w:line="360" w:lineRule="auto"/>
        <w:ind w:firstLine="640" w:firstLineChars="200"/>
        <w:jc w:val="left"/>
        <w:rPr>
          <w:rFonts w:eastAsia="仿宋"/>
          <w:bCs/>
          <w:sz w:val="32"/>
          <w:szCs w:val="32"/>
          <w:lang w:bidi="en-US"/>
        </w:rPr>
      </w:pPr>
      <w:r>
        <w:rPr>
          <w:rFonts w:eastAsia="仿宋"/>
          <w:bCs/>
          <w:sz w:val="32"/>
          <w:szCs w:val="32"/>
          <w:lang w:bidi="en-US"/>
        </w:rPr>
        <w:t>矿区范围内及周边敏感目标主要有村庄民房、基本农田、生态保护红线保护区、上龙坑溪、农村道路等。经分析，采取相应防治措施后，矿山开采对敏感目标无影响。</w:t>
      </w:r>
    </w:p>
    <w:p w14:paraId="44D064F4">
      <w:pPr>
        <w:pStyle w:val="28"/>
        <w:spacing w:line="360" w:lineRule="auto"/>
        <w:ind w:firstLine="640"/>
        <w:rPr>
          <w:rFonts w:eastAsia="仿宋"/>
          <w:bCs/>
          <w:sz w:val="32"/>
          <w:szCs w:val="32"/>
          <w:lang w:bidi="en-US"/>
        </w:rPr>
      </w:pPr>
      <w:r>
        <w:rPr>
          <w:rFonts w:eastAsia="仿宋"/>
          <w:bCs/>
          <w:sz w:val="32"/>
          <w:szCs w:val="32"/>
          <w:lang w:bidi="en-US"/>
        </w:rPr>
        <w:t>8.资源综合利用</w:t>
      </w:r>
    </w:p>
    <w:p w14:paraId="547D5037">
      <w:pPr>
        <w:pStyle w:val="28"/>
        <w:spacing w:line="360" w:lineRule="auto"/>
        <w:ind w:firstLine="640"/>
        <w:rPr>
          <w:rFonts w:eastAsia="仿宋"/>
          <w:bCs/>
          <w:sz w:val="32"/>
          <w:szCs w:val="32"/>
          <w:lang w:bidi="en-US"/>
        </w:rPr>
      </w:pPr>
      <w:r>
        <w:rPr>
          <w:rFonts w:eastAsia="仿宋"/>
          <w:bCs/>
          <w:sz w:val="32"/>
          <w:szCs w:val="32"/>
          <w:lang w:bidi="en-US"/>
        </w:rPr>
        <w:t>矿山基建和生产过程中产生的废石，</w:t>
      </w:r>
      <w:r>
        <w:rPr>
          <w:rFonts w:eastAsia="仿宋"/>
          <w:sz w:val="32"/>
          <w:szCs w:val="32"/>
        </w:rPr>
        <w:t>全部直接内排采空区</w:t>
      </w:r>
      <w:r>
        <w:rPr>
          <w:rFonts w:eastAsia="仿宋"/>
          <w:bCs/>
          <w:sz w:val="32"/>
          <w:szCs w:val="32"/>
          <w:lang w:bidi="en-US"/>
        </w:rPr>
        <w:t>。</w:t>
      </w:r>
    </w:p>
    <w:p w14:paraId="31BF69FD">
      <w:pPr>
        <w:pStyle w:val="28"/>
        <w:spacing w:line="360" w:lineRule="auto"/>
        <w:ind w:firstLine="640"/>
        <w:rPr>
          <w:rFonts w:eastAsia="仿宋"/>
          <w:bCs/>
          <w:sz w:val="32"/>
          <w:szCs w:val="32"/>
          <w:lang w:bidi="en-US"/>
        </w:rPr>
      </w:pPr>
      <w:r>
        <w:rPr>
          <w:rFonts w:eastAsia="仿宋"/>
          <w:bCs/>
          <w:sz w:val="32"/>
          <w:szCs w:val="32"/>
          <w:lang w:bidi="en-US"/>
        </w:rPr>
        <w:t>矿山资源的综合利用情况满足有关规定的要求。</w:t>
      </w:r>
    </w:p>
    <w:p w14:paraId="5283876C">
      <w:pPr>
        <w:pStyle w:val="28"/>
        <w:spacing w:line="360" w:lineRule="auto"/>
        <w:ind w:firstLine="640"/>
        <w:rPr>
          <w:rFonts w:eastAsia="仿宋"/>
          <w:bCs/>
          <w:sz w:val="32"/>
          <w:szCs w:val="32"/>
          <w:lang w:bidi="en-US"/>
        </w:rPr>
      </w:pPr>
      <w:r>
        <w:rPr>
          <w:rFonts w:eastAsia="仿宋"/>
          <w:bCs/>
          <w:sz w:val="32"/>
          <w:szCs w:val="32"/>
          <w:lang w:bidi="en-US"/>
        </w:rPr>
        <w:t>9.存在问题及建议</w:t>
      </w:r>
    </w:p>
    <w:p w14:paraId="1DB11CAD">
      <w:pPr>
        <w:spacing w:line="360" w:lineRule="auto"/>
        <w:ind w:firstLine="640" w:firstLineChars="200"/>
        <w:jc w:val="left"/>
        <w:rPr>
          <w:rFonts w:eastAsia="仿宋"/>
          <w:bCs/>
          <w:sz w:val="32"/>
          <w:szCs w:val="32"/>
          <w:lang w:bidi="en-US"/>
        </w:rPr>
      </w:pPr>
      <w:r>
        <w:rPr>
          <w:rFonts w:eastAsia="仿宋"/>
          <w:bCs/>
          <w:sz w:val="32"/>
          <w:szCs w:val="32"/>
          <w:lang w:bidi="en-US"/>
        </w:rPr>
        <w:t>⑴矿山在后续开采生产过程中，应按照绿色矿山建设标准进行生产建设。</w:t>
      </w:r>
    </w:p>
    <w:p w14:paraId="2ADF6150">
      <w:pPr>
        <w:spacing w:line="360" w:lineRule="auto"/>
        <w:ind w:firstLine="640" w:firstLineChars="200"/>
        <w:jc w:val="left"/>
        <w:rPr>
          <w:rFonts w:eastAsia="仿宋"/>
          <w:bCs/>
          <w:sz w:val="32"/>
          <w:szCs w:val="32"/>
          <w:lang w:bidi="en-US"/>
        </w:rPr>
      </w:pPr>
      <w:r>
        <w:rPr>
          <w:rFonts w:eastAsia="仿宋"/>
          <w:bCs/>
          <w:sz w:val="32"/>
          <w:szCs w:val="32"/>
          <w:lang w:bidi="en-US"/>
        </w:rPr>
        <w:t>⑵本矿已开采多年，矿山应根据隐蔽致灾因素及其可能产生的影响，采取必要的治理与防范措施，避免产生危害。</w:t>
      </w:r>
    </w:p>
    <w:p w14:paraId="722DB0FA">
      <w:pPr>
        <w:spacing w:line="360" w:lineRule="auto"/>
        <w:ind w:firstLine="640" w:firstLineChars="200"/>
        <w:jc w:val="left"/>
        <w:rPr>
          <w:rFonts w:eastAsia="仿宋"/>
          <w:bCs/>
          <w:sz w:val="32"/>
          <w:szCs w:val="32"/>
          <w:lang w:bidi="en-US"/>
        </w:rPr>
      </w:pPr>
      <w:r>
        <w:rPr>
          <w:rFonts w:eastAsia="仿宋"/>
          <w:bCs/>
          <w:sz w:val="32"/>
          <w:szCs w:val="32"/>
          <w:lang w:bidi="en-US"/>
        </w:rPr>
        <w:t>⑶矿山生产、生活污水必须处理达标后方可排放。</w:t>
      </w:r>
    </w:p>
    <w:p w14:paraId="697B2139">
      <w:pPr>
        <w:spacing w:line="360" w:lineRule="auto"/>
        <w:ind w:firstLine="643" w:firstLineChars="200"/>
        <w:jc w:val="left"/>
        <w:rPr>
          <w:rFonts w:eastAsia="仿宋"/>
          <w:b/>
          <w:sz w:val="32"/>
          <w:szCs w:val="32"/>
          <w:lang w:bidi="en-US"/>
        </w:rPr>
      </w:pPr>
      <w:r>
        <w:rPr>
          <w:rFonts w:eastAsia="仿宋"/>
          <w:b/>
          <w:sz w:val="32"/>
          <w:szCs w:val="32"/>
          <w:lang w:bidi="en-US"/>
        </w:rPr>
        <w:t>三、评审结论</w:t>
      </w:r>
    </w:p>
    <w:p w14:paraId="183D578C">
      <w:pPr>
        <w:spacing w:line="360" w:lineRule="auto"/>
        <w:ind w:firstLine="640" w:firstLineChars="200"/>
        <w:jc w:val="left"/>
        <w:rPr>
          <w:rFonts w:eastAsia="仿宋"/>
          <w:bCs/>
          <w:sz w:val="32"/>
          <w:szCs w:val="32"/>
          <w:lang w:bidi="en-US"/>
        </w:rPr>
      </w:pPr>
      <w:r>
        <w:rPr>
          <w:rFonts w:eastAsia="仿宋"/>
          <w:bCs/>
          <w:sz w:val="32"/>
          <w:szCs w:val="32"/>
          <w:lang w:bidi="en-US"/>
        </w:rPr>
        <w:t>明溪县钰岩石材料加工厂委托福建所思达勘测设计院有限公司大田分公司于2026年7月编制的《明溪县瀚仙矿场上龙坑方解石矿开采方案》，基本符合《福建省自然资源厅关于做好〈矿产资源法〉实施衔接过渡期矿产资源勘查方案和开采方案评审工作的通知》的要求。评审予以通过，仅作为本次办理采矿权变更（续期）登记、开采许可申请的要件之一。矿山企业必须按照批准的开采设计及安全设施设计进行施工。</w:t>
      </w:r>
    </w:p>
    <w:p w14:paraId="3BD876E1">
      <w:pPr>
        <w:pStyle w:val="28"/>
        <w:spacing w:line="360" w:lineRule="auto"/>
        <w:ind w:firstLine="640"/>
        <w:rPr>
          <w:rFonts w:eastAsia="仿宋"/>
          <w:sz w:val="32"/>
          <w:szCs w:val="32"/>
          <w:lang w:bidi="en-US"/>
        </w:rPr>
      </w:pPr>
    </w:p>
    <w:p w14:paraId="5F58C265">
      <w:pPr>
        <w:pStyle w:val="28"/>
        <w:spacing w:line="360" w:lineRule="auto"/>
        <w:ind w:firstLine="4480" w:firstLineChars="1400"/>
        <w:rPr>
          <w:rFonts w:eastAsia="仿宋"/>
          <w:sz w:val="32"/>
          <w:szCs w:val="32"/>
          <w:lang w:bidi="en-US"/>
        </w:rPr>
      </w:pPr>
      <w:r>
        <w:rPr>
          <w:rFonts w:eastAsia="仿宋"/>
          <w:sz w:val="32"/>
          <w:szCs w:val="32"/>
          <w:lang w:bidi="en-US"/>
        </w:rPr>
        <w:t>专家组组长：</w:t>
      </w:r>
    </w:p>
    <w:p w14:paraId="46CBC448">
      <w:pPr>
        <w:pStyle w:val="28"/>
        <w:spacing w:line="360" w:lineRule="auto"/>
        <w:ind w:firstLine="640"/>
        <w:jc w:val="center"/>
        <w:rPr>
          <w:rFonts w:eastAsia="仿宋"/>
          <w:bCs/>
          <w:color w:val="FF0000"/>
          <w:sz w:val="32"/>
          <w:szCs w:val="32"/>
          <w:lang w:bidi="en-US"/>
        </w:rPr>
      </w:pPr>
      <w:r>
        <w:rPr>
          <w:rFonts w:hint="eastAsia" w:eastAsia="仿宋"/>
          <w:bCs/>
          <w:sz w:val="32"/>
          <w:szCs w:val="32"/>
          <w:lang w:val="en-US" w:eastAsia="zh-CN" w:bidi="en-US"/>
        </w:rPr>
        <w:t xml:space="preserve">                       </w:t>
      </w:r>
      <w:r>
        <w:rPr>
          <w:rFonts w:eastAsia="仿宋"/>
          <w:bCs/>
          <w:sz w:val="32"/>
          <w:szCs w:val="32"/>
          <w:lang w:bidi="en-US"/>
        </w:rPr>
        <w:t>评审通过日期：2026年8月3日</w:t>
      </w:r>
    </w:p>
    <w:sectPr>
      <w:footerReference r:id="rId8" w:type="default"/>
      <w:pgSz w:w="11906" w:h="16838"/>
      <w:pgMar w:top="1134" w:right="1134" w:bottom="1134" w:left="158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3F9D2">
    <w:pPr>
      <w:pStyle w:val="10"/>
      <w:tabs>
        <w:tab w:val="center" w:pos="4536"/>
        <w:tab w:val="clear" w:pos="415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7EF81">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44480">
    <w:pPr>
      <w:pStyle w:val="10"/>
      <w:jc w:val="center"/>
    </w:pPr>
  </w:p>
  <w:p w14:paraId="689C998D">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5668A">
    <w:pPr>
      <w:pStyle w:val="10"/>
      <w:jc w:val="center"/>
    </w:pPr>
  </w:p>
  <w:p w14:paraId="78775AD5">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50342">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138A00">
                          <w:pPr>
                            <w:pStyle w:val="10"/>
                            <w:jc w:val="center"/>
                          </w:pPr>
                          <w:r>
                            <w:fldChar w:fldCharType="begin"/>
                          </w:r>
                          <w:r>
                            <w:instrText xml:space="preserve"> PAGE   \* MERGEFORMAT </w:instrText>
                          </w:r>
                          <w:r>
                            <w:fldChar w:fldCharType="separate"/>
                          </w:r>
                          <w:r>
                            <w:rPr>
                              <w:lang w:val="zh-CN"/>
                            </w:rPr>
                            <w:t>1</w:t>
                          </w:r>
                          <w:r>
                            <w:rPr>
                              <w:lang w:val="zh-CN"/>
                            </w:rP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ihY+c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mKFj5yQEAAJkDAAAOAAAAAAAAAAEAIAAAAB4BAABkcnMvZTJvRG9j&#10;LnhtbFBLBQYAAAAABgAGAFkBAABZBQAAAAA=&#10;">
              <v:fill on="f" focussize="0,0"/>
              <v:stroke on="f"/>
              <v:imagedata o:title=""/>
              <o:lock v:ext="edit" aspectratio="f"/>
              <v:textbox inset="0mm,0mm,0mm,0mm" style="mso-fit-shape-to-text:t;">
                <w:txbxContent>
                  <w:p w14:paraId="5E138A00">
                    <w:pPr>
                      <w:pStyle w:val="10"/>
                      <w:jc w:val="center"/>
                    </w:pPr>
                    <w:r>
                      <w:fldChar w:fldCharType="begin"/>
                    </w:r>
                    <w:r>
                      <w:instrText xml:space="preserve"> PAGE   \* MERGEFORMAT </w:instrText>
                    </w:r>
                    <w:r>
                      <w:fldChar w:fldCharType="separate"/>
                    </w:r>
                    <w:r>
                      <w:rPr>
                        <w:lang w:val="zh-CN"/>
                      </w:rPr>
                      <w:t>1</w:t>
                    </w:r>
                    <w:r>
                      <w:rPr>
                        <w:lang w:val="zh-CN"/>
                      </w:rPr>
                      <w:fldChar w:fldCharType="end"/>
                    </w:r>
                  </w:p>
                </w:txbxContent>
              </v:textbox>
            </v:shape>
          </w:pict>
        </mc:Fallback>
      </mc:AlternateContent>
    </w:r>
  </w:p>
  <w:p w14:paraId="5EE3EAF5">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24790">
    <w:pPr>
      <w:pStyle w:val="8"/>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yOGE3MWYzMjE0ZWJhOTA2MzhhYmUwNGU5ZWI5NzEifQ=="/>
  </w:docVars>
  <w:rsids>
    <w:rsidRoot w:val="000D1AEB"/>
    <w:rsid w:val="00000114"/>
    <w:rsid w:val="00001865"/>
    <w:rsid w:val="000018D3"/>
    <w:rsid w:val="00002360"/>
    <w:rsid w:val="00002999"/>
    <w:rsid w:val="00003F84"/>
    <w:rsid w:val="0000567F"/>
    <w:rsid w:val="00005CAF"/>
    <w:rsid w:val="0000616D"/>
    <w:rsid w:val="00006855"/>
    <w:rsid w:val="00006A20"/>
    <w:rsid w:val="000070E0"/>
    <w:rsid w:val="0000740D"/>
    <w:rsid w:val="00010A72"/>
    <w:rsid w:val="00011030"/>
    <w:rsid w:val="00012F28"/>
    <w:rsid w:val="000137B0"/>
    <w:rsid w:val="00013A70"/>
    <w:rsid w:val="00014148"/>
    <w:rsid w:val="00015A6A"/>
    <w:rsid w:val="00016179"/>
    <w:rsid w:val="00016B55"/>
    <w:rsid w:val="000179DC"/>
    <w:rsid w:val="0002191C"/>
    <w:rsid w:val="00022753"/>
    <w:rsid w:val="00022775"/>
    <w:rsid w:val="00023629"/>
    <w:rsid w:val="000240E5"/>
    <w:rsid w:val="000245CD"/>
    <w:rsid w:val="00024EBF"/>
    <w:rsid w:val="00025B0C"/>
    <w:rsid w:val="000261A1"/>
    <w:rsid w:val="000270F1"/>
    <w:rsid w:val="000273AE"/>
    <w:rsid w:val="00027748"/>
    <w:rsid w:val="00030648"/>
    <w:rsid w:val="0003175C"/>
    <w:rsid w:val="0003194A"/>
    <w:rsid w:val="00032CEA"/>
    <w:rsid w:val="00034882"/>
    <w:rsid w:val="00035366"/>
    <w:rsid w:val="000375D6"/>
    <w:rsid w:val="00037C98"/>
    <w:rsid w:val="00040A5F"/>
    <w:rsid w:val="000415D0"/>
    <w:rsid w:val="00041E78"/>
    <w:rsid w:val="00043C90"/>
    <w:rsid w:val="0004434B"/>
    <w:rsid w:val="00044E42"/>
    <w:rsid w:val="00045795"/>
    <w:rsid w:val="00046784"/>
    <w:rsid w:val="00047EC6"/>
    <w:rsid w:val="000502E3"/>
    <w:rsid w:val="000512E2"/>
    <w:rsid w:val="00053CBD"/>
    <w:rsid w:val="000544E0"/>
    <w:rsid w:val="00055F5E"/>
    <w:rsid w:val="000574D7"/>
    <w:rsid w:val="000600BF"/>
    <w:rsid w:val="0006037D"/>
    <w:rsid w:val="000605A4"/>
    <w:rsid w:val="00061575"/>
    <w:rsid w:val="00063C73"/>
    <w:rsid w:val="00063F33"/>
    <w:rsid w:val="00064360"/>
    <w:rsid w:val="000644F3"/>
    <w:rsid w:val="00066D3A"/>
    <w:rsid w:val="0006705F"/>
    <w:rsid w:val="000672F8"/>
    <w:rsid w:val="0006793A"/>
    <w:rsid w:val="0007078B"/>
    <w:rsid w:val="000713F4"/>
    <w:rsid w:val="00071CC8"/>
    <w:rsid w:val="000721A6"/>
    <w:rsid w:val="000731E0"/>
    <w:rsid w:val="00073651"/>
    <w:rsid w:val="000744A1"/>
    <w:rsid w:val="00075B0F"/>
    <w:rsid w:val="00075E84"/>
    <w:rsid w:val="00075F04"/>
    <w:rsid w:val="000760EC"/>
    <w:rsid w:val="00077316"/>
    <w:rsid w:val="000776B4"/>
    <w:rsid w:val="00077860"/>
    <w:rsid w:val="00080E7E"/>
    <w:rsid w:val="0008276E"/>
    <w:rsid w:val="00082E6E"/>
    <w:rsid w:val="0008334E"/>
    <w:rsid w:val="00084C28"/>
    <w:rsid w:val="00085681"/>
    <w:rsid w:val="00086E13"/>
    <w:rsid w:val="00087580"/>
    <w:rsid w:val="00087C4A"/>
    <w:rsid w:val="00087ECE"/>
    <w:rsid w:val="0009242E"/>
    <w:rsid w:val="00092B94"/>
    <w:rsid w:val="00092E1C"/>
    <w:rsid w:val="00093D96"/>
    <w:rsid w:val="00094330"/>
    <w:rsid w:val="00095E83"/>
    <w:rsid w:val="00096AB1"/>
    <w:rsid w:val="000A0983"/>
    <w:rsid w:val="000A1AE1"/>
    <w:rsid w:val="000A33C3"/>
    <w:rsid w:val="000A3BF5"/>
    <w:rsid w:val="000A3E2E"/>
    <w:rsid w:val="000A4104"/>
    <w:rsid w:val="000A504D"/>
    <w:rsid w:val="000A532C"/>
    <w:rsid w:val="000A5C0A"/>
    <w:rsid w:val="000A5F27"/>
    <w:rsid w:val="000B0468"/>
    <w:rsid w:val="000B196A"/>
    <w:rsid w:val="000B274B"/>
    <w:rsid w:val="000B3157"/>
    <w:rsid w:val="000B458E"/>
    <w:rsid w:val="000B5735"/>
    <w:rsid w:val="000B574F"/>
    <w:rsid w:val="000B5D3E"/>
    <w:rsid w:val="000B5E6B"/>
    <w:rsid w:val="000B60BD"/>
    <w:rsid w:val="000B7A1F"/>
    <w:rsid w:val="000C0F25"/>
    <w:rsid w:val="000C1966"/>
    <w:rsid w:val="000C2523"/>
    <w:rsid w:val="000C2801"/>
    <w:rsid w:val="000C3B44"/>
    <w:rsid w:val="000C4B06"/>
    <w:rsid w:val="000C5A14"/>
    <w:rsid w:val="000C5E82"/>
    <w:rsid w:val="000C675B"/>
    <w:rsid w:val="000C7914"/>
    <w:rsid w:val="000C7B6E"/>
    <w:rsid w:val="000D13FD"/>
    <w:rsid w:val="000D1549"/>
    <w:rsid w:val="000D1AEB"/>
    <w:rsid w:val="000D22C5"/>
    <w:rsid w:val="000D46DA"/>
    <w:rsid w:val="000D4E59"/>
    <w:rsid w:val="000D62CF"/>
    <w:rsid w:val="000D78B1"/>
    <w:rsid w:val="000E1253"/>
    <w:rsid w:val="000E3316"/>
    <w:rsid w:val="000E5752"/>
    <w:rsid w:val="000E5A73"/>
    <w:rsid w:val="000E5F03"/>
    <w:rsid w:val="000E61FD"/>
    <w:rsid w:val="000E77EA"/>
    <w:rsid w:val="000F003D"/>
    <w:rsid w:val="000F0C84"/>
    <w:rsid w:val="000F0CE8"/>
    <w:rsid w:val="000F1057"/>
    <w:rsid w:val="000F19B4"/>
    <w:rsid w:val="000F27E1"/>
    <w:rsid w:val="000F2CB2"/>
    <w:rsid w:val="000F447E"/>
    <w:rsid w:val="000F5701"/>
    <w:rsid w:val="000F5EBE"/>
    <w:rsid w:val="000F6BE2"/>
    <w:rsid w:val="000F760D"/>
    <w:rsid w:val="000F78A2"/>
    <w:rsid w:val="00100071"/>
    <w:rsid w:val="0010034B"/>
    <w:rsid w:val="001024C0"/>
    <w:rsid w:val="001053EB"/>
    <w:rsid w:val="00106EF6"/>
    <w:rsid w:val="001074CC"/>
    <w:rsid w:val="00107AA1"/>
    <w:rsid w:val="00110682"/>
    <w:rsid w:val="00113309"/>
    <w:rsid w:val="00114B1B"/>
    <w:rsid w:val="00114ED3"/>
    <w:rsid w:val="00116A5A"/>
    <w:rsid w:val="00117D6B"/>
    <w:rsid w:val="00120DE1"/>
    <w:rsid w:val="00121B26"/>
    <w:rsid w:val="00122582"/>
    <w:rsid w:val="0012269A"/>
    <w:rsid w:val="00123A3A"/>
    <w:rsid w:val="00123EF3"/>
    <w:rsid w:val="001259A8"/>
    <w:rsid w:val="00125E52"/>
    <w:rsid w:val="001265C8"/>
    <w:rsid w:val="00126757"/>
    <w:rsid w:val="00127335"/>
    <w:rsid w:val="00127944"/>
    <w:rsid w:val="00127A45"/>
    <w:rsid w:val="001306C8"/>
    <w:rsid w:val="00132365"/>
    <w:rsid w:val="001329DC"/>
    <w:rsid w:val="00132F9C"/>
    <w:rsid w:val="00133796"/>
    <w:rsid w:val="0013414D"/>
    <w:rsid w:val="0013434E"/>
    <w:rsid w:val="001349C5"/>
    <w:rsid w:val="00134E0A"/>
    <w:rsid w:val="00134E21"/>
    <w:rsid w:val="0013558D"/>
    <w:rsid w:val="00135BAF"/>
    <w:rsid w:val="0013740A"/>
    <w:rsid w:val="00137FCB"/>
    <w:rsid w:val="001412D2"/>
    <w:rsid w:val="00141EB3"/>
    <w:rsid w:val="00143DC3"/>
    <w:rsid w:val="00145868"/>
    <w:rsid w:val="001478E7"/>
    <w:rsid w:val="00151872"/>
    <w:rsid w:val="00151BED"/>
    <w:rsid w:val="00151FBC"/>
    <w:rsid w:val="001522CB"/>
    <w:rsid w:val="00152433"/>
    <w:rsid w:val="0015274D"/>
    <w:rsid w:val="00153343"/>
    <w:rsid w:val="00153C60"/>
    <w:rsid w:val="00156AC7"/>
    <w:rsid w:val="00157098"/>
    <w:rsid w:val="001579D1"/>
    <w:rsid w:val="001603C1"/>
    <w:rsid w:val="00160646"/>
    <w:rsid w:val="00160690"/>
    <w:rsid w:val="00161412"/>
    <w:rsid w:val="001618EA"/>
    <w:rsid w:val="001621C3"/>
    <w:rsid w:val="00162C87"/>
    <w:rsid w:val="00164A1A"/>
    <w:rsid w:val="00164B25"/>
    <w:rsid w:val="00164FE4"/>
    <w:rsid w:val="0016598C"/>
    <w:rsid w:val="00166216"/>
    <w:rsid w:val="0016799D"/>
    <w:rsid w:val="00170AEB"/>
    <w:rsid w:val="00171401"/>
    <w:rsid w:val="00171A67"/>
    <w:rsid w:val="00171D1B"/>
    <w:rsid w:val="00173CE7"/>
    <w:rsid w:val="00173E82"/>
    <w:rsid w:val="00174B15"/>
    <w:rsid w:val="00174FC6"/>
    <w:rsid w:val="00175E51"/>
    <w:rsid w:val="00176282"/>
    <w:rsid w:val="00177879"/>
    <w:rsid w:val="00177AC2"/>
    <w:rsid w:val="00180400"/>
    <w:rsid w:val="00180A59"/>
    <w:rsid w:val="00180BC8"/>
    <w:rsid w:val="00180D53"/>
    <w:rsid w:val="001817C6"/>
    <w:rsid w:val="00182325"/>
    <w:rsid w:val="00182DEA"/>
    <w:rsid w:val="00183676"/>
    <w:rsid w:val="00184B2B"/>
    <w:rsid w:val="00185F37"/>
    <w:rsid w:val="00186256"/>
    <w:rsid w:val="00186FB2"/>
    <w:rsid w:val="00187479"/>
    <w:rsid w:val="001876A7"/>
    <w:rsid w:val="00190178"/>
    <w:rsid w:val="00190B8E"/>
    <w:rsid w:val="0019183C"/>
    <w:rsid w:val="00191BC2"/>
    <w:rsid w:val="00191D54"/>
    <w:rsid w:val="00192ECE"/>
    <w:rsid w:val="001938D7"/>
    <w:rsid w:val="00193E05"/>
    <w:rsid w:val="001941F6"/>
    <w:rsid w:val="001959EA"/>
    <w:rsid w:val="0019617B"/>
    <w:rsid w:val="001A095F"/>
    <w:rsid w:val="001A165C"/>
    <w:rsid w:val="001A16FD"/>
    <w:rsid w:val="001A2968"/>
    <w:rsid w:val="001A3DC7"/>
    <w:rsid w:val="001A4C98"/>
    <w:rsid w:val="001A5E31"/>
    <w:rsid w:val="001A6B08"/>
    <w:rsid w:val="001A6CED"/>
    <w:rsid w:val="001A7D68"/>
    <w:rsid w:val="001B00BB"/>
    <w:rsid w:val="001B02D9"/>
    <w:rsid w:val="001B1507"/>
    <w:rsid w:val="001B1E7B"/>
    <w:rsid w:val="001B2236"/>
    <w:rsid w:val="001B2422"/>
    <w:rsid w:val="001B7CD0"/>
    <w:rsid w:val="001B7E2A"/>
    <w:rsid w:val="001C082E"/>
    <w:rsid w:val="001C18C7"/>
    <w:rsid w:val="001C1F7E"/>
    <w:rsid w:val="001C2363"/>
    <w:rsid w:val="001C3075"/>
    <w:rsid w:val="001C5CE1"/>
    <w:rsid w:val="001C776F"/>
    <w:rsid w:val="001C778E"/>
    <w:rsid w:val="001D000C"/>
    <w:rsid w:val="001D0AB8"/>
    <w:rsid w:val="001D0C2D"/>
    <w:rsid w:val="001D192C"/>
    <w:rsid w:val="001D1B8C"/>
    <w:rsid w:val="001D1F37"/>
    <w:rsid w:val="001D318D"/>
    <w:rsid w:val="001D3DE7"/>
    <w:rsid w:val="001D3F41"/>
    <w:rsid w:val="001D73ED"/>
    <w:rsid w:val="001D78D8"/>
    <w:rsid w:val="001E09A8"/>
    <w:rsid w:val="001E1139"/>
    <w:rsid w:val="001E1FF9"/>
    <w:rsid w:val="001E2AB6"/>
    <w:rsid w:val="001E2F40"/>
    <w:rsid w:val="001E3A4E"/>
    <w:rsid w:val="001E6D19"/>
    <w:rsid w:val="001E7033"/>
    <w:rsid w:val="001E7AEA"/>
    <w:rsid w:val="001E7FA6"/>
    <w:rsid w:val="001F045C"/>
    <w:rsid w:val="001F14FE"/>
    <w:rsid w:val="001F1DE6"/>
    <w:rsid w:val="001F314A"/>
    <w:rsid w:val="001F37B8"/>
    <w:rsid w:val="001F3C87"/>
    <w:rsid w:val="001F4350"/>
    <w:rsid w:val="001F44B9"/>
    <w:rsid w:val="001F588E"/>
    <w:rsid w:val="001F5BCE"/>
    <w:rsid w:val="001F6D3F"/>
    <w:rsid w:val="001F7115"/>
    <w:rsid w:val="001F719C"/>
    <w:rsid w:val="001F7C83"/>
    <w:rsid w:val="00200963"/>
    <w:rsid w:val="002014E0"/>
    <w:rsid w:val="002025EC"/>
    <w:rsid w:val="00202EC9"/>
    <w:rsid w:val="00204F5F"/>
    <w:rsid w:val="00205210"/>
    <w:rsid w:val="00205F10"/>
    <w:rsid w:val="00206123"/>
    <w:rsid w:val="0020618B"/>
    <w:rsid w:val="00206226"/>
    <w:rsid w:val="002107CE"/>
    <w:rsid w:val="00211F9B"/>
    <w:rsid w:val="002130F8"/>
    <w:rsid w:val="002147DD"/>
    <w:rsid w:val="002151AB"/>
    <w:rsid w:val="00216A2A"/>
    <w:rsid w:val="00216A37"/>
    <w:rsid w:val="00217C22"/>
    <w:rsid w:val="0022021F"/>
    <w:rsid w:val="00220BD8"/>
    <w:rsid w:val="002212CF"/>
    <w:rsid w:val="00222B24"/>
    <w:rsid w:val="00223D5B"/>
    <w:rsid w:val="00224E2A"/>
    <w:rsid w:val="00224E7B"/>
    <w:rsid w:val="0022510B"/>
    <w:rsid w:val="002253F6"/>
    <w:rsid w:val="00225EF2"/>
    <w:rsid w:val="002264F8"/>
    <w:rsid w:val="00226D43"/>
    <w:rsid w:val="00227B88"/>
    <w:rsid w:val="00227C52"/>
    <w:rsid w:val="0023011A"/>
    <w:rsid w:val="00230524"/>
    <w:rsid w:val="00230A52"/>
    <w:rsid w:val="00231616"/>
    <w:rsid w:val="00232A58"/>
    <w:rsid w:val="00234991"/>
    <w:rsid w:val="00235A6D"/>
    <w:rsid w:val="002424E8"/>
    <w:rsid w:val="00242A09"/>
    <w:rsid w:val="00242BDC"/>
    <w:rsid w:val="00244CCC"/>
    <w:rsid w:val="00247B23"/>
    <w:rsid w:val="00247B7F"/>
    <w:rsid w:val="0025179E"/>
    <w:rsid w:val="00251A5D"/>
    <w:rsid w:val="002529E6"/>
    <w:rsid w:val="0025352E"/>
    <w:rsid w:val="00254471"/>
    <w:rsid w:val="00254623"/>
    <w:rsid w:val="00254A40"/>
    <w:rsid w:val="00256A06"/>
    <w:rsid w:val="00257543"/>
    <w:rsid w:val="00257D85"/>
    <w:rsid w:val="0026269B"/>
    <w:rsid w:val="00263CA8"/>
    <w:rsid w:val="0026453B"/>
    <w:rsid w:val="00264DE3"/>
    <w:rsid w:val="00265C32"/>
    <w:rsid w:val="00265FC9"/>
    <w:rsid w:val="00266FB2"/>
    <w:rsid w:val="0026721E"/>
    <w:rsid w:val="00267A47"/>
    <w:rsid w:val="00270D7F"/>
    <w:rsid w:val="002717D0"/>
    <w:rsid w:val="00271802"/>
    <w:rsid w:val="00271F88"/>
    <w:rsid w:val="002732D7"/>
    <w:rsid w:val="00273479"/>
    <w:rsid w:val="00274486"/>
    <w:rsid w:val="00276B54"/>
    <w:rsid w:val="00277876"/>
    <w:rsid w:val="0028095A"/>
    <w:rsid w:val="00281ECB"/>
    <w:rsid w:val="00282819"/>
    <w:rsid w:val="00283A08"/>
    <w:rsid w:val="00284BC2"/>
    <w:rsid w:val="002850DA"/>
    <w:rsid w:val="002850FD"/>
    <w:rsid w:val="00285524"/>
    <w:rsid w:val="00286427"/>
    <w:rsid w:val="00286BB1"/>
    <w:rsid w:val="00290D86"/>
    <w:rsid w:val="002914D2"/>
    <w:rsid w:val="0029228F"/>
    <w:rsid w:val="002928B2"/>
    <w:rsid w:val="002928FD"/>
    <w:rsid w:val="0029409F"/>
    <w:rsid w:val="0029700F"/>
    <w:rsid w:val="002A0AAF"/>
    <w:rsid w:val="002A0AC5"/>
    <w:rsid w:val="002A0E28"/>
    <w:rsid w:val="002A11F9"/>
    <w:rsid w:val="002A23EE"/>
    <w:rsid w:val="002A2536"/>
    <w:rsid w:val="002A3115"/>
    <w:rsid w:val="002A3BCB"/>
    <w:rsid w:val="002A464C"/>
    <w:rsid w:val="002B0A17"/>
    <w:rsid w:val="002B1973"/>
    <w:rsid w:val="002B2436"/>
    <w:rsid w:val="002B40CC"/>
    <w:rsid w:val="002B4CF5"/>
    <w:rsid w:val="002B4D4F"/>
    <w:rsid w:val="002B6285"/>
    <w:rsid w:val="002B74C5"/>
    <w:rsid w:val="002C0214"/>
    <w:rsid w:val="002C0AE4"/>
    <w:rsid w:val="002C3045"/>
    <w:rsid w:val="002C329B"/>
    <w:rsid w:val="002C4135"/>
    <w:rsid w:val="002C4A7C"/>
    <w:rsid w:val="002C58B2"/>
    <w:rsid w:val="002C6105"/>
    <w:rsid w:val="002D01B5"/>
    <w:rsid w:val="002D087D"/>
    <w:rsid w:val="002D0A22"/>
    <w:rsid w:val="002D1367"/>
    <w:rsid w:val="002D17CB"/>
    <w:rsid w:val="002D1DAE"/>
    <w:rsid w:val="002D2248"/>
    <w:rsid w:val="002D2FE7"/>
    <w:rsid w:val="002D3013"/>
    <w:rsid w:val="002D4067"/>
    <w:rsid w:val="002D42E6"/>
    <w:rsid w:val="002D4CCA"/>
    <w:rsid w:val="002D511F"/>
    <w:rsid w:val="002D55C2"/>
    <w:rsid w:val="002D6ACA"/>
    <w:rsid w:val="002D7682"/>
    <w:rsid w:val="002E16E4"/>
    <w:rsid w:val="002E1AF8"/>
    <w:rsid w:val="002E22FB"/>
    <w:rsid w:val="002E27C6"/>
    <w:rsid w:val="002E30AD"/>
    <w:rsid w:val="002E3369"/>
    <w:rsid w:val="002E3553"/>
    <w:rsid w:val="002E3DF8"/>
    <w:rsid w:val="002E42FE"/>
    <w:rsid w:val="002E51B4"/>
    <w:rsid w:val="002E68B4"/>
    <w:rsid w:val="002E6C8C"/>
    <w:rsid w:val="002F0E0B"/>
    <w:rsid w:val="002F1D5B"/>
    <w:rsid w:val="002F1EB7"/>
    <w:rsid w:val="002F1FA4"/>
    <w:rsid w:val="002F332F"/>
    <w:rsid w:val="002F4E5E"/>
    <w:rsid w:val="002F4FBB"/>
    <w:rsid w:val="002F57FE"/>
    <w:rsid w:val="002F5858"/>
    <w:rsid w:val="002F61D7"/>
    <w:rsid w:val="0030046C"/>
    <w:rsid w:val="00301B77"/>
    <w:rsid w:val="00302BF6"/>
    <w:rsid w:val="003034A9"/>
    <w:rsid w:val="00304262"/>
    <w:rsid w:val="0030481B"/>
    <w:rsid w:val="00304CCE"/>
    <w:rsid w:val="00304D7C"/>
    <w:rsid w:val="00305B8B"/>
    <w:rsid w:val="00305EB2"/>
    <w:rsid w:val="00306853"/>
    <w:rsid w:val="00311728"/>
    <w:rsid w:val="00314716"/>
    <w:rsid w:val="00314B9C"/>
    <w:rsid w:val="00314BC0"/>
    <w:rsid w:val="00314C32"/>
    <w:rsid w:val="00315B4A"/>
    <w:rsid w:val="00315B69"/>
    <w:rsid w:val="00315C1B"/>
    <w:rsid w:val="00317528"/>
    <w:rsid w:val="003178E1"/>
    <w:rsid w:val="00317F6C"/>
    <w:rsid w:val="0032008D"/>
    <w:rsid w:val="00322F2D"/>
    <w:rsid w:val="0032373B"/>
    <w:rsid w:val="00325A8F"/>
    <w:rsid w:val="00326737"/>
    <w:rsid w:val="003274FC"/>
    <w:rsid w:val="00327C2A"/>
    <w:rsid w:val="003314D1"/>
    <w:rsid w:val="00332CBA"/>
    <w:rsid w:val="003338D7"/>
    <w:rsid w:val="0033408D"/>
    <w:rsid w:val="003353E9"/>
    <w:rsid w:val="0033614D"/>
    <w:rsid w:val="00336602"/>
    <w:rsid w:val="003367A5"/>
    <w:rsid w:val="00337A6F"/>
    <w:rsid w:val="00337D84"/>
    <w:rsid w:val="0034066A"/>
    <w:rsid w:val="00340EB1"/>
    <w:rsid w:val="00341702"/>
    <w:rsid w:val="00341C46"/>
    <w:rsid w:val="00343F21"/>
    <w:rsid w:val="00344D5C"/>
    <w:rsid w:val="00347194"/>
    <w:rsid w:val="00347F72"/>
    <w:rsid w:val="00350703"/>
    <w:rsid w:val="00351284"/>
    <w:rsid w:val="00351709"/>
    <w:rsid w:val="00351B52"/>
    <w:rsid w:val="003522DE"/>
    <w:rsid w:val="00352AFE"/>
    <w:rsid w:val="00353660"/>
    <w:rsid w:val="0035384B"/>
    <w:rsid w:val="003552FD"/>
    <w:rsid w:val="00356C75"/>
    <w:rsid w:val="003574B0"/>
    <w:rsid w:val="00357BB0"/>
    <w:rsid w:val="00357C65"/>
    <w:rsid w:val="00360A9A"/>
    <w:rsid w:val="003615C8"/>
    <w:rsid w:val="00361E17"/>
    <w:rsid w:val="00362626"/>
    <w:rsid w:val="00364EC2"/>
    <w:rsid w:val="0036673C"/>
    <w:rsid w:val="00367D01"/>
    <w:rsid w:val="0037009F"/>
    <w:rsid w:val="00370D24"/>
    <w:rsid w:val="00372AF8"/>
    <w:rsid w:val="0037467C"/>
    <w:rsid w:val="00375F0A"/>
    <w:rsid w:val="003767A0"/>
    <w:rsid w:val="00376C3C"/>
    <w:rsid w:val="00377C1F"/>
    <w:rsid w:val="0038202E"/>
    <w:rsid w:val="00382436"/>
    <w:rsid w:val="00383D02"/>
    <w:rsid w:val="0038581D"/>
    <w:rsid w:val="003859A6"/>
    <w:rsid w:val="00386441"/>
    <w:rsid w:val="00387C57"/>
    <w:rsid w:val="00390DAB"/>
    <w:rsid w:val="00390F71"/>
    <w:rsid w:val="00391BD8"/>
    <w:rsid w:val="00392378"/>
    <w:rsid w:val="00392636"/>
    <w:rsid w:val="00392AAB"/>
    <w:rsid w:val="00392DA8"/>
    <w:rsid w:val="003946E6"/>
    <w:rsid w:val="00394853"/>
    <w:rsid w:val="00396451"/>
    <w:rsid w:val="00397325"/>
    <w:rsid w:val="00397A7C"/>
    <w:rsid w:val="00397BFE"/>
    <w:rsid w:val="00397FCE"/>
    <w:rsid w:val="003A03B9"/>
    <w:rsid w:val="003A1963"/>
    <w:rsid w:val="003A2008"/>
    <w:rsid w:val="003A2ED5"/>
    <w:rsid w:val="003A2FD8"/>
    <w:rsid w:val="003A4E63"/>
    <w:rsid w:val="003A5F66"/>
    <w:rsid w:val="003A6388"/>
    <w:rsid w:val="003A63BD"/>
    <w:rsid w:val="003A6B4B"/>
    <w:rsid w:val="003B03DE"/>
    <w:rsid w:val="003B08E8"/>
    <w:rsid w:val="003B21C6"/>
    <w:rsid w:val="003B2624"/>
    <w:rsid w:val="003B28AB"/>
    <w:rsid w:val="003B2E4C"/>
    <w:rsid w:val="003B46CA"/>
    <w:rsid w:val="003B4939"/>
    <w:rsid w:val="003B4A8A"/>
    <w:rsid w:val="003B61E6"/>
    <w:rsid w:val="003C132C"/>
    <w:rsid w:val="003C19BC"/>
    <w:rsid w:val="003C2E94"/>
    <w:rsid w:val="003C4682"/>
    <w:rsid w:val="003C47F1"/>
    <w:rsid w:val="003C4A52"/>
    <w:rsid w:val="003C4BD2"/>
    <w:rsid w:val="003C62BB"/>
    <w:rsid w:val="003C7495"/>
    <w:rsid w:val="003C7E7D"/>
    <w:rsid w:val="003D0CA8"/>
    <w:rsid w:val="003D12EF"/>
    <w:rsid w:val="003D1C55"/>
    <w:rsid w:val="003D33E1"/>
    <w:rsid w:val="003D38DD"/>
    <w:rsid w:val="003D4FFA"/>
    <w:rsid w:val="003D5163"/>
    <w:rsid w:val="003D5C58"/>
    <w:rsid w:val="003D6288"/>
    <w:rsid w:val="003E1CC5"/>
    <w:rsid w:val="003E20D9"/>
    <w:rsid w:val="003E25CE"/>
    <w:rsid w:val="003E393C"/>
    <w:rsid w:val="003E4EE5"/>
    <w:rsid w:val="003E4F17"/>
    <w:rsid w:val="003E7314"/>
    <w:rsid w:val="003E7A01"/>
    <w:rsid w:val="003F0A9B"/>
    <w:rsid w:val="003F0B24"/>
    <w:rsid w:val="003F119C"/>
    <w:rsid w:val="003F1CA1"/>
    <w:rsid w:val="003F1DF2"/>
    <w:rsid w:val="003F24F4"/>
    <w:rsid w:val="003F329E"/>
    <w:rsid w:val="003F50CD"/>
    <w:rsid w:val="003F5BAD"/>
    <w:rsid w:val="003F61E2"/>
    <w:rsid w:val="003F6750"/>
    <w:rsid w:val="003F6958"/>
    <w:rsid w:val="003F7607"/>
    <w:rsid w:val="003F7790"/>
    <w:rsid w:val="003F7B9F"/>
    <w:rsid w:val="00400763"/>
    <w:rsid w:val="00403D9E"/>
    <w:rsid w:val="00406445"/>
    <w:rsid w:val="0040702C"/>
    <w:rsid w:val="00407A71"/>
    <w:rsid w:val="00410117"/>
    <w:rsid w:val="00410150"/>
    <w:rsid w:val="00410A87"/>
    <w:rsid w:val="0041156F"/>
    <w:rsid w:val="004125D1"/>
    <w:rsid w:val="00412848"/>
    <w:rsid w:val="004135A0"/>
    <w:rsid w:val="004146F0"/>
    <w:rsid w:val="00415BF6"/>
    <w:rsid w:val="00417027"/>
    <w:rsid w:val="004175DA"/>
    <w:rsid w:val="00421CE2"/>
    <w:rsid w:val="00423539"/>
    <w:rsid w:val="00424CA5"/>
    <w:rsid w:val="0042528B"/>
    <w:rsid w:val="00427BE6"/>
    <w:rsid w:val="0043004C"/>
    <w:rsid w:val="0043009C"/>
    <w:rsid w:val="0043096E"/>
    <w:rsid w:val="004311A0"/>
    <w:rsid w:val="004327E4"/>
    <w:rsid w:val="0043283A"/>
    <w:rsid w:val="00432CA7"/>
    <w:rsid w:val="004335E2"/>
    <w:rsid w:val="00433E71"/>
    <w:rsid w:val="004355AF"/>
    <w:rsid w:val="004365A0"/>
    <w:rsid w:val="004365AC"/>
    <w:rsid w:val="00436FB3"/>
    <w:rsid w:val="00437349"/>
    <w:rsid w:val="00437D0F"/>
    <w:rsid w:val="0044015D"/>
    <w:rsid w:val="00441AE9"/>
    <w:rsid w:val="00442641"/>
    <w:rsid w:val="00442B58"/>
    <w:rsid w:val="004433CB"/>
    <w:rsid w:val="00444396"/>
    <w:rsid w:val="004445FA"/>
    <w:rsid w:val="00444D96"/>
    <w:rsid w:val="00446F3A"/>
    <w:rsid w:val="004474BE"/>
    <w:rsid w:val="00451B09"/>
    <w:rsid w:val="00452245"/>
    <w:rsid w:val="00453261"/>
    <w:rsid w:val="004543D1"/>
    <w:rsid w:val="00454462"/>
    <w:rsid w:val="004546B2"/>
    <w:rsid w:val="004550D3"/>
    <w:rsid w:val="00456E94"/>
    <w:rsid w:val="004579ED"/>
    <w:rsid w:val="00460AD0"/>
    <w:rsid w:val="004623BD"/>
    <w:rsid w:val="004647B7"/>
    <w:rsid w:val="00464D22"/>
    <w:rsid w:val="004652EF"/>
    <w:rsid w:val="004658FB"/>
    <w:rsid w:val="00465D5E"/>
    <w:rsid w:val="00466610"/>
    <w:rsid w:val="0046711C"/>
    <w:rsid w:val="0046777B"/>
    <w:rsid w:val="0047051F"/>
    <w:rsid w:val="004705DF"/>
    <w:rsid w:val="00470785"/>
    <w:rsid w:val="00470A47"/>
    <w:rsid w:val="00471939"/>
    <w:rsid w:val="004735B8"/>
    <w:rsid w:val="00474B7F"/>
    <w:rsid w:val="00474D33"/>
    <w:rsid w:val="00474E2E"/>
    <w:rsid w:val="00475456"/>
    <w:rsid w:val="00476A44"/>
    <w:rsid w:val="00476D1E"/>
    <w:rsid w:val="00477653"/>
    <w:rsid w:val="00480461"/>
    <w:rsid w:val="0048047F"/>
    <w:rsid w:val="004820E3"/>
    <w:rsid w:val="00482275"/>
    <w:rsid w:val="00484271"/>
    <w:rsid w:val="00484636"/>
    <w:rsid w:val="00485D67"/>
    <w:rsid w:val="00487A6E"/>
    <w:rsid w:val="004906F4"/>
    <w:rsid w:val="00490DBE"/>
    <w:rsid w:val="00491229"/>
    <w:rsid w:val="00492CA6"/>
    <w:rsid w:val="00493C4E"/>
    <w:rsid w:val="0049460A"/>
    <w:rsid w:val="00496972"/>
    <w:rsid w:val="00497E51"/>
    <w:rsid w:val="004A32C3"/>
    <w:rsid w:val="004A3D98"/>
    <w:rsid w:val="004A42FA"/>
    <w:rsid w:val="004A4610"/>
    <w:rsid w:val="004A4B4B"/>
    <w:rsid w:val="004A601D"/>
    <w:rsid w:val="004A66D4"/>
    <w:rsid w:val="004A6D2A"/>
    <w:rsid w:val="004A765B"/>
    <w:rsid w:val="004B1B5C"/>
    <w:rsid w:val="004B20D4"/>
    <w:rsid w:val="004B22D6"/>
    <w:rsid w:val="004B30CD"/>
    <w:rsid w:val="004B3D6F"/>
    <w:rsid w:val="004B4E3A"/>
    <w:rsid w:val="004B553F"/>
    <w:rsid w:val="004B5B7A"/>
    <w:rsid w:val="004B5DC1"/>
    <w:rsid w:val="004B7123"/>
    <w:rsid w:val="004B729D"/>
    <w:rsid w:val="004B7B82"/>
    <w:rsid w:val="004C0091"/>
    <w:rsid w:val="004C066B"/>
    <w:rsid w:val="004C0B75"/>
    <w:rsid w:val="004C1A8D"/>
    <w:rsid w:val="004C2105"/>
    <w:rsid w:val="004C4C7C"/>
    <w:rsid w:val="004C5231"/>
    <w:rsid w:val="004C652F"/>
    <w:rsid w:val="004C663A"/>
    <w:rsid w:val="004C6FBF"/>
    <w:rsid w:val="004C77CD"/>
    <w:rsid w:val="004C7F00"/>
    <w:rsid w:val="004D1635"/>
    <w:rsid w:val="004D18D3"/>
    <w:rsid w:val="004D19B6"/>
    <w:rsid w:val="004D2893"/>
    <w:rsid w:val="004D3D8F"/>
    <w:rsid w:val="004D7167"/>
    <w:rsid w:val="004D7C5A"/>
    <w:rsid w:val="004E1EFD"/>
    <w:rsid w:val="004E2EC1"/>
    <w:rsid w:val="004E386F"/>
    <w:rsid w:val="004E38DF"/>
    <w:rsid w:val="004E5722"/>
    <w:rsid w:val="004E5D4E"/>
    <w:rsid w:val="004E63A5"/>
    <w:rsid w:val="004E6C6B"/>
    <w:rsid w:val="004E7158"/>
    <w:rsid w:val="004F05F6"/>
    <w:rsid w:val="004F07E1"/>
    <w:rsid w:val="004F1A67"/>
    <w:rsid w:val="004F28FF"/>
    <w:rsid w:val="004F3347"/>
    <w:rsid w:val="004F3752"/>
    <w:rsid w:val="004F3DAE"/>
    <w:rsid w:val="004F42D2"/>
    <w:rsid w:val="004F4A9A"/>
    <w:rsid w:val="004F6473"/>
    <w:rsid w:val="00500126"/>
    <w:rsid w:val="005005D2"/>
    <w:rsid w:val="00501977"/>
    <w:rsid w:val="00501FF1"/>
    <w:rsid w:val="005029B7"/>
    <w:rsid w:val="005031CA"/>
    <w:rsid w:val="005049EB"/>
    <w:rsid w:val="00505C08"/>
    <w:rsid w:val="00506170"/>
    <w:rsid w:val="00510384"/>
    <w:rsid w:val="0051099D"/>
    <w:rsid w:val="00510E0A"/>
    <w:rsid w:val="005110D1"/>
    <w:rsid w:val="00511316"/>
    <w:rsid w:val="005117FC"/>
    <w:rsid w:val="0051191C"/>
    <w:rsid w:val="0051194D"/>
    <w:rsid w:val="00512EB3"/>
    <w:rsid w:val="00513B34"/>
    <w:rsid w:val="005142EB"/>
    <w:rsid w:val="005146BE"/>
    <w:rsid w:val="00514D55"/>
    <w:rsid w:val="00516474"/>
    <w:rsid w:val="00516D7C"/>
    <w:rsid w:val="005172B8"/>
    <w:rsid w:val="00517402"/>
    <w:rsid w:val="00517C94"/>
    <w:rsid w:val="00520B4B"/>
    <w:rsid w:val="00520B4F"/>
    <w:rsid w:val="00521409"/>
    <w:rsid w:val="00521983"/>
    <w:rsid w:val="0052211E"/>
    <w:rsid w:val="00524399"/>
    <w:rsid w:val="00526E27"/>
    <w:rsid w:val="0052768A"/>
    <w:rsid w:val="00530BC4"/>
    <w:rsid w:val="0053180E"/>
    <w:rsid w:val="00531DD3"/>
    <w:rsid w:val="005346DF"/>
    <w:rsid w:val="00535086"/>
    <w:rsid w:val="00537239"/>
    <w:rsid w:val="0054053E"/>
    <w:rsid w:val="0054179E"/>
    <w:rsid w:val="00543B15"/>
    <w:rsid w:val="00543FF5"/>
    <w:rsid w:val="00544A91"/>
    <w:rsid w:val="00544EB6"/>
    <w:rsid w:val="005452FD"/>
    <w:rsid w:val="00546016"/>
    <w:rsid w:val="0054609B"/>
    <w:rsid w:val="00551F95"/>
    <w:rsid w:val="005523A1"/>
    <w:rsid w:val="00552598"/>
    <w:rsid w:val="0055262E"/>
    <w:rsid w:val="0055269E"/>
    <w:rsid w:val="0055304B"/>
    <w:rsid w:val="005535FF"/>
    <w:rsid w:val="00553D9F"/>
    <w:rsid w:val="00554311"/>
    <w:rsid w:val="00554B79"/>
    <w:rsid w:val="00560413"/>
    <w:rsid w:val="005605C1"/>
    <w:rsid w:val="00561454"/>
    <w:rsid w:val="005614A1"/>
    <w:rsid w:val="00562473"/>
    <w:rsid w:val="005629B4"/>
    <w:rsid w:val="00563CD0"/>
    <w:rsid w:val="00563CD3"/>
    <w:rsid w:val="005641A1"/>
    <w:rsid w:val="00565819"/>
    <w:rsid w:val="005659EE"/>
    <w:rsid w:val="005672B4"/>
    <w:rsid w:val="00572198"/>
    <w:rsid w:val="00573668"/>
    <w:rsid w:val="005755DB"/>
    <w:rsid w:val="00577B37"/>
    <w:rsid w:val="00580354"/>
    <w:rsid w:val="00581643"/>
    <w:rsid w:val="00581DDD"/>
    <w:rsid w:val="0058397E"/>
    <w:rsid w:val="00583DCC"/>
    <w:rsid w:val="005848D5"/>
    <w:rsid w:val="00584F0D"/>
    <w:rsid w:val="00585438"/>
    <w:rsid w:val="0059034E"/>
    <w:rsid w:val="00590B4B"/>
    <w:rsid w:val="00590CEA"/>
    <w:rsid w:val="00591569"/>
    <w:rsid w:val="00591C63"/>
    <w:rsid w:val="00592B43"/>
    <w:rsid w:val="0059367D"/>
    <w:rsid w:val="005944E5"/>
    <w:rsid w:val="0059632F"/>
    <w:rsid w:val="005964C1"/>
    <w:rsid w:val="00597287"/>
    <w:rsid w:val="005977A9"/>
    <w:rsid w:val="005A0175"/>
    <w:rsid w:val="005A1271"/>
    <w:rsid w:val="005A1387"/>
    <w:rsid w:val="005A1769"/>
    <w:rsid w:val="005A1F06"/>
    <w:rsid w:val="005A214B"/>
    <w:rsid w:val="005A236C"/>
    <w:rsid w:val="005A27C7"/>
    <w:rsid w:val="005A2B3B"/>
    <w:rsid w:val="005A2E22"/>
    <w:rsid w:val="005A592F"/>
    <w:rsid w:val="005A6C33"/>
    <w:rsid w:val="005A7160"/>
    <w:rsid w:val="005B07CC"/>
    <w:rsid w:val="005B12EA"/>
    <w:rsid w:val="005B2032"/>
    <w:rsid w:val="005B28AD"/>
    <w:rsid w:val="005B3531"/>
    <w:rsid w:val="005B45CB"/>
    <w:rsid w:val="005B4D82"/>
    <w:rsid w:val="005B4ED5"/>
    <w:rsid w:val="005B533E"/>
    <w:rsid w:val="005B546A"/>
    <w:rsid w:val="005B5CE7"/>
    <w:rsid w:val="005B649F"/>
    <w:rsid w:val="005B6F1A"/>
    <w:rsid w:val="005B79C7"/>
    <w:rsid w:val="005C079A"/>
    <w:rsid w:val="005C0E37"/>
    <w:rsid w:val="005C1A1B"/>
    <w:rsid w:val="005C2260"/>
    <w:rsid w:val="005C23D5"/>
    <w:rsid w:val="005C2B79"/>
    <w:rsid w:val="005C2F42"/>
    <w:rsid w:val="005C3F0A"/>
    <w:rsid w:val="005C414E"/>
    <w:rsid w:val="005C446E"/>
    <w:rsid w:val="005C6265"/>
    <w:rsid w:val="005C63DC"/>
    <w:rsid w:val="005C684F"/>
    <w:rsid w:val="005D3BF3"/>
    <w:rsid w:val="005D49BD"/>
    <w:rsid w:val="005D4BD0"/>
    <w:rsid w:val="005D535F"/>
    <w:rsid w:val="005D6371"/>
    <w:rsid w:val="005D64E0"/>
    <w:rsid w:val="005D75E4"/>
    <w:rsid w:val="005E0727"/>
    <w:rsid w:val="005E16BA"/>
    <w:rsid w:val="005E2505"/>
    <w:rsid w:val="005E2BC0"/>
    <w:rsid w:val="005E31FA"/>
    <w:rsid w:val="005E44A5"/>
    <w:rsid w:val="005E5834"/>
    <w:rsid w:val="005E65BD"/>
    <w:rsid w:val="005E6B17"/>
    <w:rsid w:val="005F069D"/>
    <w:rsid w:val="005F2A3F"/>
    <w:rsid w:val="005F3534"/>
    <w:rsid w:val="005F3555"/>
    <w:rsid w:val="005F4AB7"/>
    <w:rsid w:val="005F7312"/>
    <w:rsid w:val="005F74CD"/>
    <w:rsid w:val="005F7938"/>
    <w:rsid w:val="00600053"/>
    <w:rsid w:val="00602164"/>
    <w:rsid w:val="00602281"/>
    <w:rsid w:val="00603A64"/>
    <w:rsid w:val="006045E2"/>
    <w:rsid w:val="00605C39"/>
    <w:rsid w:val="006063EB"/>
    <w:rsid w:val="00607501"/>
    <w:rsid w:val="0061061F"/>
    <w:rsid w:val="00610674"/>
    <w:rsid w:val="00611011"/>
    <w:rsid w:val="00612A80"/>
    <w:rsid w:val="006135EF"/>
    <w:rsid w:val="006139B8"/>
    <w:rsid w:val="00613FE5"/>
    <w:rsid w:val="00615D25"/>
    <w:rsid w:val="00616104"/>
    <w:rsid w:val="00616390"/>
    <w:rsid w:val="00616727"/>
    <w:rsid w:val="00616F5A"/>
    <w:rsid w:val="00617EB4"/>
    <w:rsid w:val="006201EB"/>
    <w:rsid w:val="006222AB"/>
    <w:rsid w:val="00622415"/>
    <w:rsid w:val="0062263C"/>
    <w:rsid w:val="00622A79"/>
    <w:rsid w:val="006232B1"/>
    <w:rsid w:val="00623F46"/>
    <w:rsid w:val="00624699"/>
    <w:rsid w:val="00625516"/>
    <w:rsid w:val="00625E40"/>
    <w:rsid w:val="006267BE"/>
    <w:rsid w:val="006267CC"/>
    <w:rsid w:val="0062708E"/>
    <w:rsid w:val="0062722B"/>
    <w:rsid w:val="00627639"/>
    <w:rsid w:val="0063271F"/>
    <w:rsid w:val="00632A73"/>
    <w:rsid w:val="006343CA"/>
    <w:rsid w:val="00635C9D"/>
    <w:rsid w:val="00636422"/>
    <w:rsid w:val="00636710"/>
    <w:rsid w:val="006376AE"/>
    <w:rsid w:val="00640674"/>
    <w:rsid w:val="00642531"/>
    <w:rsid w:val="00645F75"/>
    <w:rsid w:val="00646434"/>
    <w:rsid w:val="0064691D"/>
    <w:rsid w:val="0065073D"/>
    <w:rsid w:val="00650CC9"/>
    <w:rsid w:val="006514E1"/>
    <w:rsid w:val="0065199F"/>
    <w:rsid w:val="00652084"/>
    <w:rsid w:val="00652142"/>
    <w:rsid w:val="0065263A"/>
    <w:rsid w:val="00652830"/>
    <w:rsid w:val="00652C88"/>
    <w:rsid w:val="00653B52"/>
    <w:rsid w:val="00653D1D"/>
    <w:rsid w:val="006541C3"/>
    <w:rsid w:val="00654336"/>
    <w:rsid w:val="0065580E"/>
    <w:rsid w:val="006575A7"/>
    <w:rsid w:val="0066019A"/>
    <w:rsid w:val="00661087"/>
    <w:rsid w:val="00661A51"/>
    <w:rsid w:val="006623C7"/>
    <w:rsid w:val="00662872"/>
    <w:rsid w:val="00665ACF"/>
    <w:rsid w:val="00665F8D"/>
    <w:rsid w:val="006663E7"/>
    <w:rsid w:val="00666DF0"/>
    <w:rsid w:val="00666E2B"/>
    <w:rsid w:val="0067071A"/>
    <w:rsid w:val="006721EA"/>
    <w:rsid w:val="00673260"/>
    <w:rsid w:val="0067435E"/>
    <w:rsid w:val="00675682"/>
    <w:rsid w:val="00675F95"/>
    <w:rsid w:val="00676FED"/>
    <w:rsid w:val="006805B2"/>
    <w:rsid w:val="006805E1"/>
    <w:rsid w:val="00681E16"/>
    <w:rsid w:val="00682760"/>
    <w:rsid w:val="006832D7"/>
    <w:rsid w:val="00683426"/>
    <w:rsid w:val="00683D06"/>
    <w:rsid w:val="006851C0"/>
    <w:rsid w:val="00691236"/>
    <w:rsid w:val="00691439"/>
    <w:rsid w:val="00691D4C"/>
    <w:rsid w:val="00692BD6"/>
    <w:rsid w:val="00694BB6"/>
    <w:rsid w:val="006952E3"/>
    <w:rsid w:val="006958FB"/>
    <w:rsid w:val="00695CFA"/>
    <w:rsid w:val="006A163B"/>
    <w:rsid w:val="006A1D10"/>
    <w:rsid w:val="006A3953"/>
    <w:rsid w:val="006A6078"/>
    <w:rsid w:val="006A68A5"/>
    <w:rsid w:val="006B0F31"/>
    <w:rsid w:val="006B1AE6"/>
    <w:rsid w:val="006B29A5"/>
    <w:rsid w:val="006B3E86"/>
    <w:rsid w:val="006B40F5"/>
    <w:rsid w:val="006B41F2"/>
    <w:rsid w:val="006B49B8"/>
    <w:rsid w:val="006B4A52"/>
    <w:rsid w:val="006B5232"/>
    <w:rsid w:val="006B58DB"/>
    <w:rsid w:val="006B61BE"/>
    <w:rsid w:val="006B6DB3"/>
    <w:rsid w:val="006B793A"/>
    <w:rsid w:val="006C12FB"/>
    <w:rsid w:val="006C15D3"/>
    <w:rsid w:val="006C2B80"/>
    <w:rsid w:val="006C2CB5"/>
    <w:rsid w:val="006C3710"/>
    <w:rsid w:val="006C3A57"/>
    <w:rsid w:val="006C3DA0"/>
    <w:rsid w:val="006C4204"/>
    <w:rsid w:val="006C714D"/>
    <w:rsid w:val="006C7CE3"/>
    <w:rsid w:val="006D0151"/>
    <w:rsid w:val="006D15E1"/>
    <w:rsid w:val="006D2412"/>
    <w:rsid w:val="006D33C1"/>
    <w:rsid w:val="006D344A"/>
    <w:rsid w:val="006D3DAA"/>
    <w:rsid w:val="006D4E33"/>
    <w:rsid w:val="006D710D"/>
    <w:rsid w:val="006D7449"/>
    <w:rsid w:val="006E265D"/>
    <w:rsid w:val="006E2716"/>
    <w:rsid w:val="006E3880"/>
    <w:rsid w:val="006E49DF"/>
    <w:rsid w:val="006E54DF"/>
    <w:rsid w:val="006E5A6F"/>
    <w:rsid w:val="006E629C"/>
    <w:rsid w:val="006E6A15"/>
    <w:rsid w:val="006E6ACF"/>
    <w:rsid w:val="006E6E54"/>
    <w:rsid w:val="006E716B"/>
    <w:rsid w:val="006E7302"/>
    <w:rsid w:val="006E7ADD"/>
    <w:rsid w:val="006E7F01"/>
    <w:rsid w:val="006E7F2A"/>
    <w:rsid w:val="006F0CC8"/>
    <w:rsid w:val="006F17A7"/>
    <w:rsid w:val="006F1C51"/>
    <w:rsid w:val="006F3D03"/>
    <w:rsid w:val="006F4013"/>
    <w:rsid w:val="006F426F"/>
    <w:rsid w:val="006F451E"/>
    <w:rsid w:val="006F47F3"/>
    <w:rsid w:val="006F50FF"/>
    <w:rsid w:val="006F51E9"/>
    <w:rsid w:val="006F52D7"/>
    <w:rsid w:val="006F544B"/>
    <w:rsid w:val="006F5C3D"/>
    <w:rsid w:val="006F65C3"/>
    <w:rsid w:val="006F65D7"/>
    <w:rsid w:val="006F7401"/>
    <w:rsid w:val="007009F5"/>
    <w:rsid w:val="00703456"/>
    <w:rsid w:val="0070597C"/>
    <w:rsid w:val="00711E0A"/>
    <w:rsid w:val="007124FC"/>
    <w:rsid w:val="00712A9B"/>
    <w:rsid w:val="00713032"/>
    <w:rsid w:val="00714C35"/>
    <w:rsid w:val="0071565D"/>
    <w:rsid w:val="007166BC"/>
    <w:rsid w:val="007167C4"/>
    <w:rsid w:val="00716D72"/>
    <w:rsid w:val="00717C5F"/>
    <w:rsid w:val="007220E5"/>
    <w:rsid w:val="00724A9B"/>
    <w:rsid w:val="007252BE"/>
    <w:rsid w:val="00725481"/>
    <w:rsid w:val="00725B6F"/>
    <w:rsid w:val="00725C7A"/>
    <w:rsid w:val="00730709"/>
    <w:rsid w:val="007321D6"/>
    <w:rsid w:val="00733208"/>
    <w:rsid w:val="007337B7"/>
    <w:rsid w:val="00734CA5"/>
    <w:rsid w:val="007354E9"/>
    <w:rsid w:val="007359E7"/>
    <w:rsid w:val="007401B6"/>
    <w:rsid w:val="00740CBA"/>
    <w:rsid w:val="00741C26"/>
    <w:rsid w:val="00741F04"/>
    <w:rsid w:val="007421E8"/>
    <w:rsid w:val="0074235D"/>
    <w:rsid w:val="00743F0A"/>
    <w:rsid w:val="00745101"/>
    <w:rsid w:val="007457E0"/>
    <w:rsid w:val="0074640D"/>
    <w:rsid w:val="00747596"/>
    <w:rsid w:val="007507CE"/>
    <w:rsid w:val="00750987"/>
    <w:rsid w:val="007519AC"/>
    <w:rsid w:val="00751E5E"/>
    <w:rsid w:val="00753D6C"/>
    <w:rsid w:val="00754208"/>
    <w:rsid w:val="007544B4"/>
    <w:rsid w:val="00754A02"/>
    <w:rsid w:val="00754BF7"/>
    <w:rsid w:val="007550CE"/>
    <w:rsid w:val="0075535B"/>
    <w:rsid w:val="007569B1"/>
    <w:rsid w:val="0076099A"/>
    <w:rsid w:val="00761150"/>
    <w:rsid w:val="0076123A"/>
    <w:rsid w:val="00761E8D"/>
    <w:rsid w:val="00762143"/>
    <w:rsid w:val="0076224C"/>
    <w:rsid w:val="0076405E"/>
    <w:rsid w:val="00765195"/>
    <w:rsid w:val="00766CAC"/>
    <w:rsid w:val="007671A1"/>
    <w:rsid w:val="00767B6C"/>
    <w:rsid w:val="00770346"/>
    <w:rsid w:val="007738EA"/>
    <w:rsid w:val="00775C3A"/>
    <w:rsid w:val="00776465"/>
    <w:rsid w:val="007772DD"/>
    <w:rsid w:val="007776C9"/>
    <w:rsid w:val="00777E98"/>
    <w:rsid w:val="007803F9"/>
    <w:rsid w:val="0078042E"/>
    <w:rsid w:val="00780458"/>
    <w:rsid w:val="00780A0B"/>
    <w:rsid w:val="00780BB6"/>
    <w:rsid w:val="00782D66"/>
    <w:rsid w:val="00782E77"/>
    <w:rsid w:val="0078350F"/>
    <w:rsid w:val="00784C33"/>
    <w:rsid w:val="0078523B"/>
    <w:rsid w:val="007855CB"/>
    <w:rsid w:val="00787469"/>
    <w:rsid w:val="0078776D"/>
    <w:rsid w:val="007879D4"/>
    <w:rsid w:val="00790252"/>
    <w:rsid w:val="007907E0"/>
    <w:rsid w:val="00790E93"/>
    <w:rsid w:val="00791303"/>
    <w:rsid w:val="007919B4"/>
    <w:rsid w:val="00791B6C"/>
    <w:rsid w:val="00792509"/>
    <w:rsid w:val="0079285A"/>
    <w:rsid w:val="00792D03"/>
    <w:rsid w:val="0079303D"/>
    <w:rsid w:val="0079368F"/>
    <w:rsid w:val="00793CA5"/>
    <w:rsid w:val="007964E2"/>
    <w:rsid w:val="007975F3"/>
    <w:rsid w:val="007A0D99"/>
    <w:rsid w:val="007A2822"/>
    <w:rsid w:val="007A36C6"/>
    <w:rsid w:val="007A59BA"/>
    <w:rsid w:val="007A5BD3"/>
    <w:rsid w:val="007A64DE"/>
    <w:rsid w:val="007A78A6"/>
    <w:rsid w:val="007B060B"/>
    <w:rsid w:val="007B06CA"/>
    <w:rsid w:val="007B0A92"/>
    <w:rsid w:val="007B177B"/>
    <w:rsid w:val="007B24F2"/>
    <w:rsid w:val="007B3887"/>
    <w:rsid w:val="007B3CEA"/>
    <w:rsid w:val="007B4117"/>
    <w:rsid w:val="007B4DB5"/>
    <w:rsid w:val="007B4E93"/>
    <w:rsid w:val="007B569F"/>
    <w:rsid w:val="007B600F"/>
    <w:rsid w:val="007B6EB5"/>
    <w:rsid w:val="007C00B2"/>
    <w:rsid w:val="007C0492"/>
    <w:rsid w:val="007C0CFC"/>
    <w:rsid w:val="007C1456"/>
    <w:rsid w:val="007C15D3"/>
    <w:rsid w:val="007C1963"/>
    <w:rsid w:val="007C1CAD"/>
    <w:rsid w:val="007C39E0"/>
    <w:rsid w:val="007C4E5B"/>
    <w:rsid w:val="007C505B"/>
    <w:rsid w:val="007C5D1A"/>
    <w:rsid w:val="007C5EAF"/>
    <w:rsid w:val="007C60C5"/>
    <w:rsid w:val="007C7AF6"/>
    <w:rsid w:val="007C7B4C"/>
    <w:rsid w:val="007D19F7"/>
    <w:rsid w:val="007D25C0"/>
    <w:rsid w:val="007D323F"/>
    <w:rsid w:val="007D40EB"/>
    <w:rsid w:val="007D5831"/>
    <w:rsid w:val="007D5892"/>
    <w:rsid w:val="007D5EEE"/>
    <w:rsid w:val="007D7978"/>
    <w:rsid w:val="007D79D0"/>
    <w:rsid w:val="007D7F42"/>
    <w:rsid w:val="007E0789"/>
    <w:rsid w:val="007E0A5A"/>
    <w:rsid w:val="007E0E95"/>
    <w:rsid w:val="007E10AB"/>
    <w:rsid w:val="007E1549"/>
    <w:rsid w:val="007E21FF"/>
    <w:rsid w:val="007E222E"/>
    <w:rsid w:val="007E2621"/>
    <w:rsid w:val="007E348B"/>
    <w:rsid w:val="007E366E"/>
    <w:rsid w:val="007E44B5"/>
    <w:rsid w:val="007E4646"/>
    <w:rsid w:val="007E5465"/>
    <w:rsid w:val="007E5887"/>
    <w:rsid w:val="007E6F7C"/>
    <w:rsid w:val="007E7060"/>
    <w:rsid w:val="007E7425"/>
    <w:rsid w:val="007F0807"/>
    <w:rsid w:val="007F0DF5"/>
    <w:rsid w:val="007F1598"/>
    <w:rsid w:val="007F186C"/>
    <w:rsid w:val="007F2951"/>
    <w:rsid w:val="007F3522"/>
    <w:rsid w:val="007F4798"/>
    <w:rsid w:val="007F4F31"/>
    <w:rsid w:val="007F5820"/>
    <w:rsid w:val="007F5B5B"/>
    <w:rsid w:val="007F6108"/>
    <w:rsid w:val="008001A8"/>
    <w:rsid w:val="008019A7"/>
    <w:rsid w:val="00801E0F"/>
    <w:rsid w:val="00802D02"/>
    <w:rsid w:val="00803994"/>
    <w:rsid w:val="00803A65"/>
    <w:rsid w:val="00804121"/>
    <w:rsid w:val="008045D7"/>
    <w:rsid w:val="00805931"/>
    <w:rsid w:val="00807A16"/>
    <w:rsid w:val="00810BEF"/>
    <w:rsid w:val="00811C52"/>
    <w:rsid w:val="008138BC"/>
    <w:rsid w:val="0081576E"/>
    <w:rsid w:val="00821573"/>
    <w:rsid w:val="00821882"/>
    <w:rsid w:val="0082208E"/>
    <w:rsid w:val="00822A51"/>
    <w:rsid w:val="00822E80"/>
    <w:rsid w:val="0082420C"/>
    <w:rsid w:val="00824EC4"/>
    <w:rsid w:val="00825CC9"/>
    <w:rsid w:val="008268FE"/>
    <w:rsid w:val="00826D90"/>
    <w:rsid w:val="0082701C"/>
    <w:rsid w:val="00830BD5"/>
    <w:rsid w:val="008312FF"/>
    <w:rsid w:val="008315B3"/>
    <w:rsid w:val="0083216A"/>
    <w:rsid w:val="00833E5E"/>
    <w:rsid w:val="00834A80"/>
    <w:rsid w:val="008354DB"/>
    <w:rsid w:val="00835E91"/>
    <w:rsid w:val="00836959"/>
    <w:rsid w:val="00837D17"/>
    <w:rsid w:val="00842241"/>
    <w:rsid w:val="00843EF5"/>
    <w:rsid w:val="00844286"/>
    <w:rsid w:val="00845599"/>
    <w:rsid w:val="00845914"/>
    <w:rsid w:val="00845968"/>
    <w:rsid w:val="00845A48"/>
    <w:rsid w:val="00845CFF"/>
    <w:rsid w:val="008467F5"/>
    <w:rsid w:val="00846E00"/>
    <w:rsid w:val="008478DB"/>
    <w:rsid w:val="00847FB9"/>
    <w:rsid w:val="008507B3"/>
    <w:rsid w:val="00851091"/>
    <w:rsid w:val="00851407"/>
    <w:rsid w:val="00851802"/>
    <w:rsid w:val="008521B7"/>
    <w:rsid w:val="0085293C"/>
    <w:rsid w:val="00853C79"/>
    <w:rsid w:val="0085405E"/>
    <w:rsid w:val="00854886"/>
    <w:rsid w:val="00854AD4"/>
    <w:rsid w:val="00854DBA"/>
    <w:rsid w:val="008554FB"/>
    <w:rsid w:val="00857D40"/>
    <w:rsid w:val="00860D3F"/>
    <w:rsid w:val="0086135B"/>
    <w:rsid w:val="008616E0"/>
    <w:rsid w:val="00862EBD"/>
    <w:rsid w:val="00864B33"/>
    <w:rsid w:val="00864F16"/>
    <w:rsid w:val="008679C1"/>
    <w:rsid w:val="00867E44"/>
    <w:rsid w:val="00867FA4"/>
    <w:rsid w:val="00870035"/>
    <w:rsid w:val="00870A0F"/>
    <w:rsid w:val="00873AC5"/>
    <w:rsid w:val="00874788"/>
    <w:rsid w:val="008753DC"/>
    <w:rsid w:val="008755FC"/>
    <w:rsid w:val="00876444"/>
    <w:rsid w:val="008773F8"/>
    <w:rsid w:val="008778F6"/>
    <w:rsid w:val="00877A29"/>
    <w:rsid w:val="00877B65"/>
    <w:rsid w:val="008818ED"/>
    <w:rsid w:val="00881CB1"/>
    <w:rsid w:val="00881ED1"/>
    <w:rsid w:val="00882499"/>
    <w:rsid w:val="00883CF1"/>
    <w:rsid w:val="00884576"/>
    <w:rsid w:val="008852BB"/>
    <w:rsid w:val="00885458"/>
    <w:rsid w:val="00885CF1"/>
    <w:rsid w:val="00885F76"/>
    <w:rsid w:val="008861D2"/>
    <w:rsid w:val="008875B6"/>
    <w:rsid w:val="00890341"/>
    <w:rsid w:val="00890929"/>
    <w:rsid w:val="00890C1F"/>
    <w:rsid w:val="00892FAF"/>
    <w:rsid w:val="00893C36"/>
    <w:rsid w:val="0089438F"/>
    <w:rsid w:val="00895262"/>
    <w:rsid w:val="00896689"/>
    <w:rsid w:val="00896820"/>
    <w:rsid w:val="0089783F"/>
    <w:rsid w:val="00897B43"/>
    <w:rsid w:val="008A0195"/>
    <w:rsid w:val="008A023E"/>
    <w:rsid w:val="008A1412"/>
    <w:rsid w:val="008A17DF"/>
    <w:rsid w:val="008A291D"/>
    <w:rsid w:val="008A2D5B"/>
    <w:rsid w:val="008A3665"/>
    <w:rsid w:val="008A5A41"/>
    <w:rsid w:val="008A6812"/>
    <w:rsid w:val="008B02E0"/>
    <w:rsid w:val="008B179D"/>
    <w:rsid w:val="008B1AA2"/>
    <w:rsid w:val="008B31DC"/>
    <w:rsid w:val="008B6CE3"/>
    <w:rsid w:val="008B7320"/>
    <w:rsid w:val="008B7FEE"/>
    <w:rsid w:val="008C38A3"/>
    <w:rsid w:val="008C5925"/>
    <w:rsid w:val="008D11BA"/>
    <w:rsid w:val="008D1D6E"/>
    <w:rsid w:val="008D2A05"/>
    <w:rsid w:val="008D36A7"/>
    <w:rsid w:val="008D3DDF"/>
    <w:rsid w:val="008D57C1"/>
    <w:rsid w:val="008D6321"/>
    <w:rsid w:val="008D67AB"/>
    <w:rsid w:val="008D69C7"/>
    <w:rsid w:val="008D6F07"/>
    <w:rsid w:val="008D730A"/>
    <w:rsid w:val="008D78D3"/>
    <w:rsid w:val="008E0BBC"/>
    <w:rsid w:val="008E154F"/>
    <w:rsid w:val="008E1B94"/>
    <w:rsid w:val="008E1C92"/>
    <w:rsid w:val="008E264C"/>
    <w:rsid w:val="008E3261"/>
    <w:rsid w:val="008E35D4"/>
    <w:rsid w:val="008E3753"/>
    <w:rsid w:val="008E3C0C"/>
    <w:rsid w:val="008E3C3C"/>
    <w:rsid w:val="008E40F2"/>
    <w:rsid w:val="008E499B"/>
    <w:rsid w:val="008E4C6E"/>
    <w:rsid w:val="008E5E25"/>
    <w:rsid w:val="008E6751"/>
    <w:rsid w:val="008E717C"/>
    <w:rsid w:val="008E7FDC"/>
    <w:rsid w:val="008F09CE"/>
    <w:rsid w:val="008F13F2"/>
    <w:rsid w:val="008F15C0"/>
    <w:rsid w:val="008F1FB3"/>
    <w:rsid w:val="008F2D9D"/>
    <w:rsid w:val="008F3B9C"/>
    <w:rsid w:val="008F412F"/>
    <w:rsid w:val="008F70C0"/>
    <w:rsid w:val="008F771C"/>
    <w:rsid w:val="008F7F1E"/>
    <w:rsid w:val="009015A0"/>
    <w:rsid w:val="00901957"/>
    <w:rsid w:val="009027E0"/>
    <w:rsid w:val="00902B0C"/>
    <w:rsid w:val="00907485"/>
    <w:rsid w:val="00910A7C"/>
    <w:rsid w:val="00911A07"/>
    <w:rsid w:val="00912BB6"/>
    <w:rsid w:val="00913F1E"/>
    <w:rsid w:val="00913F82"/>
    <w:rsid w:val="00916467"/>
    <w:rsid w:val="00916F62"/>
    <w:rsid w:val="00917446"/>
    <w:rsid w:val="00922536"/>
    <w:rsid w:val="00922833"/>
    <w:rsid w:val="00923E73"/>
    <w:rsid w:val="009246A1"/>
    <w:rsid w:val="00924CE6"/>
    <w:rsid w:val="00924FB3"/>
    <w:rsid w:val="009252A7"/>
    <w:rsid w:val="009252EA"/>
    <w:rsid w:val="00925D05"/>
    <w:rsid w:val="00926B21"/>
    <w:rsid w:val="00926DDC"/>
    <w:rsid w:val="00927360"/>
    <w:rsid w:val="009273A7"/>
    <w:rsid w:val="009307CF"/>
    <w:rsid w:val="00930838"/>
    <w:rsid w:val="00930CAB"/>
    <w:rsid w:val="00930DF7"/>
    <w:rsid w:val="00932342"/>
    <w:rsid w:val="009333EC"/>
    <w:rsid w:val="0093401E"/>
    <w:rsid w:val="009343D3"/>
    <w:rsid w:val="009350A1"/>
    <w:rsid w:val="009350B5"/>
    <w:rsid w:val="009351D4"/>
    <w:rsid w:val="009369A5"/>
    <w:rsid w:val="00936DA5"/>
    <w:rsid w:val="009413B5"/>
    <w:rsid w:val="009432A9"/>
    <w:rsid w:val="00943B90"/>
    <w:rsid w:val="00943BF1"/>
    <w:rsid w:val="00944F61"/>
    <w:rsid w:val="0094508D"/>
    <w:rsid w:val="00945260"/>
    <w:rsid w:val="00945B21"/>
    <w:rsid w:val="00945CF1"/>
    <w:rsid w:val="00946236"/>
    <w:rsid w:val="00947113"/>
    <w:rsid w:val="0095040D"/>
    <w:rsid w:val="009509EE"/>
    <w:rsid w:val="00950EBB"/>
    <w:rsid w:val="00952223"/>
    <w:rsid w:val="00952B13"/>
    <w:rsid w:val="009535A8"/>
    <w:rsid w:val="00953AE6"/>
    <w:rsid w:val="00953D78"/>
    <w:rsid w:val="00955153"/>
    <w:rsid w:val="009566D2"/>
    <w:rsid w:val="00957FD0"/>
    <w:rsid w:val="00960790"/>
    <w:rsid w:val="009609F7"/>
    <w:rsid w:val="00962522"/>
    <w:rsid w:val="00962A95"/>
    <w:rsid w:val="00962AC6"/>
    <w:rsid w:val="00963870"/>
    <w:rsid w:val="009642DE"/>
    <w:rsid w:val="00964C7E"/>
    <w:rsid w:val="00965111"/>
    <w:rsid w:val="009669CE"/>
    <w:rsid w:val="00966FD7"/>
    <w:rsid w:val="009702D0"/>
    <w:rsid w:val="00971093"/>
    <w:rsid w:val="009718AC"/>
    <w:rsid w:val="00971F76"/>
    <w:rsid w:val="0097277D"/>
    <w:rsid w:val="00972A3E"/>
    <w:rsid w:val="00973619"/>
    <w:rsid w:val="00973D95"/>
    <w:rsid w:val="00975970"/>
    <w:rsid w:val="00976F0A"/>
    <w:rsid w:val="009772E8"/>
    <w:rsid w:val="00977F3C"/>
    <w:rsid w:val="0098271F"/>
    <w:rsid w:val="0098293B"/>
    <w:rsid w:val="009829F0"/>
    <w:rsid w:val="00982CC2"/>
    <w:rsid w:val="00984C77"/>
    <w:rsid w:val="0098508C"/>
    <w:rsid w:val="00986704"/>
    <w:rsid w:val="00986A10"/>
    <w:rsid w:val="00986F32"/>
    <w:rsid w:val="009875E4"/>
    <w:rsid w:val="00987FDF"/>
    <w:rsid w:val="00990046"/>
    <w:rsid w:val="00990725"/>
    <w:rsid w:val="00990E2A"/>
    <w:rsid w:val="009915B6"/>
    <w:rsid w:val="009946EF"/>
    <w:rsid w:val="00994734"/>
    <w:rsid w:val="00995E05"/>
    <w:rsid w:val="00996AE1"/>
    <w:rsid w:val="00996F49"/>
    <w:rsid w:val="00997287"/>
    <w:rsid w:val="009975A7"/>
    <w:rsid w:val="009A42FB"/>
    <w:rsid w:val="009A504C"/>
    <w:rsid w:val="009A581F"/>
    <w:rsid w:val="009B0DCB"/>
    <w:rsid w:val="009B16B7"/>
    <w:rsid w:val="009B1DC0"/>
    <w:rsid w:val="009B1E11"/>
    <w:rsid w:val="009B21EA"/>
    <w:rsid w:val="009B345D"/>
    <w:rsid w:val="009B425E"/>
    <w:rsid w:val="009B4636"/>
    <w:rsid w:val="009C1BC7"/>
    <w:rsid w:val="009C2ED1"/>
    <w:rsid w:val="009C4094"/>
    <w:rsid w:val="009C4357"/>
    <w:rsid w:val="009C5285"/>
    <w:rsid w:val="009C600F"/>
    <w:rsid w:val="009D1861"/>
    <w:rsid w:val="009D238E"/>
    <w:rsid w:val="009D25E0"/>
    <w:rsid w:val="009D27EF"/>
    <w:rsid w:val="009D2E3F"/>
    <w:rsid w:val="009D35C8"/>
    <w:rsid w:val="009D4078"/>
    <w:rsid w:val="009D4AFE"/>
    <w:rsid w:val="009D5320"/>
    <w:rsid w:val="009D65E0"/>
    <w:rsid w:val="009D6D77"/>
    <w:rsid w:val="009D71C8"/>
    <w:rsid w:val="009D7412"/>
    <w:rsid w:val="009D78B1"/>
    <w:rsid w:val="009E0F11"/>
    <w:rsid w:val="009E14D3"/>
    <w:rsid w:val="009E225B"/>
    <w:rsid w:val="009E236F"/>
    <w:rsid w:val="009E3272"/>
    <w:rsid w:val="009E3313"/>
    <w:rsid w:val="009E3B41"/>
    <w:rsid w:val="009E4732"/>
    <w:rsid w:val="009E5900"/>
    <w:rsid w:val="009E6C35"/>
    <w:rsid w:val="009E705A"/>
    <w:rsid w:val="009E76D2"/>
    <w:rsid w:val="009F069C"/>
    <w:rsid w:val="009F0F9E"/>
    <w:rsid w:val="009F1BF6"/>
    <w:rsid w:val="009F204A"/>
    <w:rsid w:val="009F3D90"/>
    <w:rsid w:val="009F50B5"/>
    <w:rsid w:val="009F7826"/>
    <w:rsid w:val="00A023A1"/>
    <w:rsid w:val="00A030F6"/>
    <w:rsid w:val="00A03F53"/>
    <w:rsid w:val="00A04475"/>
    <w:rsid w:val="00A04C6B"/>
    <w:rsid w:val="00A05241"/>
    <w:rsid w:val="00A05BF3"/>
    <w:rsid w:val="00A07345"/>
    <w:rsid w:val="00A07FED"/>
    <w:rsid w:val="00A10366"/>
    <w:rsid w:val="00A11190"/>
    <w:rsid w:val="00A12914"/>
    <w:rsid w:val="00A12E06"/>
    <w:rsid w:val="00A13964"/>
    <w:rsid w:val="00A1443B"/>
    <w:rsid w:val="00A146AB"/>
    <w:rsid w:val="00A14761"/>
    <w:rsid w:val="00A158D9"/>
    <w:rsid w:val="00A159A8"/>
    <w:rsid w:val="00A15A88"/>
    <w:rsid w:val="00A17998"/>
    <w:rsid w:val="00A17FA4"/>
    <w:rsid w:val="00A27009"/>
    <w:rsid w:val="00A3129A"/>
    <w:rsid w:val="00A31BEC"/>
    <w:rsid w:val="00A31EA2"/>
    <w:rsid w:val="00A33382"/>
    <w:rsid w:val="00A34433"/>
    <w:rsid w:val="00A35572"/>
    <w:rsid w:val="00A3559F"/>
    <w:rsid w:val="00A356CB"/>
    <w:rsid w:val="00A36214"/>
    <w:rsid w:val="00A376A2"/>
    <w:rsid w:val="00A37773"/>
    <w:rsid w:val="00A4090C"/>
    <w:rsid w:val="00A4207B"/>
    <w:rsid w:val="00A42F7E"/>
    <w:rsid w:val="00A4541B"/>
    <w:rsid w:val="00A45FC9"/>
    <w:rsid w:val="00A52071"/>
    <w:rsid w:val="00A522DA"/>
    <w:rsid w:val="00A52875"/>
    <w:rsid w:val="00A52A1D"/>
    <w:rsid w:val="00A54544"/>
    <w:rsid w:val="00A54ED7"/>
    <w:rsid w:val="00A5554D"/>
    <w:rsid w:val="00A55BC3"/>
    <w:rsid w:val="00A565A8"/>
    <w:rsid w:val="00A571F4"/>
    <w:rsid w:val="00A60117"/>
    <w:rsid w:val="00A613C4"/>
    <w:rsid w:val="00A6161F"/>
    <w:rsid w:val="00A6230B"/>
    <w:rsid w:val="00A6233C"/>
    <w:rsid w:val="00A64027"/>
    <w:rsid w:val="00A64A11"/>
    <w:rsid w:val="00A64B7D"/>
    <w:rsid w:val="00A65BBB"/>
    <w:rsid w:val="00A65C67"/>
    <w:rsid w:val="00A65E3D"/>
    <w:rsid w:val="00A665AC"/>
    <w:rsid w:val="00A6739C"/>
    <w:rsid w:val="00A6748D"/>
    <w:rsid w:val="00A67578"/>
    <w:rsid w:val="00A67DAC"/>
    <w:rsid w:val="00A67F63"/>
    <w:rsid w:val="00A71042"/>
    <w:rsid w:val="00A718E9"/>
    <w:rsid w:val="00A73467"/>
    <w:rsid w:val="00A73544"/>
    <w:rsid w:val="00A7371C"/>
    <w:rsid w:val="00A73879"/>
    <w:rsid w:val="00A739AE"/>
    <w:rsid w:val="00A73B0D"/>
    <w:rsid w:val="00A73FF4"/>
    <w:rsid w:val="00A75B6E"/>
    <w:rsid w:val="00A75CD5"/>
    <w:rsid w:val="00A760E5"/>
    <w:rsid w:val="00A7688A"/>
    <w:rsid w:val="00A76C5C"/>
    <w:rsid w:val="00A77451"/>
    <w:rsid w:val="00A77DE2"/>
    <w:rsid w:val="00A80CCE"/>
    <w:rsid w:val="00A81D3F"/>
    <w:rsid w:val="00A82072"/>
    <w:rsid w:val="00A8302A"/>
    <w:rsid w:val="00A8367D"/>
    <w:rsid w:val="00A842AB"/>
    <w:rsid w:val="00A846F5"/>
    <w:rsid w:val="00A85439"/>
    <w:rsid w:val="00A86151"/>
    <w:rsid w:val="00A87809"/>
    <w:rsid w:val="00A9171F"/>
    <w:rsid w:val="00A91D47"/>
    <w:rsid w:val="00A91F7E"/>
    <w:rsid w:val="00A92841"/>
    <w:rsid w:val="00A92D2F"/>
    <w:rsid w:val="00A94413"/>
    <w:rsid w:val="00A95FF5"/>
    <w:rsid w:val="00A9715D"/>
    <w:rsid w:val="00A97C43"/>
    <w:rsid w:val="00AA0D3E"/>
    <w:rsid w:val="00AA13C0"/>
    <w:rsid w:val="00AA18A1"/>
    <w:rsid w:val="00AA1F93"/>
    <w:rsid w:val="00AA3662"/>
    <w:rsid w:val="00AA3A7B"/>
    <w:rsid w:val="00AA42A0"/>
    <w:rsid w:val="00AA6DF2"/>
    <w:rsid w:val="00AA7950"/>
    <w:rsid w:val="00AB03DE"/>
    <w:rsid w:val="00AB06DA"/>
    <w:rsid w:val="00AB4AC9"/>
    <w:rsid w:val="00AB4DAD"/>
    <w:rsid w:val="00AB5B3E"/>
    <w:rsid w:val="00AB638D"/>
    <w:rsid w:val="00AB7166"/>
    <w:rsid w:val="00AB7D5D"/>
    <w:rsid w:val="00AB7E37"/>
    <w:rsid w:val="00AC0479"/>
    <w:rsid w:val="00AC05B2"/>
    <w:rsid w:val="00AC05F9"/>
    <w:rsid w:val="00AC0EF3"/>
    <w:rsid w:val="00AC1501"/>
    <w:rsid w:val="00AC1889"/>
    <w:rsid w:val="00AC1DCA"/>
    <w:rsid w:val="00AC3736"/>
    <w:rsid w:val="00AC3802"/>
    <w:rsid w:val="00AC58E3"/>
    <w:rsid w:val="00AC6CE2"/>
    <w:rsid w:val="00AC7BD9"/>
    <w:rsid w:val="00AD053E"/>
    <w:rsid w:val="00AD0A4C"/>
    <w:rsid w:val="00AD182A"/>
    <w:rsid w:val="00AD1A68"/>
    <w:rsid w:val="00AD1E98"/>
    <w:rsid w:val="00AD4360"/>
    <w:rsid w:val="00AD5572"/>
    <w:rsid w:val="00AD5790"/>
    <w:rsid w:val="00AD6FE8"/>
    <w:rsid w:val="00AD7036"/>
    <w:rsid w:val="00AD70F7"/>
    <w:rsid w:val="00AD77B9"/>
    <w:rsid w:val="00AE2084"/>
    <w:rsid w:val="00AE2F07"/>
    <w:rsid w:val="00AE3208"/>
    <w:rsid w:val="00AE3292"/>
    <w:rsid w:val="00AE3F09"/>
    <w:rsid w:val="00AE4730"/>
    <w:rsid w:val="00AE5915"/>
    <w:rsid w:val="00AE6057"/>
    <w:rsid w:val="00AE6127"/>
    <w:rsid w:val="00AE74C6"/>
    <w:rsid w:val="00AE7DB4"/>
    <w:rsid w:val="00AE7F82"/>
    <w:rsid w:val="00AF0CDE"/>
    <w:rsid w:val="00AF1362"/>
    <w:rsid w:val="00AF2012"/>
    <w:rsid w:val="00AF3A17"/>
    <w:rsid w:val="00AF4C29"/>
    <w:rsid w:val="00AF50A5"/>
    <w:rsid w:val="00AF737E"/>
    <w:rsid w:val="00B006C1"/>
    <w:rsid w:val="00B0107B"/>
    <w:rsid w:val="00B010B1"/>
    <w:rsid w:val="00B01C46"/>
    <w:rsid w:val="00B02213"/>
    <w:rsid w:val="00B02EB5"/>
    <w:rsid w:val="00B03059"/>
    <w:rsid w:val="00B0315F"/>
    <w:rsid w:val="00B0384C"/>
    <w:rsid w:val="00B03EF7"/>
    <w:rsid w:val="00B045DB"/>
    <w:rsid w:val="00B046E4"/>
    <w:rsid w:val="00B057C8"/>
    <w:rsid w:val="00B066D5"/>
    <w:rsid w:val="00B06ED0"/>
    <w:rsid w:val="00B074C8"/>
    <w:rsid w:val="00B0787A"/>
    <w:rsid w:val="00B107CD"/>
    <w:rsid w:val="00B10D11"/>
    <w:rsid w:val="00B140E3"/>
    <w:rsid w:val="00B145F6"/>
    <w:rsid w:val="00B1680F"/>
    <w:rsid w:val="00B17851"/>
    <w:rsid w:val="00B208C2"/>
    <w:rsid w:val="00B21F82"/>
    <w:rsid w:val="00B220FD"/>
    <w:rsid w:val="00B22572"/>
    <w:rsid w:val="00B24A51"/>
    <w:rsid w:val="00B25341"/>
    <w:rsid w:val="00B25659"/>
    <w:rsid w:val="00B26A5A"/>
    <w:rsid w:val="00B26B99"/>
    <w:rsid w:val="00B27A39"/>
    <w:rsid w:val="00B304DB"/>
    <w:rsid w:val="00B31F1A"/>
    <w:rsid w:val="00B32776"/>
    <w:rsid w:val="00B33444"/>
    <w:rsid w:val="00B3362B"/>
    <w:rsid w:val="00B33E27"/>
    <w:rsid w:val="00B34C86"/>
    <w:rsid w:val="00B35B1A"/>
    <w:rsid w:val="00B37567"/>
    <w:rsid w:val="00B400C2"/>
    <w:rsid w:val="00B40275"/>
    <w:rsid w:val="00B40EA9"/>
    <w:rsid w:val="00B41D7F"/>
    <w:rsid w:val="00B44FB3"/>
    <w:rsid w:val="00B45033"/>
    <w:rsid w:val="00B4562A"/>
    <w:rsid w:val="00B456AA"/>
    <w:rsid w:val="00B45B06"/>
    <w:rsid w:val="00B46D06"/>
    <w:rsid w:val="00B47CF6"/>
    <w:rsid w:val="00B502BC"/>
    <w:rsid w:val="00B50F22"/>
    <w:rsid w:val="00B529B4"/>
    <w:rsid w:val="00B52C92"/>
    <w:rsid w:val="00B5301B"/>
    <w:rsid w:val="00B559FF"/>
    <w:rsid w:val="00B55D47"/>
    <w:rsid w:val="00B56600"/>
    <w:rsid w:val="00B56C50"/>
    <w:rsid w:val="00B56D88"/>
    <w:rsid w:val="00B571DD"/>
    <w:rsid w:val="00B605CE"/>
    <w:rsid w:val="00B60F3A"/>
    <w:rsid w:val="00B61CFA"/>
    <w:rsid w:val="00B6243D"/>
    <w:rsid w:val="00B63D80"/>
    <w:rsid w:val="00B64098"/>
    <w:rsid w:val="00B657A1"/>
    <w:rsid w:val="00B65E57"/>
    <w:rsid w:val="00B66F5D"/>
    <w:rsid w:val="00B672BC"/>
    <w:rsid w:val="00B67833"/>
    <w:rsid w:val="00B700DD"/>
    <w:rsid w:val="00B7071F"/>
    <w:rsid w:val="00B70B07"/>
    <w:rsid w:val="00B71EF8"/>
    <w:rsid w:val="00B71FDC"/>
    <w:rsid w:val="00B72693"/>
    <w:rsid w:val="00B72ABF"/>
    <w:rsid w:val="00B731E4"/>
    <w:rsid w:val="00B73BBC"/>
    <w:rsid w:val="00B74B5B"/>
    <w:rsid w:val="00B76381"/>
    <w:rsid w:val="00B76B74"/>
    <w:rsid w:val="00B77BEB"/>
    <w:rsid w:val="00B8020C"/>
    <w:rsid w:val="00B82479"/>
    <w:rsid w:val="00B83C73"/>
    <w:rsid w:val="00B844EF"/>
    <w:rsid w:val="00B84C0E"/>
    <w:rsid w:val="00B8502A"/>
    <w:rsid w:val="00B85E34"/>
    <w:rsid w:val="00B861CB"/>
    <w:rsid w:val="00B863A5"/>
    <w:rsid w:val="00B865F4"/>
    <w:rsid w:val="00B90299"/>
    <w:rsid w:val="00B90380"/>
    <w:rsid w:val="00B90739"/>
    <w:rsid w:val="00B90C05"/>
    <w:rsid w:val="00B916A7"/>
    <w:rsid w:val="00B92F84"/>
    <w:rsid w:val="00B935AE"/>
    <w:rsid w:val="00B93C9F"/>
    <w:rsid w:val="00B94BE1"/>
    <w:rsid w:val="00B950A7"/>
    <w:rsid w:val="00B97F19"/>
    <w:rsid w:val="00BA02FB"/>
    <w:rsid w:val="00BA2580"/>
    <w:rsid w:val="00BA5521"/>
    <w:rsid w:val="00BA5F6D"/>
    <w:rsid w:val="00BA74DD"/>
    <w:rsid w:val="00BA7EC1"/>
    <w:rsid w:val="00BB00B6"/>
    <w:rsid w:val="00BB010E"/>
    <w:rsid w:val="00BB046D"/>
    <w:rsid w:val="00BB1265"/>
    <w:rsid w:val="00BB3D7F"/>
    <w:rsid w:val="00BB43D0"/>
    <w:rsid w:val="00BB4568"/>
    <w:rsid w:val="00BB4917"/>
    <w:rsid w:val="00BB5040"/>
    <w:rsid w:val="00BB564B"/>
    <w:rsid w:val="00BB58B1"/>
    <w:rsid w:val="00BB64F6"/>
    <w:rsid w:val="00BB69AF"/>
    <w:rsid w:val="00BB6C59"/>
    <w:rsid w:val="00BC074A"/>
    <w:rsid w:val="00BC078D"/>
    <w:rsid w:val="00BC0C19"/>
    <w:rsid w:val="00BC182F"/>
    <w:rsid w:val="00BC1DEE"/>
    <w:rsid w:val="00BC2265"/>
    <w:rsid w:val="00BC7B21"/>
    <w:rsid w:val="00BD0644"/>
    <w:rsid w:val="00BD0E51"/>
    <w:rsid w:val="00BD148E"/>
    <w:rsid w:val="00BD2D8C"/>
    <w:rsid w:val="00BD300A"/>
    <w:rsid w:val="00BD335C"/>
    <w:rsid w:val="00BD348A"/>
    <w:rsid w:val="00BD3BF2"/>
    <w:rsid w:val="00BD3DFA"/>
    <w:rsid w:val="00BD512D"/>
    <w:rsid w:val="00BD5896"/>
    <w:rsid w:val="00BD5BB1"/>
    <w:rsid w:val="00BD5DBE"/>
    <w:rsid w:val="00BD625C"/>
    <w:rsid w:val="00BD68FB"/>
    <w:rsid w:val="00BD6C61"/>
    <w:rsid w:val="00BE10F8"/>
    <w:rsid w:val="00BE11B9"/>
    <w:rsid w:val="00BE247E"/>
    <w:rsid w:val="00BE2609"/>
    <w:rsid w:val="00BE366D"/>
    <w:rsid w:val="00BE39DE"/>
    <w:rsid w:val="00BE4D9F"/>
    <w:rsid w:val="00BE582A"/>
    <w:rsid w:val="00BE5832"/>
    <w:rsid w:val="00BE58AB"/>
    <w:rsid w:val="00BE66F9"/>
    <w:rsid w:val="00BE6EA1"/>
    <w:rsid w:val="00BE6FA8"/>
    <w:rsid w:val="00BE7848"/>
    <w:rsid w:val="00BE7EB3"/>
    <w:rsid w:val="00BF2022"/>
    <w:rsid w:val="00BF26BC"/>
    <w:rsid w:val="00BF2E63"/>
    <w:rsid w:val="00BF4607"/>
    <w:rsid w:val="00BF5289"/>
    <w:rsid w:val="00BF736E"/>
    <w:rsid w:val="00C015C4"/>
    <w:rsid w:val="00C0230A"/>
    <w:rsid w:val="00C0288D"/>
    <w:rsid w:val="00C02C9A"/>
    <w:rsid w:val="00C03844"/>
    <w:rsid w:val="00C0461E"/>
    <w:rsid w:val="00C0518B"/>
    <w:rsid w:val="00C06092"/>
    <w:rsid w:val="00C065DF"/>
    <w:rsid w:val="00C06CE8"/>
    <w:rsid w:val="00C103B1"/>
    <w:rsid w:val="00C10C3D"/>
    <w:rsid w:val="00C11039"/>
    <w:rsid w:val="00C11C64"/>
    <w:rsid w:val="00C1258C"/>
    <w:rsid w:val="00C12CB4"/>
    <w:rsid w:val="00C154E6"/>
    <w:rsid w:val="00C15F7F"/>
    <w:rsid w:val="00C15FC6"/>
    <w:rsid w:val="00C17800"/>
    <w:rsid w:val="00C17EEC"/>
    <w:rsid w:val="00C20077"/>
    <w:rsid w:val="00C21298"/>
    <w:rsid w:val="00C212FE"/>
    <w:rsid w:val="00C2137A"/>
    <w:rsid w:val="00C21414"/>
    <w:rsid w:val="00C21619"/>
    <w:rsid w:val="00C22748"/>
    <w:rsid w:val="00C23D6A"/>
    <w:rsid w:val="00C25551"/>
    <w:rsid w:val="00C276CD"/>
    <w:rsid w:val="00C321EF"/>
    <w:rsid w:val="00C331D2"/>
    <w:rsid w:val="00C364FF"/>
    <w:rsid w:val="00C37206"/>
    <w:rsid w:val="00C37A4E"/>
    <w:rsid w:val="00C37D58"/>
    <w:rsid w:val="00C40703"/>
    <w:rsid w:val="00C408FC"/>
    <w:rsid w:val="00C42C12"/>
    <w:rsid w:val="00C4340B"/>
    <w:rsid w:val="00C448AF"/>
    <w:rsid w:val="00C465DE"/>
    <w:rsid w:val="00C46C91"/>
    <w:rsid w:val="00C476E2"/>
    <w:rsid w:val="00C501CA"/>
    <w:rsid w:val="00C50FDF"/>
    <w:rsid w:val="00C540B3"/>
    <w:rsid w:val="00C54759"/>
    <w:rsid w:val="00C54825"/>
    <w:rsid w:val="00C54DC8"/>
    <w:rsid w:val="00C55EAC"/>
    <w:rsid w:val="00C56297"/>
    <w:rsid w:val="00C566F6"/>
    <w:rsid w:val="00C56B2E"/>
    <w:rsid w:val="00C60F4C"/>
    <w:rsid w:val="00C60F6D"/>
    <w:rsid w:val="00C61637"/>
    <w:rsid w:val="00C64E72"/>
    <w:rsid w:val="00C67A86"/>
    <w:rsid w:val="00C70078"/>
    <w:rsid w:val="00C73E08"/>
    <w:rsid w:val="00C74284"/>
    <w:rsid w:val="00C7467B"/>
    <w:rsid w:val="00C74E69"/>
    <w:rsid w:val="00C75C3F"/>
    <w:rsid w:val="00C75DFC"/>
    <w:rsid w:val="00C776FA"/>
    <w:rsid w:val="00C77D17"/>
    <w:rsid w:val="00C811C9"/>
    <w:rsid w:val="00C834CE"/>
    <w:rsid w:val="00C850F7"/>
    <w:rsid w:val="00C85505"/>
    <w:rsid w:val="00C863FD"/>
    <w:rsid w:val="00C86436"/>
    <w:rsid w:val="00C8765E"/>
    <w:rsid w:val="00C9097F"/>
    <w:rsid w:val="00C91B7F"/>
    <w:rsid w:val="00C9200F"/>
    <w:rsid w:val="00C92CF1"/>
    <w:rsid w:val="00C93F14"/>
    <w:rsid w:val="00C93FAB"/>
    <w:rsid w:val="00C94F7E"/>
    <w:rsid w:val="00C95737"/>
    <w:rsid w:val="00C9696A"/>
    <w:rsid w:val="00C975F8"/>
    <w:rsid w:val="00C97617"/>
    <w:rsid w:val="00C97ED0"/>
    <w:rsid w:val="00CA00A9"/>
    <w:rsid w:val="00CA2100"/>
    <w:rsid w:val="00CA3B1D"/>
    <w:rsid w:val="00CA3F96"/>
    <w:rsid w:val="00CA471C"/>
    <w:rsid w:val="00CA6527"/>
    <w:rsid w:val="00CB0307"/>
    <w:rsid w:val="00CB09D8"/>
    <w:rsid w:val="00CB35FA"/>
    <w:rsid w:val="00CB3FAC"/>
    <w:rsid w:val="00CB6A93"/>
    <w:rsid w:val="00CB6C38"/>
    <w:rsid w:val="00CB7495"/>
    <w:rsid w:val="00CC0480"/>
    <w:rsid w:val="00CC1369"/>
    <w:rsid w:val="00CC2E30"/>
    <w:rsid w:val="00CC3700"/>
    <w:rsid w:val="00CC4322"/>
    <w:rsid w:val="00CC46DE"/>
    <w:rsid w:val="00CC4894"/>
    <w:rsid w:val="00CD43AC"/>
    <w:rsid w:val="00CD486D"/>
    <w:rsid w:val="00CD52F8"/>
    <w:rsid w:val="00CD548B"/>
    <w:rsid w:val="00CD58CC"/>
    <w:rsid w:val="00CD7368"/>
    <w:rsid w:val="00CD7B88"/>
    <w:rsid w:val="00CE22AB"/>
    <w:rsid w:val="00CE2931"/>
    <w:rsid w:val="00CE2F05"/>
    <w:rsid w:val="00CE310F"/>
    <w:rsid w:val="00CE5489"/>
    <w:rsid w:val="00CE78ED"/>
    <w:rsid w:val="00CF0738"/>
    <w:rsid w:val="00CF091C"/>
    <w:rsid w:val="00CF0B7A"/>
    <w:rsid w:val="00CF192C"/>
    <w:rsid w:val="00CF1AA1"/>
    <w:rsid w:val="00CF249B"/>
    <w:rsid w:val="00CF3224"/>
    <w:rsid w:val="00CF3674"/>
    <w:rsid w:val="00CF467B"/>
    <w:rsid w:val="00CF4D8D"/>
    <w:rsid w:val="00CF59E5"/>
    <w:rsid w:val="00CF6245"/>
    <w:rsid w:val="00CF68CC"/>
    <w:rsid w:val="00CF7C55"/>
    <w:rsid w:val="00CF7EC3"/>
    <w:rsid w:val="00D00490"/>
    <w:rsid w:val="00D006C8"/>
    <w:rsid w:val="00D00CC2"/>
    <w:rsid w:val="00D01439"/>
    <w:rsid w:val="00D0155C"/>
    <w:rsid w:val="00D01E15"/>
    <w:rsid w:val="00D020EF"/>
    <w:rsid w:val="00D03956"/>
    <w:rsid w:val="00D03F73"/>
    <w:rsid w:val="00D04196"/>
    <w:rsid w:val="00D04D58"/>
    <w:rsid w:val="00D0535F"/>
    <w:rsid w:val="00D0779A"/>
    <w:rsid w:val="00D078D6"/>
    <w:rsid w:val="00D1121D"/>
    <w:rsid w:val="00D12908"/>
    <w:rsid w:val="00D12C66"/>
    <w:rsid w:val="00D12DA7"/>
    <w:rsid w:val="00D13692"/>
    <w:rsid w:val="00D1453F"/>
    <w:rsid w:val="00D146B8"/>
    <w:rsid w:val="00D15345"/>
    <w:rsid w:val="00D15C98"/>
    <w:rsid w:val="00D175A9"/>
    <w:rsid w:val="00D20013"/>
    <w:rsid w:val="00D214B6"/>
    <w:rsid w:val="00D23E3B"/>
    <w:rsid w:val="00D258AD"/>
    <w:rsid w:val="00D25E68"/>
    <w:rsid w:val="00D25EE4"/>
    <w:rsid w:val="00D26160"/>
    <w:rsid w:val="00D26C50"/>
    <w:rsid w:val="00D27306"/>
    <w:rsid w:val="00D304F1"/>
    <w:rsid w:val="00D30BB0"/>
    <w:rsid w:val="00D32E90"/>
    <w:rsid w:val="00D332BE"/>
    <w:rsid w:val="00D343F1"/>
    <w:rsid w:val="00D34EE4"/>
    <w:rsid w:val="00D352D9"/>
    <w:rsid w:val="00D354C3"/>
    <w:rsid w:val="00D36313"/>
    <w:rsid w:val="00D365AD"/>
    <w:rsid w:val="00D36BF2"/>
    <w:rsid w:val="00D37D15"/>
    <w:rsid w:val="00D416CF"/>
    <w:rsid w:val="00D41A2B"/>
    <w:rsid w:val="00D41D76"/>
    <w:rsid w:val="00D44BE2"/>
    <w:rsid w:val="00D44E8B"/>
    <w:rsid w:val="00D4509E"/>
    <w:rsid w:val="00D452C6"/>
    <w:rsid w:val="00D45D30"/>
    <w:rsid w:val="00D46BAD"/>
    <w:rsid w:val="00D46C77"/>
    <w:rsid w:val="00D47EDC"/>
    <w:rsid w:val="00D50543"/>
    <w:rsid w:val="00D51A1A"/>
    <w:rsid w:val="00D521FA"/>
    <w:rsid w:val="00D5303B"/>
    <w:rsid w:val="00D5337A"/>
    <w:rsid w:val="00D553A7"/>
    <w:rsid w:val="00D57513"/>
    <w:rsid w:val="00D60262"/>
    <w:rsid w:val="00D631ED"/>
    <w:rsid w:val="00D66A74"/>
    <w:rsid w:val="00D66AB3"/>
    <w:rsid w:val="00D710B2"/>
    <w:rsid w:val="00D71D10"/>
    <w:rsid w:val="00D72336"/>
    <w:rsid w:val="00D72A73"/>
    <w:rsid w:val="00D73019"/>
    <w:rsid w:val="00D7319F"/>
    <w:rsid w:val="00D73348"/>
    <w:rsid w:val="00D7391E"/>
    <w:rsid w:val="00D73F0D"/>
    <w:rsid w:val="00D73F34"/>
    <w:rsid w:val="00D74D34"/>
    <w:rsid w:val="00D755CC"/>
    <w:rsid w:val="00D759BF"/>
    <w:rsid w:val="00D8140A"/>
    <w:rsid w:val="00D83B64"/>
    <w:rsid w:val="00D83C04"/>
    <w:rsid w:val="00D8472F"/>
    <w:rsid w:val="00D8483F"/>
    <w:rsid w:val="00D858F2"/>
    <w:rsid w:val="00D85B4E"/>
    <w:rsid w:val="00D86227"/>
    <w:rsid w:val="00D86555"/>
    <w:rsid w:val="00D866E1"/>
    <w:rsid w:val="00D901F7"/>
    <w:rsid w:val="00D907A5"/>
    <w:rsid w:val="00D91B3D"/>
    <w:rsid w:val="00D94285"/>
    <w:rsid w:val="00D9534E"/>
    <w:rsid w:val="00D95858"/>
    <w:rsid w:val="00DA1275"/>
    <w:rsid w:val="00DA19F7"/>
    <w:rsid w:val="00DA1BFD"/>
    <w:rsid w:val="00DA2D37"/>
    <w:rsid w:val="00DA3F12"/>
    <w:rsid w:val="00DA41A4"/>
    <w:rsid w:val="00DA5D43"/>
    <w:rsid w:val="00DA743E"/>
    <w:rsid w:val="00DA7EBB"/>
    <w:rsid w:val="00DB02A5"/>
    <w:rsid w:val="00DB0DE5"/>
    <w:rsid w:val="00DB210C"/>
    <w:rsid w:val="00DB2FAE"/>
    <w:rsid w:val="00DB3419"/>
    <w:rsid w:val="00DB41DC"/>
    <w:rsid w:val="00DB6482"/>
    <w:rsid w:val="00DB774B"/>
    <w:rsid w:val="00DC31A8"/>
    <w:rsid w:val="00DC5388"/>
    <w:rsid w:val="00DC5596"/>
    <w:rsid w:val="00DC58A5"/>
    <w:rsid w:val="00DC64D8"/>
    <w:rsid w:val="00DC69F1"/>
    <w:rsid w:val="00DC7405"/>
    <w:rsid w:val="00DC75CF"/>
    <w:rsid w:val="00DC75DF"/>
    <w:rsid w:val="00DC7B2E"/>
    <w:rsid w:val="00DD046C"/>
    <w:rsid w:val="00DD09F1"/>
    <w:rsid w:val="00DD1CA2"/>
    <w:rsid w:val="00DD2004"/>
    <w:rsid w:val="00DD2C11"/>
    <w:rsid w:val="00DD412A"/>
    <w:rsid w:val="00DD4196"/>
    <w:rsid w:val="00DD488D"/>
    <w:rsid w:val="00DD5850"/>
    <w:rsid w:val="00DD5E3A"/>
    <w:rsid w:val="00DD5FE6"/>
    <w:rsid w:val="00DD7A3D"/>
    <w:rsid w:val="00DE2235"/>
    <w:rsid w:val="00DE2300"/>
    <w:rsid w:val="00DE2655"/>
    <w:rsid w:val="00DE2919"/>
    <w:rsid w:val="00DE41D3"/>
    <w:rsid w:val="00DE443D"/>
    <w:rsid w:val="00DE4BC9"/>
    <w:rsid w:val="00DE6C0C"/>
    <w:rsid w:val="00DF03F9"/>
    <w:rsid w:val="00DF05DB"/>
    <w:rsid w:val="00DF2CC4"/>
    <w:rsid w:val="00DF2D87"/>
    <w:rsid w:val="00DF36DE"/>
    <w:rsid w:val="00DF4A7D"/>
    <w:rsid w:val="00DF4D96"/>
    <w:rsid w:val="00DF4E6D"/>
    <w:rsid w:val="00DF516E"/>
    <w:rsid w:val="00E0010B"/>
    <w:rsid w:val="00E02856"/>
    <w:rsid w:val="00E02E81"/>
    <w:rsid w:val="00E03315"/>
    <w:rsid w:val="00E03EEE"/>
    <w:rsid w:val="00E06843"/>
    <w:rsid w:val="00E0772F"/>
    <w:rsid w:val="00E10639"/>
    <w:rsid w:val="00E12047"/>
    <w:rsid w:val="00E16A4B"/>
    <w:rsid w:val="00E16C5F"/>
    <w:rsid w:val="00E17055"/>
    <w:rsid w:val="00E1727D"/>
    <w:rsid w:val="00E172A2"/>
    <w:rsid w:val="00E17E4E"/>
    <w:rsid w:val="00E203E5"/>
    <w:rsid w:val="00E21C62"/>
    <w:rsid w:val="00E2249E"/>
    <w:rsid w:val="00E224B7"/>
    <w:rsid w:val="00E22A71"/>
    <w:rsid w:val="00E239CE"/>
    <w:rsid w:val="00E23CD9"/>
    <w:rsid w:val="00E23E0F"/>
    <w:rsid w:val="00E242AC"/>
    <w:rsid w:val="00E257F1"/>
    <w:rsid w:val="00E25BA8"/>
    <w:rsid w:val="00E26659"/>
    <w:rsid w:val="00E26FBE"/>
    <w:rsid w:val="00E31957"/>
    <w:rsid w:val="00E32986"/>
    <w:rsid w:val="00E332AF"/>
    <w:rsid w:val="00E337DD"/>
    <w:rsid w:val="00E34411"/>
    <w:rsid w:val="00E35418"/>
    <w:rsid w:val="00E3669D"/>
    <w:rsid w:val="00E37658"/>
    <w:rsid w:val="00E37781"/>
    <w:rsid w:val="00E405EC"/>
    <w:rsid w:val="00E4295E"/>
    <w:rsid w:val="00E43D28"/>
    <w:rsid w:val="00E4407E"/>
    <w:rsid w:val="00E46C28"/>
    <w:rsid w:val="00E475E9"/>
    <w:rsid w:val="00E47BC2"/>
    <w:rsid w:val="00E50801"/>
    <w:rsid w:val="00E50F91"/>
    <w:rsid w:val="00E51443"/>
    <w:rsid w:val="00E52424"/>
    <w:rsid w:val="00E536A5"/>
    <w:rsid w:val="00E558B9"/>
    <w:rsid w:val="00E5634A"/>
    <w:rsid w:val="00E56753"/>
    <w:rsid w:val="00E56F15"/>
    <w:rsid w:val="00E57687"/>
    <w:rsid w:val="00E57F20"/>
    <w:rsid w:val="00E60AA3"/>
    <w:rsid w:val="00E60B2E"/>
    <w:rsid w:val="00E6129E"/>
    <w:rsid w:val="00E61819"/>
    <w:rsid w:val="00E61C73"/>
    <w:rsid w:val="00E630A6"/>
    <w:rsid w:val="00E6343D"/>
    <w:rsid w:val="00E63579"/>
    <w:rsid w:val="00E636AE"/>
    <w:rsid w:val="00E6430C"/>
    <w:rsid w:val="00E64413"/>
    <w:rsid w:val="00E64430"/>
    <w:rsid w:val="00E645B4"/>
    <w:rsid w:val="00E646AA"/>
    <w:rsid w:val="00E64B63"/>
    <w:rsid w:val="00E665DE"/>
    <w:rsid w:val="00E66A80"/>
    <w:rsid w:val="00E67866"/>
    <w:rsid w:val="00E70EB3"/>
    <w:rsid w:val="00E70FBB"/>
    <w:rsid w:val="00E71EF1"/>
    <w:rsid w:val="00E726EA"/>
    <w:rsid w:val="00E733CF"/>
    <w:rsid w:val="00E734BF"/>
    <w:rsid w:val="00E734D8"/>
    <w:rsid w:val="00E74611"/>
    <w:rsid w:val="00E748ED"/>
    <w:rsid w:val="00E74BC4"/>
    <w:rsid w:val="00E74C3E"/>
    <w:rsid w:val="00E74F0D"/>
    <w:rsid w:val="00E76203"/>
    <w:rsid w:val="00E7664E"/>
    <w:rsid w:val="00E76A79"/>
    <w:rsid w:val="00E81182"/>
    <w:rsid w:val="00E82A24"/>
    <w:rsid w:val="00E82B4C"/>
    <w:rsid w:val="00E83033"/>
    <w:rsid w:val="00E83B57"/>
    <w:rsid w:val="00E84B25"/>
    <w:rsid w:val="00E84C29"/>
    <w:rsid w:val="00E85AB7"/>
    <w:rsid w:val="00E85F4D"/>
    <w:rsid w:val="00E86350"/>
    <w:rsid w:val="00E918BC"/>
    <w:rsid w:val="00E92275"/>
    <w:rsid w:val="00E9254D"/>
    <w:rsid w:val="00E92736"/>
    <w:rsid w:val="00E93236"/>
    <w:rsid w:val="00E932C0"/>
    <w:rsid w:val="00E934FC"/>
    <w:rsid w:val="00E9514E"/>
    <w:rsid w:val="00E95CE2"/>
    <w:rsid w:val="00E95CF5"/>
    <w:rsid w:val="00E96385"/>
    <w:rsid w:val="00E971F0"/>
    <w:rsid w:val="00EA02C8"/>
    <w:rsid w:val="00EA02E9"/>
    <w:rsid w:val="00EA0641"/>
    <w:rsid w:val="00EA1675"/>
    <w:rsid w:val="00EA274A"/>
    <w:rsid w:val="00EA3ECF"/>
    <w:rsid w:val="00EA4FB7"/>
    <w:rsid w:val="00EA51E2"/>
    <w:rsid w:val="00EA6261"/>
    <w:rsid w:val="00EA670F"/>
    <w:rsid w:val="00EA75D0"/>
    <w:rsid w:val="00EB1059"/>
    <w:rsid w:val="00EB1B41"/>
    <w:rsid w:val="00EB2104"/>
    <w:rsid w:val="00EB241D"/>
    <w:rsid w:val="00EB3B13"/>
    <w:rsid w:val="00EB4735"/>
    <w:rsid w:val="00EB58FA"/>
    <w:rsid w:val="00EB7C71"/>
    <w:rsid w:val="00EC0828"/>
    <w:rsid w:val="00EC0886"/>
    <w:rsid w:val="00EC08E1"/>
    <w:rsid w:val="00EC0DF3"/>
    <w:rsid w:val="00EC4FEE"/>
    <w:rsid w:val="00EC58B6"/>
    <w:rsid w:val="00EC5E86"/>
    <w:rsid w:val="00EC6161"/>
    <w:rsid w:val="00ED018F"/>
    <w:rsid w:val="00ED0AD1"/>
    <w:rsid w:val="00ED0E16"/>
    <w:rsid w:val="00ED0E8F"/>
    <w:rsid w:val="00ED274C"/>
    <w:rsid w:val="00ED45B0"/>
    <w:rsid w:val="00ED4721"/>
    <w:rsid w:val="00ED4BE2"/>
    <w:rsid w:val="00ED588E"/>
    <w:rsid w:val="00ED5BDB"/>
    <w:rsid w:val="00ED616F"/>
    <w:rsid w:val="00ED6D0E"/>
    <w:rsid w:val="00ED7C78"/>
    <w:rsid w:val="00EE0018"/>
    <w:rsid w:val="00EE3770"/>
    <w:rsid w:val="00EE397E"/>
    <w:rsid w:val="00EE4BFC"/>
    <w:rsid w:val="00EE54AC"/>
    <w:rsid w:val="00EE59E3"/>
    <w:rsid w:val="00EE5C0F"/>
    <w:rsid w:val="00EE69E7"/>
    <w:rsid w:val="00EE7D3E"/>
    <w:rsid w:val="00EF0E4A"/>
    <w:rsid w:val="00EF1BD6"/>
    <w:rsid w:val="00EF3D35"/>
    <w:rsid w:val="00EF4F51"/>
    <w:rsid w:val="00EF5373"/>
    <w:rsid w:val="00EF57A7"/>
    <w:rsid w:val="00EF5E66"/>
    <w:rsid w:val="00EF6AD4"/>
    <w:rsid w:val="00EF73CA"/>
    <w:rsid w:val="00F008C1"/>
    <w:rsid w:val="00F03FFD"/>
    <w:rsid w:val="00F05490"/>
    <w:rsid w:val="00F05549"/>
    <w:rsid w:val="00F058E4"/>
    <w:rsid w:val="00F07E59"/>
    <w:rsid w:val="00F11F5F"/>
    <w:rsid w:val="00F1312A"/>
    <w:rsid w:val="00F132DB"/>
    <w:rsid w:val="00F1568B"/>
    <w:rsid w:val="00F15E11"/>
    <w:rsid w:val="00F1600B"/>
    <w:rsid w:val="00F168E1"/>
    <w:rsid w:val="00F16EA6"/>
    <w:rsid w:val="00F177A8"/>
    <w:rsid w:val="00F17DB3"/>
    <w:rsid w:val="00F20149"/>
    <w:rsid w:val="00F20FBD"/>
    <w:rsid w:val="00F2139F"/>
    <w:rsid w:val="00F23522"/>
    <w:rsid w:val="00F245BA"/>
    <w:rsid w:val="00F259C8"/>
    <w:rsid w:val="00F26EEB"/>
    <w:rsid w:val="00F31912"/>
    <w:rsid w:val="00F3263C"/>
    <w:rsid w:val="00F3284E"/>
    <w:rsid w:val="00F33B56"/>
    <w:rsid w:val="00F34DFD"/>
    <w:rsid w:val="00F37320"/>
    <w:rsid w:val="00F40B32"/>
    <w:rsid w:val="00F40FA0"/>
    <w:rsid w:val="00F40FD2"/>
    <w:rsid w:val="00F446D4"/>
    <w:rsid w:val="00F45843"/>
    <w:rsid w:val="00F45BA8"/>
    <w:rsid w:val="00F460D3"/>
    <w:rsid w:val="00F46961"/>
    <w:rsid w:val="00F51C98"/>
    <w:rsid w:val="00F52716"/>
    <w:rsid w:val="00F52FC8"/>
    <w:rsid w:val="00F57968"/>
    <w:rsid w:val="00F57E7F"/>
    <w:rsid w:val="00F6052B"/>
    <w:rsid w:val="00F61DA7"/>
    <w:rsid w:val="00F62843"/>
    <w:rsid w:val="00F63D48"/>
    <w:rsid w:val="00F64A7D"/>
    <w:rsid w:val="00F6591E"/>
    <w:rsid w:val="00F704B6"/>
    <w:rsid w:val="00F708D3"/>
    <w:rsid w:val="00F71EFA"/>
    <w:rsid w:val="00F7207A"/>
    <w:rsid w:val="00F73197"/>
    <w:rsid w:val="00F73DCC"/>
    <w:rsid w:val="00F7553A"/>
    <w:rsid w:val="00F755EF"/>
    <w:rsid w:val="00F76C3D"/>
    <w:rsid w:val="00F77456"/>
    <w:rsid w:val="00F81091"/>
    <w:rsid w:val="00F83089"/>
    <w:rsid w:val="00F8391B"/>
    <w:rsid w:val="00F84C8B"/>
    <w:rsid w:val="00F859E2"/>
    <w:rsid w:val="00F85C7F"/>
    <w:rsid w:val="00F8679D"/>
    <w:rsid w:val="00F90554"/>
    <w:rsid w:val="00F90C59"/>
    <w:rsid w:val="00F90DC4"/>
    <w:rsid w:val="00F95DA9"/>
    <w:rsid w:val="00FA1643"/>
    <w:rsid w:val="00FA1FD5"/>
    <w:rsid w:val="00FA20E8"/>
    <w:rsid w:val="00FA2112"/>
    <w:rsid w:val="00FA2181"/>
    <w:rsid w:val="00FA2248"/>
    <w:rsid w:val="00FA3A5F"/>
    <w:rsid w:val="00FA4765"/>
    <w:rsid w:val="00FA4A61"/>
    <w:rsid w:val="00FA4C33"/>
    <w:rsid w:val="00FA4CE0"/>
    <w:rsid w:val="00FA50C9"/>
    <w:rsid w:val="00FA5C0F"/>
    <w:rsid w:val="00FA7F00"/>
    <w:rsid w:val="00FA7FE3"/>
    <w:rsid w:val="00FB1256"/>
    <w:rsid w:val="00FB24F8"/>
    <w:rsid w:val="00FB257B"/>
    <w:rsid w:val="00FB3AAA"/>
    <w:rsid w:val="00FB3CCD"/>
    <w:rsid w:val="00FB3D3F"/>
    <w:rsid w:val="00FB43F0"/>
    <w:rsid w:val="00FB4891"/>
    <w:rsid w:val="00FB4A03"/>
    <w:rsid w:val="00FB4DCB"/>
    <w:rsid w:val="00FB4E13"/>
    <w:rsid w:val="00FB5DEC"/>
    <w:rsid w:val="00FB7249"/>
    <w:rsid w:val="00FB773C"/>
    <w:rsid w:val="00FC08A1"/>
    <w:rsid w:val="00FC0DAC"/>
    <w:rsid w:val="00FC18BE"/>
    <w:rsid w:val="00FC277C"/>
    <w:rsid w:val="00FC33DB"/>
    <w:rsid w:val="00FC343C"/>
    <w:rsid w:val="00FC420C"/>
    <w:rsid w:val="00FC5EE9"/>
    <w:rsid w:val="00FC7854"/>
    <w:rsid w:val="00FD0D63"/>
    <w:rsid w:val="00FD2EFB"/>
    <w:rsid w:val="00FD49D0"/>
    <w:rsid w:val="00FD51E4"/>
    <w:rsid w:val="00FD6480"/>
    <w:rsid w:val="00FD7501"/>
    <w:rsid w:val="00FE0387"/>
    <w:rsid w:val="00FE06FD"/>
    <w:rsid w:val="00FE08FA"/>
    <w:rsid w:val="00FE2456"/>
    <w:rsid w:val="00FE2E92"/>
    <w:rsid w:val="00FE3569"/>
    <w:rsid w:val="00FE3690"/>
    <w:rsid w:val="00FE3D3A"/>
    <w:rsid w:val="00FE49CA"/>
    <w:rsid w:val="00FE5190"/>
    <w:rsid w:val="00FE543E"/>
    <w:rsid w:val="00FE7F42"/>
    <w:rsid w:val="00FF3484"/>
    <w:rsid w:val="00FF3D80"/>
    <w:rsid w:val="00FF45E9"/>
    <w:rsid w:val="00FF510F"/>
    <w:rsid w:val="00FF5C72"/>
    <w:rsid w:val="00FF682D"/>
    <w:rsid w:val="00FF6E5E"/>
    <w:rsid w:val="02560E87"/>
    <w:rsid w:val="0370464D"/>
    <w:rsid w:val="05BE2BDE"/>
    <w:rsid w:val="06081E6E"/>
    <w:rsid w:val="06E22BD9"/>
    <w:rsid w:val="07D751EE"/>
    <w:rsid w:val="084666D4"/>
    <w:rsid w:val="0B1056B4"/>
    <w:rsid w:val="0C173745"/>
    <w:rsid w:val="0D0F57C5"/>
    <w:rsid w:val="0DF44942"/>
    <w:rsid w:val="0DFC050C"/>
    <w:rsid w:val="13A9338C"/>
    <w:rsid w:val="141E65A9"/>
    <w:rsid w:val="144B0A24"/>
    <w:rsid w:val="148E4E49"/>
    <w:rsid w:val="14E215A0"/>
    <w:rsid w:val="17052523"/>
    <w:rsid w:val="17312274"/>
    <w:rsid w:val="18D21BDA"/>
    <w:rsid w:val="1C38585A"/>
    <w:rsid w:val="1D67554C"/>
    <w:rsid w:val="1D7C1E86"/>
    <w:rsid w:val="1E0255DB"/>
    <w:rsid w:val="1E7F8DF1"/>
    <w:rsid w:val="1F33441F"/>
    <w:rsid w:val="203B0388"/>
    <w:rsid w:val="207A101E"/>
    <w:rsid w:val="20856729"/>
    <w:rsid w:val="22BC3771"/>
    <w:rsid w:val="25E42581"/>
    <w:rsid w:val="26AC2D80"/>
    <w:rsid w:val="27965C2C"/>
    <w:rsid w:val="27C13336"/>
    <w:rsid w:val="28217B9B"/>
    <w:rsid w:val="28AC24C6"/>
    <w:rsid w:val="28CF1332"/>
    <w:rsid w:val="29833CBC"/>
    <w:rsid w:val="29E474D1"/>
    <w:rsid w:val="2A1E77FA"/>
    <w:rsid w:val="2A750BB8"/>
    <w:rsid w:val="2BC713C3"/>
    <w:rsid w:val="2D2C5AAC"/>
    <w:rsid w:val="2D3755CD"/>
    <w:rsid w:val="2DE735DA"/>
    <w:rsid w:val="2E717347"/>
    <w:rsid w:val="2ED93CAD"/>
    <w:rsid w:val="2F3945C8"/>
    <w:rsid w:val="2F4B117E"/>
    <w:rsid w:val="30A77050"/>
    <w:rsid w:val="30AE2FAC"/>
    <w:rsid w:val="30F53492"/>
    <w:rsid w:val="32865973"/>
    <w:rsid w:val="32FC1E3E"/>
    <w:rsid w:val="3404564F"/>
    <w:rsid w:val="34830033"/>
    <w:rsid w:val="357939DB"/>
    <w:rsid w:val="359E0094"/>
    <w:rsid w:val="364F5A1C"/>
    <w:rsid w:val="373828EE"/>
    <w:rsid w:val="37533A8E"/>
    <w:rsid w:val="3825742C"/>
    <w:rsid w:val="38D04F99"/>
    <w:rsid w:val="3C5763D6"/>
    <w:rsid w:val="3C5C3BB6"/>
    <w:rsid w:val="3CFE65DA"/>
    <w:rsid w:val="3D880B71"/>
    <w:rsid w:val="3DD64A15"/>
    <w:rsid w:val="3DFC02BF"/>
    <w:rsid w:val="3E8310FD"/>
    <w:rsid w:val="3F7D6769"/>
    <w:rsid w:val="431973F7"/>
    <w:rsid w:val="44CA09AD"/>
    <w:rsid w:val="44CD18FC"/>
    <w:rsid w:val="46101EFE"/>
    <w:rsid w:val="48860279"/>
    <w:rsid w:val="49C47E17"/>
    <w:rsid w:val="4A5E1A20"/>
    <w:rsid w:val="4AF0272B"/>
    <w:rsid w:val="4B7752AB"/>
    <w:rsid w:val="4C8B4FEB"/>
    <w:rsid w:val="4ED1498A"/>
    <w:rsid w:val="51CB0A3D"/>
    <w:rsid w:val="534862D9"/>
    <w:rsid w:val="53AC47FA"/>
    <w:rsid w:val="55774444"/>
    <w:rsid w:val="566E5889"/>
    <w:rsid w:val="56EF22A8"/>
    <w:rsid w:val="573E28AC"/>
    <w:rsid w:val="57660765"/>
    <w:rsid w:val="5A62529B"/>
    <w:rsid w:val="5AE72166"/>
    <w:rsid w:val="5BC25FA6"/>
    <w:rsid w:val="5DDF17D8"/>
    <w:rsid w:val="609244EA"/>
    <w:rsid w:val="60AB279D"/>
    <w:rsid w:val="61556CBA"/>
    <w:rsid w:val="61DE5FAD"/>
    <w:rsid w:val="6295194F"/>
    <w:rsid w:val="635C53B2"/>
    <w:rsid w:val="650D5490"/>
    <w:rsid w:val="654C5801"/>
    <w:rsid w:val="65823C9A"/>
    <w:rsid w:val="662A0D4F"/>
    <w:rsid w:val="66613505"/>
    <w:rsid w:val="68A82244"/>
    <w:rsid w:val="69D01A3D"/>
    <w:rsid w:val="69E20CC7"/>
    <w:rsid w:val="6B225EF5"/>
    <w:rsid w:val="6C3C7C2E"/>
    <w:rsid w:val="6CA629D2"/>
    <w:rsid w:val="6CE20C20"/>
    <w:rsid w:val="6DAC2EA3"/>
    <w:rsid w:val="6DB3507A"/>
    <w:rsid w:val="6E0162F9"/>
    <w:rsid w:val="6EFA4136"/>
    <w:rsid w:val="70340441"/>
    <w:rsid w:val="70575A6A"/>
    <w:rsid w:val="7086575D"/>
    <w:rsid w:val="70A96A90"/>
    <w:rsid w:val="71B0505E"/>
    <w:rsid w:val="72144817"/>
    <w:rsid w:val="730E4399"/>
    <w:rsid w:val="7339611F"/>
    <w:rsid w:val="73F64D7B"/>
    <w:rsid w:val="74174E4A"/>
    <w:rsid w:val="757A69A1"/>
    <w:rsid w:val="76250208"/>
    <w:rsid w:val="779437BB"/>
    <w:rsid w:val="79092423"/>
    <w:rsid w:val="79443502"/>
    <w:rsid w:val="79EE7660"/>
    <w:rsid w:val="7BEF8153"/>
    <w:rsid w:val="7C730B2B"/>
    <w:rsid w:val="7E7F4B55"/>
    <w:rsid w:val="7EFF654F"/>
    <w:rsid w:val="7FA02BB5"/>
    <w:rsid w:val="FDDE4D0F"/>
    <w:rsid w:val="FDF7A64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17">
    <w:name w:val="Default Paragraph Font"/>
    <w:unhideWhenUsed/>
    <w:uiPriority w:val="1"/>
  </w:style>
  <w:style w:type="table" w:default="1" w:styleId="15">
    <w:name w:val="Normal Table"/>
    <w:unhideWhenUsed/>
    <w:qFormat/>
    <w:uiPriority w:val="99"/>
    <w:tblPr>
      <w:tblStyle w:val="15"/>
      <w:tblCellMar>
        <w:top w:w="0" w:type="dxa"/>
        <w:left w:w="108" w:type="dxa"/>
        <w:bottom w:w="0" w:type="dxa"/>
        <w:right w:w="108" w:type="dxa"/>
      </w:tblCellMar>
    </w:tblPr>
  </w:style>
  <w:style w:type="paragraph" w:styleId="2">
    <w:name w:val="Normal Indent"/>
    <w:basedOn w:val="1"/>
    <w:qFormat/>
    <w:uiPriority w:val="99"/>
    <w:pPr>
      <w:autoSpaceDE w:val="0"/>
      <w:autoSpaceDN w:val="0"/>
      <w:spacing w:line="351" w:lineRule="atLeast"/>
      <w:ind w:firstLine="419"/>
    </w:pPr>
    <w:rPr>
      <w:color w:val="000000"/>
      <w:kern w:val="0"/>
      <w:lang w:val="zh-CN"/>
    </w:rPr>
  </w:style>
  <w:style w:type="paragraph" w:styleId="3">
    <w:name w:val="annotation text"/>
    <w:basedOn w:val="1"/>
    <w:qFormat/>
    <w:uiPriority w:val="0"/>
    <w:pPr>
      <w:jc w:val="left"/>
    </w:pPr>
  </w:style>
  <w:style w:type="paragraph" w:styleId="4">
    <w:name w:val="Body Text"/>
    <w:basedOn w:val="1"/>
    <w:link w:val="19"/>
    <w:qFormat/>
    <w:uiPriority w:val="0"/>
    <w:pPr>
      <w:spacing w:after="120"/>
    </w:pPr>
  </w:style>
  <w:style w:type="paragraph" w:styleId="5">
    <w:name w:val="Body Text Indent"/>
    <w:basedOn w:val="1"/>
    <w:link w:val="20"/>
    <w:qFormat/>
    <w:uiPriority w:val="0"/>
    <w:pPr>
      <w:spacing w:after="120"/>
      <w:ind w:left="420" w:leftChars="200"/>
    </w:pPr>
  </w:style>
  <w:style w:type="paragraph" w:styleId="6">
    <w:name w:val="Date"/>
    <w:basedOn w:val="1"/>
    <w:next w:val="1"/>
    <w:qFormat/>
    <w:uiPriority w:val="0"/>
    <w:pPr>
      <w:ind w:left="100" w:leftChars="2500"/>
    </w:pPr>
  </w:style>
  <w:style w:type="paragraph" w:styleId="7">
    <w:name w:val="Body Text Indent 2"/>
    <w:basedOn w:val="1"/>
    <w:next w:val="8"/>
    <w:qFormat/>
    <w:uiPriority w:val="0"/>
    <w:pPr>
      <w:adjustRightInd w:val="0"/>
      <w:snapToGrid w:val="0"/>
      <w:spacing w:line="520" w:lineRule="exact"/>
      <w:ind w:firstLine="560" w:firstLineChars="200"/>
    </w:pPr>
    <w:rPr>
      <w:kern w:val="0"/>
      <w:sz w:val="2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Balloon Text"/>
    <w:basedOn w:val="1"/>
    <w:link w:val="21"/>
    <w:qFormat/>
    <w:uiPriority w:val="0"/>
    <w:rPr>
      <w:sz w:val="18"/>
      <w:szCs w:val="18"/>
    </w:rPr>
  </w:style>
  <w:style w:type="paragraph" w:styleId="10">
    <w:name w:val="footer"/>
    <w:basedOn w:val="1"/>
    <w:link w:val="22"/>
    <w:qFormat/>
    <w:uiPriority w:val="99"/>
    <w:pPr>
      <w:tabs>
        <w:tab w:val="center" w:pos="4153"/>
        <w:tab w:val="right" w:pos="8306"/>
      </w:tabs>
      <w:snapToGrid w:val="0"/>
      <w:jc w:val="left"/>
    </w:pPr>
    <w:rPr>
      <w:sz w:val="18"/>
      <w:szCs w:val="18"/>
    </w:rPr>
  </w:style>
  <w:style w:type="paragraph" w:styleId="11">
    <w:name w:val="Body Text Indent 3"/>
    <w:basedOn w:val="1"/>
    <w:qFormat/>
    <w:uiPriority w:val="99"/>
    <w:pPr>
      <w:tabs>
        <w:tab w:val="left" w:pos="0"/>
      </w:tabs>
      <w:spacing w:line="500" w:lineRule="exact"/>
      <w:ind w:left="126" w:firstLine="504" w:firstLineChars="200"/>
    </w:pPr>
    <w:rPr>
      <w:kern w:val="0"/>
      <w:sz w:val="28"/>
      <w:szCs w:val="20"/>
    </w:rPr>
  </w:style>
  <w:style w:type="paragraph" w:styleId="12">
    <w:name w:val="toc 2"/>
    <w:basedOn w:val="1"/>
    <w:next w:val="1"/>
    <w:qFormat/>
    <w:uiPriority w:val="39"/>
    <w:pPr>
      <w:ind w:left="210"/>
      <w:jc w:val="left"/>
    </w:pPr>
    <w:rPr>
      <w:rFonts w:ascii="Calibri" w:hAnsi="Calibri" w:cs="Calibri"/>
      <w:smallCaps/>
      <w:sz w:val="20"/>
      <w:szCs w:val="20"/>
    </w:rPr>
  </w:style>
  <w:style w:type="paragraph" w:styleId="13">
    <w:name w:val="Body Text First Indent"/>
    <w:basedOn w:val="4"/>
    <w:link w:val="23"/>
    <w:qFormat/>
    <w:uiPriority w:val="0"/>
    <w:pPr>
      <w:ind w:firstLine="420" w:firstLineChars="100"/>
    </w:pPr>
  </w:style>
  <w:style w:type="paragraph" w:styleId="14">
    <w:name w:val="Body Text First Indent 2"/>
    <w:basedOn w:val="5"/>
    <w:link w:val="24"/>
    <w:qFormat/>
    <w:uiPriority w:val="0"/>
    <w:pPr>
      <w:ind w:firstLine="420" w:firstLineChars="200"/>
    </w:pPr>
  </w:style>
  <w:style w:type="table" w:styleId="16">
    <w:name w:val="Table Grid"/>
    <w:basedOn w:val="15"/>
    <w:qFormat/>
    <w:uiPriority w:val="0"/>
    <w:pPr>
      <w:widowControl w:val="0"/>
      <w:jc w:val="both"/>
    </w:pPr>
    <w:rPr>
      <w:rFonts w:ascii="Calibri" w:hAnsi="Calibri" w:eastAsia="宋体" w:cs="Times New Roman"/>
    </w:rPr>
    <w:tblPr>
      <w:tblStyle w:val="1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page number"/>
    <w:qFormat/>
    <w:uiPriority w:val="0"/>
  </w:style>
  <w:style w:type="character" w:customStyle="1" w:styleId="19">
    <w:name w:val="正文文本 Char"/>
    <w:link w:val="4"/>
    <w:qFormat/>
    <w:uiPriority w:val="0"/>
    <w:rPr>
      <w:kern w:val="2"/>
      <w:sz w:val="21"/>
      <w:szCs w:val="24"/>
    </w:rPr>
  </w:style>
  <w:style w:type="character" w:customStyle="1" w:styleId="20">
    <w:name w:val="正文文本缩进 Char"/>
    <w:link w:val="5"/>
    <w:qFormat/>
    <w:uiPriority w:val="0"/>
    <w:rPr>
      <w:kern w:val="2"/>
      <w:sz w:val="21"/>
      <w:szCs w:val="24"/>
    </w:rPr>
  </w:style>
  <w:style w:type="character" w:customStyle="1" w:styleId="21">
    <w:name w:val="批注框文本 Char"/>
    <w:link w:val="9"/>
    <w:qFormat/>
    <w:uiPriority w:val="0"/>
    <w:rPr>
      <w:kern w:val="2"/>
      <w:sz w:val="18"/>
      <w:szCs w:val="18"/>
    </w:rPr>
  </w:style>
  <w:style w:type="character" w:customStyle="1" w:styleId="22">
    <w:name w:val="页脚 Char"/>
    <w:link w:val="10"/>
    <w:qFormat/>
    <w:uiPriority w:val="99"/>
    <w:rPr>
      <w:kern w:val="2"/>
      <w:sz w:val="18"/>
      <w:szCs w:val="18"/>
    </w:rPr>
  </w:style>
  <w:style w:type="character" w:customStyle="1" w:styleId="23">
    <w:name w:val="正文首行缩进 Char"/>
    <w:link w:val="13"/>
    <w:qFormat/>
    <w:uiPriority w:val="0"/>
  </w:style>
  <w:style w:type="character" w:customStyle="1" w:styleId="24">
    <w:name w:val="正文首行缩进 2 Char"/>
    <w:link w:val="14"/>
    <w:qFormat/>
    <w:uiPriority w:val="0"/>
  </w:style>
  <w:style w:type="character" w:customStyle="1" w:styleId="25">
    <w:name w:val="表格 Char"/>
    <w:link w:val="26"/>
    <w:qFormat/>
    <w:uiPriority w:val="0"/>
    <w:rPr>
      <w:rFonts w:eastAsia="仿宋"/>
      <w:kern w:val="2"/>
      <w:sz w:val="24"/>
      <w:szCs w:val="21"/>
    </w:rPr>
  </w:style>
  <w:style w:type="paragraph" w:customStyle="1" w:styleId="26">
    <w:name w:val="表格"/>
    <w:basedOn w:val="1"/>
    <w:next w:val="1"/>
    <w:link w:val="25"/>
    <w:qFormat/>
    <w:uiPriority w:val="0"/>
    <w:pPr>
      <w:spacing w:line="320" w:lineRule="exact"/>
      <w:jc w:val="center"/>
    </w:pPr>
    <w:rPr>
      <w:rFonts w:eastAsia="仿宋"/>
      <w:sz w:val="24"/>
      <w:szCs w:val="21"/>
    </w:rPr>
  </w:style>
  <w:style w:type="paragraph" w:customStyle="1" w:styleId="27">
    <w:name w:val="Table Paragraph"/>
    <w:basedOn w:val="1"/>
    <w:unhideWhenUsed/>
    <w:qFormat/>
    <w:uiPriority w:val="1"/>
    <w:pPr>
      <w:spacing w:line="360" w:lineRule="auto"/>
      <w:ind w:firstLine="960" w:firstLineChars="200"/>
    </w:pPr>
    <w:rPr>
      <w:rFonts w:cs="Times New Roman"/>
      <w:sz w:val="28"/>
      <w:szCs w:val="28"/>
    </w:rPr>
  </w:style>
  <w:style w:type="paragraph" w:customStyle="1" w:styleId="28">
    <w:name w:val="正文（自定义）"/>
    <w:basedOn w:val="1"/>
    <w:qFormat/>
    <w:uiPriority w:val="0"/>
    <w:pPr>
      <w:topLinePunct/>
      <w:ind w:firstLine="560" w:firstLineChars="200"/>
    </w:pPr>
  </w:style>
  <w:style w:type="paragraph" w:customStyle="1" w:styleId="29">
    <w:name w:val="小标题"/>
    <w:basedOn w:val="1"/>
    <w:qFormat/>
    <w:uiPriority w:val="0"/>
    <w:pPr>
      <w:spacing w:line="400" w:lineRule="exact"/>
      <w:ind w:right="-40"/>
    </w:pPr>
    <w:rPr>
      <w:rFonts w:ascii="仿宋_GB2312" w:hAnsi="华文仿宋" w:eastAsia="仿宋_GB2312"/>
      <w:szCs w:val="20"/>
    </w:rPr>
  </w:style>
  <w:style w:type="paragraph" w:styleId="30">
    <w:name w:val="List Paragraph"/>
    <w:basedOn w:val="1"/>
    <w:qFormat/>
    <w:uiPriority w:val="99"/>
    <w:pPr>
      <w:ind w:firstLine="420" w:firstLineChars="200"/>
    </w:pPr>
  </w:style>
  <w:style w:type="paragraph" w:customStyle="1" w:styleId="31">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12</Pages>
  <Words>3700</Words>
  <Characters>4464</Characters>
  <Lines>34</Lines>
  <Paragraphs>9</Paragraphs>
  <TotalTime>35</TotalTime>
  <ScaleCrop>false</ScaleCrop>
  <LinksUpToDate>false</LinksUpToDate>
  <CharactersWithSpaces>4629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2026-08-03T07:12:00Z</dcterms:created>
  <dc:creator>hn</dc:creator>
  <cp:lastModifiedBy>（盈梓新材料科技有限公司）小罗</cp:lastModifiedBy>
  <cp:lastPrinted>2026-08-13T00:49:17Z</cp:lastPrinted>
  <dcterms:modified xsi:type="dcterms:W3CDTF">2026-08-17T03:03:11Z</dcterms:modified>
  <dc:title>清流县罗口煤矿“三合一”方案评审意见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D2F1FD4AF8B6416C8EA133D4BD04DB14_13</vt:lpwstr>
  </property>
  <property fmtid="{D5CDD505-2E9C-101B-9397-08002B2CF9AE}" pid="4" name="KSOTemplateDocerSaveRecord">
    <vt:lpwstr>eyJoZGlkIjoiNGVjMGZmNzQ1ZGFmYmE0ZTY0NmM1ZjA0ODM1NTBmNGQiLCJ1c2VySWQiOiI0MTM5MjkxMTgifQ==</vt:lpwstr>
  </property>
</Properties>
</file>