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96FC1">
      <w:pPr>
        <w:kinsoku/>
        <w:wordWrap/>
        <w:overflowPunct/>
        <w:topLinePunct w:val="0"/>
        <w:bidi w:val="0"/>
        <w:snapToGrid w:val="0"/>
        <w:spacing w:line="360" w:lineRule="auto"/>
        <w:jc w:val="center"/>
        <w:rPr>
          <w:rFonts w:hint="eastAsia" w:ascii="Times New Roman" w:hAnsi="Times New Roman" w:eastAsia="仿宋_GB2312"/>
          <w:b/>
          <w:color w:val="auto"/>
          <w:spacing w:val="-14"/>
          <w:sz w:val="28"/>
          <w:szCs w:val="48"/>
          <w:highlight w:val="none"/>
          <w:lang w:eastAsia="zh-CN"/>
        </w:rPr>
      </w:pPr>
    </w:p>
    <w:p w14:paraId="434F098C">
      <w:pPr>
        <w:pStyle w:val="17"/>
        <w:rPr>
          <w:rFonts w:hint="eastAsia"/>
          <w:color w:val="auto"/>
          <w:highlight w:val="none"/>
        </w:rPr>
      </w:pPr>
    </w:p>
    <w:p w14:paraId="443188DE">
      <w:pPr>
        <w:kinsoku/>
        <w:wordWrap/>
        <w:overflowPunct/>
        <w:topLinePunct w:val="0"/>
        <w:bidi w:val="0"/>
        <w:snapToGrid w:val="0"/>
        <w:spacing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lang w:eastAsia="zh-CN"/>
        </w:rPr>
        <w:t>明溪县瀚仙矿场上龙坑方解石</w:t>
      </w:r>
      <w:r>
        <w:rPr>
          <w:rFonts w:hint="eastAsia" w:ascii="宋体" w:hAnsi="宋体" w:eastAsia="宋体" w:cs="宋体"/>
          <w:b/>
          <w:color w:val="auto"/>
          <w:sz w:val="48"/>
          <w:szCs w:val="48"/>
          <w:highlight w:val="none"/>
        </w:rPr>
        <w:t>矿</w:t>
      </w:r>
    </w:p>
    <w:p w14:paraId="4A47B816">
      <w:pPr>
        <w:kinsoku/>
        <w:wordWrap/>
        <w:overflowPunct/>
        <w:topLinePunct w:val="0"/>
        <w:bidi w:val="0"/>
        <w:snapToGrid w:val="0"/>
        <w:spacing w:line="360" w:lineRule="auto"/>
        <w:jc w:val="center"/>
        <w:rPr>
          <w:rFonts w:hint="eastAsia" w:ascii="黑体" w:hAnsi="黑体" w:eastAsia="黑体" w:cs="黑体"/>
          <w:b/>
          <w:color w:val="auto"/>
          <w:sz w:val="52"/>
          <w:szCs w:val="52"/>
          <w:highlight w:val="none"/>
          <w:lang w:eastAsia="zh-CN"/>
        </w:rPr>
      </w:pPr>
      <w:r>
        <w:rPr>
          <w:rFonts w:hint="eastAsia" w:ascii="黑体" w:hAnsi="黑体" w:eastAsia="黑体" w:cs="黑体"/>
          <w:b/>
          <w:color w:val="auto"/>
          <w:sz w:val="52"/>
          <w:szCs w:val="52"/>
          <w:highlight w:val="none"/>
          <w:lang w:eastAsia="zh-CN"/>
        </w:rPr>
        <w:t>开采</w:t>
      </w:r>
      <w:r>
        <w:rPr>
          <w:rFonts w:hint="eastAsia" w:ascii="黑体" w:hAnsi="黑体" w:eastAsia="黑体" w:cs="黑体"/>
          <w:b/>
          <w:color w:val="auto"/>
          <w:sz w:val="52"/>
          <w:szCs w:val="52"/>
          <w:highlight w:val="none"/>
        </w:rPr>
        <w:t>方案</w:t>
      </w:r>
    </w:p>
    <w:p w14:paraId="3BD88084">
      <w:pPr>
        <w:kinsoku/>
        <w:wordWrap/>
        <w:overflowPunct/>
        <w:topLinePunct w:val="0"/>
        <w:bidi w:val="0"/>
        <w:spacing w:line="360" w:lineRule="auto"/>
        <w:ind w:firstLine="880"/>
        <w:jc w:val="center"/>
        <w:rPr>
          <w:rFonts w:ascii="Times New Roman" w:hAnsi="Times New Roman" w:eastAsia="仿宋_GB2312"/>
          <w:color w:val="auto"/>
          <w:sz w:val="28"/>
          <w:szCs w:val="44"/>
          <w:highlight w:val="none"/>
        </w:rPr>
      </w:pPr>
    </w:p>
    <w:p w14:paraId="33B55F48">
      <w:pPr>
        <w:kinsoku/>
        <w:wordWrap/>
        <w:overflowPunct/>
        <w:topLinePunct w:val="0"/>
        <w:bidi w:val="0"/>
        <w:spacing w:line="360" w:lineRule="auto"/>
        <w:ind w:firstLine="880"/>
        <w:jc w:val="center"/>
        <w:rPr>
          <w:rFonts w:ascii="Times New Roman" w:hAnsi="Times New Roman" w:eastAsia="仿宋_GB2312"/>
          <w:color w:val="auto"/>
          <w:sz w:val="28"/>
          <w:szCs w:val="44"/>
          <w:highlight w:val="none"/>
        </w:rPr>
      </w:pPr>
    </w:p>
    <w:p w14:paraId="5E0E6301">
      <w:pPr>
        <w:pStyle w:val="17"/>
        <w:rPr>
          <w:rFonts w:ascii="Times New Roman" w:hAnsi="Times New Roman" w:eastAsia="仿宋_GB2312"/>
          <w:color w:val="auto"/>
          <w:sz w:val="28"/>
          <w:szCs w:val="44"/>
          <w:highlight w:val="none"/>
        </w:rPr>
      </w:pPr>
    </w:p>
    <w:p w14:paraId="5FE5DA06">
      <w:pPr>
        <w:pStyle w:val="16"/>
        <w:rPr>
          <w:rFonts w:ascii="Times New Roman" w:hAnsi="Times New Roman" w:eastAsia="仿宋_GB2312"/>
          <w:color w:val="auto"/>
          <w:sz w:val="28"/>
          <w:szCs w:val="44"/>
          <w:highlight w:val="none"/>
        </w:rPr>
      </w:pPr>
    </w:p>
    <w:p w14:paraId="1B3A8E31">
      <w:pPr>
        <w:jc w:val="center"/>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（采矿权证号：</w:t>
      </w:r>
      <w:r>
        <w:rPr>
          <w:rFonts w:hint="eastAsia" w:ascii="黑体" w:hAnsi="黑体" w:eastAsia="黑体" w:cs="黑体"/>
          <w:color w:val="auto"/>
          <w:sz w:val="32"/>
          <w:szCs w:val="32"/>
          <w:highlight w:val="none"/>
          <w:lang w:val="en-US" w:eastAsia="zh-CN"/>
        </w:rPr>
        <w:t>C</w:t>
      </w:r>
      <w:r>
        <w:rPr>
          <w:rFonts w:hint="eastAsia" w:ascii="黑体" w:hAnsi="黑体" w:eastAsia="黑体" w:cs="黑体"/>
          <w:color w:val="auto"/>
          <w:sz w:val="32"/>
          <w:szCs w:val="32"/>
          <w:highlight w:val="none"/>
        </w:rPr>
        <w:t>3504</w:t>
      </w:r>
      <w:r>
        <w:rPr>
          <w:rFonts w:hint="eastAsia" w:ascii="黑体" w:hAnsi="黑体" w:eastAsia="黑体" w:cs="黑体"/>
          <w:color w:val="auto"/>
          <w:sz w:val="32"/>
          <w:szCs w:val="32"/>
          <w:highlight w:val="none"/>
          <w:lang w:val="en-US" w:eastAsia="zh-CN"/>
        </w:rPr>
        <w:t>212010016120054514</w:t>
      </w:r>
      <w:r>
        <w:rPr>
          <w:rFonts w:hint="eastAsia" w:ascii="黑体" w:hAnsi="黑体" w:eastAsia="黑体" w:cs="黑体"/>
          <w:color w:val="auto"/>
          <w:sz w:val="32"/>
          <w:szCs w:val="32"/>
          <w:highlight w:val="none"/>
          <w:lang w:eastAsia="zh-CN"/>
        </w:rPr>
        <w:t>）</w:t>
      </w:r>
    </w:p>
    <w:p w14:paraId="77298B8A">
      <w:pPr>
        <w:kinsoku/>
        <w:wordWrap/>
        <w:overflowPunct/>
        <w:topLinePunct w:val="0"/>
        <w:bidi w:val="0"/>
        <w:spacing w:line="360" w:lineRule="auto"/>
        <w:ind w:firstLine="880"/>
        <w:jc w:val="center"/>
        <w:rPr>
          <w:rFonts w:ascii="Times New Roman" w:hAnsi="Times New Roman" w:eastAsia="仿宋_GB2312"/>
          <w:color w:val="auto"/>
          <w:sz w:val="28"/>
          <w:szCs w:val="44"/>
          <w:highlight w:val="none"/>
        </w:rPr>
      </w:pPr>
    </w:p>
    <w:p w14:paraId="1428F174">
      <w:pPr>
        <w:kinsoku/>
        <w:wordWrap/>
        <w:overflowPunct/>
        <w:topLinePunct w:val="0"/>
        <w:bidi w:val="0"/>
        <w:spacing w:line="360" w:lineRule="auto"/>
        <w:ind w:firstLine="880"/>
        <w:jc w:val="center"/>
        <w:rPr>
          <w:rFonts w:ascii="Times New Roman" w:hAnsi="Times New Roman" w:eastAsia="仿宋_GB2312"/>
          <w:color w:val="auto"/>
          <w:sz w:val="28"/>
          <w:szCs w:val="44"/>
          <w:highlight w:val="none"/>
        </w:rPr>
      </w:pPr>
    </w:p>
    <w:p w14:paraId="3E979FC7">
      <w:pPr>
        <w:kinsoku/>
        <w:wordWrap/>
        <w:overflowPunct/>
        <w:topLinePunct w:val="0"/>
        <w:bidi w:val="0"/>
        <w:spacing w:line="360" w:lineRule="auto"/>
        <w:ind w:firstLine="880"/>
        <w:jc w:val="center"/>
        <w:rPr>
          <w:rFonts w:ascii="Times New Roman" w:hAnsi="Times New Roman" w:eastAsia="仿宋_GB2312"/>
          <w:color w:val="auto"/>
          <w:sz w:val="28"/>
          <w:szCs w:val="44"/>
          <w:highlight w:val="none"/>
        </w:rPr>
      </w:pPr>
    </w:p>
    <w:p w14:paraId="6B31EB67">
      <w:pPr>
        <w:pStyle w:val="17"/>
        <w:rPr>
          <w:rFonts w:ascii="Times New Roman" w:hAnsi="Times New Roman" w:eastAsia="仿宋_GB2312"/>
          <w:color w:val="auto"/>
          <w:sz w:val="28"/>
          <w:szCs w:val="44"/>
          <w:highlight w:val="none"/>
        </w:rPr>
      </w:pPr>
    </w:p>
    <w:p w14:paraId="1C957CE7">
      <w:pPr>
        <w:pStyle w:val="16"/>
        <w:rPr>
          <w:rFonts w:ascii="Times New Roman" w:hAnsi="Times New Roman" w:eastAsia="仿宋_GB2312"/>
          <w:color w:val="auto"/>
          <w:sz w:val="28"/>
          <w:szCs w:val="44"/>
          <w:highlight w:val="none"/>
        </w:rPr>
      </w:pPr>
    </w:p>
    <w:p w14:paraId="48EAAF68">
      <w:pPr>
        <w:rPr>
          <w:color w:val="auto"/>
          <w:highlight w:val="none"/>
        </w:rPr>
      </w:pPr>
    </w:p>
    <w:p w14:paraId="175A96FE">
      <w:pPr>
        <w:kinsoku/>
        <w:wordWrap/>
        <w:overflowPunct/>
        <w:topLinePunct w:val="0"/>
        <w:bidi w:val="0"/>
        <w:spacing w:line="360" w:lineRule="auto"/>
        <w:ind w:firstLine="880"/>
        <w:jc w:val="center"/>
        <w:rPr>
          <w:rFonts w:hint="eastAsia" w:ascii="Times New Roman" w:hAnsi="Times New Roman" w:eastAsia="仿宋_GB2312"/>
          <w:color w:val="auto"/>
          <w:sz w:val="28"/>
          <w:szCs w:val="44"/>
          <w:highlight w:val="none"/>
        </w:rPr>
      </w:pPr>
    </w:p>
    <w:p w14:paraId="2194AC04">
      <w:pPr>
        <w:kinsoku/>
        <w:wordWrap/>
        <w:overflowPunct/>
        <w:topLinePunct w:val="0"/>
        <w:bidi w:val="0"/>
        <w:spacing w:line="360" w:lineRule="auto"/>
        <w:ind w:firstLine="880"/>
        <w:jc w:val="center"/>
        <w:rPr>
          <w:rFonts w:hint="eastAsia" w:ascii="Times New Roman" w:hAnsi="Times New Roman" w:eastAsia="仿宋_GB2312"/>
          <w:color w:val="auto"/>
          <w:sz w:val="28"/>
          <w:szCs w:val="44"/>
          <w:highlight w:val="none"/>
        </w:rPr>
      </w:pPr>
    </w:p>
    <w:p w14:paraId="09F62384">
      <w:pPr>
        <w:kinsoku/>
        <w:wordWrap/>
        <w:overflowPunct/>
        <w:topLinePunct w:val="0"/>
        <w:bidi w:val="0"/>
        <w:spacing w:line="360" w:lineRule="auto"/>
        <w:ind w:firstLine="880"/>
        <w:jc w:val="center"/>
        <w:rPr>
          <w:rFonts w:hint="eastAsia" w:ascii="Times New Roman" w:hAnsi="Times New Roman" w:eastAsia="仿宋_GB2312"/>
          <w:color w:val="auto"/>
          <w:sz w:val="28"/>
          <w:szCs w:val="44"/>
          <w:highlight w:val="none"/>
        </w:rPr>
      </w:pPr>
    </w:p>
    <w:p w14:paraId="074C3492">
      <w:pPr>
        <w:pStyle w:val="17"/>
        <w:rPr>
          <w:rFonts w:hint="eastAsia" w:ascii="Times New Roman" w:hAnsi="Times New Roman" w:eastAsia="仿宋_GB2312"/>
          <w:color w:val="auto"/>
          <w:sz w:val="28"/>
          <w:szCs w:val="44"/>
          <w:highlight w:val="none"/>
        </w:rPr>
      </w:pPr>
    </w:p>
    <w:p w14:paraId="6F16B06B">
      <w:pPr>
        <w:pStyle w:val="17"/>
        <w:kinsoku/>
        <w:wordWrap/>
        <w:overflowPunct/>
        <w:topLinePunct w:val="0"/>
        <w:bidi w:val="0"/>
        <w:spacing w:line="360" w:lineRule="auto"/>
        <w:ind w:firstLine="500"/>
        <w:rPr>
          <w:rFonts w:ascii="Times New Roman" w:hAnsi="Times New Roman" w:eastAsia="仿宋_GB2312"/>
          <w:color w:val="auto"/>
          <w:sz w:val="28"/>
          <w:highlight w:val="none"/>
        </w:rPr>
      </w:pPr>
    </w:p>
    <w:p w14:paraId="358F246E">
      <w:pPr>
        <w:kinsoku/>
        <w:wordWrap/>
        <w:overflowPunct/>
        <w:topLinePunct w:val="0"/>
        <w:bidi w:val="0"/>
        <w:snapToGrid w:val="0"/>
        <w:spacing w:line="360" w:lineRule="auto"/>
        <w:jc w:val="center"/>
        <w:rPr>
          <w:rFonts w:hint="eastAsia" w:ascii="宋体" w:hAnsi="宋体" w:eastAsia="宋体" w:cs="宋体"/>
          <w:b w:val="0"/>
          <w:bCs/>
          <w:color w:val="auto"/>
          <w:sz w:val="44"/>
          <w:szCs w:val="44"/>
          <w:highlight w:val="none"/>
          <w:lang w:eastAsia="zh-CN"/>
        </w:rPr>
      </w:pPr>
      <w:r>
        <w:rPr>
          <w:rFonts w:hint="eastAsia" w:ascii="宋体" w:hAnsi="宋体" w:eastAsia="宋体" w:cs="宋体"/>
          <w:b w:val="0"/>
          <w:bCs/>
          <w:color w:val="auto"/>
          <w:sz w:val="44"/>
          <w:szCs w:val="44"/>
          <w:highlight w:val="none"/>
          <w:lang w:eastAsia="zh-CN"/>
        </w:rPr>
        <w:t>明溪县钰岩石材料加工厂</w:t>
      </w:r>
    </w:p>
    <w:p w14:paraId="7B49A2D1">
      <w:pPr>
        <w:pStyle w:val="17"/>
        <w:ind w:left="0" w:leftChars="0" w:firstLine="0" w:firstLineChars="0"/>
        <w:jc w:val="center"/>
        <w:rPr>
          <w:rFonts w:hint="default" w:ascii="宋体" w:hAnsi="宋体" w:eastAsia="宋体" w:cs="宋体"/>
          <w:b w:val="0"/>
          <w:bCs/>
          <w:color w:val="auto"/>
          <w:spacing w:val="0"/>
          <w:kern w:val="2"/>
          <w:sz w:val="44"/>
          <w:szCs w:val="44"/>
          <w:highlight w:val="none"/>
          <w:lang w:val="en-US" w:eastAsia="zh-CN" w:bidi="ar-SA"/>
        </w:rPr>
      </w:pPr>
      <w:r>
        <w:rPr>
          <w:rFonts w:hint="eastAsia" w:ascii="宋体" w:hAnsi="宋体" w:eastAsia="宋体" w:cs="宋体"/>
          <w:b w:val="0"/>
          <w:bCs/>
          <w:color w:val="auto"/>
          <w:spacing w:val="0"/>
          <w:kern w:val="2"/>
          <w:sz w:val="44"/>
          <w:szCs w:val="44"/>
          <w:highlight w:val="none"/>
          <w:lang w:val="en-US" w:eastAsia="zh-CN" w:bidi="ar-SA"/>
        </w:rPr>
        <w:t>2026年7月</w:t>
      </w:r>
    </w:p>
    <w:p w14:paraId="3183206C">
      <w:pPr>
        <w:kinsoku/>
        <w:wordWrap/>
        <w:overflowPunct/>
        <w:topLinePunct w:val="0"/>
        <w:bidi w:val="0"/>
        <w:spacing w:line="360" w:lineRule="auto"/>
        <w:jc w:val="both"/>
        <w:rPr>
          <w:rFonts w:ascii="Times New Roman" w:hAnsi="Times New Roman" w:eastAsia="仿宋_GB2312" w:cs="仿宋_GB2312"/>
          <w:b/>
          <w:color w:val="auto"/>
          <w:spacing w:val="60"/>
          <w:sz w:val="28"/>
          <w:szCs w:val="36"/>
          <w:highlight w:val="none"/>
        </w:rPr>
        <w:sectPr>
          <w:headerReference r:id="rId6" w:type="first"/>
          <w:footerReference r:id="rId9" w:type="first"/>
          <w:footerReference r:id="rId7" w:type="default"/>
          <w:headerReference r:id="rId5" w:type="even"/>
          <w:footerReference r:id="rId8" w:type="even"/>
          <w:pgSz w:w="11907" w:h="16840"/>
          <w:pgMar w:top="1418" w:right="1418" w:bottom="1418" w:left="1418" w:header="851" w:footer="992" w:gutter="0"/>
          <w:pgBorders>
            <w:top w:val="none" w:sz="0" w:space="0"/>
            <w:left w:val="none" w:sz="0" w:space="0"/>
            <w:bottom w:val="none" w:sz="0" w:space="0"/>
            <w:right w:val="none" w:sz="0" w:space="0"/>
          </w:pgBorders>
          <w:pgNumType w:fmt="decimal" w:start="1"/>
          <w:cols w:space="720" w:num="1"/>
          <w:docGrid w:type="linesAndChars" w:linePitch="333" w:charSpace="0"/>
        </w:sectPr>
      </w:pPr>
      <w:r>
        <w:rPr>
          <w:rFonts w:hint="eastAsia" w:eastAsia="仿宋_GB2312" w:cs="仿宋_GB2312"/>
          <w:b/>
          <w:color w:val="auto"/>
          <w:spacing w:val="60"/>
          <w:sz w:val="28"/>
          <w:szCs w:val="36"/>
          <w:highlight w:val="none"/>
          <w:lang w:val="en-US" w:eastAsia="zh-CN"/>
        </w:rPr>
        <w:t xml:space="preserve">  </w:t>
      </w:r>
    </w:p>
    <w:p w14:paraId="7C150DF7">
      <w:pPr>
        <w:kinsoku/>
        <w:wordWrap/>
        <w:overflowPunct/>
        <w:topLinePunct w:val="0"/>
        <w:bidi w:val="0"/>
        <w:snapToGrid w:val="0"/>
        <w:spacing w:line="360" w:lineRule="auto"/>
        <w:jc w:val="center"/>
        <w:rPr>
          <w:rFonts w:hint="eastAsia" w:ascii="Times New Roman" w:hAnsi="Times New Roman" w:eastAsia="仿宋_GB2312"/>
          <w:b/>
          <w:color w:val="auto"/>
          <w:spacing w:val="-14"/>
          <w:sz w:val="28"/>
          <w:szCs w:val="48"/>
          <w:highlight w:val="none"/>
        </w:rPr>
        <w:sectPr>
          <w:headerReference r:id="rId11" w:type="first"/>
          <w:footerReference r:id="rId14" w:type="first"/>
          <w:footerReference r:id="rId12" w:type="default"/>
          <w:headerReference r:id="rId10" w:type="even"/>
          <w:footerReference r:id="rId13" w:type="even"/>
          <w:pgSz w:w="11907" w:h="16840"/>
          <w:pgMar w:top="1418" w:right="1418" w:bottom="1418" w:left="1418" w:header="851" w:footer="992" w:gutter="0"/>
          <w:pgBorders>
            <w:top w:val="none" w:sz="0" w:space="0"/>
            <w:left w:val="none" w:sz="0" w:space="0"/>
            <w:bottom w:val="none" w:sz="0" w:space="0"/>
            <w:right w:val="none" w:sz="0" w:space="0"/>
          </w:pgBorders>
          <w:pgNumType w:fmt="decimal" w:start="1"/>
          <w:cols w:space="720" w:num="1"/>
          <w:docGrid w:type="linesAndChars" w:linePitch="333" w:charSpace="0"/>
        </w:sectPr>
      </w:pPr>
    </w:p>
    <w:p w14:paraId="12D93D74">
      <w:pPr>
        <w:pStyle w:val="11"/>
        <w:rPr>
          <w:rFonts w:hint="eastAsia"/>
          <w:color w:val="auto"/>
          <w:highlight w:val="none"/>
        </w:rPr>
      </w:pPr>
    </w:p>
    <w:p w14:paraId="3534E12C">
      <w:pPr>
        <w:pStyle w:val="17"/>
        <w:rPr>
          <w:rFonts w:hint="eastAsia"/>
          <w:color w:val="auto"/>
          <w:highlight w:val="none"/>
        </w:rPr>
      </w:pPr>
    </w:p>
    <w:p w14:paraId="6900F1B7">
      <w:pPr>
        <w:kinsoku/>
        <w:wordWrap/>
        <w:overflowPunct/>
        <w:topLinePunct w:val="0"/>
        <w:bidi w:val="0"/>
        <w:snapToGrid w:val="0"/>
        <w:spacing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lang w:eastAsia="zh-CN"/>
        </w:rPr>
        <w:t>明溪县瀚仙矿场上龙坑方解石</w:t>
      </w:r>
      <w:r>
        <w:rPr>
          <w:rFonts w:hint="eastAsia" w:ascii="宋体" w:hAnsi="宋体" w:eastAsia="宋体" w:cs="宋体"/>
          <w:b/>
          <w:color w:val="auto"/>
          <w:sz w:val="48"/>
          <w:szCs w:val="48"/>
          <w:highlight w:val="none"/>
        </w:rPr>
        <w:t>矿</w:t>
      </w:r>
    </w:p>
    <w:p w14:paraId="393FCD7C">
      <w:pPr>
        <w:kinsoku/>
        <w:wordWrap/>
        <w:overflowPunct/>
        <w:topLinePunct w:val="0"/>
        <w:bidi w:val="0"/>
        <w:snapToGrid w:val="0"/>
        <w:spacing w:line="360" w:lineRule="auto"/>
        <w:jc w:val="center"/>
        <w:rPr>
          <w:rFonts w:hint="eastAsia" w:ascii="黑体" w:hAnsi="黑体" w:eastAsia="黑体" w:cs="黑体"/>
          <w:b/>
          <w:color w:val="auto"/>
          <w:sz w:val="52"/>
          <w:szCs w:val="52"/>
          <w:highlight w:val="none"/>
          <w:lang w:eastAsia="zh-CN"/>
        </w:rPr>
      </w:pPr>
      <w:r>
        <w:rPr>
          <w:rFonts w:hint="eastAsia" w:ascii="黑体" w:hAnsi="黑体" w:eastAsia="黑体" w:cs="黑体"/>
          <w:b/>
          <w:color w:val="auto"/>
          <w:sz w:val="52"/>
          <w:szCs w:val="52"/>
          <w:highlight w:val="none"/>
          <w:lang w:eastAsia="zh-CN"/>
        </w:rPr>
        <w:t>开采</w:t>
      </w:r>
      <w:r>
        <w:rPr>
          <w:rFonts w:hint="eastAsia" w:ascii="黑体" w:hAnsi="黑体" w:eastAsia="黑体" w:cs="黑体"/>
          <w:b/>
          <w:color w:val="auto"/>
          <w:sz w:val="52"/>
          <w:szCs w:val="52"/>
          <w:highlight w:val="none"/>
        </w:rPr>
        <w:t>方案</w:t>
      </w:r>
    </w:p>
    <w:p w14:paraId="09597BCC">
      <w:pPr>
        <w:kinsoku/>
        <w:wordWrap/>
        <w:overflowPunct/>
        <w:topLinePunct w:val="0"/>
        <w:bidi w:val="0"/>
        <w:spacing w:line="360" w:lineRule="auto"/>
        <w:ind w:firstLine="880"/>
        <w:jc w:val="center"/>
        <w:rPr>
          <w:rFonts w:ascii="Times New Roman" w:hAnsi="Times New Roman" w:eastAsia="仿宋_GB2312"/>
          <w:color w:val="auto"/>
          <w:sz w:val="28"/>
          <w:szCs w:val="44"/>
          <w:highlight w:val="none"/>
        </w:rPr>
      </w:pPr>
    </w:p>
    <w:p w14:paraId="6A708698">
      <w:pPr>
        <w:kinsoku/>
        <w:wordWrap/>
        <w:overflowPunct/>
        <w:topLinePunct w:val="0"/>
        <w:bidi w:val="0"/>
        <w:spacing w:line="360" w:lineRule="auto"/>
        <w:ind w:firstLine="880"/>
        <w:jc w:val="center"/>
        <w:rPr>
          <w:rFonts w:ascii="Times New Roman" w:hAnsi="Times New Roman" w:eastAsia="仿宋_GB2312"/>
          <w:color w:val="auto"/>
          <w:sz w:val="28"/>
          <w:szCs w:val="44"/>
          <w:highlight w:val="none"/>
        </w:rPr>
      </w:pPr>
    </w:p>
    <w:p w14:paraId="37689F96">
      <w:pPr>
        <w:pStyle w:val="17"/>
        <w:rPr>
          <w:rFonts w:ascii="Times New Roman" w:hAnsi="Times New Roman" w:eastAsia="仿宋_GB2312"/>
          <w:color w:val="auto"/>
          <w:sz w:val="28"/>
          <w:szCs w:val="44"/>
          <w:highlight w:val="none"/>
        </w:rPr>
      </w:pPr>
    </w:p>
    <w:p w14:paraId="4CE7A281">
      <w:pPr>
        <w:pStyle w:val="16"/>
        <w:rPr>
          <w:rFonts w:ascii="Times New Roman" w:hAnsi="Times New Roman" w:eastAsia="仿宋_GB2312"/>
          <w:color w:val="auto"/>
          <w:sz w:val="28"/>
          <w:szCs w:val="44"/>
          <w:highlight w:val="none"/>
        </w:rPr>
      </w:pPr>
    </w:p>
    <w:p w14:paraId="44765329">
      <w:pPr>
        <w:jc w:val="center"/>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（采矿权证号：</w:t>
      </w:r>
      <w:r>
        <w:rPr>
          <w:rFonts w:hint="eastAsia" w:ascii="黑体" w:hAnsi="黑体" w:eastAsia="黑体" w:cs="黑体"/>
          <w:color w:val="auto"/>
          <w:sz w:val="32"/>
          <w:szCs w:val="32"/>
          <w:highlight w:val="none"/>
          <w:lang w:val="en-US" w:eastAsia="zh-CN"/>
        </w:rPr>
        <w:t>C</w:t>
      </w:r>
      <w:r>
        <w:rPr>
          <w:rFonts w:hint="eastAsia" w:ascii="黑体" w:hAnsi="黑体" w:eastAsia="黑体" w:cs="黑体"/>
          <w:color w:val="auto"/>
          <w:sz w:val="32"/>
          <w:szCs w:val="32"/>
          <w:highlight w:val="none"/>
        </w:rPr>
        <w:t>3504</w:t>
      </w:r>
      <w:r>
        <w:rPr>
          <w:rFonts w:hint="eastAsia" w:ascii="黑体" w:hAnsi="黑体" w:eastAsia="黑体" w:cs="黑体"/>
          <w:color w:val="auto"/>
          <w:sz w:val="32"/>
          <w:szCs w:val="32"/>
          <w:highlight w:val="none"/>
          <w:lang w:val="en-US" w:eastAsia="zh-CN"/>
        </w:rPr>
        <w:t>212010016120054514</w:t>
      </w:r>
      <w:r>
        <w:rPr>
          <w:rFonts w:hint="eastAsia" w:ascii="黑体" w:hAnsi="黑体" w:eastAsia="黑体" w:cs="黑体"/>
          <w:color w:val="auto"/>
          <w:sz w:val="32"/>
          <w:szCs w:val="32"/>
          <w:highlight w:val="none"/>
          <w:lang w:eastAsia="zh-CN"/>
        </w:rPr>
        <w:t>）</w:t>
      </w:r>
    </w:p>
    <w:p w14:paraId="1587108D">
      <w:pPr>
        <w:kinsoku/>
        <w:wordWrap/>
        <w:overflowPunct/>
        <w:topLinePunct w:val="0"/>
        <w:bidi w:val="0"/>
        <w:spacing w:line="360" w:lineRule="auto"/>
        <w:ind w:firstLine="880"/>
        <w:jc w:val="center"/>
        <w:rPr>
          <w:rFonts w:ascii="Times New Roman" w:hAnsi="Times New Roman" w:eastAsia="仿宋_GB2312"/>
          <w:color w:val="auto"/>
          <w:sz w:val="28"/>
          <w:szCs w:val="44"/>
          <w:highlight w:val="none"/>
        </w:rPr>
      </w:pPr>
    </w:p>
    <w:p w14:paraId="3E26A427">
      <w:pPr>
        <w:kinsoku/>
        <w:wordWrap/>
        <w:overflowPunct/>
        <w:topLinePunct w:val="0"/>
        <w:bidi w:val="0"/>
        <w:spacing w:line="360" w:lineRule="auto"/>
        <w:ind w:firstLine="880"/>
        <w:jc w:val="center"/>
        <w:rPr>
          <w:rFonts w:ascii="Times New Roman" w:hAnsi="Times New Roman" w:eastAsia="仿宋_GB2312"/>
          <w:color w:val="auto"/>
          <w:sz w:val="28"/>
          <w:szCs w:val="44"/>
          <w:highlight w:val="none"/>
        </w:rPr>
      </w:pPr>
    </w:p>
    <w:p w14:paraId="2FBAED5F">
      <w:pPr>
        <w:kinsoku/>
        <w:wordWrap/>
        <w:overflowPunct/>
        <w:topLinePunct w:val="0"/>
        <w:bidi w:val="0"/>
        <w:spacing w:line="360" w:lineRule="auto"/>
        <w:ind w:firstLine="880"/>
        <w:jc w:val="center"/>
        <w:rPr>
          <w:rFonts w:ascii="Times New Roman" w:hAnsi="Times New Roman" w:eastAsia="仿宋_GB2312"/>
          <w:color w:val="auto"/>
          <w:sz w:val="28"/>
          <w:szCs w:val="44"/>
          <w:highlight w:val="none"/>
        </w:rPr>
      </w:pPr>
    </w:p>
    <w:p w14:paraId="1B0694CE">
      <w:pPr>
        <w:kinsoku/>
        <w:wordWrap/>
        <w:overflowPunct/>
        <w:topLinePunct w:val="0"/>
        <w:bidi w:val="0"/>
        <w:spacing w:line="360" w:lineRule="auto"/>
        <w:ind w:firstLine="880"/>
        <w:jc w:val="center"/>
        <w:rPr>
          <w:rFonts w:hint="eastAsia" w:ascii="Times New Roman" w:hAnsi="Times New Roman" w:eastAsia="仿宋_GB2312"/>
          <w:color w:val="auto"/>
          <w:sz w:val="28"/>
          <w:szCs w:val="44"/>
          <w:highlight w:val="none"/>
        </w:rPr>
      </w:pPr>
    </w:p>
    <w:p w14:paraId="54918C2C">
      <w:pPr>
        <w:kinsoku/>
        <w:wordWrap/>
        <w:overflowPunct/>
        <w:topLinePunct w:val="0"/>
        <w:bidi w:val="0"/>
        <w:spacing w:line="360" w:lineRule="auto"/>
        <w:ind w:firstLine="880"/>
        <w:jc w:val="center"/>
        <w:rPr>
          <w:rFonts w:hint="eastAsia" w:ascii="Times New Roman" w:hAnsi="Times New Roman" w:eastAsia="仿宋_GB2312"/>
          <w:color w:val="auto"/>
          <w:sz w:val="28"/>
          <w:szCs w:val="44"/>
          <w:highlight w:val="none"/>
        </w:rPr>
      </w:pPr>
    </w:p>
    <w:p w14:paraId="0DB89D80">
      <w:pPr>
        <w:pStyle w:val="17"/>
        <w:rPr>
          <w:rFonts w:hint="eastAsia" w:ascii="Times New Roman" w:hAnsi="Times New Roman" w:eastAsia="仿宋_GB2312"/>
          <w:color w:val="auto"/>
          <w:sz w:val="28"/>
          <w:szCs w:val="44"/>
          <w:highlight w:val="none"/>
        </w:rPr>
      </w:pPr>
    </w:p>
    <w:p w14:paraId="67CD9601">
      <w:pPr>
        <w:pStyle w:val="17"/>
        <w:kinsoku/>
        <w:wordWrap/>
        <w:overflowPunct/>
        <w:topLinePunct w:val="0"/>
        <w:bidi w:val="0"/>
        <w:spacing w:line="360" w:lineRule="auto"/>
        <w:ind w:firstLine="500"/>
        <w:rPr>
          <w:rFonts w:ascii="Times New Roman" w:hAnsi="Times New Roman" w:eastAsia="仿宋_GB2312"/>
          <w:color w:val="auto"/>
          <w:sz w:val="28"/>
          <w:highlight w:val="none"/>
        </w:rPr>
      </w:pPr>
    </w:p>
    <w:p w14:paraId="6EB17F82">
      <w:pPr>
        <w:kinsoku/>
        <w:wordWrap/>
        <w:overflowPunct/>
        <w:topLinePunct w:val="0"/>
        <w:bidi w:val="0"/>
        <w:snapToGrid w:val="0"/>
        <w:spacing w:line="360" w:lineRule="auto"/>
        <w:ind w:firstLine="640" w:firstLineChars="200"/>
        <w:jc w:val="both"/>
        <w:rPr>
          <w:rFonts w:hint="eastAsia" w:ascii="宋体" w:hAnsi="宋体" w:eastAsia="宋体" w:cs="宋体"/>
          <w:b w:val="0"/>
          <w:bCs/>
          <w:color w:val="auto"/>
          <w:sz w:val="32"/>
          <w:szCs w:val="32"/>
          <w:highlight w:val="none"/>
          <w:lang w:eastAsia="zh-CN"/>
        </w:rPr>
      </w:pPr>
      <w:r>
        <w:rPr>
          <w:rFonts w:hint="eastAsia" w:ascii="宋体" w:hAnsi="宋体" w:eastAsia="宋体" w:cs="宋体"/>
          <w:b w:val="0"/>
          <w:bCs/>
          <w:color w:val="auto"/>
          <w:sz w:val="32"/>
          <w:szCs w:val="32"/>
          <w:highlight w:val="none"/>
          <w:lang w:eastAsia="zh-CN"/>
        </w:rPr>
        <w:t>编制单位：福建所思达勘测设计院有限公司大田分公司</w:t>
      </w:r>
    </w:p>
    <w:p w14:paraId="65B8F181">
      <w:pPr>
        <w:kinsoku/>
        <w:wordWrap/>
        <w:overflowPunct/>
        <w:topLinePunct w:val="0"/>
        <w:bidi w:val="0"/>
        <w:snapToGrid w:val="0"/>
        <w:spacing w:line="360" w:lineRule="auto"/>
        <w:ind w:firstLine="640" w:firstLineChars="200"/>
        <w:jc w:val="both"/>
        <w:rPr>
          <w:rFonts w:hint="eastAsia" w:ascii="宋体" w:hAnsi="宋体" w:eastAsia="宋体" w:cs="宋体"/>
          <w:b w:val="0"/>
          <w:bCs/>
          <w:color w:val="auto"/>
          <w:sz w:val="32"/>
          <w:szCs w:val="32"/>
          <w:highlight w:val="none"/>
          <w:lang w:eastAsia="zh-CN"/>
        </w:rPr>
      </w:pPr>
      <w:r>
        <w:rPr>
          <w:rFonts w:hint="eastAsia" w:ascii="宋体" w:hAnsi="宋体" w:eastAsia="宋体" w:cs="宋体"/>
          <w:b w:val="0"/>
          <w:bCs/>
          <w:color w:val="auto"/>
          <w:sz w:val="32"/>
          <w:szCs w:val="32"/>
          <w:highlight w:val="none"/>
          <w:lang w:eastAsia="zh-CN"/>
        </w:rPr>
        <w:t>法定代表人：巫坐高</w:t>
      </w:r>
    </w:p>
    <w:p w14:paraId="1D4D467B">
      <w:pPr>
        <w:kinsoku/>
        <w:wordWrap/>
        <w:overflowPunct/>
        <w:topLinePunct w:val="0"/>
        <w:bidi w:val="0"/>
        <w:snapToGrid w:val="0"/>
        <w:spacing w:line="360" w:lineRule="auto"/>
        <w:ind w:firstLine="640" w:firstLineChars="200"/>
        <w:jc w:val="both"/>
        <w:rPr>
          <w:rFonts w:hint="eastAsia" w:ascii="宋体" w:hAnsi="宋体" w:eastAsia="宋体" w:cs="宋体"/>
          <w:b w:val="0"/>
          <w:bCs/>
          <w:color w:val="auto"/>
          <w:sz w:val="32"/>
          <w:szCs w:val="32"/>
          <w:highlight w:val="none"/>
          <w:lang w:eastAsia="zh-CN"/>
        </w:rPr>
      </w:pPr>
      <w:r>
        <w:rPr>
          <w:rFonts w:hint="eastAsia" w:ascii="宋体" w:hAnsi="宋体" w:eastAsia="宋体" w:cs="宋体"/>
          <w:b w:val="0"/>
          <w:bCs/>
          <w:color w:val="auto"/>
          <w:sz w:val="32"/>
          <w:szCs w:val="32"/>
          <w:highlight w:val="none"/>
          <w:lang w:eastAsia="zh-CN"/>
        </w:rPr>
        <w:t>项目负责人：傅鸿宇</w:t>
      </w:r>
    </w:p>
    <w:p w14:paraId="336A68C3">
      <w:pPr>
        <w:kinsoku/>
        <w:wordWrap/>
        <w:overflowPunct/>
        <w:topLinePunct w:val="0"/>
        <w:bidi w:val="0"/>
        <w:snapToGrid w:val="0"/>
        <w:spacing w:line="360" w:lineRule="auto"/>
        <w:ind w:firstLine="640" w:firstLineChars="200"/>
        <w:jc w:val="both"/>
        <w:rPr>
          <w:rFonts w:hint="eastAsia" w:ascii="宋体" w:hAnsi="宋体" w:eastAsia="宋体" w:cs="宋体"/>
          <w:b w:val="0"/>
          <w:bCs/>
          <w:color w:val="auto"/>
          <w:sz w:val="32"/>
          <w:szCs w:val="32"/>
          <w:highlight w:val="none"/>
          <w:lang w:eastAsia="zh-CN"/>
        </w:rPr>
      </w:pPr>
      <w:r>
        <w:rPr>
          <w:rFonts w:hint="eastAsia" w:ascii="宋体" w:hAnsi="宋体" w:eastAsia="宋体" w:cs="宋体"/>
          <w:b w:val="0"/>
          <w:bCs/>
          <w:color w:val="auto"/>
          <w:sz w:val="32"/>
          <w:szCs w:val="32"/>
          <w:highlight w:val="none"/>
          <w:lang w:eastAsia="zh-CN"/>
        </w:rPr>
        <w:t>主要编制人员：傅鸿宇、严振伟</w:t>
      </w:r>
    </w:p>
    <w:p w14:paraId="08155AC6">
      <w:pPr>
        <w:kinsoku/>
        <w:wordWrap/>
        <w:overflowPunct/>
        <w:topLinePunct w:val="0"/>
        <w:bidi w:val="0"/>
        <w:snapToGrid w:val="0"/>
        <w:spacing w:line="360" w:lineRule="auto"/>
        <w:ind w:firstLine="640" w:firstLineChars="200"/>
        <w:jc w:val="both"/>
        <w:rPr>
          <w:rFonts w:hint="default"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eastAsia="zh-CN"/>
        </w:rPr>
        <w:t>编制时间：</w:t>
      </w:r>
      <w:r>
        <w:rPr>
          <w:rFonts w:hint="eastAsia" w:ascii="宋体" w:hAnsi="宋体" w:eastAsia="宋体" w:cs="宋体"/>
          <w:b w:val="0"/>
          <w:bCs/>
          <w:color w:val="auto"/>
          <w:sz w:val="32"/>
          <w:szCs w:val="32"/>
          <w:highlight w:val="none"/>
          <w:lang w:val="en-US" w:eastAsia="zh-CN"/>
        </w:rPr>
        <w:t>2026年7月</w:t>
      </w:r>
    </w:p>
    <w:p w14:paraId="2D15569C">
      <w:pPr>
        <w:kinsoku/>
        <w:wordWrap/>
        <w:overflowPunct/>
        <w:topLinePunct w:val="0"/>
        <w:bidi w:val="0"/>
        <w:spacing w:line="360" w:lineRule="auto"/>
        <w:jc w:val="both"/>
        <w:rPr>
          <w:rFonts w:ascii="Times New Roman" w:hAnsi="Times New Roman" w:eastAsia="仿宋_GB2312" w:cs="仿宋_GB2312"/>
          <w:b/>
          <w:color w:val="auto"/>
          <w:spacing w:val="60"/>
          <w:sz w:val="28"/>
          <w:szCs w:val="36"/>
          <w:highlight w:val="none"/>
        </w:rPr>
        <w:sectPr>
          <w:footerReference r:id="rId15" w:type="default"/>
          <w:pgSz w:w="11907" w:h="16840"/>
          <w:pgMar w:top="1418" w:right="1418" w:bottom="1418" w:left="1418" w:header="851" w:footer="992" w:gutter="0"/>
          <w:pgBorders>
            <w:top w:val="none" w:sz="0" w:space="0"/>
            <w:left w:val="none" w:sz="0" w:space="0"/>
            <w:bottom w:val="none" w:sz="0" w:space="0"/>
            <w:right w:val="none" w:sz="0" w:space="0"/>
          </w:pgBorders>
          <w:pgNumType w:fmt="decimal" w:start="1"/>
          <w:cols w:space="720" w:num="1"/>
          <w:docGrid w:type="linesAndChars" w:linePitch="333" w:charSpace="0"/>
        </w:sectPr>
      </w:pPr>
      <w:r>
        <w:rPr>
          <w:rFonts w:hint="eastAsia" w:eastAsia="仿宋_GB2312" w:cs="仿宋_GB2312"/>
          <w:b/>
          <w:color w:val="auto"/>
          <w:spacing w:val="60"/>
          <w:sz w:val="28"/>
          <w:szCs w:val="36"/>
          <w:highlight w:val="none"/>
          <w:lang w:val="en-US" w:eastAsia="zh-CN"/>
        </w:rPr>
        <w:t xml:space="preserve">  </w:t>
      </w:r>
    </w:p>
    <w:p w14:paraId="43759FC5">
      <w:pPr>
        <w:keepNext w:val="0"/>
        <w:keepLines w:val="0"/>
        <w:pageBreakBefore w:val="0"/>
        <w:widowControl w:val="0"/>
        <w:kinsoku/>
        <w:wordWrap/>
        <w:overflowPunct/>
        <w:topLinePunct w:val="0"/>
        <w:autoSpaceDE/>
        <w:autoSpaceDN/>
        <w:bidi w:val="0"/>
        <w:adjustRightInd/>
        <w:snapToGrid/>
        <w:spacing w:after="157" w:afterLines="50" w:line="570" w:lineRule="exact"/>
        <w:jc w:val="center"/>
        <w:textAlignment w:val="auto"/>
        <w:rPr>
          <w:rFonts w:hint="eastAsia" w:ascii="方正小标宋简体" w:hAnsi="黑体" w:eastAsia="方正小标宋简体"/>
          <w:color w:val="auto"/>
          <w:sz w:val="32"/>
          <w:szCs w:val="32"/>
          <w:highlight w:val="none"/>
        </w:rPr>
      </w:pPr>
      <w:r>
        <w:rPr>
          <w:rFonts w:hint="eastAsia" w:ascii="方正小标宋简体" w:hAnsi="黑体" w:eastAsia="方正小标宋简体"/>
          <w:color w:val="auto"/>
          <w:sz w:val="32"/>
          <w:szCs w:val="32"/>
          <w:highlight w:val="none"/>
          <w:lang w:val="en-US" w:eastAsia="zh-CN"/>
        </w:rPr>
        <w:br w:type="page"/>
      </w:r>
      <w:r>
        <w:rPr>
          <w:rFonts w:hint="eastAsia" w:ascii="方正小标宋简体" w:hAnsi="黑体" w:eastAsia="方正小标宋简体"/>
          <w:color w:val="auto"/>
          <w:sz w:val="32"/>
          <w:szCs w:val="32"/>
          <w:highlight w:val="none"/>
          <w:lang w:val="en-US" w:eastAsia="zh-CN"/>
        </w:rPr>
        <w:t>开采方案</w:t>
      </w:r>
      <w:r>
        <w:rPr>
          <w:rFonts w:hint="eastAsia" w:ascii="方正小标宋简体" w:hAnsi="黑体" w:eastAsia="方正小标宋简体"/>
          <w:color w:val="auto"/>
          <w:sz w:val="32"/>
          <w:szCs w:val="32"/>
          <w:highlight w:val="none"/>
        </w:rPr>
        <w:t>编写人员</w:t>
      </w:r>
      <w:r>
        <w:rPr>
          <w:rFonts w:hint="eastAsia" w:ascii="方正小标宋简体" w:hAnsi="黑体" w:eastAsia="方正小标宋简体"/>
          <w:b w:val="0"/>
          <w:color w:val="auto"/>
          <w:sz w:val="32"/>
          <w:szCs w:val="32"/>
          <w:highlight w:val="none"/>
        </w:rPr>
        <w:t>名单</w:t>
      </w:r>
      <w:r>
        <w:rPr>
          <w:rFonts w:hint="eastAsia" w:ascii="方正小标宋简体" w:hAnsi="黑体" w:eastAsia="方正小标宋简体"/>
          <w:color w:val="auto"/>
          <w:sz w:val="32"/>
          <w:szCs w:val="32"/>
          <w:highlight w:val="none"/>
        </w:rPr>
        <w:t>表</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3"/>
        <w:gridCol w:w="1663"/>
        <w:gridCol w:w="1663"/>
        <w:gridCol w:w="1663"/>
        <w:gridCol w:w="1664"/>
      </w:tblGrid>
      <w:tr w14:paraId="13522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8316" w:type="dxa"/>
            <w:gridSpan w:val="5"/>
            <w:noWrap w:val="0"/>
            <w:vAlign w:val="center"/>
          </w:tcPr>
          <w:p w14:paraId="7B0A11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snapToGrid w:val="0"/>
                <w:color w:val="auto"/>
                <w:sz w:val="28"/>
                <w:szCs w:val="28"/>
                <w:highlight w:val="none"/>
              </w:rPr>
            </w:pPr>
            <w:r>
              <w:rPr>
                <w:rFonts w:hint="eastAsia" w:ascii="黑体" w:hAnsi="黑体" w:eastAsia="黑体" w:cs="宋体"/>
                <w:snapToGrid w:val="0"/>
                <w:color w:val="auto"/>
                <w:sz w:val="28"/>
                <w:szCs w:val="28"/>
                <w:highlight w:val="none"/>
              </w:rPr>
              <w:t>方案负责人</w:t>
            </w:r>
          </w:p>
        </w:tc>
      </w:tr>
      <w:tr w14:paraId="4E1F4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1663" w:type="dxa"/>
            <w:noWrap w:val="0"/>
            <w:vAlign w:val="center"/>
          </w:tcPr>
          <w:p w14:paraId="231084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snapToGrid w:val="0"/>
                <w:color w:val="auto"/>
                <w:spacing w:val="6"/>
                <w:sz w:val="28"/>
                <w:szCs w:val="28"/>
                <w:highlight w:val="none"/>
              </w:rPr>
            </w:pPr>
            <w:r>
              <w:rPr>
                <w:rFonts w:hint="eastAsia" w:ascii="黑体" w:hAnsi="黑体" w:eastAsia="黑体" w:cs="宋体"/>
                <w:snapToGrid w:val="0"/>
                <w:color w:val="auto"/>
                <w:spacing w:val="6"/>
                <w:sz w:val="28"/>
                <w:szCs w:val="28"/>
                <w:highlight w:val="none"/>
              </w:rPr>
              <w:t>姓名</w:t>
            </w:r>
          </w:p>
        </w:tc>
        <w:tc>
          <w:tcPr>
            <w:tcW w:w="1663" w:type="dxa"/>
            <w:noWrap w:val="0"/>
            <w:vAlign w:val="center"/>
          </w:tcPr>
          <w:p w14:paraId="6F10EA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snapToGrid w:val="0"/>
                <w:color w:val="auto"/>
                <w:spacing w:val="6"/>
                <w:sz w:val="28"/>
                <w:szCs w:val="28"/>
                <w:highlight w:val="none"/>
              </w:rPr>
            </w:pPr>
            <w:r>
              <w:rPr>
                <w:rFonts w:hint="eastAsia" w:ascii="黑体" w:hAnsi="黑体" w:eastAsia="黑体" w:cs="宋体"/>
                <w:snapToGrid w:val="0"/>
                <w:color w:val="auto"/>
                <w:spacing w:val="6"/>
                <w:sz w:val="28"/>
                <w:szCs w:val="28"/>
                <w:highlight w:val="none"/>
              </w:rPr>
              <w:t>职务</w:t>
            </w:r>
          </w:p>
        </w:tc>
        <w:tc>
          <w:tcPr>
            <w:tcW w:w="1663" w:type="dxa"/>
            <w:noWrap w:val="0"/>
            <w:vAlign w:val="center"/>
          </w:tcPr>
          <w:p w14:paraId="46F78E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snapToGrid w:val="0"/>
                <w:color w:val="auto"/>
                <w:spacing w:val="7"/>
                <w:sz w:val="28"/>
                <w:szCs w:val="28"/>
                <w:highlight w:val="none"/>
              </w:rPr>
            </w:pPr>
            <w:r>
              <w:rPr>
                <w:rFonts w:hint="eastAsia" w:ascii="黑体" w:hAnsi="黑体" w:eastAsia="黑体" w:cs="宋体"/>
                <w:snapToGrid w:val="0"/>
                <w:color w:val="auto"/>
                <w:spacing w:val="7"/>
                <w:sz w:val="28"/>
                <w:szCs w:val="28"/>
                <w:highlight w:val="none"/>
              </w:rPr>
              <w:t>专业</w:t>
            </w:r>
          </w:p>
        </w:tc>
        <w:tc>
          <w:tcPr>
            <w:tcW w:w="1663" w:type="dxa"/>
            <w:noWrap w:val="0"/>
            <w:vAlign w:val="center"/>
          </w:tcPr>
          <w:p w14:paraId="438DF5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snapToGrid w:val="0"/>
                <w:color w:val="auto"/>
                <w:spacing w:val="5"/>
                <w:sz w:val="28"/>
                <w:szCs w:val="28"/>
                <w:highlight w:val="none"/>
              </w:rPr>
            </w:pPr>
            <w:r>
              <w:rPr>
                <w:rFonts w:hint="eastAsia" w:ascii="黑体" w:hAnsi="黑体" w:eastAsia="黑体" w:cs="宋体"/>
                <w:snapToGrid w:val="0"/>
                <w:color w:val="auto"/>
                <w:spacing w:val="5"/>
                <w:sz w:val="28"/>
                <w:szCs w:val="28"/>
                <w:highlight w:val="none"/>
              </w:rPr>
              <w:t>技术职称</w:t>
            </w:r>
          </w:p>
        </w:tc>
        <w:tc>
          <w:tcPr>
            <w:tcW w:w="1664" w:type="dxa"/>
            <w:noWrap w:val="0"/>
            <w:vAlign w:val="center"/>
          </w:tcPr>
          <w:p w14:paraId="7449DD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bCs/>
                <w:snapToGrid w:val="0"/>
                <w:color w:val="auto"/>
                <w:spacing w:val="17"/>
                <w:sz w:val="28"/>
                <w:szCs w:val="28"/>
                <w:highlight w:val="none"/>
              </w:rPr>
            </w:pPr>
            <w:r>
              <w:rPr>
                <w:rFonts w:hint="eastAsia" w:ascii="黑体" w:hAnsi="黑体" w:eastAsia="黑体" w:cs="宋体"/>
                <w:bCs/>
                <w:snapToGrid w:val="0"/>
                <w:color w:val="auto"/>
                <w:spacing w:val="17"/>
                <w:sz w:val="28"/>
                <w:szCs w:val="28"/>
                <w:highlight w:val="none"/>
              </w:rPr>
              <w:t>签名</w:t>
            </w:r>
          </w:p>
        </w:tc>
      </w:tr>
      <w:tr w14:paraId="450F5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1663" w:type="dxa"/>
            <w:noWrap w:val="0"/>
            <w:vAlign w:val="center"/>
          </w:tcPr>
          <w:p w14:paraId="16333E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napToGrid w:val="0"/>
                <w:color w:val="auto"/>
                <w:spacing w:val="6"/>
                <w:sz w:val="28"/>
                <w:szCs w:val="28"/>
                <w:highlight w:val="none"/>
                <w:lang w:eastAsia="zh-CN"/>
              </w:rPr>
            </w:pPr>
            <w:r>
              <w:rPr>
                <w:rFonts w:hint="eastAsia" w:ascii="宋体" w:hAnsi="宋体" w:eastAsia="宋体" w:cs="宋体"/>
                <w:b w:val="0"/>
                <w:bCs w:val="0"/>
                <w:snapToGrid w:val="0"/>
                <w:color w:val="auto"/>
                <w:spacing w:val="6"/>
                <w:sz w:val="28"/>
                <w:szCs w:val="28"/>
                <w:highlight w:val="none"/>
                <w:lang w:eastAsia="zh-CN"/>
              </w:rPr>
              <w:t>傅鸿宇</w:t>
            </w:r>
          </w:p>
        </w:tc>
        <w:tc>
          <w:tcPr>
            <w:tcW w:w="1663" w:type="dxa"/>
            <w:noWrap w:val="0"/>
            <w:vAlign w:val="center"/>
          </w:tcPr>
          <w:p w14:paraId="7432FA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napToGrid w:val="0"/>
                <w:color w:val="auto"/>
                <w:spacing w:val="6"/>
                <w:sz w:val="28"/>
                <w:szCs w:val="28"/>
                <w:highlight w:val="none"/>
                <w:lang w:eastAsia="zh-CN"/>
              </w:rPr>
            </w:pPr>
            <w:r>
              <w:rPr>
                <w:rFonts w:hint="eastAsia" w:ascii="宋体" w:hAnsi="宋体" w:eastAsia="宋体" w:cs="宋体"/>
                <w:b w:val="0"/>
                <w:bCs w:val="0"/>
                <w:snapToGrid w:val="0"/>
                <w:color w:val="auto"/>
                <w:spacing w:val="6"/>
                <w:sz w:val="28"/>
                <w:szCs w:val="28"/>
                <w:highlight w:val="none"/>
                <w:lang w:eastAsia="zh-CN"/>
              </w:rPr>
              <w:t>技术负责</w:t>
            </w:r>
          </w:p>
        </w:tc>
        <w:tc>
          <w:tcPr>
            <w:tcW w:w="1663" w:type="dxa"/>
            <w:noWrap w:val="0"/>
            <w:vAlign w:val="center"/>
          </w:tcPr>
          <w:p w14:paraId="27ED33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napToGrid w:val="0"/>
                <w:color w:val="auto"/>
                <w:spacing w:val="7"/>
                <w:sz w:val="28"/>
                <w:szCs w:val="28"/>
                <w:highlight w:val="none"/>
                <w:lang w:eastAsia="zh-CN"/>
              </w:rPr>
            </w:pPr>
            <w:r>
              <w:rPr>
                <w:rFonts w:hint="eastAsia" w:ascii="宋体" w:hAnsi="宋体" w:eastAsia="宋体" w:cs="宋体"/>
                <w:b w:val="0"/>
                <w:bCs w:val="0"/>
                <w:snapToGrid w:val="0"/>
                <w:color w:val="auto"/>
                <w:spacing w:val="7"/>
                <w:sz w:val="28"/>
                <w:szCs w:val="28"/>
                <w:highlight w:val="none"/>
                <w:lang w:eastAsia="zh-CN"/>
              </w:rPr>
              <w:t>采矿工程</w:t>
            </w:r>
          </w:p>
        </w:tc>
        <w:tc>
          <w:tcPr>
            <w:tcW w:w="1663" w:type="dxa"/>
            <w:noWrap w:val="0"/>
            <w:vAlign w:val="center"/>
          </w:tcPr>
          <w:p w14:paraId="312297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napToGrid w:val="0"/>
                <w:color w:val="auto"/>
                <w:spacing w:val="5"/>
                <w:sz w:val="28"/>
                <w:szCs w:val="28"/>
                <w:highlight w:val="none"/>
                <w:lang w:eastAsia="zh-CN"/>
              </w:rPr>
            </w:pPr>
            <w:r>
              <w:rPr>
                <w:rFonts w:hint="eastAsia" w:ascii="宋体" w:hAnsi="宋体" w:eastAsia="宋体" w:cs="宋体"/>
                <w:b w:val="0"/>
                <w:bCs w:val="0"/>
                <w:snapToGrid w:val="0"/>
                <w:color w:val="auto"/>
                <w:spacing w:val="5"/>
                <w:sz w:val="28"/>
                <w:szCs w:val="28"/>
                <w:highlight w:val="none"/>
                <w:lang w:eastAsia="zh-CN"/>
              </w:rPr>
              <w:t>助理工程师</w:t>
            </w:r>
          </w:p>
        </w:tc>
        <w:tc>
          <w:tcPr>
            <w:tcW w:w="1664" w:type="dxa"/>
            <w:noWrap w:val="0"/>
            <w:vAlign w:val="center"/>
          </w:tcPr>
          <w:p w14:paraId="1C3158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bCs/>
                <w:snapToGrid w:val="0"/>
                <w:color w:val="auto"/>
                <w:spacing w:val="17"/>
                <w:sz w:val="28"/>
                <w:szCs w:val="28"/>
                <w:highlight w:val="none"/>
              </w:rPr>
            </w:pPr>
          </w:p>
        </w:tc>
      </w:tr>
      <w:tr w14:paraId="6F299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8316" w:type="dxa"/>
            <w:gridSpan w:val="5"/>
            <w:noWrap w:val="0"/>
            <w:vAlign w:val="center"/>
          </w:tcPr>
          <w:p w14:paraId="72F912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bCs/>
                <w:snapToGrid w:val="0"/>
                <w:color w:val="auto"/>
                <w:spacing w:val="17"/>
                <w:sz w:val="28"/>
                <w:szCs w:val="28"/>
                <w:highlight w:val="none"/>
              </w:rPr>
            </w:pPr>
            <w:r>
              <w:rPr>
                <w:rFonts w:hint="eastAsia" w:ascii="黑体" w:hAnsi="黑体" w:eastAsia="黑体" w:cs="宋体"/>
                <w:bCs/>
                <w:snapToGrid w:val="0"/>
                <w:color w:val="auto"/>
                <w:spacing w:val="17"/>
                <w:sz w:val="28"/>
                <w:szCs w:val="28"/>
                <w:highlight w:val="none"/>
              </w:rPr>
              <w:t>方案主要编写人员</w:t>
            </w:r>
          </w:p>
        </w:tc>
      </w:tr>
      <w:tr w14:paraId="79DCE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1663" w:type="dxa"/>
            <w:noWrap w:val="0"/>
            <w:vAlign w:val="center"/>
          </w:tcPr>
          <w:p w14:paraId="4557D5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snapToGrid w:val="0"/>
                <w:color w:val="auto"/>
                <w:spacing w:val="6"/>
                <w:sz w:val="28"/>
                <w:szCs w:val="28"/>
                <w:highlight w:val="none"/>
              </w:rPr>
            </w:pPr>
            <w:r>
              <w:rPr>
                <w:rFonts w:hint="eastAsia" w:ascii="黑体" w:hAnsi="黑体" w:eastAsia="黑体" w:cs="宋体"/>
                <w:snapToGrid w:val="0"/>
                <w:color w:val="auto"/>
                <w:spacing w:val="6"/>
                <w:sz w:val="28"/>
                <w:szCs w:val="28"/>
                <w:highlight w:val="none"/>
              </w:rPr>
              <w:t>序号</w:t>
            </w:r>
          </w:p>
        </w:tc>
        <w:tc>
          <w:tcPr>
            <w:tcW w:w="1663" w:type="dxa"/>
            <w:noWrap w:val="0"/>
            <w:vAlign w:val="center"/>
          </w:tcPr>
          <w:p w14:paraId="29C77C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snapToGrid w:val="0"/>
                <w:color w:val="auto"/>
                <w:spacing w:val="6"/>
                <w:sz w:val="28"/>
                <w:szCs w:val="28"/>
                <w:highlight w:val="none"/>
              </w:rPr>
            </w:pPr>
            <w:r>
              <w:rPr>
                <w:rFonts w:hint="eastAsia" w:ascii="黑体" w:hAnsi="黑体" w:eastAsia="黑体" w:cs="宋体"/>
                <w:snapToGrid w:val="0"/>
                <w:color w:val="auto"/>
                <w:spacing w:val="6"/>
                <w:sz w:val="28"/>
                <w:szCs w:val="28"/>
                <w:highlight w:val="none"/>
              </w:rPr>
              <w:t>编写人</w:t>
            </w:r>
          </w:p>
        </w:tc>
        <w:tc>
          <w:tcPr>
            <w:tcW w:w="1663" w:type="dxa"/>
            <w:noWrap w:val="0"/>
            <w:vAlign w:val="center"/>
          </w:tcPr>
          <w:p w14:paraId="242B4F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snapToGrid w:val="0"/>
                <w:color w:val="auto"/>
                <w:spacing w:val="7"/>
                <w:sz w:val="28"/>
                <w:szCs w:val="28"/>
                <w:highlight w:val="none"/>
              </w:rPr>
            </w:pPr>
            <w:r>
              <w:rPr>
                <w:rFonts w:hint="eastAsia" w:ascii="黑体" w:hAnsi="黑体" w:eastAsia="黑体" w:cs="宋体"/>
                <w:snapToGrid w:val="0"/>
                <w:color w:val="auto"/>
                <w:spacing w:val="7"/>
                <w:sz w:val="28"/>
                <w:szCs w:val="28"/>
                <w:highlight w:val="none"/>
              </w:rPr>
              <w:t>专业</w:t>
            </w:r>
          </w:p>
        </w:tc>
        <w:tc>
          <w:tcPr>
            <w:tcW w:w="1663" w:type="dxa"/>
            <w:noWrap w:val="0"/>
            <w:vAlign w:val="center"/>
          </w:tcPr>
          <w:p w14:paraId="519118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snapToGrid w:val="0"/>
                <w:color w:val="auto"/>
                <w:spacing w:val="5"/>
                <w:sz w:val="28"/>
                <w:szCs w:val="28"/>
                <w:highlight w:val="none"/>
              </w:rPr>
            </w:pPr>
            <w:r>
              <w:rPr>
                <w:rFonts w:hint="eastAsia" w:ascii="黑体" w:hAnsi="黑体" w:eastAsia="黑体" w:cs="宋体"/>
                <w:snapToGrid w:val="0"/>
                <w:color w:val="auto"/>
                <w:spacing w:val="5"/>
                <w:sz w:val="28"/>
                <w:szCs w:val="28"/>
                <w:highlight w:val="none"/>
              </w:rPr>
              <w:t>技术职称</w:t>
            </w:r>
          </w:p>
        </w:tc>
        <w:tc>
          <w:tcPr>
            <w:tcW w:w="1664" w:type="dxa"/>
            <w:noWrap w:val="0"/>
            <w:vAlign w:val="center"/>
          </w:tcPr>
          <w:p w14:paraId="3E4970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宋体"/>
                <w:bCs/>
                <w:snapToGrid w:val="0"/>
                <w:color w:val="auto"/>
                <w:spacing w:val="17"/>
                <w:sz w:val="28"/>
                <w:szCs w:val="28"/>
                <w:highlight w:val="none"/>
              </w:rPr>
            </w:pPr>
            <w:r>
              <w:rPr>
                <w:rFonts w:hint="eastAsia" w:ascii="黑体" w:hAnsi="黑体" w:eastAsia="黑体" w:cs="宋体"/>
                <w:bCs/>
                <w:snapToGrid w:val="0"/>
                <w:color w:val="auto"/>
                <w:spacing w:val="17"/>
                <w:sz w:val="28"/>
                <w:szCs w:val="28"/>
                <w:highlight w:val="none"/>
              </w:rPr>
              <w:t>签名</w:t>
            </w:r>
          </w:p>
        </w:tc>
      </w:tr>
      <w:tr w14:paraId="60854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exact"/>
          <w:jc w:val="center"/>
        </w:trPr>
        <w:tc>
          <w:tcPr>
            <w:tcW w:w="1663" w:type="dxa"/>
            <w:tcBorders>
              <w:bottom w:val="single" w:color="auto" w:sz="4" w:space="0"/>
            </w:tcBorders>
            <w:noWrap w:val="0"/>
            <w:vAlign w:val="center"/>
          </w:tcPr>
          <w:p w14:paraId="24F33B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Arial"/>
                <w:snapToGrid w:val="0"/>
                <w:color w:val="auto"/>
                <w:sz w:val="28"/>
                <w:szCs w:val="28"/>
                <w:highlight w:val="none"/>
              </w:rPr>
            </w:pPr>
            <w:r>
              <w:rPr>
                <w:rFonts w:hint="eastAsia" w:ascii="黑体" w:hAnsi="黑体" w:eastAsia="黑体" w:cs="Arial"/>
                <w:snapToGrid w:val="0"/>
                <w:color w:val="auto"/>
                <w:sz w:val="28"/>
                <w:szCs w:val="28"/>
                <w:highlight w:val="none"/>
              </w:rPr>
              <w:t>1</w:t>
            </w:r>
          </w:p>
        </w:tc>
        <w:tc>
          <w:tcPr>
            <w:tcW w:w="1663" w:type="dxa"/>
            <w:tcBorders>
              <w:bottom w:val="single" w:color="auto" w:sz="4" w:space="0"/>
            </w:tcBorders>
            <w:noWrap w:val="0"/>
            <w:vAlign w:val="center"/>
          </w:tcPr>
          <w:p w14:paraId="4C1990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Arial"/>
                <w:snapToGrid w:val="0"/>
                <w:color w:val="auto"/>
                <w:sz w:val="28"/>
                <w:szCs w:val="28"/>
                <w:highlight w:val="none"/>
              </w:rPr>
            </w:pPr>
            <w:r>
              <w:rPr>
                <w:rFonts w:hint="eastAsia" w:ascii="宋体" w:hAnsi="宋体" w:eastAsia="宋体" w:cs="宋体"/>
                <w:b w:val="0"/>
                <w:bCs w:val="0"/>
                <w:snapToGrid w:val="0"/>
                <w:color w:val="auto"/>
                <w:spacing w:val="6"/>
                <w:sz w:val="28"/>
                <w:szCs w:val="28"/>
                <w:highlight w:val="none"/>
                <w:lang w:eastAsia="zh-CN"/>
              </w:rPr>
              <w:t>傅鸿宇</w:t>
            </w:r>
          </w:p>
        </w:tc>
        <w:tc>
          <w:tcPr>
            <w:tcW w:w="1663" w:type="dxa"/>
            <w:tcBorders>
              <w:bottom w:val="single" w:color="auto" w:sz="4" w:space="0"/>
            </w:tcBorders>
            <w:noWrap w:val="0"/>
            <w:vAlign w:val="center"/>
          </w:tcPr>
          <w:p w14:paraId="2D47FC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napToGrid w:val="0"/>
                <w:color w:val="auto"/>
                <w:spacing w:val="7"/>
                <w:sz w:val="28"/>
                <w:szCs w:val="28"/>
                <w:highlight w:val="none"/>
                <w:lang w:val="en-US" w:eastAsia="zh-CN"/>
              </w:rPr>
            </w:pPr>
            <w:r>
              <w:rPr>
                <w:rFonts w:hint="eastAsia" w:ascii="宋体" w:hAnsi="宋体" w:eastAsia="宋体" w:cs="宋体"/>
                <w:b w:val="0"/>
                <w:bCs w:val="0"/>
                <w:snapToGrid w:val="0"/>
                <w:color w:val="auto"/>
                <w:spacing w:val="7"/>
                <w:sz w:val="28"/>
                <w:szCs w:val="28"/>
                <w:highlight w:val="none"/>
                <w:lang w:eastAsia="zh-CN"/>
              </w:rPr>
              <w:t>采矿工程</w:t>
            </w:r>
          </w:p>
        </w:tc>
        <w:tc>
          <w:tcPr>
            <w:tcW w:w="1663" w:type="dxa"/>
            <w:tcBorders>
              <w:bottom w:val="single" w:color="auto" w:sz="4" w:space="0"/>
            </w:tcBorders>
            <w:noWrap w:val="0"/>
            <w:vAlign w:val="center"/>
          </w:tcPr>
          <w:p w14:paraId="1C5225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napToGrid w:val="0"/>
                <w:color w:val="auto"/>
                <w:spacing w:val="7"/>
                <w:sz w:val="28"/>
                <w:szCs w:val="28"/>
                <w:highlight w:val="none"/>
                <w:lang w:val="en-US" w:eastAsia="zh-CN"/>
              </w:rPr>
            </w:pPr>
            <w:r>
              <w:rPr>
                <w:rFonts w:hint="eastAsia" w:ascii="宋体" w:hAnsi="宋体" w:eastAsia="宋体" w:cs="宋体"/>
                <w:b w:val="0"/>
                <w:bCs w:val="0"/>
                <w:snapToGrid w:val="0"/>
                <w:color w:val="auto"/>
                <w:spacing w:val="7"/>
                <w:sz w:val="28"/>
                <w:szCs w:val="28"/>
                <w:highlight w:val="none"/>
                <w:lang w:eastAsia="zh-CN"/>
              </w:rPr>
              <w:t>助理工程师</w:t>
            </w:r>
          </w:p>
        </w:tc>
        <w:tc>
          <w:tcPr>
            <w:tcW w:w="1664" w:type="dxa"/>
            <w:tcBorders>
              <w:bottom w:val="single" w:color="auto" w:sz="4" w:space="0"/>
            </w:tcBorders>
            <w:noWrap w:val="0"/>
            <w:vAlign w:val="center"/>
          </w:tcPr>
          <w:p w14:paraId="1D8B27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Arial"/>
                <w:snapToGrid w:val="0"/>
                <w:color w:val="auto"/>
                <w:sz w:val="28"/>
                <w:szCs w:val="28"/>
                <w:highlight w:val="none"/>
              </w:rPr>
            </w:pPr>
          </w:p>
        </w:tc>
      </w:tr>
      <w:tr w14:paraId="18716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exact"/>
          <w:jc w:val="center"/>
        </w:trPr>
        <w:tc>
          <w:tcPr>
            <w:tcW w:w="1663" w:type="dxa"/>
            <w:tcBorders>
              <w:top w:val="single" w:color="auto" w:sz="4" w:space="0"/>
            </w:tcBorders>
            <w:noWrap w:val="0"/>
            <w:vAlign w:val="center"/>
          </w:tcPr>
          <w:p w14:paraId="3B64D3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Arial"/>
                <w:snapToGrid w:val="0"/>
                <w:color w:val="auto"/>
                <w:kern w:val="2"/>
                <w:sz w:val="28"/>
                <w:szCs w:val="28"/>
                <w:highlight w:val="none"/>
                <w:lang w:val="en-US" w:eastAsia="zh-CN" w:bidi="ar-SA"/>
              </w:rPr>
            </w:pPr>
            <w:r>
              <w:rPr>
                <w:rFonts w:hint="eastAsia" w:ascii="黑体" w:hAnsi="黑体" w:eastAsia="黑体" w:cs="Arial"/>
                <w:snapToGrid w:val="0"/>
                <w:color w:val="auto"/>
                <w:kern w:val="2"/>
                <w:sz w:val="28"/>
                <w:szCs w:val="28"/>
                <w:highlight w:val="none"/>
                <w:lang w:val="en-US" w:eastAsia="zh-CN" w:bidi="ar-SA"/>
              </w:rPr>
              <w:t>2</w:t>
            </w:r>
          </w:p>
        </w:tc>
        <w:tc>
          <w:tcPr>
            <w:tcW w:w="1663" w:type="dxa"/>
            <w:tcBorders>
              <w:top w:val="single" w:color="auto" w:sz="4" w:space="0"/>
            </w:tcBorders>
            <w:noWrap w:val="0"/>
            <w:vAlign w:val="center"/>
          </w:tcPr>
          <w:p w14:paraId="7F7D15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Arial"/>
                <w:snapToGrid w:val="0"/>
                <w:color w:val="auto"/>
                <w:kern w:val="2"/>
                <w:sz w:val="28"/>
                <w:szCs w:val="28"/>
                <w:highlight w:val="none"/>
                <w:lang w:val="en-US" w:eastAsia="zh-CN" w:bidi="ar-SA"/>
              </w:rPr>
            </w:pPr>
            <w:r>
              <w:rPr>
                <w:rFonts w:hint="eastAsia" w:ascii="宋体" w:hAnsi="宋体" w:eastAsia="宋体" w:cs="宋体"/>
                <w:b w:val="0"/>
                <w:bCs w:val="0"/>
                <w:color w:val="auto"/>
                <w:kern w:val="0"/>
                <w:sz w:val="28"/>
                <w:szCs w:val="28"/>
                <w:highlight w:val="none"/>
              </w:rPr>
              <w:t>严振伟</w:t>
            </w:r>
          </w:p>
        </w:tc>
        <w:tc>
          <w:tcPr>
            <w:tcW w:w="1663" w:type="dxa"/>
            <w:tcBorders>
              <w:top w:val="single" w:color="auto" w:sz="4" w:space="0"/>
            </w:tcBorders>
            <w:noWrap w:val="0"/>
            <w:vAlign w:val="center"/>
          </w:tcPr>
          <w:p w14:paraId="38AC51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Arial"/>
                <w:snapToGrid w:val="0"/>
                <w:color w:val="auto"/>
                <w:kern w:val="2"/>
                <w:sz w:val="28"/>
                <w:szCs w:val="28"/>
                <w:highlight w:val="none"/>
                <w:lang w:val="en-US" w:eastAsia="zh-CN" w:bidi="ar-SA"/>
              </w:rPr>
            </w:pPr>
            <w:r>
              <w:rPr>
                <w:rFonts w:hint="eastAsia" w:ascii="宋体" w:hAnsi="宋体" w:eastAsia="宋体" w:cs="宋体"/>
                <w:b w:val="0"/>
                <w:bCs w:val="0"/>
                <w:snapToGrid w:val="0"/>
                <w:color w:val="auto"/>
                <w:spacing w:val="7"/>
                <w:sz w:val="28"/>
                <w:szCs w:val="28"/>
                <w:highlight w:val="none"/>
                <w:lang w:eastAsia="zh-CN"/>
              </w:rPr>
              <w:t>地质工程</w:t>
            </w:r>
          </w:p>
        </w:tc>
        <w:tc>
          <w:tcPr>
            <w:tcW w:w="1663" w:type="dxa"/>
            <w:tcBorders>
              <w:top w:val="single" w:color="auto" w:sz="4" w:space="0"/>
            </w:tcBorders>
            <w:noWrap w:val="0"/>
            <w:vAlign w:val="center"/>
          </w:tcPr>
          <w:p w14:paraId="7C0EAE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Arial"/>
                <w:snapToGrid w:val="0"/>
                <w:color w:val="auto"/>
                <w:kern w:val="2"/>
                <w:sz w:val="28"/>
                <w:szCs w:val="28"/>
                <w:highlight w:val="none"/>
                <w:lang w:val="en-US" w:eastAsia="zh-CN" w:bidi="ar-SA"/>
              </w:rPr>
            </w:pPr>
            <w:r>
              <w:rPr>
                <w:rFonts w:hint="eastAsia" w:ascii="宋体" w:hAnsi="宋体" w:eastAsia="宋体" w:cs="宋体"/>
                <w:b w:val="0"/>
                <w:bCs w:val="0"/>
                <w:snapToGrid w:val="0"/>
                <w:color w:val="auto"/>
                <w:spacing w:val="5"/>
                <w:sz w:val="28"/>
                <w:szCs w:val="28"/>
                <w:highlight w:val="none"/>
                <w:lang w:eastAsia="zh-CN"/>
              </w:rPr>
              <w:t>助理工程师</w:t>
            </w:r>
          </w:p>
        </w:tc>
        <w:tc>
          <w:tcPr>
            <w:tcW w:w="1664" w:type="dxa"/>
            <w:tcBorders>
              <w:top w:val="single" w:color="auto" w:sz="4" w:space="0"/>
            </w:tcBorders>
            <w:noWrap w:val="0"/>
            <w:vAlign w:val="center"/>
          </w:tcPr>
          <w:p w14:paraId="0F32B1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Arial"/>
                <w:snapToGrid w:val="0"/>
                <w:color w:val="auto"/>
                <w:sz w:val="28"/>
                <w:szCs w:val="28"/>
                <w:highlight w:val="none"/>
              </w:rPr>
            </w:pPr>
          </w:p>
        </w:tc>
      </w:tr>
    </w:tbl>
    <w:p w14:paraId="2B9B4226">
      <w:pPr>
        <w:keepNext w:val="0"/>
        <w:keepLines w:val="0"/>
        <w:pageBreakBefore w:val="0"/>
        <w:kinsoku/>
        <w:wordWrap/>
        <w:overflowPunct/>
        <w:topLinePunct w:val="0"/>
        <w:autoSpaceDE/>
        <w:autoSpaceDN/>
        <w:bidi w:val="0"/>
        <w:adjustRightInd w:val="0"/>
        <w:snapToGrid/>
        <w:spacing w:line="460" w:lineRule="exact"/>
        <w:jc w:val="center"/>
        <w:rPr>
          <w:rFonts w:hint="eastAsia" w:ascii="Times New Roman" w:hAnsi="Times New Roman" w:eastAsia="仿宋_GB2312" w:cs="仿宋_GB2312"/>
          <w:b/>
          <w:color w:val="auto"/>
          <w:sz w:val="28"/>
          <w:szCs w:val="36"/>
          <w:highlight w:val="none"/>
        </w:rPr>
      </w:pPr>
    </w:p>
    <w:p w14:paraId="659E2B5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方正小标宋简体" w:hAnsi="黑体" w:eastAsia="方正小标宋简体"/>
          <w:color w:val="auto"/>
          <w:sz w:val="32"/>
          <w:szCs w:val="32"/>
          <w:highlight w:val="none"/>
        </w:rPr>
      </w:pPr>
      <w:r>
        <w:rPr>
          <w:rFonts w:hint="eastAsia" w:ascii="Times New Roman" w:hAnsi="Times New Roman" w:eastAsia="仿宋_GB2312" w:cs="宋体"/>
          <w:color w:val="auto"/>
          <w:sz w:val="28"/>
          <w:szCs w:val="28"/>
          <w:highlight w:val="none"/>
        </w:rPr>
        <w:br w:type="page"/>
      </w:r>
      <w:r>
        <w:rPr>
          <w:rFonts w:hint="eastAsia" w:ascii="方正小标宋简体" w:hAnsi="黑体" w:eastAsia="方正小标宋简体"/>
          <w:color w:val="auto"/>
          <w:sz w:val="32"/>
          <w:szCs w:val="32"/>
          <w:highlight w:val="none"/>
        </w:rPr>
        <w:br w:type="page"/>
      </w:r>
      <w:r>
        <w:rPr>
          <w:rFonts w:hint="eastAsia" w:ascii="方正小标宋简体" w:hAnsi="黑体" w:eastAsia="方正小标宋简体"/>
          <w:color w:val="auto"/>
          <w:sz w:val="32"/>
          <w:szCs w:val="32"/>
          <w:highlight w:val="none"/>
        </w:rPr>
        <w:t>矿产资源</w:t>
      </w:r>
      <w:r>
        <w:rPr>
          <w:rFonts w:hint="eastAsia" w:ascii="方正小标宋简体" w:hAnsi="黑体" w:eastAsia="方正小标宋简体"/>
          <w:color w:val="auto"/>
          <w:sz w:val="32"/>
          <w:szCs w:val="32"/>
          <w:highlight w:val="none"/>
          <w:lang w:val="en-US" w:eastAsia="zh-CN"/>
        </w:rPr>
        <w:t>开采</w:t>
      </w:r>
      <w:r>
        <w:rPr>
          <w:rFonts w:hint="eastAsia" w:ascii="方正小标宋简体" w:hAnsi="黑体" w:eastAsia="方正小标宋简体"/>
          <w:color w:val="auto"/>
          <w:sz w:val="32"/>
          <w:szCs w:val="32"/>
          <w:highlight w:val="none"/>
        </w:rPr>
        <w:t>方案编制信息及承诺书</w:t>
      </w:r>
    </w:p>
    <w:tbl>
      <w:tblPr>
        <w:tblStyle w:val="18"/>
        <w:tblW w:w="8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345"/>
        <w:gridCol w:w="1061"/>
        <w:gridCol w:w="26"/>
        <w:gridCol w:w="1529"/>
        <w:gridCol w:w="229"/>
        <w:gridCol w:w="1098"/>
        <w:gridCol w:w="1215"/>
        <w:gridCol w:w="1436"/>
      </w:tblGrid>
      <w:tr w14:paraId="010A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2269" w:type="dxa"/>
            <w:gridSpan w:val="2"/>
            <w:noWrap w:val="0"/>
            <w:vAlign w:val="center"/>
          </w:tcPr>
          <w:p w14:paraId="77C4D2D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lang w:val="en-US" w:eastAsia="zh-CN"/>
              </w:rPr>
              <w:t>开采</w:t>
            </w:r>
            <w:r>
              <w:rPr>
                <w:rFonts w:hint="eastAsia" w:ascii="黑体" w:hAnsi="黑体" w:eastAsia="黑体"/>
                <w:color w:val="auto"/>
                <w:sz w:val="24"/>
                <w:szCs w:val="24"/>
                <w:highlight w:val="none"/>
              </w:rPr>
              <w:t>方案名称</w:t>
            </w:r>
          </w:p>
        </w:tc>
        <w:tc>
          <w:tcPr>
            <w:tcW w:w="6594" w:type="dxa"/>
            <w:gridSpan w:val="7"/>
            <w:noWrap w:val="0"/>
            <w:vAlign w:val="center"/>
          </w:tcPr>
          <w:p w14:paraId="20B5872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szCs w:val="24"/>
                <w:highlight w:val="none"/>
              </w:rPr>
            </w:pPr>
            <w:r>
              <w:rPr>
                <w:rFonts w:hint="eastAsia" w:ascii="仿宋_GB2312" w:hAnsi="宋体" w:eastAsia="仿宋_GB2312"/>
                <w:b w:val="0"/>
                <w:bCs/>
                <w:color w:val="auto"/>
                <w:sz w:val="24"/>
                <w:szCs w:val="24"/>
                <w:highlight w:val="none"/>
              </w:rPr>
              <w:t>明溪县瀚仙矿场上龙坑方解石矿</w:t>
            </w:r>
            <w:r>
              <w:rPr>
                <w:rFonts w:hint="eastAsia" w:ascii="仿宋_GB2312" w:hAnsi="宋体" w:eastAsia="仿宋_GB2312" w:cs="Times New Roman"/>
                <w:b w:val="0"/>
                <w:bCs/>
                <w:color w:val="auto"/>
                <w:sz w:val="24"/>
                <w:szCs w:val="24"/>
                <w:highlight w:val="none"/>
                <w:lang w:val="en-US" w:eastAsia="zh-CN"/>
              </w:rPr>
              <w:t>开采</w:t>
            </w:r>
            <w:r>
              <w:rPr>
                <w:rFonts w:hint="eastAsia" w:ascii="仿宋_GB2312" w:hAnsi="宋体" w:eastAsia="仿宋_GB2312" w:cs="Times New Roman"/>
                <w:b w:val="0"/>
                <w:bCs/>
                <w:color w:val="auto"/>
                <w:sz w:val="24"/>
                <w:szCs w:val="24"/>
                <w:highlight w:val="none"/>
              </w:rPr>
              <w:t>方案</w:t>
            </w:r>
          </w:p>
        </w:tc>
      </w:tr>
      <w:tr w14:paraId="2F88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924" w:type="dxa"/>
            <w:vMerge w:val="restart"/>
            <w:noWrap w:val="0"/>
            <w:vAlign w:val="center"/>
          </w:tcPr>
          <w:p w14:paraId="46B6BCD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矿</w:t>
            </w:r>
          </w:p>
          <w:p w14:paraId="63ABFB0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业</w:t>
            </w:r>
          </w:p>
          <w:p w14:paraId="0708598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权</w:t>
            </w:r>
          </w:p>
          <w:p w14:paraId="775CC6D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黑体" w:hAnsi="黑体" w:eastAsia="黑体"/>
                <w:b/>
                <w:bCs/>
                <w:color w:val="auto"/>
                <w:sz w:val="24"/>
                <w:szCs w:val="24"/>
                <w:highlight w:val="none"/>
                <w:lang w:val="en-US" w:eastAsia="zh-CN"/>
              </w:rPr>
            </w:pPr>
            <w:r>
              <w:rPr>
                <w:rFonts w:hint="eastAsia" w:ascii="黑体" w:hAnsi="黑体" w:eastAsia="黑体"/>
                <w:color w:val="auto"/>
                <w:sz w:val="24"/>
                <w:szCs w:val="24"/>
                <w:highlight w:val="none"/>
                <w:lang w:val="en-US" w:eastAsia="zh-CN"/>
              </w:rPr>
              <w:t>人</w:t>
            </w:r>
          </w:p>
        </w:tc>
        <w:tc>
          <w:tcPr>
            <w:tcW w:w="1345" w:type="dxa"/>
            <w:noWrap w:val="0"/>
            <w:vAlign w:val="center"/>
          </w:tcPr>
          <w:p w14:paraId="22C67D8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名  称</w:t>
            </w:r>
          </w:p>
        </w:tc>
        <w:tc>
          <w:tcPr>
            <w:tcW w:w="6594" w:type="dxa"/>
            <w:gridSpan w:val="7"/>
            <w:noWrap w:val="0"/>
            <w:vAlign w:val="center"/>
          </w:tcPr>
          <w:p w14:paraId="03B0A20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仿宋_GB2312" w:eastAsia="仿宋_GB2312"/>
                <w:color w:val="auto"/>
                <w:sz w:val="24"/>
                <w:szCs w:val="24"/>
                <w:highlight w:val="none"/>
              </w:rPr>
            </w:pPr>
            <w:r>
              <w:rPr>
                <w:rFonts w:hint="eastAsia" w:ascii="仿宋_GB2312" w:hAnsi="宋体" w:eastAsia="仿宋_GB2312"/>
                <w:b w:val="0"/>
                <w:bCs/>
                <w:color w:val="auto"/>
                <w:sz w:val="24"/>
                <w:szCs w:val="24"/>
                <w:highlight w:val="none"/>
              </w:rPr>
              <w:t>明溪县钰岩石材料加工厂</w:t>
            </w:r>
          </w:p>
        </w:tc>
      </w:tr>
      <w:tr w14:paraId="2B20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924" w:type="dxa"/>
            <w:vMerge w:val="continue"/>
            <w:noWrap w:val="0"/>
            <w:vAlign w:val="center"/>
          </w:tcPr>
          <w:p w14:paraId="320C777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b/>
                <w:bCs/>
                <w:color w:val="auto"/>
                <w:sz w:val="24"/>
                <w:szCs w:val="24"/>
                <w:highlight w:val="none"/>
              </w:rPr>
            </w:pPr>
          </w:p>
        </w:tc>
        <w:tc>
          <w:tcPr>
            <w:tcW w:w="1345" w:type="dxa"/>
            <w:noWrap w:val="0"/>
            <w:vAlign w:val="center"/>
          </w:tcPr>
          <w:p w14:paraId="3F57850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通信地址</w:t>
            </w:r>
          </w:p>
        </w:tc>
        <w:tc>
          <w:tcPr>
            <w:tcW w:w="3943" w:type="dxa"/>
            <w:gridSpan w:val="5"/>
            <w:noWrap w:val="0"/>
            <w:vAlign w:val="center"/>
          </w:tcPr>
          <w:p w14:paraId="6B56A86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黑体" w:hAnsi="黑体" w:eastAsia="黑体"/>
                <w:color w:val="auto"/>
                <w:sz w:val="24"/>
                <w:szCs w:val="24"/>
                <w:highlight w:val="none"/>
                <w:lang w:eastAsia="zh-CN"/>
              </w:rPr>
            </w:pPr>
            <w:r>
              <w:rPr>
                <w:rFonts w:hint="eastAsia" w:ascii="仿宋_GB2312" w:hAnsi="宋体" w:eastAsia="仿宋_GB2312" w:cs="Times New Roman"/>
                <w:b w:val="0"/>
                <w:bCs/>
                <w:color w:val="auto"/>
                <w:sz w:val="24"/>
                <w:szCs w:val="24"/>
                <w:highlight w:val="none"/>
                <w:lang w:eastAsia="zh-CN"/>
              </w:rPr>
              <w:t>明溪县瀚仙镇岩里村</w:t>
            </w:r>
          </w:p>
        </w:tc>
        <w:tc>
          <w:tcPr>
            <w:tcW w:w="1215" w:type="dxa"/>
            <w:noWrap w:val="0"/>
            <w:vAlign w:val="center"/>
          </w:tcPr>
          <w:p w14:paraId="14E9B14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邮政编码</w:t>
            </w:r>
          </w:p>
        </w:tc>
        <w:tc>
          <w:tcPr>
            <w:tcW w:w="1436" w:type="dxa"/>
            <w:noWrap w:val="0"/>
            <w:vAlign w:val="center"/>
          </w:tcPr>
          <w:p w14:paraId="4AA06A5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黑体" w:hAnsi="黑体" w:eastAsia="黑体"/>
                <w:color w:val="auto"/>
                <w:sz w:val="24"/>
                <w:szCs w:val="24"/>
                <w:highlight w:val="none"/>
                <w:lang w:val="en-US" w:eastAsia="zh-CN"/>
              </w:rPr>
            </w:pPr>
            <w:r>
              <w:rPr>
                <w:rFonts w:hint="eastAsia" w:ascii="仿宋_GB2312" w:hAnsi="宋体" w:eastAsia="仿宋_GB2312" w:cs="Times New Roman"/>
                <w:b w:val="0"/>
                <w:bCs/>
                <w:color w:val="auto"/>
                <w:sz w:val="24"/>
                <w:szCs w:val="24"/>
                <w:highlight w:val="none"/>
                <w:lang w:val="en-US" w:eastAsia="zh-CN"/>
              </w:rPr>
              <w:t>365201</w:t>
            </w:r>
          </w:p>
        </w:tc>
      </w:tr>
      <w:tr w14:paraId="2769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924" w:type="dxa"/>
            <w:vMerge w:val="continue"/>
            <w:noWrap w:val="0"/>
            <w:vAlign w:val="center"/>
          </w:tcPr>
          <w:p w14:paraId="26DA497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b/>
                <w:bCs/>
                <w:color w:val="auto"/>
                <w:sz w:val="24"/>
                <w:szCs w:val="24"/>
                <w:highlight w:val="none"/>
              </w:rPr>
            </w:pPr>
          </w:p>
        </w:tc>
        <w:tc>
          <w:tcPr>
            <w:tcW w:w="1345" w:type="dxa"/>
            <w:noWrap w:val="0"/>
            <w:vAlign w:val="center"/>
          </w:tcPr>
          <w:p w14:paraId="63A4E5C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联系人</w:t>
            </w:r>
          </w:p>
        </w:tc>
        <w:tc>
          <w:tcPr>
            <w:tcW w:w="1087" w:type="dxa"/>
            <w:gridSpan w:val="2"/>
            <w:noWrap w:val="0"/>
            <w:vAlign w:val="center"/>
          </w:tcPr>
          <w:p w14:paraId="40F6079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eastAsia="宋体"/>
                <w:color w:val="auto"/>
                <w:sz w:val="24"/>
                <w:szCs w:val="24"/>
                <w:highlight w:val="none"/>
                <w:lang w:eastAsia="zh-CN"/>
              </w:rPr>
            </w:pPr>
            <w:r>
              <w:rPr>
                <w:rFonts w:hint="eastAsia" w:ascii="仿宋_GB2312" w:hAnsi="宋体" w:eastAsia="仿宋_GB2312" w:cs="Times New Roman"/>
                <w:b w:val="0"/>
                <w:bCs/>
                <w:color w:val="auto"/>
                <w:sz w:val="24"/>
                <w:szCs w:val="24"/>
                <w:highlight w:val="none"/>
                <w:lang w:eastAsia="zh-CN"/>
              </w:rPr>
              <w:t>潘城云</w:t>
            </w:r>
          </w:p>
        </w:tc>
        <w:tc>
          <w:tcPr>
            <w:tcW w:w="1529" w:type="dxa"/>
            <w:noWrap w:val="0"/>
            <w:vAlign w:val="center"/>
          </w:tcPr>
          <w:p w14:paraId="5794489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联系电话</w:t>
            </w:r>
          </w:p>
        </w:tc>
        <w:tc>
          <w:tcPr>
            <w:tcW w:w="1327" w:type="dxa"/>
            <w:gridSpan w:val="2"/>
            <w:noWrap w:val="0"/>
            <w:vAlign w:val="center"/>
          </w:tcPr>
          <w:p w14:paraId="0BC3F77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13675708787</w:t>
            </w:r>
          </w:p>
        </w:tc>
        <w:tc>
          <w:tcPr>
            <w:tcW w:w="1215" w:type="dxa"/>
            <w:noWrap w:val="0"/>
            <w:vAlign w:val="center"/>
          </w:tcPr>
          <w:p w14:paraId="57D3C06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传 真</w:t>
            </w:r>
          </w:p>
        </w:tc>
        <w:tc>
          <w:tcPr>
            <w:tcW w:w="1436" w:type="dxa"/>
            <w:noWrap w:val="0"/>
            <w:vAlign w:val="center"/>
          </w:tcPr>
          <w:p w14:paraId="154775A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w:t>
            </w:r>
          </w:p>
        </w:tc>
      </w:tr>
      <w:tr w14:paraId="0426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924" w:type="dxa"/>
            <w:vMerge w:val="continue"/>
            <w:noWrap w:val="0"/>
            <w:vAlign w:val="center"/>
          </w:tcPr>
          <w:p w14:paraId="44F65CE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b/>
                <w:bCs/>
                <w:color w:val="auto"/>
                <w:sz w:val="24"/>
                <w:szCs w:val="24"/>
                <w:highlight w:val="none"/>
              </w:rPr>
            </w:pPr>
          </w:p>
        </w:tc>
        <w:tc>
          <w:tcPr>
            <w:tcW w:w="1345" w:type="dxa"/>
            <w:noWrap w:val="0"/>
            <w:vAlign w:val="center"/>
          </w:tcPr>
          <w:p w14:paraId="7A34A43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电子邮箱</w:t>
            </w:r>
          </w:p>
        </w:tc>
        <w:tc>
          <w:tcPr>
            <w:tcW w:w="6594" w:type="dxa"/>
            <w:gridSpan w:val="7"/>
            <w:noWrap w:val="0"/>
            <w:vAlign w:val="center"/>
          </w:tcPr>
          <w:p w14:paraId="1AC1BE7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77340893</w:t>
            </w:r>
            <w:r>
              <w:rPr>
                <w:rFonts w:hint="eastAsia"/>
                <w:color w:val="auto"/>
                <w:sz w:val="24"/>
                <w:szCs w:val="24"/>
                <w:highlight w:val="none"/>
                <w:lang w:val="en-US" w:eastAsia="zh-CN"/>
              </w:rPr>
              <w:t>@qq.com</w:t>
            </w:r>
          </w:p>
        </w:tc>
      </w:tr>
      <w:tr w14:paraId="1481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924" w:type="dxa"/>
            <w:vMerge w:val="restart"/>
            <w:noWrap w:val="0"/>
            <w:vAlign w:val="center"/>
          </w:tcPr>
          <w:p w14:paraId="710A59FE">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编制</w:t>
            </w:r>
          </w:p>
          <w:p w14:paraId="61862215">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黑体" w:hAnsi="黑体" w:eastAsia="黑体"/>
                <w:b/>
                <w:bCs/>
                <w:color w:val="auto"/>
                <w:sz w:val="24"/>
                <w:szCs w:val="24"/>
                <w:highlight w:val="none"/>
                <w:lang w:eastAsia="zh-CN"/>
              </w:rPr>
            </w:pPr>
            <w:r>
              <w:rPr>
                <w:rFonts w:hint="eastAsia" w:ascii="黑体" w:hAnsi="黑体" w:eastAsia="黑体"/>
                <w:color w:val="auto"/>
                <w:sz w:val="24"/>
                <w:szCs w:val="24"/>
                <w:highlight w:val="none"/>
              </w:rPr>
              <w:t>单位</w:t>
            </w:r>
          </w:p>
        </w:tc>
        <w:tc>
          <w:tcPr>
            <w:tcW w:w="1345" w:type="dxa"/>
            <w:noWrap w:val="0"/>
            <w:vAlign w:val="center"/>
          </w:tcPr>
          <w:p w14:paraId="17AAE4F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名  称</w:t>
            </w:r>
          </w:p>
        </w:tc>
        <w:tc>
          <w:tcPr>
            <w:tcW w:w="6594" w:type="dxa"/>
            <w:gridSpan w:val="7"/>
            <w:noWrap w:val="0"/>
            <w:vAlign w:val="center"/>
          </w:tcPr>
          <w:p w14:paraId="29A139F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黑体" w:hAnsi="黑体" w:eastAsia="黑体"/>
                <w:color w:val="auto"/>
                <w:sz w:val="24"/>
                <w:szCs w:val="24"/>
                <w:highlight w:val="none"/>
                <w:lang w:eastAsia="zh-CN"/>
              </w:rPr>
            </w:pPr>
            <w:r>
              <w:rPr>
                <w:rFonts w:hint="eastAsia" w:ascii="仿宋_GB2312" w:hAnsi="宋体" w:eastAsia="仿宋_GB2312" w:cs="Times New Roman"/>
                <w:b w:val="0"/>
                <w:bCs/>
                <w:color w:val="auto"/>
                <w:sz w:val="24"/>
                <w:szCs w:val="24"/>
                <w:highlight w:val="none"/>
                <w:lang w:eastAsia="zh-CN"/>
              </w:rPr>
              <w:t>福建所思达勘测设计院有限公司大田分公司</w:t>
            </w:r>
          </w:p>
        </w:tc>
      </w:tr>
      <w:tr w14:paraId="6126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924" w:type="dxa"/>
            <w:vMerge w:val="continue"/>
            <w:noWrap w:val="0"/>
            <w:vAlign w:val="center"/>
          </w:tcPr>
          <w:p w14:paraId="1FD2EC0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p>
        </w:tc>
        <w:tc>
          <w:tcPr>
            <w:tcW w:w="1345" w:type="dxa"/>
            <w:noWrap w:val="0"/>
            <w:vAlign w:val="center"/>
          </w:tcPr>
          <w:p w14:paraId="7C49C80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通信地址</w:t>
            </w:r>
          </w:p>
        </w:tc>
        <w:tc>
          <w:tcPr>
            <w:tcW w:w="3943" w:type="dxa"/>
            <w:gridSpan w:val="5"/>
            <w:noWrap w:val="0"/>
            <w:vAlign w:val="center"/>
          </w:tcPr>
          <w:p w14:paraId="7B9101C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黑体" w:hAnsi="黑体" w:eastAsia="黑体"/>
                <w:color w:val="auto"/>
                <w:sz w:val="24"/>
                <w:szCs w:val="24"/>
                <w:highlight w:val="none"/>
                <w:lang w:val="en-US" w:eastAsia="zh-CN"/>
              </w:rPr>
            </w:pPr>
            <w:r>
              <w:rPr>
                <w:rFonts w:hint="eastAsia" w:ascii="仿宋_GB2312" w:hAnsi="宋体" w:eastAsia="仿宋_GB2312" w:cs="Times New Roman"/>
                <w:b w:val="0"/>
                <w:bCs/>
                <w:color w:val="auto"/>
                <w:sz w:val="24"/>
                <w:szCs w:val="24"/>
                <w:highlight w:val="none"/>
                <w:lang w:eastAsia="zh-CN"/>
              </w:rPr>
              <w:t>大田县均溪镇建山路</w:t>
            </w:r>
            <w:r>
              <w:rPr>
                <w:rFonts w:hint="eastAsia" w:ascii="仿宋_GB2312" w:hAnsi="宋体" w:eastAsia="仿宋_GB2312" w:cs="Times New Roman"/>
                <w:b w:val="0"/>
                <w:bCs/>
                <w:color w:val="auto"/>
                <w:sz w:val="24"/>
                <w:szCs w:val="24"/>
                <w:highlight w:val="none"/>
                <w:lang w:val="en-US" w:eastAsia="zh-CN"/>
              </w:rPr>
              <w:t>193号5幢11号</w:t>
            </w:r>
          </w:p>
        </w:tc>
        <w:tc>
          <w:tcPr>
            <w:tcW w:w="1215" w:type="dxa"/>
            <w:noWrap w:val="0"/>
            <w:vAlign w:val="center"/>
          </w:tcPr>
          <w:p w14:paraId="4914D73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邮政编码</w:t>
            </w:r>
          </w:p>
        </w:tc>
        <w:tc>
          <w:tcPr>
            <w:tcW w:w="1436" w:type="dxa"/>
            <w:noWrap w:val="0"/>
            <w:vAlign w:val="center"/>
          </w:tcPr>
          <w:p w14:paraId="75CC21F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黑体" w:hAnsi="黑体" w:eastAsia="黑体"/>
                <w:color w:val="auto"/>
                <w:sz w:val="24"/>
                <w:szCs w:val="24"/>
                <w:highlight w:val="none"/>
                <w:lang w:val="en-US" w:eastAsia="zh-CN"/>
              </w:rPr>
            </w:pPr>
            <w:r>
              <w:rPr>
                <w:rFonts w:hint="eastAsia" w:ascii="仿宋_GB2312" w:hAnsi="宋体" w:eastAsia="仿宋_GB2312" w:cs="Times New Roman"/>
                <w:b w:val="0"/>
                <w:bCs/>
                <w:color w:val="auto"/>
                <w:sz w:val="24"/>
                <w:szCs w:val="24"/>
                <w:highlight w:val="none"/>
                <w:lang w:val="en-US" w:eastAsia="zh-CN"/>
              </w:rPr>
              <w:t>366100</w:t>
            </w:r>
          </w:p>
        </w:tc>
      </w:tr>
      <w:tr w14:paraId="2B2E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924" w:type="dxa"/>
            <w:vMerge w:val="continue"/>
            <w:noWrap w:val="0"/>
            <w:vAlign w:val="center"/>
          </w:tcPr>
          <w:p w14:paraId="28E690A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p>
        </w:tc>
        <w:tc>
          <w:tcPr>
            <w:tcW w:w="1345" w:type="dxa"/>
            <w:noWrap w:val="0"/>
            <w:vAlign w:val="center"/>
          </w:tcPr>
          <w:p w14:paraId="672A004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联系人</w:t>
            </w:r>
          </w:p>
        </w:tc>
        <w:tc>
          <w:tcPr>
            <w:tcW w:w="1087" w:type="dxa"/>
            <w:gridSpan w:val="2"/>
            <w:noWrap w:val="0"/>
            <w:vAlign w:val="center"/>
          </w:tcPr>
          <w:p w14:paraId="25BCE7B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eastAsia="宋体"/>
                <w:color w:val="auto"/>
                <w:sz w:val="24"/>
                <w:szCs w:val="24"/>
                <w:highlight w:val="none"/>
                <w:lang w:eastAsia="zh-CN"/>
              </w:rPr>
            </w:pPr>
            <w:r>
              <w:rPr>
                <w:rFonts w:hint="eastAsia" w:ascii="仿宋_GB2312" w:hAnsi="宋体" w:eastAsia="仿宋_GB2312" w:cs="Times New Roman"/>
                <w:b w:val="0"/>
                <w:bCs/>
                <w:color w:val="auto"/>
                <w:sz w:val="24"/>
                <w:szCs w:val="24"/>
                <w:highlight w:val="none"/>
                <w:lang w:eastAsia="zh-CN"/>
              </w:rPr>
              <w:t>巫坐高</w:t>
            </w:r>
          </w:p>
        </w:tc>
        <w:tc>
          <w:tcPr>
            <w:tcW w:w="1529" w:type="dxa"/>
            <w:noWrap w:val="0"/>
            <w:vAlign w:val="center"/>
          </w:tcPr>
          <w:p w14:paraId="26703BA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联系电话</w:t>
            </w:r>
          </w:p>
        </w:tc>
        <w:tc>
          <w:tcPr>
            <w:tcW w:w="1327" w:type="dxa"/>
            <w:gridSpan w:val="2"/>
            <w:noWrap w:val="0"/>
            <w:vAlign w:val="center"/>
          </w:tcPr>
          <w:p w14:paraId="4AD22A5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黑体" w:hAnsi="黑体" w:eastAsia="黑体"/>
                <w:color w:val="auto"/>
                <w:sz w:val="24"/>
                <w:szCs w:val="24"/>
                <w:highlight w:val="none"/>
                <w:lang w:val="en-US" w:eastAsia="zh-CN"/>
              </w:rPr>
            </w:pPr>
            <w:r>
              <w:rPr>
                <w:rFonts w:hint="eastAsia" w:ascii="仿宋_GB2312" w:hAnsi="宋体" w:eastAsia="仿宋_GB2312" w:cs="Times New Roman"/>
                <w:b w:val="0"/>
                <w:bCs/>
                <w:color w:val="auto"/>
                <w:sz w:val="24"/>
                <w:szCs w:val="24"/>
                <w:highlight w:val="none"/>
                <w:lang w:val="en-US" w:eastAsia="zh-CN"/>
              </w:rPr>
              <w:t>18250595159</w:t>
            </w:r>
          </w:p>
        </w:tc>
        <w:tc>
          <w:tcPr>
            <w:tcW w:w="1215" w:type="dxa"/>
            <w:noWrap w:val="0"/>
            <w:vAlign w:val="center"/>
          </w:tcPr>
          <w:p w14:paraId="61F014C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传 真</w:t>
            </w:r>
          </w:p>
        </w:tc>
        <w:tc>
          <w:tcPr>
            <w:tcW w:w="1436" w:type="dxa"/>
            <w:noWrap w:val="0"/>
            <w:vAlign w:val="center"/>
          </w:tcPr>
          <w:p w14:paraId="0ED3ACA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lang w:val="en-US" w:eastAsia="zh-CN"/>
              </w:rPr>
              <w:t>-</w:t>
            </w:r>
          </w:p>
        </w:tc>
      </w:tr>
      <w:tr w14:paraId="4495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924" w:type="dxa"/>
            <w:vMerge w:val="continue"/>
            <w:noWrap w:val="0"/>
            <w:vAlign w:val="center"/>
          </w:tcPr>
          <w:p w14:paraId="1ADD99D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p>
        </w:tc>
        <w:tc>
          <w:tcPr>
            <w:tcW w:w="1345" w:type="dxa"/>
            <w:noWrap w:val="0"/>
            <w:vAlign w:val="center"/>
          </w:tcPr>
          <w:p w14:paraId="5213B30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电子邮箱</w:t>
            </w:r>
          </w:p>
        </w:tc>
        <w:tc>
          <w:tcPr>
            <w:tcW w:w="6594" w:type="dxa"/>
            <w:gridSpan w:val="7"/>
            <w:noWrap w:val="0"/>
            <w:vAlign w:val="center"/>
          </w:tcPr>
          <w:p w14:paraId="467F173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eastAsia="宋体"/>
                <w:color w:val="auto"/>
                <w:sz w:val="24"/>
                <w:szCs w:val="24"/>
                <w:highlight w:val="none"/>
                <w:lang w:val="en-US" w:eastAsia="zh-CN"/>
              </w:rPr>
            </w:pPr>
            <w:r>
              <w:rPr>
                <w:rFonts w:hint="eastAsia" w:ascii="黑体" w:hAnsi="黑体" w:eastAsia="黑体" w:cs="Times New Roman"/>
                <w:color w:val="auto"/>
                <w:sz w:val="24"/>
                <w:szCs w:val="24"/>
                <w:highlight w:val="none"/>
                <w:lang w:val="en-US" w:eastAsia="zh-CN"/>
              </w:rPr>
              <w:t>463540666@qq.com</w:t>
            </w:r>
          </w:p>
        </w:tc>
      </w:tr>
      <w:tr w14:paraId="177C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0" w:hRule="atLeast"/>
          <w:jc w:val="center"/>
        </w:trPr>
        <w:tc>
          <w:tcPr>
            <w:tcW w:w="2269" w:type="dxa"/>
            <w:gridSpan w:val="2"/>
            <w:noWrap w:val="0"/>
            <w:vAlign w:val="center"/>
          </w:tcPr>
          <w:p w14:paraId="111A23D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lang w:val="en-US" w:eastAsia="zh-CN"/>
              </w:rPr>
              <w:t>开采</w:t>
            </w:r>
            <w:r>
              <w:rPr>
                <w:rFonts w:hint="eastAsia" w:ascii="黑体" w:hAnsi="黑体" w:eastAsia="黑体"/>
                <w:color w:val="auto"/>
                <w:sz w:val="24"/>
                <w:szCs w:val="24"/>
                <w:highlight w:val="none"/>
              </w:rPr>
              <w:t>方案</w:t>
            </w:r>
          </w:p>
          <w:p w14:paraId="7E23D20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编制情形</w:t>
            </w:r>
          </w:p>
        </w:tc>
        <w:tc>
          <w:tcPr>
            <w:tcW w:w="6594" w:type="dxa"/>
            <w:gridSpan w:val="7"/>
            <w:noWrap w:val="0"/>
            <w:vAlign w:val="center"/>
          </w:tcPr>
          <w:p w14:paraId="41FEDC42">
            <w:pPr>
              <w:keepNext w:val="0"/>
              <w:keepLines w:val="0"/>
              <w:pageBreakBefore w:val="0"/>
              <w:widowControl w:val="0"/>
              <w:kinsoku/>
              <w:wordWrap/>
              <w:overflowPunct/>
              <w:topLinePunct w:val="0"/>
              <w:autoSpaceDE/>
              <w:autoSpaceDN/>
              <w:bidi w:val="0"/>
              <w:adjustRightInd/>
              <w:snapToGrid/>
              <w:spacing w:line="420" w:lineRule="exact"/>
              <w:ind w:firstLine="720" w:firstLineChars="3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□首次申请采矿权     □延续申请采矿权</w:t>
            </w:r>
          </w:p>
          <w:p w14:paraId="3094C6B3">
            <w:pPr>
              <w:keepNext w:val="0"/>
              <w:keepLines w:val="0"/>
              <w:pageBreakBefore w:val="0"/>
              <w:widowControl w:val="0"/>
              <w:kinsoku/>
              <w:wordWrap/>
              <w:overflowPunct/>
              <w:topLinePunct w:val="0"/>
              <w:autoSpaceDE/>
              <w:autoSpaceDN/>
              <w:bidi w:val="0"/>
              <w:adjustRightInd/>
              <w:snapToGrid/>
              <w:spacing w:line="420" w:lineRule="exact"/>
              <w:ind w:firstLine="720" w:firstLineChars="3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☑扩大开采区域       □缩小开采区域</w:t>
            </w:r>
          </w:p>
          <w:p w14:paraId="654496AD">
            <w:pPr>
              <w:keepNext w:val="0"/>
              <w:keepLines w:val="0"/>
              <w:pageBreakBefore w:val="0"/>
              <w:widowControl w:val="0"/>
              <w:kinsoku/>
              <w:wordWrap/>
              <w:overflowPunct/>
              <w:topLinePunct w:val="0"/>
              <w:autoSpaceDE/>
              <w:autoSpaceDN/>
              <w:bidi w:val="0"/>
              <w:adjustRightInd/>
              <w:snapToGrid/>
              <w:spacing w:line="420" w:lineRule="exact"/>
              <w:ind w:firstLine="720" w:firstLineChars="3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□变更主要开采矿种   □变更开采方式</w:t>
            </w:r>
          </w:p>
          <w:p w14:paraId="7EBE060B">
            <w:pPr>
              <w:keepNext w:val="0"/>
              <w:keepLines w:val="0"/>
              <w:pageBreakBefore w:val="0"/>
              <w:widowControl w:val="0"/>
              <w:kinsoku/>
              <w:wordWrap/>
              <w:overflowPunct/>
              <w:topLinePunct w:val="0"/>
              <w:autoSpaceDE/>
              <w:autoSpaceDN/>
              <w:bidi w:val="0"/>
              <w:adjustRightInd/>
              <w:snapToGrid/>
              <w:spacing w:line="420" w:lineRule="exact"/>
              <w:ind w:firstLine="720" w:firstLineChars="300"/>
              <w:jc w:val="both"/>
              <w:textAlignment w:val="auto"/>
              <w:rPr>
                <w:rFonts w:hint="default" w:ascii="黑体" w:hAnsi="黑体" w:eastAsia="黑体"/>
                <w:color w:val="auto"/>
                <w:spacing w:val="6"/>
                <w:sz w:val="24"/>
                <w:szCs w:val="24"/>
                <w:highlight w:val="none"/>
                <w:lang w:val="en-US" w:eastAsia="zh-CN"/>
              </w:rPr>
            </w:pPr>
            <w:r>
              <w:rPr>
                <w:rFonts w:hint="eastAsia" w:ascii="宋体" w:hAnsi="宋体" w:cs="宋体"/>
                <w:color w:val="auto"/>
                <w:sz w:val="24"/>
                <w:szCs w:val="24"/>
                <w:highlight w:val="none"/>
                <w:lang w:val="en-US" w:eastAsia="zh-CN"/>
              </w:rPr>
              <w:t xml:space="preserve">        </w:t>
            </w:r>
          </w:p>
        </w:tc>
      </w:tr>
      <w:tr w14:paraId="3625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69" w:type="dxa"/>
            <w:gridSpan w:val="2"/>
            <w:vMerge w:val="restart"/>
            <w:noWrap w:val="0"/>
            <w:vAlign w:val="center"/>
          </w:tcPr>
          <w:p w14:paraId="313D593A">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矿业权信息</w:t>
            </w:r>
          </w:p>
        </w:tc>
        <w:tc>
          <w:tcPr>
            <w:tcW w:w="1061" w:type="dxa"/>
            <w:vMerge w:val="restart"/>
            <w:noWrap w:val="0"/>
            <w:vAlign w:val="center"/>
          </w:tcPr>
          <w:p w14:paraId="27BC9ADD">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探矿权信息</w:t>
            </w:r>
          </w:p>
        </w:tc>
        <w:tc>
          <w:tcPr>
            <w:tcW w:w="1784" w:type="dxa"/>
            <w:gridSpan w:val="3"/>
            <w:noWrap w:val="0"/>
            <w:vAlign w:val="center"/>
          </w:tcPr>
          <w:p w14:paraId="659ECF0D">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探矿权人</w:t>
            </w:r>
          </w:p>
        </w:tc>
        <w:tc>
          <w:tcPr>
            <w:tcW w:w="3749" w:type="dxa"/>
            <w:gridSpan w:val="3"/>
            <w:noWrap w:val="0"/>
            <w:vAlign w:val="center"/>
          </w:tcPr>
          <w:p w14:paraId="02C80C50">
            <w:pPr>
              <w:keepNext w:val="0"/>
              <w:keepLines w:val="0"/>
              <w:pageBreakBefore w:val="0"/>
              <w:widowControl w:val="0"/>
              <w:kinsoku/>
              <w:wordWrap/>
              <w:overflowPunct/>
              <w:topLinePunct w:val="0"/>
              <w:autoSpaceDE/>
              <w:autoSpaceDN/>
              <w:bidi w:val="0"/>
              <w:adjustRightInd/>
              <w:spacing w:line="420" w:lineRule="exact"/>
              <w:jc w:val="center"/>
              <w:textAlignment w:val="auto"/>
              <w:rPr>
                <w:rFonts w:hint="eastAsia" w:ascii="宋体" w:hAnsi="宋体" w:cs="宋体"/>
                <w:color w:val="auto"/>
                <w:sz w:val="24"/>
                <w:szCs w:val="24"/>
                <w:highlight w:val="none"/>
              </w:rPr>
            </w:pPr>
          </w:p>
        </w:tc>
      </w:tr>
      <w:tr w14:paraId="0D11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269" w:type="dxa"/>
            <w:gridSpan w:val="2"/>
            <w:vMerge w:val="continue"/>
            <w:noWrap w:val="0"/>
            <w:vAlign w:val="center"/>
          </w:tcPr>
          <w:p w14:paraId="7EA953ED">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p>
        </w:tc>
        <w:tc>
          <w:tcPr>
            <w:tcW w:w="1061" w:type="dxa"/>
            <w:vMerge w:val="continue"/>
            <w:noWrap w:val="0"/>
            <w:vAlign w:val="center"/>
          </w:tcPr>
          <w:p w14:paraId="199B4C15">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p>
        </w:tc>
        <w:tc>
          <w:tcPr>
            <w:tcW w:w="1784" w:type="dxa"/>
            <w:gridSpan w:val="3"/>
            <w:noWrap w:val="0"/>
            <w:vAlign w:val="center"/>
          </w:tcPr>
          <w:p w14:paraId="671C625C">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不动产权证书</w:t>
            </w:r>
          </w:p>
          <w:p w14:paraId="672943FA">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（探矿权）证号</w:t>
            </w:r>
          </w:p>
        </w:tc>
        <w:tc>
          <w:tcPr>
            <w:tcW w:w="3749" w:type="dxa"/>
            <w:gridSpan w:val="3"/>
            <w:noWrap w:val="0"/>
            <w:vAlign w:val="center"/>
          </w:tcPr>
          <w:p w14:paraId="528269C9">
            <w:pPr>
              <w:keepNext w:val="0"/>
              <w:keepLines w:val="0"/>
              <w:pageBreakBefore w:val="0"/>
              <w:widowControl w:val="0"/>
              <w:kinsoku/>
              <w:wordWrap/>
              <w:overflowPunct/>
              <w:topLinePunct w:val="0"/>
              <w:autoSpaceDE/>
              <w:autoSpaceDN/>
              <w:bidi w:val="0"/>
              <w:adjustRightInd/>
              <w:spacing w:line="420" w:lineRule="exact"/>
              <w:jc w:val="center"/>
              <w:textAlignment w:val="auto"/>
              <w:rPr>
                <w:rFonts w:hint="eastAsia" w:ascii="宋体" w:hAnsi="宋体" w:cs="宋体"/>
                <w:color w:val="auto"/>
                <w:sz w:val="24"/>
                <w:szCs w:val="24"/>
                <w:highlight w:val="none"/>
              </w:rPr>
            </w:pPr>
          </w:p>
        </w:tc>
      </w:tr>
      <w:tr w14:paraId="4576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69" w:type="dxa"/>
            <w:gridSpan w:val="2"/>
            <w:vMerge w:val="continue"/>
            <w:noWrap w:val="0"/>
            <w:vAlign w:val="center"/>
          </w:tcPr>
          <w:p w14:paraId="5D7DEED1">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p>
        </w:tc>
        <w:tc>
          <w:tcPr>
            <w:tcW w:w="1061" w:type="dxa"/>
            <w:vMerge w:val="continue"/>
            <w:noWrap w:val="0"/>
            <w:vAlign w:val="center"/>
          </w:tcPr>
          <w:p w14:paraId="0B0EF1AB">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p>
        </w:tc>
        <w:tc>
          <w:tcPr>
            <w:tcW w:w="1784" w:type="dxa"/>
            <w:gridSpan w:val="3"/>
            <w:noWrap w:val="0"/>
            <w:vAlign w:val="center"/>
          </w:tcPr>
          <w:p w14:paraId="14322168">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探矿权有效期</w:t>
            </w:r>
          </w:p>
        </w:tc>
        <w:tc>
          <w:tcPr>
            <w:tcW w:w="3749" w:type="dxa"/>
            <w:gridSpan w:val="3"/>
            <w:noWrap w:val="0"/>
            <w:vAlign w:val="center"/>
          </w:tcPr>
          <w:p w14:paraId="09ADE599">
            <w:pPr>
              <w:keepNext w:val="0"/>
              <w:keepLines w:val="0"/>
              <w:pageBreakBefore w:val="0"/>
              <w:widowControl w:val="0"/>
              <w:kinsoku/>
              <w:wordWrap/>
              <w:overflowPunct/>
              <w:topLinePunct w:val="0"/>
              <w:autoSpaceDE/>
              <w:autoSpaceDN/>
              <w:bidi w:val="0"/>
              <w:adjustRightInd/>
              <w:spacing w:line="420" w:lineRule="exact"/>
              <w:jc w:val="center"/>
              <w:textAlignment w:val="auto"/>
              <w:rPr>
                <w:rFonts w:hint="eastAsia" w:ascii="宋体" w:hAnsi="宋体" w:cs="宋体"/>
                <w:color w:val="auto"/>
                <w:sz w:val="24"/>
                <w:szCs w:val="24"/>
                <w:highlight w:val="none"/>
              </w:rPr>
            </w:pPr>
          </w:p>
        </w:tc>
      </w:tr>
      <w:tr w14:paraId="6EA6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69" w:type="dxa"/>
            <w:gridSpan w:val="2"/>
            <w:vMerge w:val="continue"/>
            <w:noWrap w:val="0"/>
            <w:vAlign w:val="center"/>
          </w:tcPr>
          <w:p w14:paraId="335AC956">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p>
        </w:tc>
        <w:tc>
          <w:tcPr>
            <w:tcW w:w="1061" w:type="dxa"/>
            <w:vMerge w:val="restart"/>
            <w:noWrap w:val="0"/>
            <w:vAlign w:val="center"/>
          </w:tcPr>
          <w:p w14:paraId="6DDD31EE">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采矿权信息</w:t>
            </w:r>
          </w:p>
        </w:tc>
        <w:tc>
          <w:tcPr>
            <w:tcW w:w="1784" w:type="dxa"/>
            <w:gridSpan w:val="3"/>
            <w:noWrap w:val="0"/>
            <w:vAlign w:val="center"/>
          </w:tcPr>
          <w:p w14:paraId="25E585F7">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矿业权人</w:t>
            </w:r>
          </w:p>
        </w:tc>
        <w:tc>
          <w:tcPr>
            <w:tcW w:w="3749" w:type="dxa"/>
            <w:gridSpan w:val="3"/>
            <w:noWrap w:val="0"/>
            <w:vAlign w:val="center"/>
          </w:tcPr>
          <w:p w14:paraId="5E5D7A42">
            <w:pPr>
              <w:keepNext w:val="0"/>
              <w:keepLines w:val="0"/>
              <w:pageBreakBefore w:val="0"/>
              <w:widowControl w:val="0"/>
              <w:kinsoku/>
              <w:wordWrap/>
              <w:overflowPunct/>
              <w:topLinePunct w:val="0"/>
              <w:autoSpaceDE/>
              <w:autoSpaceDN/>
              <w:bidi w:val="0"/>
              <w:adjustRightInd/>
              <w:spacing w:line="420" w:lineRule="exact"/>
              <w:jc w:val="center"/>
              <w:textAlignment w:val="auto"/>
              <w:rPr>
                <w:rFonts w:hint="eastAsia" w:ascii="宋体" w:hAnsi="宋体" w:cs="宋体"/>
                <w:color w:val="auto"/>
                <w:sz w:val="24"/>
                <w:szCs w:val="24"/>
                <w:highlight w:val="none"/>
              </w:rPr>
            </w:pPr>
            <w:r>
              <w:rPr>
                <w:rFonts w:hint="eastAsia" w:ascii="仿宋_GB2312" w:hAnsi="宋体" w:eastAsia="仿宋_GB2312"/>
                <w:b w:val="0"/>
                <w:bCs/>
                <w:color w:val="auto"/>
                <w:sz w:val="24"/>
                <w:szCs w:val="24"/>
                <w:highlight w:val="none"/>
              </w:rPr>
              <w:t>明溪县钰岩石材料加工厂</w:t>
            </w:r>
          </w:p>
        </w:tc>
      </w:tr>
      <w:tr w14:paraId="0C3B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269" w:type="dxa"/>
            <w:gridSpan w:val="2"/>
            <w:vMerge w:val="continue"/>
            <w:noWrap w:val="0"/>
            <w:vAlign w:val="center"/>
          </w:tcPr>
          <w:p w14:paraId="68C7A23E">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p>
        </w:tc>
        <w:tc>
          <w:tcPr>
            <w:tcW w:w="1061" w:type="dxa"/>
            <w:vMerge w:val="continue"/>
            <w:noWrap w:val="0"/>
            <w:vAlign w:val="center"/>
          </w:tcPr>
          <w:p w14:paraId="09DC5FE5">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p>
        </w:tc>
        <w:tc>
          <w:tcPr>
            <w:tcW w:w="1784" w:type="dxa"/>
            <w:gridSpan w:val="3"/>
            <w:noWrap w:val="0"/>
            <w:vAlign w:val="center"/>
          </w:tcPr>
          <w:p w14:paraId="5DC09A2D">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不动产权证书</w:t>
            </w:r>
          </w:p>
          <w:p w14:paraId="2D690AA7">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（采矿权）证号</w:t>
            </w:r>
          </w:p>
        </w:tc>
        <w:tc>
          <w:tcPr>
            <w:tcW w:w="3749" w:type="dxa"/>
            <w:gridSpan w:val="3"/>
            <w:noWrap w:val="0"/>
            <w:vAlign w:val="center"/>
          </w:tcPr>
          <w:p w14:paraId="223DD7FF">
            <w:pPr>
              <w:keepNext w:val="0"/>
              <w:keepLines w:val="0"/>
              <w:pageBreakBefore w:val="0"/>
              <w:widowControl w:val="0"/>
              <w:kinsoku/>
              <w:wordWrap/>
              <w:overflowPunct/>
              <w:topLinePunct w:val="0"/>
              <w:autoSpaceDE/>
              <w:autoSpaceDN/>
              <w:bidi w:val="0"/>
              <w:adjustRightInd/>
              <w:spacing w:line="420" w:lineRule="exact"/>
              <w:jc w:val="center"/>
              <w:textAlignment w:val="auto"/>
              <w:rPr>
                <w:rFonts w:hint="eastAsia" w:ascii="宋体" w:hAnsi="宋体" w:cs="宋体"/>
                <w:color w:val="auto"/>
                <w:sz w:val="24"/>
                <w:szCs w:val="24"/>
                <w:highlight w:val="none"/>
              </w:rPr>
            </w:pPr>
            <w:r>
              <w:rPr>
                <w:rFonts w:hint="eastAsia" w:ascii="仿宋_GB2312" w:hAnsi="宋体" w:eastAsia="仿宋_GB2312" w:cs="Times New Roman"/>
                <w:b w:val="0"/>
                <w:bCs/>
                <w:color w:val="auto"/>
                <w:sz w:val="24"/>
                <w:szCs w:val="24"/>
                <w:highlight w:val="none"/>
                <w:lang w:val="en-US" w:eastAsia="zh-CN"/>
              </w:rPr>
              <w:t>C3504212010016120054514</w:t>
            </w:r>
          </w:p>
        </w:tc>
      </w:tr>
      <w:tr w14:paraId="42DF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269" w:type="dxa"/>
            <w:gridSpan w:val="2"/>
            <w:vMerge w:val="continue"/>
            <w:noWrap w:val="0"/>
            <w:vAlign w:val="center"/>
          </w:tcPr>
          <w:p w14:paraId="6239150E">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rPr>
            </w:pPr>
          </w:p>
        </w:tc>
        <w:tc>
          <w:tcPr>
            <w:tcW w:w="1061" w:type="dxa"/>
            <w:vMerge w:val="continue"/>
            <w:noWrap w:val="0"/>
            <w:vAlign w:val="center"/>
          </w:tcPr>
          <w:p w14:paraId="38E2C026">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lang w:val="en-US" w:eastAsia="zh-CN"/>
              </w:rPr>
            </w:pPr>
          </w:p>
        </w:tc>
        <w:tc>
          <w:tcPr>
            <w:tcW w:w="1784" w:type="dxa"/>
            <w:gridSpan w:val="3"/>
            <w:noWrap w:val="0"/>
            <w:vAlign w:val="center"/>
          </w:tcPr>
          <w:p w14:paraId="2561DEEE">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采矿权有效期</w:t>
            </w:r>
          </w:p>
        </w:tc>
        <w:tc>
          <w:tcPr>
            <w:tcW w:w="3749" w:type="dxa"/>
            <w:gridSpan w:val="3"/>
            <w:noWrap w:val="0"/>
            <w:vAlign w:val="center"/>
          </w:tcPr>
          <w:p w14:paraId="76BCB5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自</w:t>
            </w:r>
            <w:r>
              <w:rPr>
                <w:rFonts w:hint="eastAsia" w:ascii="宋体" w:hAnsi="宋体" w:cs="宋体"/>
                <w:color w:val="auto"/>
                <w:sz w:val="24"/>
                <w:szCs w:val="24"/>
                <w:highlight w:val="none"/>
                <w:lang w:val="en-US" w:eastAsia="zh-CN"/>
              </w:rPr>
              <w:t>2023</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日</w:t>
            </w:r>
          </w:p>
          <w:p w14:paraId="06FE4A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至20</w:t>
            </w:r>
            <w:r>
              <w:rPr>
                <w:rFonts w:hint="eastAsia" w:ascii="宋体" w:hAnsi="宋体" w:cs="宋体"/>
                <w:color w:val="auto"/>
                <w:sz w:val="24"/>
                <w:szCs w:val="24"/>
                <w:highlight w:val="none"/>
                <w:lang w:val="en-US" w:eastAsia="zh-CN"/>
              </w:rPr>
              <w:t>33</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日</w:t>
            </w:r>
          </w:p>
        </w:tc>
      </w:tr>
      <w:tr w14:paraId="25E3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0" w:hRule="atLeast"/>
          <w:jc w:val="center"/>
        </w:trPr>
        <w:tc>
          <w:tcPr>
            <w:tcW w:w="2269" w:type="dxa"/>
            <w:gridSpan w:val="2"/>
            <w:noWrap w:val="0"/>
            <w:vAlign w:val="center"/>
          </w:tcPr>
          <w:p w14:paraId="0B50C60B">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lang w:val="en-US" w:eastAsia="zh-CN"/>
              </w:rPr>
              <w:t>矿业权人</w:t>
            </w:r>
            <w:r>
              <w:rPr>
                <w:rFonts w:hint="eastAsia" w:ascii="黑体" w:hAnsi="黑体" w:eastAsia="黑体"/>
                <w:color w:val="auto"/>
                <w:sz w:val="24"/>
                <w:szCs w:val="24"/>
                <w:highlight w:val="none"/>
              </w:rPr>
              <w:t>承诺</w:t>
            </w:r>
          </w:p>
        </w:tc>
        <w:tc>
          <w:tcPr>
            <w:tcW w:w="6594" w:type="dxa"/>
            <w:gridSpan w:val="7"/>
            <w:noWrap w:val="0"/>
            <w:vAlign w:val="center"/>
          </w:tcPr>
          <w:p w14:paraId="49757E01">
            <w:pPr>
              <w:keepNext w:val="0"/>
              <w:keepLines w:val="0"/>
              <w:pageBreakBefore w:val="0"/>
              <w:widowControl w:val="0"/>
              <w:kinsoku/>
              <w:wordWrap/>
              <w:overflowPunct/>
              <w:topLinePunct w:val="0"/>
              <w:autoSpaceDE/>
              <w:autoSpaceDN/>
              <w:bidi w:val="0"/>
              <w:adjustRightInd/>
              <w:spacing w:line="420" w:lineRule="exact"/>
              <w:ind w:firstLine="482"/>
              <w:textAlignment w:val="auto"/>
              <w:rPr>
                <w:rFonts w:hint="eastAsia" w:ascii="仿宋_GB2312" w:hAnsi="宋体" w:eastAsia="仿宋_GB2312" w:cs="宋体"/>
                <w:color w:val="auto"/>
                <w:sz w:val="24"/>
                <w:szCs w:val="24"/>
                <w:highlight w:val="none"/>
              </w:rPr>
            </w:pPr>
            <w:r>
              <w:rPr>
                <w:rFonts w:hint="eastAsia" w:ascii="仿宋_GB2312" w:hAnsi="宋体" w:eastAsia="仿宋_GB2312" w:cs="宋体"/>
                <w:color w:val="auto"/>
                <w:sz w:val="24"/>
                <w:szCs w:val="24"/>
                <w:highlight w:val="none"/>
              </w:rPr>
              <w:t>我单位已按要求编制</w:t>
            </w:r>
            <w:r>
              <w:rPr>
                <w:rFonts w:hint="eastAsia" w:hAnsi="宋体" w:cs="宋体"/>
                <w:color w:val="auto"/>
                <w:sz w:val="24"/>
                <w:szCs w:val="24"/>
                <w:highlight w:val="none"/>
                <w:lang w:val="en-US" w:eastAsia="zh-CN"/>
              </w:rPr>
              <w:t>开采</w:t>
            </w:r>
            <w:r>
              <w:rPr>
                <w:rFonts w:hint="eastAsia" w:ascii="仿宋_GB2312" w:hAnsi="宋体" w:eastAsia="仿宋_GB2312" w:cs="宋体"/>
                <w:color w:val="auto"/>
                <w:sz w:val="24"/>
                <w:szCs w:val="24"/>
                <w:highlight w:val="none"/>
              </w:rPr>
              <w:t>方案，现承诺如下：</w:t>
            </w:r>
          </w:p>
          <w:p w14:paraId="05CBDF1B">
            <w:pPr>
              <w:keepNext w:val="0"/>
              <w:keepLines w:val="0"/>
              <w:pageBreakBefore w:val="0"/>
              <w:widowControl w:val="0"/>
              <w:kinsoku/>
              <w:wordWrap/>
              <w:overflowPunct/>
              <w:topLinePunct w:val="0"/>
              <w:autoSpaceDE/>
              <w:autoSpaceDN/>
              <w:bidi w:val="0"/>
              <w:adjustRightInd/>
              <w:spacing w:line="420" w:lineRule="exact"/>
              <w:ind w:firstLine="482"/>
              <w:textAlignment w:val="auto"/>
              <w:rPr>
                <w:rFonts w:hint="eastAsia" w:ascii="仿宋_GB2312" w:hAnsi="宋体" w:eastAsia="仿宋_GB2312" w:cs="宋体"/>
                <w:color w:val="auto"/>
                <w:sz w:val="24"/>
                <w:szCs w:val="24"/>
                <w:highlight w:val="none"/>
              </w:rPr>
            </w:pPr>
            <w:r>
              <w:rPr>
                <w:rFonts w:hint="eastAsia" w:ascii="仿宋_GB2312" w:hAnsi="宋体" w:eastAsia="仿宋_GB2312" w:cs="宋体"/>
                <w:color w:val="auto"/>
                <w:sz w:val="24"/>
                <w:szCs w:val="24"/>
                <w:highlight w:val="none"/>
              </w:rPr>
              <w:t>1.方案内容真实、符合技术规范要求。</w:t>
            </w:r>
          </w:p>
          <w:p w14:paraId="53897221">
            <w:pPr>
              <w:keepNext w:val="0"/>
              <w:keepLines w:val="0"/>
              <w:pageBreakBefore w:val="0"/>
              <w:widowControl w:val="0"/>
              <w:kinsoku/>
              <w:wordWrap/>
              <w:overflowPunct/>
              <w:topLinePunct w:val="0"/>
              <w:autoSpaceDE/>
              <w:autoSpaceDN/>
              <w:bidi w:val="0"/>
              <w:adjustRightInd/>
              <w:spacing w:line="420" w:lineRule="exact"/>
              <w:ind w:firstLine="482"/>
              <w:textAlignment w:val="auto"/>
              <w:rPr>
                <w:rFonts w:hint="eastAsia" w:ascii="仿宋_GB2312" w:hAnsi="宋体" w:eastAsia="仿宋_GB2312" w:cs="宋体"/>
                <w:color w:val="auto"/>
                <w:sz w:val="24"/>
                <w:szCs w:val="24"/>
                <w:highlight w:val="none"/>
              </w:rPr>
            </w:pPr>
            <w:r>
              <w:rPr>
                <w:rFonts w:hint="eastAsia" w:ascii="仿宋_GB2312" w:hAnsi="宋体" w:eastAsia="仿宋_GB2312" w:cs="宋体"/>
                <w:color w:val="auto"/>
                <w:sz w:val="24"/>
                <w:szCs w:val="24"/>
                <w:highlight w:val="none"/>
              </w:rPr>
              <w:t>2.将按照本方案做好矿产资源合理开发利用和保护工作，严格按照批准的</w:t>
            </w:r>
            <w:r>
              <w:rPr>
                <w:rFonts w:hint="eastAsia" w:ascii="仿宋_GB2312" w:hAnsi="宋体" w:eastAsia="仿宋_GB2312" w:cs="宋体"/>
                <w:color w:val="auto"/>
                <w:sz w:val="24"/>
                <w:szCs w:val="24"/>
                <w:highlight w:val="none"/>
                <w:lang w:val="en-US" w:eastAsia="zh-CN"/>
              </w:rPr>
              <w:t>开采区域</w:t>
            </w:r>
            <w:r>
              <w:rPr>
                <w:rFonts w:hint="eastAsia" w:ascii="仿宋_GB2312" w:hAnsi="宋体" w:eastAsia="仿宋_GB2312" w:cs="宋体"/>
                <w:color w:val="auto"/>
                <w:sz w:val="24"/>
                <w:szCs w:val="24"/>
                <w:highlight w:val="none"/>
              </w:rPr>
              <w:t>、开采方式、开采矿种等进行开采</w:t>
            </w:r>
            <w:r>
              <w:rPr>
                <w:rFonts w:hint="eastAsia" w:ascii="仿宋_GB2312" w:hAnsi="宋体" w:eastAsia="仿宋_GB2312" w:cs="宋体"/>
                <w:color w:val="auto"/>
                <w:sz w:val="24"/>
                <w:szCs w:val="24"/>
                <w:highlight w:val="none"/>
                <w:lang w:eastAsia="zh-CN"/>
              </w:rPr>
              <w:t>。</w:t>
            </w:r>
            <w:r>
              <w:rPr>
                <w:rFonts w:hint="eastAsia" w:ascii="仿宋_GB2312" w:hAnsi="宋体" w:eastAsia="仿宋_GB2312" w:cs="宋体"/>
                <w:color w:val="auto"/>
                <w:sz w:val="24"/>
                <w:szCs w:val="24"/>
                <w:highlight w:val="none"/>
              </w:rPr>
              <w:t>矿产资源开采回采率和综合利用率达到国家</w:t>
            </w:r>
            <w:r>
              <w:rPr>
                <w:rFonts w:hint="eastAsia" w:ascii="仿宋_GB2312" w:hAnsi="宋体" w:eastAsia="仿宋_GB2312" w:cs="宋体"/>
                <w:color w:val="auto"/>
                <w:sz w:val="24"/>
                <w:szCs w:val="24"/>
                <w:highlight w:val="none"/>
                <w:lang w:eastAsia="zh-CN"/>
              </w:rPr>
              <w:t>有关</w:t>
            </w:r>
            <w:r>
              <w:rPr>
                <w:rFonts w:hint="eastAsia" w:hAnsi="宋体" w:cs="宋体"/>
                <w:color w:val="auto"/>
                <w:sz w:val="24"/>
                <w:szCs w:val="24"/>
                <w:highlight w:val="none"/>
                <w:lang w:val="en-US" w:eastAsia="zh-CN"/>
              </w:rPr>
              <w:t>标准</w:t>
            </w:r>
            <w:r>
              <w:rPr>
                <w:rFonts w:hint="eastAsia" w:ascii="仿宋_GB2312" w:hAnsi="宋体" w:eastAsia="仿宋_GB2312" w:cs="宋体"/>
                <w:color w:val="auto"/>
                <w:sz w:val="24"/>
                <w:szCs w:val="24"/>
                <w:highlight w:val="none"/>
              </w:rPr>
              <w:t>要求。自觉接受相关部门监督管理。</w:t>
            </w:r>
          </w:p>
          <w:p w14:paraId="4DB134A1">
            <w:pPr>
              <w:keepNext w:val="0"/>
              <w:keepLines w:val="0"/>
              <w:pageBreakBefore w:val="0"/>
              <w:widowControl w:val="0"/>
              <w:kinsoku/>
              <w:wordWrap/>
              <w:overflowPunct/>
              <w:topLinePunct w:val="0"/>
              <w:autoSpaceDE/>
              <w:autoSpaceDN/>
              <w:bidi w:val="0"/>
              <w:adjustRightInd/>
              <w:spacing w:line="420" w:lineRule="exact"/>
              <w:ind w:firstLine="482"/>
              <w:textAlignment w:val="auto"/>
              <w:rPr>
                <w:rFonts w:hint="eastAsia" w:ascii="仿宋_GB2312" w:hAnsi="宋体" w:eastAsia="仿宋_GB2312"/>
                <w:color w:val="auto"/>
                <w:sz w:val="24"/>
                <w:szCs w:val="24"/>
                <w:highlight w:val="none"/>
              </w:rPr>
            </w:pPr>
            <w:r>
              <w:rPr>
                <w:rFonts w:hint="eastAsia" w:ascii="仿宋_GB2312" w:hAnsi="宋体" w:eastAsia="仿宋_GB2312" w:cs="宋体"/>
                <w:color w:val="auto"/>
                <w:sz w:val="24"/>
                <w:szCs w:val="24"/>
                <w:highlight w:val="none"/>
              </w:rPr>
              <w:t>3.严格遵守矿产资源法律法规、相关矿业权管理政策，依法有效保护、合理开采、综合利用矿产资源，依法保护生态环境，建设绿色矿山。</w:t>
            </w:r>
          </w:p>
          <w:p w14:paraId="0B1465CD">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_GB2312" w:hAnsi="宋体" w:eastAsia="仿宋_GB2312" w:cs="宋体"/>
                <w:color w:val="auto"/>
                <w:sz w:val="24"/>
                <w:szCs w:val="24"/>
                <w:highlight w:val="none"/>
              </w:rPr>
            </w:pPr>
          </w:p>
          <w:p w14:paraId="1915FFFE">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_GB2312" w:hAnsi="宋体" w:eastAsia="仿宋_GB2312" w:cs="宋体"/>
                <w:color w:val="auto"/>
                <w:sz w:val="24"/>
                <w:szCs w:val="24"/>
                <w:highlight w:val="none"/>
              </w:rPr>
            </w:pPr>
          </w:p>
          <w:p w14:paraId="124C4B50">
            <w:pPr>
              <w:keepNext w:val="0"/>
              <w:keepLines w:val="0"/>
              <w:pageBreakBefore w:val="0"/>
              <w:widowControl w:val="0"/>
              <w:kinsoku/>
              <w:wordWrap/>
              <w:overflowPunct/>
              <w:topLinePunct w:val="0"/>
              <w:autoSpaceDE/>
              <w:autoSpaceDN/>
              <w:bidi w:val="0"/>
              <w:adjustRightInd/>
              <w:spacing w:line="420" w:lineRule="exact"/>
              <w:ind w:right="480"/>
              <w:jc w:val="center"/>
              <w:textAlignment w:val="auto"/>
              <w:rPr>
                <w:rFonts w:hint="eastAsia" w:ascii="仿宋_GB2312" w:hAnsi="宋体" w:eastAsia="仿宋_GB2312" w:cs="宋体"/>
                <w:color w:val="auto"/>
                <w:sz w:val="24"/>
                <w:szCs w:val="24"/>
                <w:highlight w:val="none"/>
                <w:u w:val="none"/>
              </w:rPr>
            </w:pPr>
            <w:r>
              <w:rPr>
                <w:rFonts w:hint="eastAsia" w:ascii="仿宋_GB2312" w:hAnsi="宋体" w:eastAsia="仿宋_GB2312" w:cs="宋体"/>
                <w:color w:val="auto"/>
                <w:sz w:val="24"/>
                <w:szCs w:val="24"/>
                <w:highlight w:val="none"/>
              </w:rPr>
              <w:t xml:space="preserve">            </w:t>
            </w:r>
            <w:r>
              <w:rPr>
                <w:rFonts w:hint="eastAsia" w:hAnsi="宋体" w:cs="宋体"/>
                <w:color w:val="auto"/>
                <w:sz w:val="24"/>
                <w:szCs w:val="24"/>
                <w:highlight w:val="none"/>
                <w:lang w:val="en-US" w:eastAsia="zh-CN"/>
              </w:rPr>
              <w:t>采矿权人</w:t>
            </w:r>
            <w:r>
              <w:rPr>
                <w:rFonts w:hint="eastAsia" w:ascii="仿宋_GB2312" w:hAnsi="宋体" w:eastAsia="仿宋_GB2312" w:cs="宋体"/>
                <w:color w:val="auto"/>
                <w:sz w:val="24"/>
                <w:szCs w:val="24"/>
                <w:highlight w:val="none"/>
              </w:rPr>
              <w:t>（盖章）：</w:t>
            </w:r>
            <w:r>
              <w:rPr>
                <w:rFonts w:hint="eastAsia" w:ascii="仿宋_GB2312" w:hAnsi="宋体" w:eastAsia="仿宋_GB2312" w:cs="宋体"/>
                <w:color w:val="auto"/>
                <w:sz w:val="24"/>
                <w:szCs w:val="24"/>
                <w:highlight w:val="none"/>
                <w:u w:val="none"/>
              </w:rPr>
              <w:t xml:space="preserve">   </w:t>
            </w:r>
          </w:p>
          <w:p w14:paraId="430E96C5">
            <w:pPr>
              <w:keepNext w:val="0"/>
              <w:keepLines w:val="0"/>
              <w:pageBreakBefore w:val="0"/>
              <w:widowControl w:val="0"/>
              <w:kinsoku/>
              <w:wordWrap/>
              <w:overflowPunct/>
              <w:topLinePunct w:val="0"/>
              <w:autoSpaceDE/>
              <w:autoSpaceDN/>
              <w:bidi w:val="0"/>
              <w:adjustRightInd/>
              <w:spacing w:line="420" w:lineRule="exact"/>
              <w:ind w:right="480"/>
              <w:jc w:val="center"/>
              <w:textAlignment w:val="auto"/>
              <w:rPr>
                <w:rFonts w:hint="eastAsia" w:ascii="仿宋_GB2312" w:hAnsi="宋体" w:eastAsia="仿宋_GB2312" w:cs="宋体"/>
                <w:color w:val="auto"/>
                <w:sz w:val="24"/>
                <w:szCs w:val="24"/>
                <w:highlight w:val="none"/>
                <w:u w:val="single"/>
              </w:rPr>
            </w:pPr>
            <w:r>
              <w:rPr>
                <w:rFonts w:hint="eastAsia" w:ascii="仿宋_GB2312" w:hAnsi="宋体" w:eastAsia="仿宋_GB2312" w:cs="宋体"/>
                <w:color w:val="auto"/>
                <w:sz w:val="24"/>
                <w:szCs w:val="24"/>
                <w:highlight w:val="none"/>
                <w:u w:val="none"/>
              </w:rPr>
              <w:t xml:space="preserve">  </w:t>
            </w:r>
          </w:p>
        </w:tc>
      </w:tr>
    </w:tbl>
    <w:p w14:paraId="366B990E">
      <w:pPr>
        <w:pStyle w:val="2"/>
        <w:keepNext w:val="0"/>
        <w:keepLines w:val="0"/>
        <w:pageBreakBefore w:val="0"/>
        <w:widowControl w:val="0"/>
        <w:kinsoku/>
        <w:wordWrap/>
        <w:overflowPunct/>
        <w:topLinePunct w:val="0"/>
        <w:autoSpaceDE/>
        <w:autoSpaceDN/>
        <w:bidi w:val="0"/>
        <w:adjustRightInd/>
        <w:snapToGrid/>
        <w:spacing w:before="292" w:beforeLines="50" w:after="292" w:afterLines="50" w:line="570" w:lineRule="exact"/>
        <w:ind w:firstLine="640" w:firstLineChars="200"/>
        <w:textAlignment w:val="auto"/>
        <w:rPr>
          <w:rFonts w:hint="eastAsia" w:ascii="黑体" w:hAnsi="黑体" w:eastAsia="黑体" w:cs="宋体"/>
          <w:b w:val="0"/>
          <w:color w:val="auto"/>
          <w:sz w:val="32"/>
          <w:szCs w:val="32"/>
          <w:highlight w:val="none"/>
        </w:rPr>
      </w:pPr>
      <w:bookmarkStart w:id="0" w:name="_Toc162790494"/>
      <w:bookmarkStart w:id="1" w:name="_Toc156463652"/>
      <w:bookmarkStart w:id="2" w:name="_Toc167307726"/>
      <w:bookmarkStart w:id="3" w:name="_Toc163549734"/>
      <w:bookmarkStart w:id="4" w:name="_Toc162962736"/>
      <w:bookmarkStart w:id="5" w:name="_Toc162551732"/>
      <w:bookmarkStart w:id="6" w:name="_Toc165902634"/>
      <w:bookmarkStart w:id="7" w:name="_Toc164437483"/>
      <w:bookmarkStart w:id="8" w:name="_Toc162551463"/>
      <w:bookmarkStart w:id="9" w:name="_Toc156410931"/>
      <w:bookmarkStart w:id="10" w:name="_Toc31400"/>
      <w:bookmarkStart w:id="11" w:name="_Toc5137"/>
      <w:bookmarkStart w:id="12" w:name="_Toc16967"/>
    </w:p>
    <w:bookmarkEnd w:id="0"/>
    <w:bookmarkEnd w:id="1"/>
    <w:bookmarkEnd w:id="2"/>
    <w:bookmarkEnd w:id="3"/>
    <w:bookmarkEnd w:id="4"/>
    <w:bookmarkEnd w:id="5"/>
    <w:bookmarkEnd w:id="6"/>
    <w:bookmarkEnd w:id="7"/>
    <w:bookmarkEnd w:id="8"/>
    <w:bookmarkEnd w:id="9"/>
    <w:bookmarkEnd w:id="10"/>
    <w:bookmarkEnd w:id="11"/>
    <w:bookmarkEnd w:id="12"/>
    <w:p w14:paraId="11869C2F">
      <w:pPr>
        <w:keepNext w:val="0"/>
        <w:keepLines w:val="0"/>
        <w:pageBreakBefore w:val="0"/>
        <w:widowControl w:val="0"/>
        <w:kinsoku/>
        <w:wordWrap/>
        <w:overflowPunct/>
        <w:topLinePunct w:val="0"/>
        <w:autoSpaceDE/>
        <w:autoSpaceDN/>
        <w:bidi w:val="0"/>
        <w:adjustRightInd/>
        <w:snapToGrid/>
        <w:spacing w:after="157" w:afterLines="50" w:line="570" w:lineRule="exact"/>
        <w:jc w:val="center"/>
        <w:textAlignment w:val="auto"/>
        <w:rPr>
          <w:rFonts w:hint="eastAsia" w:ascii="方正小标宋简体" w:hAnsi="黑体" w:eastAsia="方正小标宋简体"/>
          <w:color w:val="auto"/>
          <w:sz w:val="32"/>
          <w:szCs w:val="32"/>
          <w:highlight w:val="none"/>
          <w:lang w:val="en-US" w:eastAsia="zh-CN"/>
        </w:rPr>
      </w:pPr>
      <w:r>
        <w:rPr>
          <w:rFonts w:hint="eastAsia" w:ascii="方正小标宋简体" w:hAnsi="黑体" w:eastAsia="方正小标宋简体"/>
          <w:color w:val="auto"/>
          <w:sz w:val="32"/>
          <w:szCs w:val="32"/>
          <w:highlight w:val="none"/>
          <w:lang w:val="en-US" w:eastAsia="zh-CN"/>
        </w:rPr>
        <w:br w:type="page"/>
      </w:r>
      <w:r>
        <w:rPr>
          <w:rFonts w:hint="eastAsia" w:ascii="方正小标宋简体" w:hAnsi="黑体" w:eastAsia="方正小标宋简体"/>
          <w:color w:val="auto"/>
          <w:sz w:val="32"/>
          <w:szCs w:val="32"/>
          <w:highlight w:val="none"/>
          <w:lang w:val="en-US" w:eastAsia="zh-CN"/>
        </w:rPr>
        <w:t>矿产资源开采方案综合信息表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1790"/>
        <w:gridCol w:w="1426"/>
        <w:gridCol w:w="600"/>
        <w:gridCol w:w="1707"/>
        <w:gridCol w:w="1580"/>
      </w:tblGrid>
      <w:tr w14:paraId="6BE6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noWrap w:val="0"/>
            <w:vAlign w:val="center"/>
          </w:tcPr>
          <w:p w14:paraId="453B18A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企业名称</w:t>
            </w:r>
          </w:p>
        </w:tc>
        <w:tc>
          <w:tcPr>
            <w:tcW w:w="7103" w:type="dxa"/>
            <w:gridSpan w:val="5"/>
            <w:noWrap w:val="0"/>
            <w:vAlign w:val="center"/>
          </w:tcPr>
          <w:p w14:paraId="65839D9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hAnsi="黑体" w:eastAsia="仿宋_GB2312"/>
                <w:color w:val="auto"/>
                <w:sz w:val="24"/>
                <w:szCs w:val="24"/>
                <w:highlight w:val="none"/>
              </w:rPr>
            </w:pPr>
            <w:r>
              <w:rPr>
                <w:rFonts w:hint="eastAsia" w:ascii="仿宋_GB2312" w:hAnsi="宋体" w:eastAsia="仿宋_GB2312"/>
                <w:b w:val="0"/>
                <w:bCs/>
                <w:color w:val="auto"/>
                <w:sz w:val="24"/>
                <w:szCs w:val="24"/>
                <w:highlight w:val="none"/>
              </w:rPr>
              <w:t>明溪县钰岩石材料加工厂</w:t>
            </w:r>
          </w:p>
        </w:tc>
      </w:tr>
      <w:tr w14:paraId="3402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noWrap w:val="0"/>
            <w:vAlign w:val="center"/>
          </w:tcPr>
          <w:p w14:paraId="3CA470D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矿山名称</w:t>
            </w:r>
          </w:p>
        </w:tc>
        <w:tc>
          <w:tcPr>
            <w:tcW w:w="7103" w:type="dxa"/>
            <w:gridSpan w:val="5"/>
            <w:noWrap w:val="0"/>
            <w:vAlign w:val="center"/>
          </w:tcPr>
          <w:p w14:paraId="4951D8A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hAnsi="黑体" w:eastAsia="仿宋_GB2312"/>
                <w:color w:val="auto"/>
                <w:sz w:val="24"/>
                <w:szCs w:val="24"/>
                <w:highlight w:val="none"/>
              </w:rPr>
            </w:pPr>
            <w:r>
              <w:rPr>
                <w:rFonts w:hint="eastAsia" w:ascii="仿宋_GB2312" w:hAnsi="宋体" w:eastAsia="仿宋_GB2312"/>
                <w:b w:val="0"/>
                <w:bCs/>
                <w:color w:val="auto"/>
                <w:sz w:val="24"/>
                <w:szCs w:val="24"/>
                <w:highlight w:val="none"/>
              </w:rPr>
              <w:t>明溪县瀚仙矿场上龙坑方解石矿</w:t>
            </w:r>
          </w:p>
        </w:tc>
      </w:tr>
      <w:tr w14:paraId="4619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restart"/>
            <w:noWrap w:val="0"/>
            <w:vAlign w:val="center"/>
          </w:tcPr>
          <w:p w14:paraId="750917A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方案基本情况</w:t>
            </w:r>
          </w:p>
        </w:tc>
        <w:tc>
          <w:tcPr>
            <w:tcW w:w="1790" w:type="dxa"/>
            <w:noWrap w:val="0"/>
            <w:vAlign w:val="center"/>
          </w:tcPr>
          <w:p w14:paraId="48A2B31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lang w:val="en-US" w:eastAsia="zh-CN"/>
              </w:rPr>
              <w:t>开采</w:t>
            </w:r>
            <w:r>
              <w:rPr>
                <w:rFonts w:hint="eastAsia" w:ascii="黑体" w:hAnsi="黑体" w:eastAsia="黑体"/>
                <w:color w:val="auto"/>
                <w:sz w:val="24"/>
                <w:szCs w:val="24"/>
                <w:highlight w:val="none"/>
              </w:rPr>
              <w:t>方案名称</w:t>
            </w:r>
          </w:p>
        </w:tc>
        <w:tc>
          <w:tcPr>
            <w:tcW w:w="5313" w:type="dxa"/>
            <w:gridSpan w:val="4"/>
            <w:noWrap w:val="0"/>
            <w:vAlign w:val="center"/>
          </w:tcPr>
          <w:p w14:paraId="3A51A64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hAnsi="宋体" w:eastAsia="仿宋_GB2312"/>
                <w:b/>
                <w:color w:val="auto"/>
                <w:sz w:val="24"/>
                <w:szCs w:val="24"/>
                <w:highlight w:val="none"/>
              </w:rPr>
            </w:pPr>
            <w:r>
              <w:rPr>
                <w:rFonts w:hint="eastAsia" w:ascii="仿宋_GB2312" w:hAnsi="宋体" w:eastAsia="仿宋_GB2312"/>
                <w:b w:val="0"/>
                <w:bCs/>
                <w:color w:val="auto"/>
                <w:sz w:val="24"/>
                <w:szCs w:val="24"/>
                <w:highlight w:val="none"/>
              </w:rPr>
              <w:t>明溪县瀚仙矿场上龙坑方解石矿</w:t>
            </w:r>
            <w:r>
              <w:rPr>
                <w:rFonts w:hint="eastAsia" w:ascii="仿宋_GB2312" w:hAnsi="宋体" w:eastAsia="仿宋_GB2312" w:cs="Times New Roman"/>
                <w:b w:val="0"/>
                <w:bCs/>
                <w:color w:val="auto"/>
                <w:sz w:val="24"/>
                <w:szCs w:val="24"/>
                <w:highlight w:val="none"/>
                <w:lang w:val="en-US" w:eastAsia="zh-CN"/>
              </w:rPr>
              <w:t>开采</w:t>
            </w:r>
            <w:r>
              <w:rPr>
                <w:rFonts w:hint="eastAsia" w:ascii="仿宋_GB2312" w:hAnsi="宋体" w:eastAsia="仿宋_GB2312" w:cs="Times New Roman"/>
                <w:b w:val="0"/>
                <w:bCs/>
                <w:color w:val="auto"/>
                <w:sz w:val="24"/>
                <w:szCs w:val="24"/>
                <w:highlight w:val="none"/>
              </w:rPr>
              <w:t>方案</w:t>
            </w:r>
          </w:p>
        </w:tc>
      </w:tr>
      <w:tr w14:paraId="7A01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2833672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noWrap w:val="0"/>
            <w:vAlign w:val="center"/>
          </w:tcPr>
          <w:p w14:paraId="6A1DA94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lang w:val="en-US" w:eastAsia="zh-CN"/>
              </w:rPr>
              <w:t>开采</w:t>
            </w:r>
            <w:r>
              <w:rPr>
                <w:rFonts w:hint="eastAsia" w:ascii="黑体" w:hAnsi="黑体" w:eastAsia="黑体"/>
                <w:color w:val="auto"/>
                <w:sz w:val="24"/>
                <w:szCs w:val="24"/>
                <w:highlight w:val="none"/>
              </w:rPr>
              <w:t>方案</w:t>
            </w:r>
          </w:p>
          <w:p w14:paraId="43C8334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编制情形</w:t>
            </w:r>
          </w:p>
        </w:tc>
        <w:tc>
          <w:tcPr>
            <w:tcW w:w="5313" w:type="dxa"/>
            <w:gridSpan w:val="4"/>
            <w:noWrap w:val="0"/>
            <w:vAlign w:val="center"/>
          </w:tcPr>
          <w:p w14:paraId="50B956DC">
            <w:pPr>
              <w:keepNext w:val="0"/>
              <w:keepLines w:val="0"/>
              <w:pageBreakBefore w:val="0"/>
              <w:widowControl w:val="0"/>
              <w:kinsoku/>
              <w:wordWrap/>
              <w:overflowPunct/>
              <w:topLinePunct w:val="0"/>
              <w:autoSpaceDE/>
              <w:autoSpaceDN/>
              <w:bidi w:val="0"/>
              <w:adjustRightInd/>
              <w:snapToGrid/>
              <w:spacing w:line="420" w:lineRule="exact"/>
              <w:ind w:firstLine="240" w:firstLineChars="1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□首次申请采矿权     □延续申请采矿权</w:t>
            </w:r>
          </w:p>
          <w:p w14:paraId="3D751CE3">
            <w:pPr>
              <w:keepNext w:val="0"/>
              <w:keepLines w:val="0"/>
              <w:pageBreakBefore w:val="0"/>
              <w:widowControl w:val="0"/>
              <w:kinsoku/>
              <w:wordWrap/>
              <w:overflowPunct/>
              <w:topLinePunct w:val="0"/>
              <w:autoSpaceDE/>
              <w:autoSpaceDN/>
              <w:bidi w:val="0"/>
              <w:adjustRightInd/>
              <w:snapToGrid/>
              <w:spacing w:line="420" w:lineRule="exact"/>
              <w:ind w:firstLine="240" w:firstLineChars="1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☑扩大开采区域       □缩小开采区域</w:t>
            </w:r>
          </w:p>
          <w:p w14:paraId="2221898D">
            <w:pPr>
              <w:keepNext w:val="0"/>
              <w:keepLines w:val="0"/>
              <w:pageBreakBefore w:val="0"/>
              <w:widowControl w:val="0"/>
              <w:kinsoku/>
              <w:wordWrap/>
              <w:overflowPunct/>
              <w:topLinePunct w:val="0"/>
              <w:autoSpaceDE/>
              <w:autoSpaceDN/>
              <w:bidi w:val="0"/>
              <w:adjustRightInd/>
              <w:snapToGrid/>
              <w:spacing w:line="420" w:lineRule="exact"/>
              <w:ind w:firstLine="240" w:firstLineChars="100"/>
              <w:jc w:val="both"/>
              <w:textAlignment w:val="auto"/>
              <w:rPr>
                <w:rFonts w:hint="default" w:eastAsia="仿宋_GB2312"/>
                <w:color w:val="auto"/>
                <w:spacing w:val="6"/>
                <w:sz w:val="24"/>
                <w:szCs w:val="24"/>
                <w:highlight w:val="none"/>
                <w:lang w:val="en-US" w:eastAsia="zh-CN"/>
              </w:rPr>
            </w:pPr>
            <w:r>
              <w:rPr>
                <w:rFonts w:hint="eastAsia" w:ascii="宋体" w:hAnsi="宋体" w:cs="宋体"/>
                <w:color w:val="auto"/>
                <w:sz w:val="24"/>
                <w:szCs w:val="24"/>
                <w:highlight w:val="none"/>
                <w:lang w:val="en-US" w:eastAsia="zh-CN"/>
              </w:rPr>
              <w:t>□变更主要开采矿种   □变更开采方式</w:t>
            </w:r>
          </w:p>
        </w:tc>
      </w:tr>
      <w:tr w14:paraId="0B96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2945758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restart"/>
            <w:noWrap w:val="0"/>
            <w:vAlign w:val="center"/>
          </w:tcPr>
          <w:p w14:paraId="7EA63C6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lang w:val="en-US" w:eastAsia="zh-CN"/>
              </w:rPr>
              <w:t>探矿权信息</w:t>
            </w:r>
          </w:p>
        </w:tc>
        <w:tc>
          <w:tcPr>
            <w:tcW w:w="2026" w:type="dxa"/>
            <w:gridSpan w:val="2"/>
            <w:noWrap w:val="0"/>
            <w:vAlign w:val="center"/>
          </w:tcPr>
          <w:p w14:paraId="6827B0DF">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探矿权人</w:t>
            </w:r>
          </w:p>
        </w:tc>
        <w:tc>
          <w:tcPr>
            <w:tcW w:w="3287" w:type="dxa"/>
            <w:gridSpan w:val="2"/>
            <w:noWrap w:val="0"/>
            <w:vAlign w:val="center"/>
          </w:tcPr>
          <w:p w14:paraId="48AE69F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rPr>
            </w:pPr>
          </w:p>
        </w:tc>
      </w:tr>
      <w:tr w14:paraId="2D54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6CCCC0F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continue"/>
            <w:noWrap w:val="0"/>
            <w:vAlign w:val="center"/>
          </w:tcPr>
          <w:p w14:paraId="4DAB7BE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2026" w:type="dxa"/>
            <w:gridSpan w:val="2"/>
            <w:noWrap w:val="0"/>
            <w:vAlign w:val="center"/>
          </w:tcPr>
          <w:p w14:paraId="27E348A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不动产权证书</w:t>
            </w:r>
          </w:p>
          <w:p w14:paraId="1A63856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（探矿权）证号</w:t>
            </w:r>
          </w:p>
        </w:tc>
        <w:tc>
          <w:tcPr>
            <w:tcW w:w="3287" w:type="dxa"/>
            <w:gridSpan w:val="2"/>
            <w:noWrap w:val="0"/>
            <w:vAlign w:val="center"/>
          </w:tcPr>
          <w:p w14:paraId="12D263D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rPr>
            </w:pPr>
          </w:p>
        </w:tc>
      </w:tr>
      <w:tr w14:paraId="4BF7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4A2778B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continue"/>
            <w:noWrap w:val="0"/>
            <w:vAlign w:val="center"/>
          </w:tcPr>
          <w:p w14:paraId="3EA118A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2026" w:type="dxa"/>
            <w:gridSpan w:val="2"/>
            <w:noWrap w:val="0"/>
            <w:vAlign w:val="center"/>
          </w:tcPr>
          <w:p w14:paraId="606C9F8E">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探矿权有效期</w:t>
            </w:r>
          </w:p>
        </w:tc>
        <w:tc>
          <w:tcPr>
            <w:tcW w:w="3287" w:type="dxa"/>
            <w:gridSpan w:val="2"/>
            <w:noWrap w:val="0"/>
            <w:vAlign w:val="center"/>
          </w:tcPr>
          <w:p w14:paraId="1B8A726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rPr>
            </w:pPr>
          </w:p>
        </w:tc>
      </w:tr>
      <w:tr w14:paraId="5268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788" w:type="dxa"/>
            <w:vMerge w:val="continue"/>
            <w:noWrap w:val="0"/>
            <w:vAlign w:val="center"/>
          </w:tcPr>
          <w:p w14:paraId="5347F92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restart"/>
            <w:noWrap w:val="0"/>
            <w:vAlign w:val="center"/>
          </w:tcPr>
          <w:p w14:paraId="6005190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lang w:val="en-US" w:eastAsia="zh-CN"/>
              </w:rPr>
              <w:t>采矿权信息</w:t>
            </w:r>
          </w:p>
        </w:tc>
        <w:tc>
          <w:tcPr>
            <w:tcW w:w="2026" w:type="dxa"/>
            <w:gridSpan w:val="2"/>
            <w:noWrap w:val="0"/>
            <w:vAlign w:val="center"/>
          </w:tcPr>
          <w:p w14:paraId="018AE2C2">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矿业权人</w:t>
            </w:r>
          </w:p>
        </w:tc>
        <w:tc>
          <w:tcPr>
            <w:tcW w:w="3287" w:type="dxa"/>
            <w:gridSpan w:val="2"/>
            <w:noWrap w:val="0"/>
            <w:vAlign w:val="center"/>
          </w:tcPr>
          <w:p w14:paraId="463084C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仿宋_GB2312" w:hAnsi="宋体" w:eastAsia="仿宋_GB2312" w:cs="宋体"/>
                <w:color w:val="auto"/>
                <w:sz w:val="24"/>
                <w:szCs w:val="24"/>
                <w:highlight w:val="none"/>
              </w:rPr>
            </w:pPr>
            <w:r>
              <w:rPr>
                <w:rFonts w:hint="eastAsia" w:ascii="仿宋_GB2312" w:hAnsi="宋体" w:eastAsia="仿宋_GB2312"/>
                <w:b w:val="0"/>
                <w:bCs/>
                <w:color w:val="auto"/>
                <w:sz w:val="24"/>
                <w:szCs w:val="24"/>
                <w:highlight w:val="none"/>
              </w:rPr>
              <w:t>明溪县钰岩石材料加工厂</w:t>
            </w:r>
          </w:p>
        </w:tc>
      </w:tr>
      <w:tr w14:paraId="2EE1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2F69BAA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continue"/>
            <w:noWrap w:val="0"/>
            <w:vAlign w:val="center"/>
          </w:tcPr>
          <w:p w14:paraId="3B8D202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2026" w:type="dxa"/>
            <w:gridSpan w:val="2"/>
            <w:noWrap w:val="0"/>
            <w:vAlign w:val="center"/>
          </w:tcPr>
          <w:p w14:paraId="06270A2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不动产权证书</w:t>
            </w:r>
          </w:p>
          <w:p w14:paraId="0936911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（采矿权）证号</w:t>
            </w:r>
          </w:p>
        </w:tc>
        <w:tc>
          <w:tcPr>
            <w:tcW w:w="3287" w:type="dxa"/>
            <w:gridSpan w:val="2"/>
            <w:noWrap w:val="0"/>
            <w:vAlign w:val="center"/>
          </w:tcPr>
          <w:p w14:paraId="2741AC10">
            <w:pPr>
              <w:keepNext w:val="0"/>
              <w:keepLines w:val="0"/>
              <w:pageBreakBefore w:val="0"/>
              <w:widowControl w:val="0"/>
              <w:kinsoku/>
              <w:wordWrap/>
              <w:overflowPunct/>
              <w:topLinePunct w:val="0"/>
              <w:autoSpaceDE/>
              <w:autoSpaceDN/>
              <w:bidi w:val="0"/>
              <w:adjustRightInd/>
              <w:spacing w:line="420" w:lineRule="exact"/>
              <w:jc w:val="center"/>
              <w:textAlignment w:val="auto"/>
              <w:rPr>
                <w:rFonts w:hint="eastAsia" w:ascii="仿宋_GB2312" w:hAnsi="宋体" w:eastAsia="仿宋_GB2312" w:cs="宋体"/>
                <w:color w:val="auto"/>
                <w:sz w:val="24"/>
                <w:szCs w:val="24"/>
                <w:highlight w:val="none"/>
              </w:rPr>
            </w:pPr>
            <w:r>
              <w:rPr>
                <w:rFonts w:hint="eastAsia" w:ascii="仿宋_GB2312" w:hAnsi="宋体" w:eastAsia="仿宋_GB2312" w:cs="Times New Roman"/>
                <w:b w:val="0"/>
                <w:bCs/>
                <w:color w:val="auto"/>
                <w:sz w:val="24"/>
                <w:szCs w:val="24"/>
                <w:highlight w:val="none"/>
                <w:lang w:val="en-US" w:eastAsia="zh-CN"/>
              </w:rPr>
              <w:t>C3504212010016120054514</w:t>
            </w:r>
          </w:p>
        </w:tc>
      </w:tr>
      <w:tr w14:paraId="18F3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4D12D0A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continue"/>
            <w:noWrap w:val="0"/>
            <w:vAlign w:val="center"/>
          </w:tcPr>
          <w:p w14:paraId="0430DBF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2026" w:type="dxa"/>
            <w:gridSpan w:val="2"/>
            <w:noWrap w:val="0"/>
            <w:vAlign w:val="center"/>
          </w:tcPr>
          <w:p w14:paraId="37FDCF68">
            <w:pPr>
              <w:keepNext w:val="0"/>
              <w:keepLines w:val="0"/>
              <w:pageBreakBefore w:val="0"/>
              <w:widowControl w:val="0"/>
              <w:kinsoku/>
              <w:wordWrap/>
              <w:overflowPunct/>
              <w:topLinePunct w:val="0"/>
              <w:autoSpaceDE/>
              <w:autoSpaceDN/>
              <w:bidi w:val="0"/>
              <w:adjustRightInd/>
              <w:snapToGrid w:val="0"/>
              <w:spacing w:line="420" w:lineRule="exact"/>
              <w:jc w:val="center"/>
              <w:textAlignment w:val="auto"/>
              <w:rPr>
                <w:rFonts w:hint="eastAsia"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采矿权有效期</w:t>
            </w:r>
          </w:p>
        </w:tc>
        <w:tc>
          <w:tcPr>
            <w:tcW w:w="3287" w:type="dxa"/>
            <w:gridSpan w:val="2"/>
            <w:noWrap w:val="0"/>
            <w:vAlign w:val="center"/>
          </w:tcPr>
          <w:p w14:paraId="50DF95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自</w:t>
            </w:r>
            <w:r>
              <w:rPr>
                <w:rFonts w:hint="eastAsia" w:ascii="宋体" w:hAnsi="宋体" w:cs="宋体"/>
                <w:color w:val="auto"/>
                <w:sz w:val="24"/>
                <w:szCs w:val="24"/>
                <w:highlight w:val="none"/>
                <w:lang w:val="en-US" w:eastAsia="zh-CN"/>
              </w:rPr>
              <w:t>2023</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日</w:t>
            </w:r>
          </w:p>
          <w:p w14:paraId="4F471C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cs="宋体"/>
                <w:color w:val="auto"/>
                <w:sz w:val="24"/>
                <w:szCs w:val="24"/>
                <w:highlight w:val="none"/>
              </w:rPr>
            </w:pPr>
            <w:r>
              <w:rPr>
                <w:rFonts w:hint="eastAsia" w:ascii="宋体" w:hAnsi="宋体" w:cs="宋体"/>
                <w:color w:val="auto"/>
                <w:sz w:val="24"/>
                <w:szCs w:val="24"/>
                <w:highlight w:val="none"/>
              </w:rPr>
              <w:t>至20</w:t>
            </w:r>
            <w:r>
              <w:rPr>
                <w:rFonts w:hint="eastAsia" w:ascii="宋体" w:hAnsi="宋体" w:cs="宋体"/>
                <w:color w:val="auto"/>
                <w:sz w:val="24"/>
                <w:szCs w:val="24"/>
                <w:highlight w:val="none"/>
                <w:lang w:val="en-US" w:eastAsia="zh-CN"/>
              </w:rPr>
              <w:t>33</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日</w:t>
            </w:r>
          </w:p>
        </w:tc>
      </w:tr>
      <w:tr w14:paraId="73E9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788" w:type="dxa"/>
            <w:vMerge w:val="restart"/>
            <w:noWrap w:val="0"/>
            <w:vAlign w:val="center"/>
          </w:tcPr>
          <w:p w14:paraId="7AB481E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矿产资源情况</w:t>
            </w:r>
          </w:p>
        </w:tc>
        <w:tc>
          <w:tcPr>
            <w:tcW w:w="1790" w:type="dxa"/>
            <w:vMerge w:val="restart"/>
            <w:noWrap w:val="0"/>
            <w:vAlign w:val="center"/>
          </w:tcPr>
          <w:p w14:paraId="7B34033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黑体" w:hAnsi="黑体" w:eastAsia="黑体"/>
                <w:color w:val="auto"/>
                <w:sz w:val="24"/>
                <w:szCs w:val="24"/>
                <w:highlight w:val="none"/>
                <w:lang w:val="en-US"/>
              </w:rPr>
            </w:pPr>
            <w:r>
              <w:rPr>
                <w:rFonts w:hint="default" w:ascii="黑体" w:hAnsi="黑体" w:eastAsia="黑体"/>
                <w:color w:val="auto"/>
                <w:sz w:val="24"/>
                <w:szCs w:val="24"/>
                <w:highlight w:val="none"/>
                <w:lang w:val="en-US"/>
              </w:rPr>
              <w:t>评审备案</w:t>
            </w:r>
          </w:p>
          <w:p w14:paraId="02C4446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资源量</w:t>
            </w:r>
          </w:p>
          <w:p w14:paraId="5CDEDA3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lang w:eastAsia="zh-CN"/>
              </w:rPr>
            </w:pPr>
            <w:r>
              <w:rPr>
                <w:rFonts w:hint="eastAsia" w:ascii="黑体" w:hAnsi="黑体" w:eastAsia="黑体"/>
                <w:color w:val="auto"/>
                <w:sz w:val="24"/>
                <w:szCs w:val="24"/>
                <w:highlight w:val="none"/>
                <w:lang w:eastAsia="zh-CN"/>
              </w:rPr>
              <w:t>（保有）</w:t>
            </w:r>
          </w:p>
        </w:tc>
        <w:tc>
          <w:tcPr>
            <w:tcW w:w="1426" w:type="dxa"/>
            <w:noWrap w:val="0"/>
            <w:vAlign w:val="center"/>
          </w:tcPr>
          <w:p w14:paraId="51EF9E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hAnsi="宋体"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主矿产与</w:t>
            </w:r>
          </w:p>
          <w:p w14:paraId="297B72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共伴生矿产</w:t>
            </w:r>
          </w:p>
        </w:tc>
        <w:tc>
          <w:tcPr>
            <w:tcW w:w="600" w:type="dxa"/>
            <w:noWrap w:val="0"/>
            <w:vAlign w:val="center"/>
          </w:tcPr>
          <w:p w14:paraId="308830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hAnsi="宋体"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序</w:t>
            </w:r>
          </w:p>
          <w:p w14:paraId="2877AB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号</w:t>
            </w:r>
          </w:p>
        </w:tc>
        <w:tc>
          <w:tcPr>
            <w:tcW w:w="1707" w:type="dxa"/>
            <w:noWrap w:val="0"/>
            <w:vAlign w:val="center"/>
          </w:tcPr>
          <w:p w14:paraId="178722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矿石量</w:t>
            </w:r>
            <w:r>
              <w:rPr>
                <w:rFonts w:hint="eastAsia" w:hAnsi="宋体" w:cs="宋体"/>
                <w:color w:val="auto"/>
                <w:sz w:val="24"/>
                <w:szCs w:val="24"/>
                <w:highlight w:val="none"/>
                <w:u w:val="none"/>
                <w:lang w:val="en-US" w:eastAsia="zh-CN"/>
              </w:rPr>
              <w:br w:type="textWrapping"/>
            </w:r>
            <w:r>
              <w:rPr>
                <w:rFonts w:hint="eastAsia" w:hAnsi="宋体" w:cs="宋体"/>
                <w:color w:val="auto"/>
                <w:sz w:val="24"/>
                <w:szCs w:val="24"/>
                <w:highlight w:val="none"/>
                <w:u w:val="none"/>
                <w:lang w:val="en-US" w:eastAsia="zh-CN"/>
              </w:rPr>
              <w:t>（万吨）</w:t>
            </w:r>
          </w:p>
        </w:tc>
        <w:tc>
          <w:tcPr>
            <w:tcW w:w="1580" w:type="dxa"/>
            <w:noWrap w:val="0"/>
            <w:vAlign w:val="center"/>
          </w:tcPr>
          <w:p w14:paraId="266355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hAnsi="宋体"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矿物量</w:t>
            </w:r>
          </w:p>
          <w:p w14:paraId="7685B5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（万吨）</w:t>
            </w:r>
          </w:p>
        </w:tc>
      </w:tr>
      <w:tr w14:paraId="6840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788" w:type="dxa"/>
            <w:vMerge w:val="continue"/>
            <w:noWrap w:val="0"/>
            <w:vAlign w:val="center"/>
          </w:tcPr>
          <w:p w14:paraId="63C5953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continue"/>
            <w:noWrap w:val="0"/>
            <w:vAlign w:val="center"/>
          </w:tcPr>
          <w:p w14:paraId="56D6386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426" w:type="dxa"/>
            <w:vMerge w:val="restart"/>
            <w:noWrap w:val="0"/>
            <w:vAlign w:val="center"/>
          </w:tcPr>
          <w:p w14:paraId="496E0CA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仿宋_GB2312" w:hAnsi="宋体" w:eastAsia="仿宋_GB2312" w:cs="宋体"/>
                <w:color w:val="auto"/>
                <w:sz w:val="24"/>
                <w:szCs w:val="24"/>
                <w:highlight w:val="none"/>
                <w:u w:val="none"/>
                <w:lang w:val="en-US" w:eastAsia="zh-CN"/>
              </w:rPr>
            </w:pPr>
            <w:r>
              <w:rPr>
                <w:rFonts w:hint="eastAsia" w:ascii="Times New Roman" w:hAnsi="宋体" w:eastAsia="宋体" w:cs="宋体"/>
                <w:color w:val="auto"/>
                <w:sz w:val="24"/>
                <w:szCs w:val="24"/>
                <w:highlight w:val="none"/>
                <w:u w:val="none"/>
                <w:lang w:val="en-US" w:eastAsia="zh-CN"/>
              </w:rPr>
              <w:t>方解石</w:t>
            </w:r>
          </w:p>
        </w:tc>
        <w:tc>
          <w:tcPr>
            <w:tcW w:w="600" w:type="dxa"/>
            <w:noWrap w:val="0"/>
            <w:vAlign w:val="center"/>
          </w:tcPr>
          <w:p w14:paraId="64C77ED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1</w:t>
            </w:r>
          </w:p>
        </w:tc>
        <w:tc>
          <w:tcPr>
            <w:tcW w:w="1707" w:type="dxa"/>
            <w:noWrap w:val="0"/>
            <w:vAlign w:val="center"/>
          </w:tcPr>
          <w:p w14:paraId="38D2ED81">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仿宋_GB2312" w:hAnsi="宋体" w:eastAsia="仿宋_GB2312" w:cs="宋体"/>
                <w:color w:val="auto"/>
                <w:sz w:val="24"/>
                <w:szCs w:val="24"/>
                <w:highlight w:val="none"/>
                <w:u w:val="none"/>
                <w:lang w:val="en-US" w:eastAsia="zh-CN"/>
              </w:rPr>
            </w:pPr>
            <w:r>
              <w:rPr>
                <w:rFonts w:hint="eastAsia" w:ascii="仿宋_GB2312" w:hAnsi="宋体" w:eastAsia="仿宋_GB2312" w:cs="宋体"/>
                <w:color w:val="auto"/>
                <w:sz w:val="24"/>
                <w:szCs w:val="24"/>
                <w:highlight w:val="none"/>
                <w:u w:val="none"/>
                <w:lang w:val="en-US" w:eastAsia="zh-CN"/>
              </w:rPr>
              <w:t>1047.29</w:t>
            </w:r>
          </w:p>
        </w:tc>
        <w:tc>
          <w:tcPr>
            <w:tcW w:w="1580" w:type="dxa"/>
            <w:noWrap w:val="0"/>
            <w:vAlign w:val="center"/>
          </w:tcPr>
          <w:p w14:paraId="317A30B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lang w:val="en-US" w:eastAsia="zh-CN"/>
              </w:rPr>
            </w:pPr>
            <w:r>
              <w:rPr>
                <w:rFonts w:hint="eastAsia" w:ascii="仿宋_GB2312" w:hAnsi="宋体" w:eastAsia="仿宋_GB2312" w:cs="宋体"/>
                <w:color w:val="auto"/>
                <w:sz w:val="24"/>
                <w:szCs w:val="24"/>
                <w:highlight w:val="none"/>
                <w:u w:val="none"/>
                <w:lang w:val="en-US" w:eastAsia="zh-CN"/>
              </w:rPr>
              <w:t>-</w:t>
            </w:r>
            <w:r>
              <w:rPr>
                <w:rFonts w:hint="eastAsia" w:ascii="仿宋_GB2312" w:hAnsi="宋体" w:eastAsia="仿宋_GB2312" w:cs="宋体"/>
                <w:color w:val="auto"/>
                <w:sz w:val="24"/>
                <w:szCs w:val="24"/>
                <w:highlight w:val="none"/>
                <w:u w:val="none"/>
                <w:lang w:eastAsia="zh-CN"/>
              </w:rPr>
              <w:object>
                <v:shape id="_x0000_i1025" o:spt="75" type="#_x0000_t75" style="height:652.5pt;width:454.5pt;" o:ole="t" filled="f" o:preferrelative="t" stroked="f" coordsize="21600,21600">
                  <v:path/>
                  <v:fill on="f" focussize="0,0"/>
                  <v:stroke on="f"/>
                  <v:imagedata r:id="rId23" o:title=""/>
                  <o:lock v:ext="edit" aspectratio="t"/>
                  <w10:wrap type="none"/>
                  <w10:anchorlock/>
                </v:shape>
                <o:OLEObject Type="Embed" ProgID="Word.Document.8" ShapeID="_x0000_i1025" DrawAspect="Content" ObjectID="_1468075725" r:id="rId22">
                  <o:LockedField>false</o:LockedField>
                </o:OLEObject>
              </w:object>
            </w:r>
          </w:p>
        </w:tc>
      </w:tr>
      <w:tr w14:paraId="47BD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788" w:type="dxa"/>
            <w:vMerge w:val="continue"/>
            <w:noWrap w:val="0"/>
            <w:vAlign w:val="center"/>
          </w:tcPr>
          <w:p w14:paraId="5EE9BD7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continue"/>
            <w:noWrap w:val="0"/>
            <w:vAlign w:val="center"/>
          </w:tcPr>
          <w:p w14:paraId="3D584CE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426" w:type="dxa"/>
            <w:vMerge w:val="continue"/>
            <w:noWrap w:val="0"/>
            <w:vAlign w:val="center"/>
          </w:tcPr>
          <w:p w14:paraId="6AA3E2E0">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rPr>
            </w:pPr>
          </w:p>
        </w:tc>
        <w:tc>
          <w:tcPr>
            <w:tcW w:w="600" w:type="dxa"/>
            <w:noWrap w:val="0"/>
            <w:vAlign w:val="center"/>
          </w:tcPr>
          <w:p w14:paraId="7ECA263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2</w:t>
            </w:r>
          </w:p>
        </w:tc>
        <w:tc>
          <w:tcPr>
            <w:tcW w:w="1707" w:type="dxa"/>
            <w:noWrap w:val="0"/>
            <w:vAlign w:val="center"/>
          </w:tcPr>
          <w:p w14:paraId="28DF7E90">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rPr>
            </w:pPr>
          </w:p>
        </w:tc>
        <w:tc>
          <w:tcPr>
            <w:tcW w:w="1580" w:type="dxa"/>
            <w:noWrap w:val="0"/>
            <w:vAlign w:val="center"/>
          </w:tcPr>
          <w:p w14:paraId="1DF9D80A">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rPr>
            </w:pPr>
          </w:p>
        </w:tc>
      </w:tr>
      <w:tr w14:paraId="5841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788" w:type="dxa"/>
            <w:vMerge w:val="continue"/>
            <w:noWrap w:val="0"/>
            <w:vAlign w:val="center"/>
          </w:tcPr>
          <w:p w14:paraId="78624D7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continue"/>
            <w:noWrap w:val="0"/>
            <w:vAlign w:val="center"/>
          </w:tcPr>
          <w:p w14:paraId="608A7E0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426" w:type="dxa"/>
            <w:vMerge w:val="restart"/>
            <w:noWrap w:val="0"/>
            <w:vAlign w:val="center"/>
          </w:tcPr>
          <w:p w14:paraId="1CF0B2F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宋体"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白云石方解石</w:t>
            </w:r>
          </w:p>
        </w:tc>
        <w:tc>
          <w:tcPr>
            <w:tcW w:w="600" w:type="dxa"/>
            <w:noWrap w:val="0"/>
            <w:vAlign w:val="center"/>
          </w:tcPr>
          <w:p w14:paraId="3D599A2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1</w:t>
            </w:r>
          </w:p>
        </w:tc>
        <w:tc>
          <w:tcPr>
            <w:tcW w:w="1707" w:type="dxa"/>
            <w:noWrap w:val="0"/>
            <w:vAlign w:val="center"/>
          </w:tcPr>
          <w:p w14:paraId="391C72BA">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仿宋_GB2312" w:hAnsi="宋体" w:eastAsia="仿宋_GB2312" w:cs="宋体"/>
                <w:color w:val="auto"/>
                <w:sz w:val="24"/>
                <w:szCs w:val="24"/>
                <w:highlight w:val="none"/>
                <w:u w:val="none"/>
                <w:lang w:val="en-US" w:eastAsia="zh-CN"/>
              </w:rPr>
            </w:pPr>
            <w:r>
              <w:rPr>
                <w:rFonts w:hint="eastAsia" w:ascii="仿宋_GB2312" w:hAnsi="宋体" w:eastAsia="仿宋_GB2312" w:cs="宋体"/>
                <w:color w:val="auto"/>
                <w:sz w:val="24"/>
                <w:szCs w:val="24"/>
                <w:highlight w:val="none"/>
                <w:u w:val="none"/>
                <w:lang w:val="en-US" w:eastAsia="zh-CN"/>
              </w:rPr>
              <w:t>674.27</w:t>
            </w:r>
          </w:p>
        </w:tc>
        <w:tc>
          <w:tcPr>
            <w:tcW w:w="1580" w:type="dxa"/>
            <w:noWrap w:val="0"/>
            <w:vAlign w:val="center"/>
          </w:tcPr>
          <w:p w14:paraId="0DCD42E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lang w:eastAsia="zh-CN"/>
              </w:rPr>
            </w:pPr>
            <w:r>
              <w:rPr>
                <w:rFonts w:hint="eastAsia" w:ascii="仿宋_GB2312" w:hAnsi="宋体" w:eastAsia="仿宋_GB2312" w:cs="宋体"/>
                <w:color w:val="auto"/>
                <w:sz w:val="24"/>
                <w:szCs w:val="24"/>
                <w:highlight w:val="none"/>
                <w:u w:val="none"/>
                <w:lang w:val="en-US" w:eastAsia="zh-CN"/>
              </w:rPr>
              <w:t>-</w:t>
            </w:r>
          </w:p>
        </w:tc>
      </w:tr>
      <w:tr w14:paraId="6801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788" w:type="dxa"/>
            <w:vMerge w:val="continue"/>
            <w:noWrap w:val="0"/>
            <w:vAlign w:val="center"/>
          </w:tcPr>
          <w:p w14:paraId="3F19DB8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continue"/>
            <w:noWrap w:val="0"/>
            <w:vAlign w:val="center"/>
          </w:tcPr>
          <w:p w14:paraId="04E380E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426" w:type="dxa"/>
            <w:vMerge w:val="continue"/>
            <w:noWrap w:val="0"/>
            <w:vAlign w:val="center"/>
          </w:tcPr>
          <w:p w14:paraId="6480B04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rPr>
            </w:pPr>
          </w:p>
        </w:tc>
        <w:tc>
          <w:tcPr>
            <w:tcW w:w="600" w:type="dxa"/>
            <w:noWrap w:val="0"/>
            <w:vAlign w:val="center"/>
          </w:tcPr>
          <w:p w14:paraId="33FC33A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2</w:t>
            </w:r>
          </w:p>
        </w:tc>
        <w:tc>
          <w:tcPr>
            <w:tcW w:w="1707" w:type="dxa"/>
            <w:noWrap w:val="0"/>
            <w:vAlign w:val="center"/>
          </w:tcPr>
          <w:p w14:paraId="40E2402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rPr>
            </w:pPr>
          </w:p>
        </w:tc>
        <w:tc>
          <w:tcPr>
            <w:tcW w:w="1580" w:type="dxa"/>
            <w:noWrap w:val="0"/>
            <w:vAlign w:val="center"/>
          </w:tcPr>
          <w:p w14:paraId="60CFDA9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rPr>
            </w:pPr>
          </w:p>
        </w:tc>
      </w:tr>
      <w:tr w14:paraId="559B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788" w:type="dxa"/>
            <w:vMerge w:val="continue"/>
            <w:noWrap w:val="0"/>
            <w:vAlign w:val="center"/>
          </w:tcPr>
          <w:p w14:paraId="5A833B8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continue"/>
            <w:noWrap w:val="0"/>
            <w:vAlign w:val="center"/>
          </w:tcPr>
          <w:p w14:paraId="39206C5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426" w:type="dxa"/>
            <w:vMerge w:val="restart"/>
            <w:noWrap w:val="0"/>
            <w:vAlign w:val="center"/>
          </w:tcPr>
          <w:p w14:paraId="11C2083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伴生矿产</w:t>
            </w:r>
          </w:p>
        </w:tc>
        <w:tc>
          <w:tcPr>
            <w:tcW w:w="600" w:type="dxa"/>
            <w:noWrap w:val="0"/>
            <w:vAlign w:val="center"/>
          </w:tcPr>
          <w:p w14:paraId="47025F5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1</w:t>
            </w:r>
          </w:p>
        </w:tc>
        <w:tc>
          <w:tcPr>
            <w:tcW w:w="1707" w:type="dxa"/>
            <w:noWrap w:val="0"/>
            <w:vAlign w:val="center"/>
          </w:tcPr>
          <w:p w14:paraId="5DD7D278">
            <w:pPr>
              <w:pStyle w:val="25"/>
              <w:kinsoku/>
              <w:wordWrap/>
              <w:overflowPunct/>
              <w:topLinePunct w:val="0"/>
              <w:bidi w:val="0"/>
              <w:spacing w:line="240" w:lineRule="auto"/>
              <w:rPr>
                <w:rFonts w:hint="eastAsia" w:ascii="宋体" w:hAnsi="宋体" w:eastAsia="宋体" w:cs="宋体"/>
                <w:color w:val="auto"/>
                <w:kern w:val="2"/>
                <w:sz w:val="24"/>
                <w:szCs w:val="24"/>
                <w:highlight w:val="none"/>
                <w:lang w:val="en-US" w:eastAsia="zh-CN" w:bidi="ar-SA"/>
              </w:rPr>
            </w:pPr>
          </w:p>
        </w:tc>
        <w:tc>
          <w:tcPr>
            <w:tcW w:w="1580" w:type="dxa"/>
            <w:noWrap w:val="0"/>
            <w:vAlign w:val="center"/>
          </w:tcPr>
          <w:p w14:paraId="613F71F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rPr>
            </w:pPr>
          </w:p>
        </w:tc>
      </w:tr>
      <w:tr w14:paraId="7644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788" w:type="dxa"/>
            <w:vMerge w:val="continue"/>
            <w:noWrap w:val="0"/>
            <w:vAlign w:val="center"/>
          </w:tcPr>
          <w:p w14:paraId="7D5060F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vMerge w:val="continue"/>
            <w:noWrap w:val="0"/>
            <w:vAlign w:val="center"/>
          </w:tcPr>
          <w:p w14:paraId="71BB781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426" w:type="dxa"/>
            <w:vMerge w:val="continue"/>
            <w:noWrap w:val="0"/>
            <w:vAlign w:val="center"/>
          </w:tcPr>
          <w:p w14:paraId="552EDD6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rPr>
            </w:pPr>
          </w:p>
        </w:tc>
        <w:tc>
          <w:tcPr>
            <w:tcW w:w="600" w:type="dxa"/>
            <w:noWrap w:val="0"/>
            <w:vAlign w:val="center"/>
          </w:tcPr>
          <w:p w14:paraId="0EDA781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lang w:val="en-US" w:eastAsia="zh-CN"/>
              </w:rPr>
            </w:pPr>
            <w:r>
              <w:rPr>
                <w:rFonts w:hint="eastAsia" w:hAnsi="宋体" w:cs="宋体"/>
                <w:color w:val="auto"/>
                <w:sz w:val="24"/>
                <w:szCs w:val="24"/>
                <w:highlight w:val="none"/>
                <w:u w:val="none"/>
                <w:lang w:val="en-US" w:eastAsia="zh-CN"/>
              </w:rPr>
              <w:t>2</w:t>
            </w:r>
          </w:p>
        </w:tc>
        <w:tc>
          <w:tcPr>
            <w:tcW w:w="1707" w:type="dxa"/>
            <w:noWrap w:val="0"/>
            <w:vAlign w:val="center"/>
          </w:tcPr>
          <w:p w14:paraId="67F4F4CB">
            <w:pPr>
              <w:pStyle w:val="25"/>
              <w:kinsoku/>
              <w:wordWrap/>
              <w:overflowPunct/>
              <w:topLinePunct w:val="0"/>
              <w:bidi w:val="0"/>
              <w:spacing w:line="240" w:lineRule="auto"/>
              <w:rPr>
                <w:rFonts w:hint="eastAsia" w:ascii="宋体" w:hAnsi="宋体" w:eastAsia="宋体" w:cs="宋体"/>
                <w:color w:val="auto"/>
                <w:kern w:val="2"/>
                <w:sz w:val="24"/>
                <w:szCs w:val="24"/>
                <w:highlight w:val="none"/>
                <w:lang w:val="en-US" w:eastAsia="zh-CN" w:bidi="ar-SA"/>
              </w:rPr>
            </w:pPr>
          </w:p>
        </w:tc>
        <w:tc>
          <w:tcPr>
            <w:tcW w:w="1580" w:type="dxa"/>
            <w:noWrap w:val="0"/>
            <w:vAlign w:val="center"/>
          </w:tcPr>
          <w:p w14:paraId="671002D1">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none"/>
              </w:rPr>
            </w:pPr>
          </w:p>
        </w:tc>
      </w:tr>
      <w:tr w14:paraId="385E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3B17EB6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noWrap w:val="0"/>
            <w:vAlign w:val="center"/>
          </w:tcPr>
          <w:p w14:paraId="10D59AE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勘查程度</w:t>
            </w:r>
          </w:p>
        </w:tc>
        <w:tc>
          <w:tcPr>
            <w:tcW w:w="5313" w:type="dxa"/>
            <w:gridSpan w:val="4"/>
            <w:noWrap w:val="0"/>
            <w:vAlign w:val="center"/>
          </w:tcPr>
          <w:p w14:paraId="094215D1">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single"/>
              </w:rPr>
            </w:pPr>
            <w:r>
              <w:rPr>
                <w:rFonts w:hint="eastAsia" w:ascii="仿宋_GB2312" w:hAnsi="宋体" w:eastAsia="仿宋_GB2312" w:cs="宋体"/>
                <w:color w:val="auto"/>
                <w:sz w:val="24"/>
                <w:szCs w:val="24"/>
                <w:highlight w:val="none"/>
              </w:rPr>
              <w:t>□</w:t>
            </w:r>
            <w:r>
              <w:rPr>
                <w:rFonts w:hint="eastAsia"/>
                <w:color w:val="auto"/>
                <w:spacing w:val="6"/>
                <w:sz w:val="24"/>
                <w:szCs w:val="24"/>
                <w:highlight w:val="none"/>
                <w:lang w:val="en-US" w:eastAsia="zh-CN"/>
              </w:rPr>
              <w:t>普</w:t>
            </w:r>
            <w:r>
              <w:rPr>
                <w:rFonts w:hint="eastAsia" w:ascii="仿宋_GB2312" w:eastAsia="仿宋_GB2312"/>
                <w:color w:val="auto"/>
                <w:spacing w:val="6"/>
                <w:sz w:val="24"/>
                <w:szCs w:val="24"/>
                <w:highlight w:val="none"/>
              </w:rPr>
              <w:t xml:space="preserve">查  </w:t>
            </w:r>
            <w:r>
              <w:rPr>
                <w:rFonts w:hint="eastAsia" w:ascii="仿宋_GB2312" w:hAnsi="宋体" w:eastAsia="仿宋_GB2312" w:cs="宋体"/>
                <w:color w:val="auto"/>
                <w:sz w:val="24"/>
                <w:szCs w:val="24"/>
                <w:highlight w:val="none"/>
                <w:lang w:eastAsia="zh-CN"/>
              </w:rPr>
              <w:t>□</w:t>
            </w:r>
            <w:r>
              <w:rPr>
                <w:rFonts w:hint="eastAsia" w:ascii="仿宋_GB2312" w:eastAsia="仿宋_GB2312"/>
                <w:color w:val="auto"/>
                <w:spacing w:val="6"/>
                <w:sz w:val="24"/>
                <w:szCs w:val="24"/>
                <w:highlight w:val="none"/>
              </w:rPr>
              <w:t xml:space="preserve">详查  </w:t>
            </w:r>
            <w:r>
              <w:rPr>
                <w:rFonts w:hint="eastAsia" w:ascii="仿宋_GB2312" w:hAnsi="宋体" w:eastAsia="仿宋_GB2312" w:cs="宋体"/>
                <w:color w:val="auto"/>
                <w:sz w:val="24"/>
                <w:szCs w:val="24"/>
                <w:highlight w:val="none"/>
                <w:lang w:eastAsia="zh-CN"/>
              </w:rPr>
              <w:t>☑</w:t>
            </w:r>
            <w:r>
              <w:rPr>
                <w:rFonts w:hint="eastAsia" w:ascii="仿宋_GB2312" w:eastAsia="仿宋_GB2312"/>
                <w:color w:val="auto"/>
                <w:spacing w:val="6"/>
                <w:sz w:val="24"/>
                <w:szCs w:val="24"/>
                <w:highlight w:val="none"/>
              </w:rPr>
              <w:t>勘探</w:t>
            </w:r>
          </w:p>
        </w:tc>
      </w:tr>
      <w:tr w14:paraId="71D0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5AA0913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noWrap w:val="0"/>
            <w:vAlign w:val="center"/>
          </w:tcPr>
          <w:p w14:paraId="680235A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黑体" w:hAnsi="黑体" w:eastAsia="黑体"/>
                <w:color w:val="auto"/>
                <w:sz w:val="24"/>
                <w:szCs w:val="24"/>
                <w:highlight w:val="none"/>
                <w:lang w:val="en-US"/>
              </w:rPr>
            </w:pPr>
            <w:r>
              <w:rPr>
                <w:rFonts w:hint="eastAsia" w:ascii="黑体" w:hAnsi="黑体" w:eastAsia="黑体"/>
                <w:color w:val="auto"/>
                <w:sz w:val="24"/>
                <w:szCs w:val="24"/>
                <w:highlight w:val="none"/>
                <w:lang w:val="en-US" w:eastAsia="zh-CN"/>
              </w:rPr>
              <w:t>资源量规模</w:t>
            </w:r>
          </w:p>
        </w:tc>
        <w:tc>
          <w:tcPr>
            <w:tcW w:w="5313" w:type="dxa"/>
            <w:gridSpan w:val="4"/>
            <w:noWrap w:val="0"/>
            <w:vAlign w:val="center"/>
          </w:tcPr>
          <w:p w14:paraId="0804130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lang w:eastAsia="zh-CN"/>
              </w:rPr>
            </w:pPr>
            <w:r>
              <w:rPr>
                <w:rFonts w:hint="eastAsia" w:ascii="仿宋_GB2312" w:hAnsi="宋体" w:eastAsia="仿宋_GB2312" w:cs="宋体"/>
                <w:color w:val="auto"/>
                <w:sz w:val="24"/>
                <w:szCs w:val="24"/>
                <w:highlight w:val="none"/>
                <w:lang w:eastAsia="zh-CN"/>
              </w:rPr>
              <w:t>☑</w:t>
            </w:r>
            <w:r>
              <w:rPr>
                <w:rFonts w:hint="eastAsia"/>
                <w:color w:val="auto"/>
                <w:spacing w:val="6"/>
                <w:sz w:val="24"/>
                <w:szCs w:val="24"/>
                <w:highlight w:val="none"/>
                <w:lang w:val="en-US" w:eastAsia="zh-CN"/>
              </w:rPr>
              <w:t>大型</w:t>
            </w:r>
            <w:r>
              <w:rPr>
                <w:rFonts w:hint="eastAsia" w:ascii="仿宋_GB2312" w:eastAsia="仿宋_GB2312"/>
                <w:color w:val="auto"/>
                <w:spacing w:val="6"/>
                <w:sz w:val="24"/>
                <w:szCs w:val="24"/>
                <w:highlight w:val="none"/>
              </w:rPr>
              <w:t xml:space="preserve">  </w:t>
            </w:r>
            <w:r>
              <w:rPr>
                <w:rFonts w:hint="eastAsia" w:ascii="仿宋_GB2312" w:hAnsi="宋体" w:eastAsia="仿宋_GB2312" w:cs="宋体"/>
                <w:color w:val="auto"/>
                <w:sz w:val="24"/>
                <w:szCs w:val="24"/>
                <w:highlight w:val="none"/>
              </w:rPr>
              <w:t>□</w:t>
            </w:r>
            <w:r>
              <w:rPr>
                <w:rFonts w:hint="eastAsia"/>
                <w:color w:val="auto"/>
                <w:spacing w:val="6"/>
                <w:sz w:val="24"/>
                <w:szCs w:val="24"/>
                <w:highlight w:val="none"/>
                <w:lang w:val="en-US" w:eastAsia="zh-CN"/>
              </w:rPr>
              <w:t>中型</w:t>
            </w:r>
            <w:r>
              <w:rPr>
                <w:rFonts w:hint="eastAsia" w:ascii="仿宋_GB2312" w:eastAsia="仿宋_GB2312"/>
                <w:color w:val="auto"/>
                <w:spacing w:val="6"/>
                <w:sz w:val="24"/>
                <w:szCs w:val="24"/>
                <w:highlight w:val="none"/>
              </w:rPr>
              <w:t xml:space="preserve">  </w:t>
            </w:r>
            <w:r>
              <w:rPr>
                <w:rFonts w:hint="eastAsia" w:ascii="仿宋_GB2312" w:hAnsi="宋体" w:eastAsia="仿宋_GB2312" w:cs="宋体"/>
                <w:color w:val="auto"/>
                <w:sz w:val="24"/>
                <w:szCs w:val="24"/>
                <w:highlight w:val="none"/>
                <w:lang w:eastAsia="zh-CN"/>
              </w:rPr>
              <w:t>□</w:t>
            </w:r>
            <w:r>
              <w:rPr>
                <w:rFonts w:hint="eastAsia"/>
                <w:color w:val="auto"/>
                <w:spacing w:val="6"/>
                <w:sz w:val="24"/>
                <w:szCs w:val="24"/>
                <w:highlight w:val="none"/>
                <w:lang w:val="en-US" w:eastAsia="zh-CN"/>
              </w:rPr>
              <w:t>小型</w:t>
            </w:r>
          </w:p>
        </w:tc>
      </w:tr>
      <w:tr w14:paraId="71A2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54B5259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noWrap w:val="0"/>
            <w:vAlign w:val="center"/>
          </w:tcPr>
          <w:p w14:paraId="63D4C6B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lang w:eastAsia="zh-CN"/>
              </w:rPr>
              <w:t>估算</w:t>
            </w:r>
            <w:r>
              <w:rPr>
                <w:rFonts w:hint="eastAsia" w:ascii="黑体" w:hAnsi="黑体" w:eastAsia="黑体"/>
                <w:color w:val="auto"/>
                <w:sz w:val="24"/>
                <w:szCs w:val="24"/>
                <w:highlight w:val="none"/>
              </w:rPr>
              <w:t>设计</w:t>
            </w:r>
          </w:p>
          <w:p w14:paraId="6318813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kern w:val="2"/>
                <w:sz w:val="24"/>
                <w:szCs w:val="24"/>
                <w:highlight w:val="none"/>
                <w:lang w:val="en-US" w:eastAsia="zh-CN" w:bidi="ar-SA"/>
              </w:rPr>
            </w:pPr>
            <w:r>
              <w:rPr>
                <w:rFonts w:hint="eastAsia" w:ascii="黑体" w:hAnsi="黑体" w:eastAsia="黑体"/>
                <w:color w:val="auto"/>
                <w:sz w:val="24"/>
                <w:szCs w:val="24"/>
                <w:highlight w:val="none"/>
              </w:rPr>
              <w:t>利用资源量</w:t>
            </w:r>
          </w:p>
        </w:tc>
        <w:tc>
          <w:tcPr>
            <w:tcW w:w="5313" w:type="dxa"/>
            <w:gridSpan w:val="4"/>
            <w:noWrap w:val="0"/>
            <w:vAlign w:val="center"/>
          </w:tcPr>
          <w:p w14:paraId="51D11A8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u w:val="single"/>
                <w:lang w:val="en-US" w:eastAsia="zh-CN"/>
              </w:rPr>
              <w:t>691.42</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（单位：</w:t>
            </w:r>
            <w:r>
              <w:rPr>
                <w:rFonts w:hint="eastAsia" w:ascii="仿宋_GB2312" w:hAnsi="宋体" w:eastAsia="仿宋_GB2312" w:cs="宋体"/>
                <w:color w:val="auto"/>
                <w:sz w:val="24"/>
                <w:szCs w:val="24"/>
                <w:highlight w:val="none"/>
                <w:u w:val="single"/>
                <w:lang w:eastAsia="zh-CN"/>
              </w:rPr>
              <w:t>万吨</w:t>
            </w:r>
            <w:r>
              <w:rPr>
                <w:rFonts w:hint="eastAsia" w:ascii="仿宋_GB2312" w:hAnsi="宋体" w:eastAsia="仿宋_GB2312" w:cs="宋体"/>
                <w:color w:val="auto"/>
                <w:sz w:val="24"/>
                <w:szCs w:val="24"/>
                <w:highlight w:val="none"/>
              </w:rPr>
              <w:t>）</w:t>
            </w:r>
          </w:p>
        </w:tc>
      </w:tr>
      <w:tr w14:paraId="4C00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739E8EF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noWrap w:val="0"/>
            <w:vAlign w:val="center"/>
          </w:tcPr>
          <w:p w14:paraId="27EA2A0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lang w:eastAsia="zh-CN"/>
              </w:rPr>
            </w:pPr>
            <w:r>
              <w:rPr>
                <w:rFonts w:hint="eastAsia" w:ascii="黑体" w:hAnsi="黑体" w:eastAsia="黑体"/>
                <w:color w:val="auto"/>
                <w:sz w:val="24"/>
                <w:szCs w:val="24"/>
                <w:highlight w:val="none"/>
                <w:lang w:eastAsia="zh-CN"/>
              </w:rPr>
              <w:t>估算</w:t>
            </w:r>
          </w:p>
          <w:p w14:paraId="3C29658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可采储量</w:t>
            </w:r>
          </w:p>
        </w:tc>
        <w:tc>
          <w:tcPr>
            <w:tcW w:w="5313" w:type="dxa"/>
            <w:gridSpan w:val="4"/>
            <w:noWrap w:val="0"/>
            <w:vAlign w:val="center"/>
          </w:tcPr>
          <w:p w14:paraId="528023EA">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宋体" w:eastAsia="仿宋_GB2312" w:cs="宋体"/>
                <w:color w:val="auto"/>
                <w:sz w:val="24"/>
                <w:szCs w:val="24"/>
                <w:highlight w:val="none"/>
                <w:u w:val="single"/>
              </w:rPr>
            </w:pP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u w:val="single"/>
                <w:lang w:val="en-US" w:eastAsia="zh-CN"/>
              </w:rPr>
              <w:t>518.57</w:t>
            </w:r>
            <w:r>
              <w:rPr>
                <w:rFonts w:hint="eastAsia" w:ascii="仿宋_GB2312" w:hAnsi="宋体" w:eastAsia="仿宋_GB2312" w:cs="宋体"/>
                <w:color w:val="auto"/>
                <w:sz w:val="24"/>
                <w:szCs w:val="24"/>
                <w:highlight w:val="none"/>
                <w:u w:val="single"/>
              </w:rPr>
              <w:t xml:space="preserve"> </w:t>
            </w:r>
            <w:r>
              <w:rPr>
                <w:rFonts w:hint="eastAsia" w:ascii="仿宋_GB2312" w:hAnsi="宋体" w:eastAsia="仿宋_GB2312" w:cs="宋体"/>
                <w:color w:val="auto"/>
                <w:sz w:val="24"/>
                <w:szCs w:val="24"/>
                <w:highlight w:val="none"/>
              </w:rPr>
              <w:t>（单位：</w:t>
            </w:r>
            <w:r>
              <w:rPr>
                <w:rFonts w:hint="eastAsia" w:ascii="仿宋_GB2312" w:hAnsi="宋体" w:eastAsia="仿宋_GB2312" w:cs="宋体"/>
                <w:color w:val="auto"/>
                <w:sz w:val="24"/>
                <w:szCs w:val="24"/>
                <w:highlight w:val="none"/>
                <w:u w:val="single"/>
                <w:lang w:eastAsia="zh-CN"/>
              </w:rPr>
              <w:t>万吨</w:t>
            </w:r>
            <w:r>
              <w:rPr>
                <w:rFonts w:hint="eastAsia" w:ascii="仿宋_GB2312" w:hAnsi="宋体" w:eastAsia="仿宋_GB2312" w:cs="宋体"/>
                <w:color w:val="auto"/>
                <w:sz w:val="24"/>
                <w:szCs w:val="24"/>
                <w:highlight w:val="none"/>
              </w:rPr>
              <w:t>）</w:t>
            </w:r>
          </w:p>
        </w:tc>
      </w:tr>
      <w:tr w14:paraId="173E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restart"/>
            <w:noWrap w:val="0"/>
            <w:vAlign w:val="center"/>
          </w:tcPr>
          <w:p w14:paraId="2880162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开采矿种</w:t>
            </w:r>
          </w:p>
        </w:tc>
        <w:tc>
          <w:tcPr>
            <w:tcW w:w="1790" w:type="dxa"/>
            <w:noWrap w:val="0"/>
            <w:vAlign w:val="center"/>
          </w:tcPr>
          <w:p w14:paraId="18AC6E9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开采主矿种</w:t>
            </w:r>
          </w:p>
        </w:tc>
        <w:tc>
          <w:tcPr>
            <w:tcW w:w="5313" w:type="dxa"/>
            <w:gridSpan w:val="4"/>
            <w:noWrap w:val="0"/>
            <w:vAlign w:val="center"/>
          </w:tcPr>
          <w:p w14:paraId="584E6C5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方解石</w:t>
            </w:r>
          </w:p>
        </w:tc>
      </w:tr>
      <w:tr w14:paraId="3FBB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4EE8A7E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noWrap w:val="0"/>
            <w:vAlign w:val="center"/>
          </w:tcPr>
          <w:p w14:paraId="275B5170">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共生矿种</w:t>
            </w:r>
          </w:p>
        </w:tc>
        <w:tc>
          <w:tcPr>
            <w:tcW w:w="5313" w:type="dxa"/>
            <w:gridSpan w:val="4"/>
            <w:noWrap w:val="0"/>
            <w:vAlign w:val="center"/>
          </w:tcPr>
          <w:p w14:paraId="7F21007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szCs w:val="24"/>
                <w:highlight w:val="none"/>
                <w:lang w:eastAsia="zh-CN"/>
              </w:rPr>
            </w:pPr>
            <w:r>
              <w:rPr>
                <w:rFonts w:hint="eastAsia" w:ascii="仿宋_GB2312" w:hAnsi="宋体" w:eastAsia="仿宋_GB2312" w:cs="宋体"/>
                <w:color w:val="auto"/>
                <w:sz w:val="24"/>
                <w:szCs w:val="24"/>
                <w:highlight w:val="none"/>
                <w:u w:val="none"/>
                <w:lang w:val="en-US" w:eastAsia="zh-CN"/>
              </w:rPr>
              <w:t>-</w:t>
            </w:r>
          </w:p>
        </w:tc>
      </w:tr>
      <w:tr w14:paraId="4BC6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1E6C3C7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noWrap w:val="0"/>
            <w:vAlign w:val="center"/>
          </w:tcPr>
          <w:p w14:paraId="4608B4E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伴生矿种</w:t>
            </w:r>
          </w:p>
        </w:tc>
        <w:tc>
          <w:tcPr>
            <w:tcW w:w="5313" w:type="dxa"/>
            <w:gridSpan w:val="4"/>
            <w:noWrap w:val="0"/>
            <w:vAlign w:val="center"/>
          </w:tcPr>
          <w:p w14:paraId="363090C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szCs w:val="24"/>
                <w:highlight w:val="none"/>
              </w:rPr>
            </w:pPr>
            <w:r>
              <w:rPr>
                <w:rFonts w:hint="eastAsia" w:ascii="仿宋_GB2312" w:hAnsi="宋体" w:eastAsia="仿宋_GB2312" w:cs="宋体"/>
                <w:color w:val="auto"/>
                <w:sz w:val="24"/>
                <w:szCs w:val="24"/>
                <w:highlight w:val="none"/>
                <w:u w:val="none"/>
                <w:lang w:val="en-US" w:eastAsia="zh-CN"/>
              </w:rPr>
              <w:t>-</w:t>
            </w:r>
          </w:p>
        </w:tc>
      </w:tr>
      <w:tr w14:paraId="06EF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restart"/>
            <w:noWrap w:val="0"/>
            <w:vAlign w:val="center"/>
          </w:tcPr>
          <w:p w14:paraId="52117EE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建设方案</w:t>
            </w:r>
          </w:p>
        </w:tc>
        <w:tc>
          <w:tcPr>
            <w:tcW w:w="1790" w:type="dxa"/>
            <w:noWrap w:val="0"/>
            <w:vAlign w:val="center"/>
          </w:tcPr>
          <w:p w14:paraId="72DFD9B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开采方式</w:t>
            </w:r>
          </w:p>
        </w:tc>
        <w:tc>
          <w:tcPr>
            <w:tcW w:w="5313" w:type="dxa"/>
            <w:gridSpan w:val="4"/>
            <w:noWrap w:val="0"/>
            <w:vAlign w:val="center"/>
          </w:tcPr>
          <w:p w14:paraId="47AD194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_GB2312" w:eastAsia="仿宋_GB2312"/>
                <w:color w:val="auto"/>
                <w:sz w:val="24"/>
                <w:szCs w:val="24"/>
                <w:highlight w:val="none"/>
              </w:rPr>
            </w:pPr>
            <w:r>
              <w:rPr>
                <w:rFonts w:hint="eastAsia" w:ascii="仿宋_GB2312" w:hAnsi="宋体" w:eastAsia="仿宋_GB2312" w:cs="宋体"/>
                <w:color w:val="auto"/>
                <w:sz w:val="24"/>
                <w:szCs w:val="24"/>
                <w:highlight w:val="none"/>
              </w:rPr>
              <w:sym w:font="Wingdings 2" w:char="00A3"/>
            </w:r>
            <w:r>
              <w:rPr>
                <w:rFonts w:hint="eastAsia" w:ascii="仿宋_GB2312" w:eastAsia="仿宋_GB2312"/>
                <w:color w:val="auto"/>
                <w:sz w:val="24"/>
                <w:szCs w:val="24"/>
                <w:highlight w:val="none"/>
              </w:rPr>
              <w:t xml:space="preserve">露天    </w:t>
            </w:r>
            <w:r>
              <w:rPr>
                <w:rFonts w:hint="eastAsia" w:ascii="仿宋_GB2312" w:hAnsi="宋体" w:eastAsia="仿宋_GB2312" w:cs="宋体"/>
                <w:color w:val="auto"/>
                <w:sz w:val="24"/>
                <w:szCs w:val="24"/>
                <w:highlight w:val="none"/>
                <w:lang w:eastAsia="zh-CN"/>
              </w:rPr>
              <w:t>☑</w:t>
            </w:r>
            <w:r>
              <w:rPr>
                <w:rFonts w:hint="eastAsia" w:ascii="仿宋_GB2312" w:eastAsia="仿宋_GB2312"/>
                <w:color w:val="auto"/>
                <w:sz w:val="24"/>
                <w:szCs w:val="24"/>
                <w:highlight w:val="none"/>
              </w:rPr>
              <w:t xml:space="preserve">地下    </w:t>
            </w:r>
            <w:r>
              <w:rPr>
                <w:rFonts w:hint="eastAsia" w:ascii="仿宋_GB2312" w:hAnsi="宋体" w:eastAsia="仿宋_GB2312" w:cs="宋体"/>
                <w:color w:val="auto"/>
                <w:sz w:val="24"/>
                <w:szCs w:val="24"/>
                <w:highlight w:val="none"/>
              </w:rPr>
              <w:t>□</w:t>
            </w:r>
            <w:r>
              <w:rPr>
                <w:rFonts w:hint="eastAsia" w:ascii="仿宋_GB2312" w:eastAsia="仿宋_GB2312"/>
                <w:color w:val="auto"/>
                <w:spacing w:val="6"/>
                <w:sz w:val="24"/>
                <w:szCs w:val="24"/>
                <w:highlight w:val="none"/>
              </w:rPr>
              <w:t>露天+地</w:t>
            </w:r>
            <w:r>
              <w:rPr>
                <w:rFonts w:hint="eastAsia" w:ascii="仿宋_GB2312" w:eastAsia="仿宋_GB2312"/>
                <w:color w:val="auto"/>
                <w:spacing w:val="4"/>
                <w:sz w:val="24"/>
                <w:szCs w:val="24"/>
                <w:highlight w:val="none"/>
              </w:rPr>
              <w:t>下</w:t>
            </w:r>
          </w:p>
        </w:tc>
      </w:tr>
      <w:tr w14:paraId="0284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05B83E5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noWrap w:val="0"/>
            <w:vAlign w:val="center"/>
          </w:tcPr>
          <w:p w14:paraId="768E9E6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拟建设生产</w:t>
            </w:r>
          </w:p>
          <w:p w14:paraId="57E23FF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规模（计量</w:t>
            </w:r>
          </w:p>
          <w:p w14:paraId="67E9042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ascii="黑体" w:hAnsi="黑体" w:eastAsia="黑体"/>
                <w:color w:val="auto"/>
                <w:sz w:val="24"/>
                <w:szCs w:val="24"/>
                <w:highlight w:val="none"/>
              </w:rPr>
            </w:pPr>
            <w:r>
              <w:rPr>
                <w:rFonts w:hint="eastAsia" w:ascii="黑体" w:hAnsi="黑体" w:eastAsia="黑体"/>
                <w:color w:val="auto"/>
                <w:sz w:val="24"/>
                <w:szCs w:val="24"/>
                <w:highlight w:val="none"/>
              </w:rPr>
              <w:t>单位/年）</w:t>
            </w:r>
          </w:p>
        </w:tc>
        <w:tc>
          <w:tcPr>
            <w:tcW w:w="5313" w:type="dxa"/>
            <w:gridSpan w:val="4"/>
            <w:noWrap w:val="0"/>
            <w:vAlign w:val="center"/>
          </w:tcPr>
          <w:p w14:paraId="38C79F2A">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_GB2312" w:eastAsia="仿宋_GB2312"/>
                <w:color w:val="auto"/>
                <w:sz w:val="24"/>
                <w:szCs w:val="24"/>
                <w:highlight w:val="none"/>
              </w:rPr>
            </w:pPr>
            <w:r>
              <w:rPr>
                <w:rFonts w:hint="eastAsia" w:ascii="仿宋_GB2312" w:eastAsia="仿宋_GB2312"/>
                <w:color w:val="auto"/>
                <w:sz w:val="24"/>
                <w:szCs w:val="24"/>
                <w:highlight w:val="none"/>
                <w:u w:val="none"/>
              </w:rPr>
              <w:t xml:space="preserve">   </w:t>
            </w:r>
            <w:r>
              <w:rPr>
                <w:rFonts w:hint="eastAsia" w:ascii="仿宋_GB2312"/>
                <w:color w:val="auto"/>
                <w:sz w:val="24"/>
                <w:szCs w:val="24"/>
                <w:highlight w:val="none"/>
                <w:u w:val="none"/>
                <w:lang w:val="en-US" w:eastAsia="zh-CN"/>
              </w:rPr>
              <w:t xml:space="preserve"> </w:t>
            </w:r>
            <w:r>
              <w:rPr>
                <w:rFonts w:hint="eastAsia"/>
                <w:color w:val="auto"/>
                <w:sz w:val="24"/>
                <w:szCs w:val="24"/>
                <w:highlight w:val="none"/>
                <w:u w:val="single"/>
                <w:lang w:val="en-US" w:eastAsia="zh-CN"/>
              </w:rPr>
              <w:t xml:space="preserve"> 40</w:t>
            </w:r>
            <w:r>
              <w:rPr>
                <w:rFonts w:hint="eastAsia"/>
                <w:color w:val="auto"/>
                <w:sz w:val="24"/>
                <w:szCs w:val="24"/>
                <w:highlight w:val="none"/>
                <w:u w:val="none"/>
                <w:lang w:val="en-US" w:eastAsia="zh-CN"/>
              </w:rPr>
              <w:t>万吨</w:t>
            </w:r>
            <w:r>
              <w:rPr>
                <w:rFonts w:hint="eastAsia" w:ascii="仿宋_GB2312" w:eastAsia="仿宋_GB2312"/>
                <w:color w:val="auto"/>
                <w:sz w:val="24"/>
                <w:szCs w:val="24"/>
                <w:highlight w:val="none"/>
              </w:rPr>
              <w:t>/年</w:t>
            </w:r>
            <w:r>
              <w:rPr>
                <w:rFonts w:hint="eastAsia" w:ascii="仿宋_GB2312" w:eastAsia="仿宋_GB2312"/>
                <w:color w:val="auto"/>
                <w:sz w:val="22"/>
                <w:szCs w:val="24"/>
                <w:highlight w:val="none"/>
              </w:rPr>
              <w:t>（实际生产建设规模在矿山初步设计和安全设施设计中确定，计量单位按照《关于调整部分矿种矿山生产建设规模标准的通知》（国土资发</w:t>
            </w:r>
            <w:r>
              <w:rPr>
                <w:rFonts w:hint="eastAsia" w:ascii="仿宋_GB2312" w:hAnsi="宋体" w:eastAsia="仿宋_GB2312" w:cs="宋体"/>
                <w:color w:val="auto"/>
                <w:sz w:val="22"/>
                <w:szCs w:val="24"/>
                <w:highlight w:val="none"/>
              </w:rPr>
              <w:t>〔</w:t>
            </w:r>
            <w:r>
              <w:rPr>
                <w:rFonts w:hint="eastAsia" w:ascii="仿宋_GB2312" w:hAnsi="黑体" w:eastAsia="仿宋_GB2312"/>
                <w:color w:val="auto"/>
                <w:sz w:val="22"/>
                <w:szCs w:val="24"/>
                <w:highlight w:val="none"/>
              </w:rPr>
              <w:t>2004</w:t>
            </w:r>
            <w:r>
              <w:rPr>
                <w:rFonts w:hint="eastAsia" w:ascii="仿宋_GB2312" w:hAnsi="宋体" w:eastAsia="仿宋_GB2312" w:cs="宋体"/>
                <w:color w:val="auto"/>
                <w:sz w:val="22"/>
                <w:szCs w:val="24"/>
                <w:highlight w:val="none"/>
              </w:rPr>
              <w:t>〕</w:t>
            </w:r>
            <w:r>
              <w:rPr>
                <w:rFonts w:hint="eastAsia" w:ascii="仿宋_GB2312" w:hAnsi="黑体" w:eastAsia="仿宋_GB2312"/>
                <w:color w:val="auto"/>
                <w:sz w:val="22"/>
                <w:szCs w:val="24"/>
                <w:highlight w:val="none"/>
              </w:rPr>
              <w:t>208号</w:t>
            </w:r>
            <w:r>
              <w:rPr>
                <w:rFonts w:hint="eastAsia" w:ascii="仿宋_GB2312" w:eastAsia="仿宋_GB2312"/>
                <w:color w:val="auto"/>
                <w:sz w:val="22"/>
                <w:szCs w:val="24"/>
                <w:highlight w:val="none"/>
              </w:rPr>
              <w:t>）中规定）。</w:t>
            </w:r>
          </w:p>
        </w:tc>
      </w:tr>
      <w:tr w14:paraId="72A5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88" w:type="dxa"/>
            <w:vMerge w:val="continue"/>
            <w:noWrap w:val="0"/>
            <w:vAlign w:val="center"/>
          </w:tcPr>
          <w:p w14:paraId="0E5C765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p>
        </w:tc>
        <w:tc>
          <w:tcPr>
            <w:tcW w:w="1790" w:type="dxa"/>
            <w:noWrap w:val="0"/>
            <w:vAlign w:val="center"/>
          </w:tcPr>
          <w:p w14:paraId="33AE13B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估算服务年限（年）</w:t>
            </w:r>
          </w:p>
        </w:tc>
        <w:tc>
          <w:tcPr>
            <w:tcW w:w="5313" w:type="dxa"/>
            <w:gridSpan w:val="4"/>
            <w:noWrap w:val="0"/>
            <w:vAlign w:val="center"/>
          </w:tcPr>
          <w:p w14:paraId="1FF2864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16</w:t>
            </w:r>
          </w:p>
        </w:tc>
      </w:tr>
      <w:tr w14:paraId="5BA8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7" w:hRule="atLeast"/>
          <w:jc w:val="center"/>
        </w:trPr>
        <w:tc>
          <w:tcPr>
            <w:tcW w:w="1788" w:type="dxa"/>
            <w:noWrap w:val="0"/>
            <w:vAlign w:val="center"/>
          </w:tcPr>
          <w:p w14:paraId="10F3FA68">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拟申请</w:t>
            </w:r>
            <w:r>
              <w:rPr>
                <w:rFonts w:hint="eastAsia" w:ascii="黑体" w:hAnsi="黑体" w:eastAsia="黑体"/>
                <w:color w:val="auto"/>
                <w:sz w:val="24"/>
                <w:szCs w:val="24"/>
                <w:highlight w:val="none"/>
                <w:lang w:val="en-US" w:eastAsia="zh-CN"/>
              </w:rPr>
              <w:t>开采区域</w:t>
            </w:r>
            <w:r>
              <w:rPr>
                <w:rFonts w:hint="eastAsia" w:ascii="黑体" w:hAnsi="黑体" w:eastAsia="黑体"/>
                <w:color w:val="auto"/>
                <w:sz w:val="24"/>
                <w:szCs w:val="24"/>
                <w:highlight w:val="none"/>
              </w:rPr>
              <w:t>（具体以</w:t>
            </w:r>
            <w:r>
              <w:rPr>
                <w:rFonts w:hint="eastAsia" w:ascii="黑体" w:hAnsi="黑体" w:eastAsia="黑体"/>
                <w:color w:val="auto"/>
                <w:sz w:val="24"/>
                <w:szCs w:val="24"/>
                <w:highlight w:val="none"/>
                <w:lang w:val="en-US" w:eastAsia="zh-CN"/>
              </w:rPr>
              <w:t>自然资源主管部门批准的开采区域为准</w:t>
            </w:r>
            <w:r>
              <w:rPr>
                <w:rFonts w:hint="eastAsia" w:ascii="黑体" w:hAnsi="黑体" w:eastAsia="黑体"/>
                <w:color w:val="auto"/>
                <w:sz w:val="24"/>
                <w:szCs w:val="24"/>
                <w:highlight w:val="none"/>
              </w:rPr>
              <w:t>）</w:t>
            </w:r>
          </w:p>
        </w:tc>
        <w:tc>
          <w:tcPr>
            <w:tcW w:w="7103" w:type="dxa"/>
            <w:gridSpan w:val="5"/>
            <w:noWrap w:val="0"/>
            <w:vAlign w:val="center"/>
          </w:tcPr>
          <w:p w14:paraId="6F041640">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0"/>
              <w:gridCol w:w="2003"/>
              <w:gridCol w:w="2004"/>
            </w:tblGrid>
            <w:tr w14:paraId="1D17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20" w:type="dxa"/>
                  <w:noWrap w:val="0"/>
                  <w:vAlign w:val="center"/>
                </w:tcPr>
                <w:p w14:paraId="0D295862">
                  <w:pPr>
                    <w:pStyle w:val="8"/>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点号</w:t>
                  </w:r>
                </w:p>
              </w:tc>
              <w:tc>
                <w:tcPr>
                  <w:tcW w:w="2003" w:type="dxa"/>
                  <w:noWrap w:val="0"/>
                  <w:vAlign w:val="center"/>
                </w:tcPr>
                <w:p w14:paraId="3E234F49">
                  <w:pPr>
                    <w:pStyle w:val="8"/>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X坐标</w:t>
                  </w:r>
                </w:p>
              </w:tc>
              <w:tc>
                <w:tcPr>
                  <w:tcW w:w="2004" w:type="dxa"/>
                  <w:noWrap w:val="0"/>
                  <w:vAlign w:val="center"/>
                </w:tcPr>
                <w:p w14:paraId="3096470B">
                  <w:pPr>
                    <w:pStyle w:val="8"/>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Y坐标</w:t>
                  </w:r>
                </w:p>
              </w:tc>
            </w:tr>
            <w:tr w14:paraId="7954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020" w:type="dxa"/>
                  <w:noWrap w:val="0"/>
                  <w:vAlign w:val="center"/>
                </w:tcPr>
                <w:p w14:paraId="1CC56598">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kern w:val="0"/>
                      <w:sz w:val="24"/>
                      <w:szCs w:val="24"/>
                      <w:highlight w:val="none"/>
                    </w:rPr>
                    <w:t>1</w:t>
                  </w:r>
                </w:p>
              </w:tc>
              <w:tc>
                <w:tcPr>
                  <w:tcW w:w="2003" w:type="dxa"/>
                  <w:noWrap w:val="0"/>
                  <w:vAlign w:val="top"/>
                </w:tcPr>
                <w:p w14:paraId="4A06956F">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2923943.8</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 xml:space="preserve"> </w:t>
                  </w:r>
                </w:p>
              </w:tc>
              <w:tc>
                <w:tcPr>
                  <w:tcW w:w="2004" w:type="dxa"/>
                  <w:noWrap w:val="0"/>
                  <w:vAlign w:val="top"/>
                </w:tcPr>
                <w:p w14:paraId="70664815">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 xml:space="preserve">39524319.18 </w:t>
                  </w:r>
                </w:p>
              </w:tc>
            </w:tr>
            <w:tr w14:paraId="6E50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2020" w:type="dxa"/>
                  <w:noWrap w:val="0"/>
                  <w:vAlign w:val="center"/>
                </w:tcPr>
                <w:p w14:paraId="6A039B07">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kern w:val="0"/>
                      <w:sz w:val="24"/>
                      <w:szCs w:val="24"/>
                      <w:highlight w:val="none"/>
                    </w:rPr>
                    <w:t>2</w:t>
                  </w:r>
                </w:p>
              </w:tc>
              <w:tc>
                <w:tcPr>
                  <w:tcW w:w="2003" w:type="dxa"/>
                  <w:noWrap w:val="0"/>
                  <w:vAlign w:val="top"/>
                </w:tcPr>
                <w:p w14:paraId="3DD32561">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 xml:space="preserve">2924113.81 </w:t>
                  </w:r>
                </w:p>
              </w:tc>
              <w:tc>
                <w:tcPr>
                  <w:tcW w:w="2004" w:type="dxa"/>
                  <w:noWrap w:val="0"/>
                  <w:vAlign w:val="top"/>
                </w:tcPr>
                <w:p w14:paraId="0AB3294A">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 xml:space="preserve">39524711.18 </w:t>
                  </w:r>
                </w:p>
              </w:tc>
            </w:tr>
            <w:tr w14:paraId="351D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020" w:type="dxa"/>
                  <w:noWrap w:val="0"/>
                  <w:vAlign w:val="center"/>
                </w:tcPr>
                <w:p w14:paraId="6C09593E">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kern w:val="0"/>
                      <w:sz w:val="24"/>
                      <w:szCs w:val="24"/>
                      <w:highlight w:val="none"/>
                    </w:rPr>
                    <w:t>3</w:t>
                  </w:r>
                </w:p>
              </w:tc>
              <w:tc>
                <w:tcPr>
                  <w:tcW w:w="2003" w:type="dxa"/>
                  <w:noWrap w:val="0"/>
                  <w:vAlign w:val="top"/>
                </w:tcPr>
                <w:p w14:paraId="50DD195C">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 xml:space="preserve">2924217.81 </w:t>
                  </w:r>
                </w:p>
              </w:tc>
              <w:tc>
                <w:tcPr>
                  <w:tcW w:w="2004" w:type="dxa"/>
                  <w:noWrap w:val="0"/>
                  <w:vAlign w:val="top"/>
                </w:tcPr>
                <w:p w14:paraId="672019B8">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 xml:space="preserve">39524711.18 </w:t>
                  </w:r>
                </w:p>
              </w:tc>
            </w:tr>
            <w:tr w14:paraId="42F7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020" w:type="dxa"/>
                  <w:noWrap w:val="0"/>
                  <w:vAlign w:val="center"/>
                </w:tcPr>
                <w:p w14:paraId="61DE590A">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kern w:val="0"/>
                      <w:sz w:val="24"/>
                      <w:szCs w:val="24"/>
                      <w:highlight w:val="none"/>
                    </w:rPr>
                    <w:t>4</w:t>
                  </w:r>
                </w:p>
              </w:tc>
              <w:tc>
                <w:tcPr>
                  <w:tcW w:w="2003" w:type="dxa"/>
                  <w:noWrap w:val="0"/>
                  <w:vAlign w:val="top"/>
                </w:tcPr>
                <w:p w14:paraId="6208D2EB">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2924329.8</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w:t>
                  </w:r>
                </w:p>
              </w:tc>
              <w:tc>
                <w:tcPr>
                  <w:tcW w:w="2004" w:type="dxa"/>
                  <w:noWrap w:val="0"/>
                  <w:vAlign w:val="top"/>
                </w:tcPr>
                <w:p w14:paraId="443248B8">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 xml:space="preserve">39525099.18 </w:t>
                  </w:r>
                </w:p>
              </w:tc>
            </w:tr>
            <w:tr w14:paraId="0955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2020" w:type="dxa"/>
                  <w:noWrap w:val="0"/>
                  <w:vAlign w:val="center"/>
                </w:tcPr>
                <w:p w14:paraId="6A7767A6">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kern w:val="0"/>
                      <w:sz w:val="24"/>
                      <w:szCs w:val="24"/>
                      <w:highlight w:val="none"/>
                    </w:rPr>
                    <w:t>5</w:t>
                  </w:r>
                </w:p>
              </w:tc>
              <w:tc>
                <w:tcPr>
                  <w:tcW w:w="2003" w:type="dxa"/>
                  <w:noWrap w:val="0"/>
                  <w:vAlign w:val="top"/>
                </w:tcPr>
                <w:p w14:paraId="6AB0EA43">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2924030.8</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w:t>
                  </w:r>
                </w:p>
              </w:tc>
              <w:tc>
                <w:tcPr>
                  <w:tcW w:w="2004" w:type="dxa"/>
                  <w:noWrap w:val="0"/>
                  <w:vAlign w:val="top"/>
                </w:tcPr>
                <w:p w14:paraId="047E3368">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 xml:space="preserve">39525099.18 </w:t>
                  </w:r>
                </w:p>
              </w:tc>
            </w:tr>
            <w:tr w14:paraId="0FF6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020" w:type="dxa"/>
                  <w:noWrap w:val="0"/>
                  <w:vAlign w:val="center"/>
                </w:tcPr>
                <w:p w14:paraId="550E04D2">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kern w:val="0"/>
                      <w:sz w:val="24"/>
                      <w:szCs w:val="24"/>
                      <w:highlight w:val="none"/>
                    </w:rPr>
                    <w:t>6</w:t>
                  </w:r>
                </w:p>
              </w:tc>
              <w:tc>
                <w:tcPr>
                  <w:tcW w:w="2003" w:type="dxa"/>
                  <w:noWrap w:val="0"/>
                  <w:vAlign w:val="top"/>
                </w:tcPr>
                <w:p w14:paraId="1DBBD52C">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 xml:space="preserve">2923807.81 </w:t>
                  </w:r>
                </w:p>
              </w:tc>
              <w:tc>
                <w:tcPr>
                  <w:tcW w:w="2004" w:type="dxa"/>
                  <w:noWrap w:val="0"/>
                  <w:vAlign w:val="top"/>
                </w:tcPr>
                <w:p w14:paraId="4D75FEB5">
                  <w:pPr>
                    <w:widowControl/>
                    <w:jc w:val="center"/>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39524319.1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 </w:t>
                  </w:r>
                </w:p>
              </w:tc>
            </w:tr>
            <w:tr w14:paraId="3DA6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020" w:type="dxa"/>
                  <w:noWrap w:val="0"/>
                  <w:vAlign w:val="center"/>
                </w:tcPr>
                <w:p w14:paraId="7B6ED076">
                  <w:pPr>
                    <w:pStyle w:val="8"/>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面积（km²）</w:t>
                  </w:r>
                </w:p>
              </w:tc>
              <w:tc>
                <w:tcPr>
                  <w:tcW w:w="4007" w:type="dxa"/>
                  <w:gridSpan w:val="2"/>
                  <w:noWrap w:val="0"/>
                  <w:vAlign w:val="center"/>
                </w:tcPr>
                <w:p w14:paraId="174F8E5E">
                  <w:pPr>
                    <w:pStyle w:val="8"/>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仿宋_GB2312" w:hAnsi="仿宋_GB2312" w:eastAsia="仿宋_GB2312" w:cs="仿宋_GB2312"/>
                      <w:color w:val="auto"/>
                      <w:sz w:val="24"/>
                      <w:szCs w:val="24"/>
                      <w:highlight w:val="none"/>
                    </w:rPr>
                  </w:pPr>
                  <w:r>
                    <w:rPr>
                      <w:rFonts w:hint="eastAsia" w:ascii="宋体" w:hAnsi="宋体" w:eastAsia="宋体" w:cs="宋体"/>
                      <w:color w:val="auto"/>
                      <w:sz w:val="24"/>
                      <w:szCs w:val="24"/>
                      <w:highlight w:val="none"/>
                    </w:rPr>
                    <w:t>0.1805</w:t>
                  </w:r>
                </w:p>
              </w:tc>
            </w:tr>
            <w:tr w14:paraId="39CF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020" w:type="dxa"/>
                  <w:noWrap w:val="0"/>
                  <w:vAlign w:val="center"/>
                </w:tcPr>
                <w:p w14:paraId="4571DE81">
                  <w:pPr>
                    <w:pStyle w:val="8"/>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开采标高</w:t>
                  </w:r>
                </w:p>
              </w:tc>
              <w:tc>
                <w:tcPr>
                  <w:tcW w:w="4007" w:type="dxa"/>
                  <w:gridSpan w:val="2"/>
                  <w:noWrap w:val="0"/>
                  <w:vAlign w:val="center"/>
                </w:tcPr>
                <w:p w14:paraId="5C5627EB">
                  <w:pPr>
                    <w:pStyle w:val="8"/>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+480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+280m</w:t>
                  </w:r>
                </w:p>
              </w:tc>
            </w:tr>
            <w:tr w14:paraId="76CA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020" w:type="dxa"/>
                  <w:noWrap w:val="0"/>
                  <w:vAlign w:val="center"/>
                </w:tcPr>
                <w:p w14:paraId="43E6C6AD">
                  <w:pPr>
                    <w:pStyle w:val="8"/>
                    <w:keepNext w:val="0"/>
                    <w:keepLines w:val="0"/>
                    <w:pageBreakBefore w:val="0"/>
                    <w:widowControl w:val="0"/>
                    <w:kinsoku/>
                    <w:wordWrap/>
                    <w:overflowPunct/>
                    <w:topLinePunct w:val="0"/>
                    <w:autoSpaceDE/>
                    <w:autoSpaceDN/>
                    <w:bidi w:val="0"/>
                    <w:adjustRightInd/>
                    <w:snapToGrid w:val="0"/>
                    <w:spacing w:line="340" w:lineRule="exact"/>
                    <w:ind w:firstLine="0" w:firstLineChars="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井巷工程标高</w:t>
                  </w:r>
                </w:p>
              </w:tc>
              <w:tc>
                <w:tcPr>
                  <w:tcW w:w="4007" w:type="dxa"/>
                  <w:gridSpan w:val="2"/>
                  <w:noWrap w:val="0"/>
                  <w:vAlign w:val="center"/>
                </w:tcPr>
                <w:p w14:paraId="2F982CE0">
                  <w:pPr>
                    <w:pStyle w:val="8"/>
                    <w:keepNext w:val="0"/>
                    <w:keepLines w:val="0"/>
                    <w:pageBreakBefore w:val="0"/>
                    <w:widowControl w:val="0"/>
                    <w:kinsoku/>
                    <w:wordWrap/>
                    <w:overflowPunct/>
                    <w:topLinePunct w:val="0"/>
                    <w:autoSpaceDE/>
                    <w:autoSpaceDN/>
                    <w:bidi w:val="0"/>
                    <w:adjustRightInd/>
                    <w:spacing w:line="360" w:lineRule="exact"/>
                    <w:ind w:firstLine="0" w:firstLine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+472</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+290m</w:t>
                  </w:r>
                </w:p>
              </w:tc>
            </w:tr>
          </w:tbl>
          <w:p w14:paraId="26CAF8BE">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2000国家大地坐标系</w:t>
            </w:r>
          </w:p>
        </w:tc>
      </w:tr>
      <w:tr w14:paraId="269C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1788" w:type="dxa"/>
            <w:noWrap w:val="0"/>
            <w:vAlign w:val="center"/>
          </w:tcPr>
          <w:p w14:paraId="242826B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黑体" w:hAnsi="黑体" w:eastAsia="黑体"/>
                <w:color w:val="auto"/>
                <w:sz w:val="24"/>
                <w:szCs w:val="24"/>
                <w:highlight w:val="none"/>
              </w:rPr>
            </w:pPr>
            <w:r>
              <w:rPr>
                <w:rFonts w:hint="eastAsia" w:ascii="黑体" w:hAnsi="黑体" w:eastAsia="黑体"/>
                <w:color w:val="auto"/>
                <w:sz w:val="24"/>
                <w:szCs w:val="24"/>
                <w:highlight w:val="none"/>
              </w:rPr>
              <w:t>备注</w:t>
            </w:r>
          </w:p>
        </w:tc>
        <w:tc>
          <w:tcPr>
            <w:tcW w:w="7103" w:type="dxa"/>
            <w:gridSpan w:val="5"/>
            <w:noWrap w:val="0"/>
            <w:vAlign w:val="center"/>
          </w:tcPr>
          <w:p w14:paraId="45E472F5">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矿产资源储量评审备案按照相关规定执行。</w:t>
            </w:r>
          </w:p>
        </w:tc>
      </w:tr>
    </w:tbl>
    <w:p w14:paraId="5971D6C8">
      <w:pPr>
        <w:pStyle w:val="17"/>
        <w:rPr>
          <w:color w:val="auto"/>
          <w:highlight w:val="none"/>
        </w:rPr>
        <w:sectPr>
          <w:footerReference r:id="rId16" w:type="default"/>
          <w:endnotePr>
            <w:numFmt w:val="decimal"/>
          </w:endnotePr>
          <w:pgSz w:w="11906" w:h="16838"/>
          <w:pgMar w:top="1418" w:right="1418" w:bottom="1418" w:left="1418"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6912032F">
      <w:pPr>
        <w:kinsoku/>
        <w:wordWrap/>
        <w:overflowPunct/>
        <w:topLinePunct w:val="0"/>
        <w:bidi w:val="0"/>
        <w:snapToGrid w:val="0"/>
        <w:spacing w:line="360" w:lineRule="auto"/>
        <w:ind w:firstLine="560" w:firstLineChars="200"/>
        <w:jc w:val="center"/>
        <w:rPr>
          <w:rFonts w:ascii="Times New Roman" w:hAnsi="Times New Roman" w:eastAsia="仿宋_GB2312" w:cs="Times New Roman"/>
          <w:b/>
          <w:bCs/>
          <w:color w:val="auto"/>
          <w:kern w:val="2"/>
          <w:sz w:val="28"/>
          <w:szCs w:val="24"/>
          <w:highlight w:val="none"/>
          <w:lang w:val="en-US" w:eastAsia="zh-CN" w:bidi="ar-SA"/>
        </w:rPr>
      </w:pPr>
      <w:r>
        <w:rPr>
          <w:rFonts w:hint="eastAsia" w:ascii="黑体" w:hAnsi="黑体" w:eastAsia="黑体" w:cs="黑体"/>
          <w:b/>
          <w:bCs/>
          <w:snapToGrid w:val="0"/>
          <w:color w:val="auto"/>
          <w:kern w:val="2"/>
          <w:sz w:val="28"/>
          <w:szCs w:val="32"/>
          <w:highlight w:val="none"/>
          <w:lang w:val="en-US" w:eastAsia="zh-CN" w:bidi="ar"/>
        </w:rPr>
        <w:t>目   录</w:t>
      </w:r>
      <w:r>
        <w:rPr>
          <w:rFonts w:ascii="Times New Roman" w:hAnsi="Times New Roman" w:eastAsia="仿宋_GB2312"/>
          <w:b/>
          <w:bCs/>
          <w:color w:val="auto"/>
          <w:sz w:val="28"/>
          <w:szCs w:val="30"/>
          <w:highlight w:val="none"/>
        </w:rPr>
        <w:fldChar w:fldCharType="begin"/>
      </w:r>
      <w:r>
        <w:rPr>
          <w:rFonts w:ascii="Times New Roman" w:hAnsi="Times New Roman" w:eastAsia="仿宋_GB2312"/>
          <w:b/>
          <w:bCs/>
          <w:color w:val="auto"/>
          <w:sz w:val="28"/>
          <w:szCs w:val="30"/>
          <w:highlight w:val="none"/>
        </w:rPr>
        <w:instrText xml:space="preserve"> TOC \o "1-2" \h \z \u </w:instrText>
      </w:r>
      <w:r>
        <w:rPr>
          <w:rFonts w:ascii="Times New Roman" w:hAnsi="Times New Roman" w:eastAsia="仿宋_GB2312"/>
          <w:b/>
          <w:bCs/>
          <w:color w:val="auto"/>
          <w:sz w:val="28"/>
          <w:szCs w:val="30"/>
          <w:highlight w:val="none"/>
        </w:rPr>
        <w:fldChar w:fldCharType="separate"/>
      </w:r>
    </w:p>
    <w:p w14:paraId="643A4EE8">
      <w:pPr>
        <w:pStyle w:val="13"/>
        <w:tabs>
          <w:tab w:val="right" w:leader="dot" w:pos="9070"/>
          <w:tab w:val="clear" w:pos="8948"/>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_Toc29016 </w:instrText>
      </w:r>
      <w:r>
        <w:rPr>
          <w:rFonts w:ascii="Times New Roman" w:hAnsi="Times New Roman" w:eastAsia="仿宋_GB2312"/>
          <w:bCs/>
          <w:color w:val="auto"/>
          <w:sz w:val="28"/>
          <w:szCs w:val="28"/>
          <w:highlight w:val="none"/>
        </w:rPr>
        <w:fldChar w:fldCharType="separate"/>
      </w:r>
      <w:r>
        <w:rPr>
          <w:rFonts w:hint="eastAsia" w:ascii="黑体" w:hAnsi="黑体" w:eastAsia="黑体" w:cs="黑体"/>
          <w:bCs/>
          <w:snapToGrid w:val="0"/>
          <w:color w:val="auto"/>
          <w:sz w:val="28"/>
          <w:szCs w:val="28"/>
          <w:highlight w:val="none"/>
          <w:lang w:eastAsia="zh-CN" w:bidi="ar"/>
        </w:rPr>
        <w:t>前  言</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_Toc29016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72555AE4">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_Toc2512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eastAsia="zh-CN"/>
        </w:rPr>
        <w:t>0.1任务来源及编制目的</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_Toc2512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212DEBA3">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_Toc8977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eastAsia="zh-CN"/>
        </w:rPr>
        <w:t>0.2编制工作概况</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_Toc8977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13A74D00">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_Toc11648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eastAsia="zh-CN"/>
        </w:rPr>
        <w:t>0.3编制依据</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_Toc11648 \h </w:instrText>
      </w:r>
      <w:r>
        <w:rPr>
          <w:color w:val="auto"/>
          <w:sz w:val="28"/>
          <w:szCs w:val="28"/>
          <w:highlight w:val="none"/>
        </w:rPr>
        <w:fldChar w:fldCharType="separate"/>
      </w:r>
      <w:r>
        <w:rPr>
          <w:color w:val="auto"/>
          <w:sz w:val="28"/>
          <w:szCs w:val="28"/>
          <w:highlight w:val="none"/>
        </w:rPr>
        <w:t>2</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471D9087">
      <w:pPr>
        <w:pStyle w:val="13"/>
        <w:tabs>
          <w:tab w:val="right" w:leader="dot" w:pos="9070"/>
          <w:tab w:val="clear" w:pos="8948"/>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_Toc20748 </w:instrText>
      </w:r>
      <w:r>
        <w:rPr>
          <w:rFonts w:ascii="Times New Roman" w:hAnsi="Times New Roman" w:eastAsia="仿宋_GB2312"/>
          <w:bCs/>
          <w:color w:val="auto"/>
          <w:sz w:val="28"/>
          <w:szCs w:val="28"/>
          <w:highlight w:val="none"/>
        </w:rPr>
        <w:fldChar w:fldCharType="separate"/>
      </w:r>
      <w:r>
        <w:rPr>
          <w:rFonts w:hint="eastAsia" w:ascii="黑体" w:hAnsi="黑体" w:eastAsia="黑体" w:cs="黑体"/>
          <w:bCs/>
          <w:snapToGrid w:val="0"/>
          <w:color w:val="auto"/>
          <w:sz w:val="28"/>
          <w:szCs w:val="28"/>
          <w:highlight w:val="none"/>
          <w:lang w:eastAsia="zh-CN" w:bidi="ar"/>
        </w:rPr>
        <w:t>第一章 矿山基本情况</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_Toc20748 \h </w:instrText>
      </w:r>
      <w:r>
        <w:rPr>
          <w:color w:val="auto"/>
          <w:sz w:val="28"/>
          <w:szCs w:val="28"/>
          <w:highlight w:val="none"/>
        </w:rPr>
        <w:fldChar w:fldCharType="separate"/>
      </w:r>
      <w:r>
        <w:rPr>
          <w:color w:val="auto"/>
          <w:sz w:val="28"/>
          <w:szCs w:val="28"/>
          <w:highlight w:val="none"/>
        </w:rPr>
        <w:t>6</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4962698F">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_Toc3471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eastAsia="zh-CN"/>
        </w:rPr>
        <w:t>1.1矿山位置及交通情况</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_Toc3471 \h </w:instrText>
      </w:r>
      <w:r>
        <w:rPr>
          <w:color w:val="auto"/>
          <w:sz w:val="28"/>
          <w:szCs w:val="28"/>
          <w:highlight w:val="none"/>
        </w:rPr>
        <w:fldChar w:fldCharType="separate"/>
      </w:r>
      <w:r>
        <w:rPr>
          <w:color w:val="auto"/>
          <w:sz w:val="28"/>
          <w:szCs w:val="28"/>
          <w:highlight w:val="none"/>
        </w:rPr>
        <w:t>6</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20B1CE6B">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_Toc21377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eastAsia="zh-CN"/>
        </w:rPr>
        <w:t>1.2采矿权设置情况</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_Toc21377 \h </w:instrText>
      </w:r>
      <w:r>
        <w:rPr>
          <w:color w:val="auto"/>
          <w:sz w:val="28"/>
          <w:szCs w:val="28"/>
          <w:highlight w:val="none"/>
        </w:rPr>
        <w:fldChar w:fldCharType="separate"/>
      </w:r>
      <w:r>
        <w:rPr>
          <w:color w:val="auto"/>
          <w:sz w:val="28"/>
          <w:szCs w:val="28"/>
          <w:highlight w:val="none"/>
        </w:rPr>
        <w:t>6</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2FF59301">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_Toc31855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eastAsia="zh-CN"/>
        </w:rPr>
        <w:t>1.3矿山勘查开采历史及现状</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_Toc31855 \h </w:instrText>
      </w:r>
      <w:r>
        <w:rPr>
          <w:color w:val="auto"/>
          <w:sz w:val="28"/>
          <w:szCs w:val="28"/>
          <w:highlight w:val="none"/>
        </w:rPr>
        <w:fldChar w:fldCharType="separate"/>
      </w:r>
      <w:r>
        <w:rPr>
          <w:color w:val="auto"/>
          <w:sz w:val="28"/>
          <w:szCs w:val="28"/>
          <w:highlight w:val="none"/>
        </w:rPr>
        <w:t>8</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3A0388E1">
      <w:pPr>
        <w:pStyle w:val="13"/>
        <w:tabs>
          <w:tab w:val="right" w:leader="dot" w:pos="9070"/>
          <w:tab w:val="clear" w:pos="8948"/>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_Toc2506 </w:instrText>
      </w:r>
      <w:r>
        <w:rPr>
          <w:rFonts w:ascii="Times New Roman" w:hAnsi="Times New Roman" w:eastAsia="仿宋_GB2312"/>
          <w:bCs/>
          <w:color w:val="auto"/>
          <w:sz w:val="28"/>
          <w:szCs w:val="28"/>
          <w:highlight w:val="none"/>
        </w:rPr>
        <w:fldChar w:fldCharType="separate"/>
      </w:r>
      <w:r>
        <w:rPr>
          <w:rFonts w:hint="eastAsia" w:ascii="黑体" w:hAnsi="黑体" w:eastAsia="黑体" w:cs="黑体"/>
          <w:bCs/>
          <w:snapToGrid w:val="0"/>
          <w:color w:val="auto"/>
          <w:sz w:val="28"/>
          <w:szCs w:val="28"/>
          <w:highlight w:val="none"/>
          <w:lang w:eastAsia="zh-CN" w:bidi="ar"/>
        </w:rPr>
        <w:t>第二章 矿区地质与矿产资源情况</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_Toc2506 \h </w:instrText>
      </w:r>
      <w:r>
        <w:rPr>
          <w:color w:val="auto"/>
          <w:sz w:val="28"/>
          <w:szCs w:val="28"/>
          <w:highlight w:val="none"/>
        </w:rPr>
        <w:fldChar w:fldCharType="separate"/>
      </w:r>
      <w:r>
        <w:rPr>
          <w:color w:val="auto"/>
          <w:sz w:val="28"/>
          <w:szCs w:val="28"/>
          <w:highlight w:val="none"/>
        </w:rPr>
        <w:t>16</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76E3BAC2">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_Toc8182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2</w:t>
      </w:r>
      <w:r>
        <w:rPr>
          <w:rFonts w:hint="eastAsia" w:ascii="宋体" w:hAnsi="宋体" w:eastAsia="宋体" w:cs="宋体"/>
          <w:bCs w:val="0"/>
          <w:snapToGrid w:val="0"/>
          <w:color w:val="auto"/>
          <w:kern w:val="0"/>
          <w:sz w:val="28"/>
          <w:szCs w:val="28"/>
          <w:highlight w:val="none"/>
          <w:lang w:eastAsia="zh-CN"/>
        </w:rPr>
        <w:t>.1矿床地质与矿体特征</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_Toc8182 \h </w:instrText>
      </w:r>
      <w:r>
        <w:rPr>
          <w:color w:val="auto"/>
          <w:sz w:val="28"/>
          <w:szCs w:val="28"/>
          <w:highlight w:val="none"/>
        </w:rPr>
        <w:fldChar w:fldCharType="separate"/>
      </w:r>
      <w:r>
        <w:rPr>
          <w:color w:val="auto"/>
          <w:sz w:val="28"/>
          <w:szCs w:val="28"/>
          <w:highlight w:val="none"/>
        </w:rPr>
        <w:t>16</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6BCA91E3">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_Toc24233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2.2矿床开采技术条件</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_Toc24233 \h </w:instrText>
      </w:r>
      <w:r>
        <w:rPr>
          <w:color w:val="auto"/>
          <w:sz w:val="28"/>
          <w:szCs w:val="28"/>
          <w:highlight w:val="none"/>
        </w:rPr>
        <w:fldChar w:fldCharType="separate"/>
      </w:r>
      <w:r>
        <w:rPr>
          <w:color w:val="auto"/>
          <w:sz w:val="28"/>
          <w:szCs w:val="28"/>
          <w:highlight w:val="none"/>
        </w:rPr>
        <w:t>24</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1C2242FA">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_Toc11039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2.3矿产资源储量情况</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_Toc11039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3B1EFF57">
      <w:pPr>
        <w:pStyle w:val="13"/>
        <w:tabs>
          <w:tab w:val="right" w:leader="dot" w:pos="9070"/>
          <w:tab w:val="clear" w:pos="8948"/>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_Toc18300 </w:instrText>
      </w:r>
      <w:r>
        <w:rPr>
          <w:rFonts w:ascii="Times New Roman" w:hAnsi="Times New Roman" w:eastAsia="仿宋_GB2312"/>
          <w:bCs/>
          <w:color w:val="auto"/>
          <w:sz w:val="28"/>
          <w:szCs w:val="28"/>
          <w:highlight w:val="none"/>
        </w:rPr>
        <w:fldChar w:fldCharType="separate"/>
      </w:r>
      <w:r>
        <w:rPr>
          <w:rFonts w:hint="eastAsia" w:ascii="黑体" w:hAnsi="黑体" w:eastAsia="黑体" w:cs="黑体"/>
          <w:bCs/>
          <w:snapToGrid w:val="0"/>
          <w:color w:val="auto"/>
          <w:sz w:val="28"/>
          <w:szCs w:val="28"/>
          <w:highlight w:val="none"/>
          <w:lang w:eastAsia="zh-CN" w:bidi="ar"/>
        </w:rPr>
        <w:t>第三章 开采区域</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_Toc18300 \h </w:instrText>
      </w:r>
      <w:r>
        <w:rPr>
          <w:color w:val="auto"/>
          <w:sz w:val="28"/>
          <w:szCs w:val="28"/>
          <w:highlight w:val="none"/>
        </w:rPr>
        <w:fldChar w:fldCharType="separate"/>
      </w:r>
      <w:r>
        <w:rPr>
          <w:color w:val="auto"/>
          <w:sz w:val="28"/>
          <w:szCs w:val="28"/>
          <w:highlight w:val="none"/>
        </w:rPr>
        <w:t>45</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13616E9A">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_Toc23254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3.1符合矿产资源规划情况</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_Toc23254 \h </w:instrText>
      </w:r>
      <w:r>
        <w:rPr>
          <w:color w:val="auto"/>
          <w:sz w:val="28"/>
          <w:szCs w:val="28"/>
          <w:highlight w:val="none"/>
        </w:rPr>
        <w:fldChar w:fldCharType="separate"/>
      </w:r>
      <w:r>
        <w:rPr>
          <w:color w:val="auto"/>
          <w:sz w:val="28"/>
          <w:szCs w:val="28"/>
          <w:highlight w:val="none"/>
        </w:rPr>
        <w:t>45</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1C4E943B">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_Toc24166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3.2可供开采矿产资源的范围</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_Toc24166 \h </w:instrText>
      </w:r>
      <w:r>
        <w:rPr>
          <w:color w:val="auto"/>
          <w:sz w:val="28"/>
          <w:szCs w:val="28"/>
          <w:highlight w:val="none"/>
        </w:rPr>
        <w:fldChar w:fldCharType="separate"/>
      </w:r>
      <w:r>
        <w:rPr>
          <w:color w:val="auto"/>
          <w:sz w:val="28"/>
          <w:szCs w:val="28"/>
          <w:highlight w:val="none"/>
        </w:rPr>
        <w:t>45</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541194CC">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_Toc30224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3.3井巷工程设施分布范围</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_Toc30224 \h </w:instrText>
      </w:r>
      <w:r>
        <w:rPr>
          <w:color w:val="auto"/>
          <w:sz w:val="28"/>
          <w:szCs w:val="28"/>
          <w:highlight w:val="none"/>
        </w:rPr>
        <w:fldChar w:fldCharType="separate"/>
      </w:r>
      <w:r>
        <w:rPr>
          <w:color w:val="auto"/>
          <w:sz w:val="28"/>
          <w:szCs w:val="28"/>
          <w:highlight w:val="none"/>
        </w:rPr>
        <w:t>46</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45CBEB0D">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_Toc30327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3.4区域环境条件及对敏感目标的影响分析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_Toc30327 \h </w:instrText>
      </w:r>
      <w:r>
        <w:rPr>
          <w:color w:val="auto"/>
          <w:sz w:val="28"/>
          <w:szCs w:val="28"/>
          <w:highlight w:val="none"/>
        </w:rPr>
        <w:fldChar w:fldCharType="separate"/>
      </w:r>
      <w:r>
        <w:rPr>
          <w:color w:val="auto"/>
          <w:sz w:val="28"/>
          <w:szCs w:val="28"/>
          <w:highlight w:val="none"/>
        </w:rPr>
        <w:t>47</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5375C0D7">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_Toc21440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3.5申请开采区域</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_Toc21440 \h </w:instrText>
      </w:r>
      <w:r>
        <w:rPr>
          <w:color w:val="auto"/>
          <w:sz w:val="28"/>
          <w:szCs w:val="28"/>
          <w:highlight w:val="none"/>
        </w:rPr>
        <w:fldChar w:fldCharType="separate"/>
      </w:r>
      <w:r>
        <w:rPr>
          <w:color w:val="auto"/>
          <w:sz w:val="28"/>
          <w:szCs w:val="28"/>
          <w:highlight w:val="none"/>
        </w:rPr>
        <w:t>50</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2F558ED2">
      <w:pPr>
        <w:pStyle w:val="13"/>
        <w:tabs>
          <w:tab w:val="right" w:leader="dot" w:pos="9070"/>
          <w:tab w:val="clear" w:pos="8948"/>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_Toc16983 </w:instrText>
      </w:r>
      <w:r>
        <w:rPr>
          <w:rFonts w:ascii="Times New Roman" w:hAnsi="Times New Roman" w:eastAsia="仿宋_GB2312"/>
          <w:bCs/>
          <w:color w:val="auto"/>
          <w:sz w:val="28"/>
          <w:szCs w:val="28"/>
          <w:highlight w:val="none"/>
        </w:rPr>
        <w:fldChar w:fldCharType="separate"/>
      </w:r>
      <w:r>
        <w:rPr>
          <w:rFonts w:hint="eastAsia" w:ascii="黑体" w:hAnsi="黑体" w:eastAsia="黑体" w:cs="黑体"/>
          <w:bCs/>
          <w:snapToGrid w:val="0"/>
          <w:color w:val="auto"/>
          <w:sz w:val="28"/>
          <w:szCs w:val="28"/>
          <w:highlight w:val="none"/>
          <w:lang w:eastAsia="zh-CN" w:bidi="ar"/>
        </w:rPr>
        <w:t>第四章 矿产资源开采与综合利用</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_Toc16983 \h </w:instrText>
      </w:r>
      <w:r>
        <w:rPr>
          <w:color w:val="auto"/>
          <w:sz w:val="28"/>
          <w:szCs w:val="28"/>
          <w:highlight w:val="none"/>
        </w:rPr>
        <w:fldChar w:fldCharType="separate"/>
      </w:r>
      <w:r>
        <w:rPr>
          <w:color w:val="auto"/>
          <w:sz w:val="28"/>
          <w:szCs w:val="28"/>
          <w:highlight w:val="none"/>
        </w:rPr>
        <w:t>51</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1A2B0449">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_Toc15726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4.1开采矿种及产品方案</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_Toc15726 \h </w:instrText>
      </w:r>
      <w:r>
        <w:rPr>
          <w:color w:val="auto"/>
          <w:sz w:val="28"/>
          <w:szCs w:val="28"/>
          <w:highlight w:val="none"/>
        </w:rPr>
        <w:fldChar w:fldCharType="separate"/>
      </w:r>
      <w:r>
        <w:rPr>
          <w:color w:val="auto"/>
          <w:sz w:val="28"/>
          <w:szCs w:val="28"/>
          <w:highlight w:val="none"/>
        </w:rPr>
        <w:t>51</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0036B952">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_Toc10496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4.2开采方式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_Toc10496 \h </w:instrText>
      </w:r>
      <w:r>
        <w:rPr>
          <w:color w:val="auto"/>
          <w:sz w:val="28"/>
          <w:szCs w:val="28"/>
          <w:highlight w:val="none"/>
        </w:rPr>
        <w:fldChar w:fldCharType="separate"/>
      </w:r>
      <w:r>
        <w:rPr>
          <w:color w:val="auto"/>
          <w:sz w:val="28"/>
          <w:szCs w:val="28"/>
          <w:highlight w:val="none"/>
        </w:rPr>
        <w:t>51</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7642A66B">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_Toc31605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4.3拟建生产规模及矿山服务年限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_Toc31605 \h </w:instrText>
      </w:r>
      <w:r>
        <w:rPr>
          <w:color w:val="auto"/>
          <w:sz w:val="28"/>
          <w:szCs w:val="28"/>
          <w:highlight w:val="none"/>
        </w:rPr>
        <w:fldChar w:fldCharType="separate"/>
      </w:r>
      <w:r>
        <w:rPr>
          <w:color w:val="auto"/>
          <w:sz w:val="28"/>
          <w:szCs w:val="28"/>
          <w:highlight w:val="none"/>
        </w:rPr>
        <w:t>65</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3EE282F0">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_Toc391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4.4资源综合利用</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_Toc391 \h </w:instrText>
      </w:r>
      <w:r>
        <w:rPr>
          <w:color w:val="auto"/>
          <w:sz w:val="28"/>
          <w:szCs w:val="28"/>
          <w:highlight w:val="none"/>
        </w:rPr>
        <w:fldChar w:fldCharType="separate"/>
      </w:r>
      <w:r>
        <w:rPr>
          <w:color w:val="auto"/>
          <w:sz w:val="28"/>
          <w:szCs w:val="28"/>
          <w:highlight w:val="none"/>
        </w:rPr>
        <w:t>66</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467BFDAF">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_Toc46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4.5功能区布置</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_Toc46 \h </w:instrText>
      </w:r>
      <w:r>
        <w:rPr>
          <w:color w:val="auto"/>
          <w:sz w:val="28"/>
          <w:szCs w:val="28"/>
          <w:highlight w:val="none"/>
        </w:rPr>
        <w:fldChar w:fldCharType="separate"/>
      </w:r>
      <w:r>
        <w:rPr>
          <w:color w:val="auto"/>
          <w:sz w:val="28"/>
          <w:szCs w:val="28"/>
          <w:highlight w:val="none"/>
        </w:rPr>
        <w:t>67</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0F774E84">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_Toc30223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4.6防治水方案</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_Toc30223 \h </w:instrText>
      </w:r>
      <w:r>
        <w:rPr>
          <w:color w:val="auto"/>
          <w:sz w:val="28"/>
          <w:szCs w:val="28"/>
          <w:highlight w:val="none"/>
        </w:rPr>
        <w:fldChar w:fldCharType="separate"/>
      </w:r>
      <w:r>
        <w:rPr>
          <w:color w:val="auto"/>
          <w:sz w:val="28"/>
          <w:szCs w:val="28"/>
          <w:highlight w:val="none"/>
        </w:rPr>
        <w:t>70</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227FF7F0">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_Toc4510 </w:instrText>
      </w:r>
      <w:r>
        <w:rPr>
          <w:rFonts w:ascii="Times New Roman" w:hAnsi="Times New Roman" w:eastAsia="仿宋_GB2312"/>
          <w:bCs/>
          <w:color w:val="auto"/>
          <w:sz w:val="28"/>
          <w:szCs w:val="28"/>
          <w:highlight w:val="none"/>
        </w:rPr>
        <w:fldChar w:fldCharType="separate"/>
      </w:r>
      <w:r>
        <w:rPr>
          <w:rFonts w:hint="default" w:ascii="Times New Roman" w:hAnsi="Times New Roman" w:eastAsia="宋体" w:cs="Times New Roman"/>
          <w:bCs/>
          <w:color w:val="auto"/>
          <w:kern w:val="0"/>
          <w:sz w:val="28"/>
          <w:szCs w:val="28"/>
          <w:highlight w:val="none"/>
        </w:rPr>
        <w:t> </w:t>
      </w:r>
      <w:r>
        <w:rPr>
          <w:rFonts w:hint="eastAsia" w:ascii="Times New Roman" w:hAnsi="Times New Roman" w:eastAsia="宋体" w:cs="Times New Roman"/>
          <w:bCs/>
          <w:color w:val="auto"/>
          <w:kern w:val="0"/>
          <w:sz w:val="28"/>
          <w:szCs w:val="28"/>
          <w:highlight w:val="none"/>
          <w:lang w:val="en-US" w:eastAsia="zh-CN"/>
        </w:rPr>
        <w:t xml:space="preserve">  </w:t>
      </w:r>
      <w:r>
        <w:rPr>
          <w:rFonts w:hint="eastAsia" w:ascii="宋体" w:hAnsi="宋体" w:eastAsia="宋体" w:cs="宋体"/>
          <w:bCs/>
          <w:color w:val="auto"/>
          <w:kern w:val="0"/>
          <w:sz w:val="28"/>
          <w:szCs w:val="28"/>
          <w:highlight w:val="none"/>
          <w:lang w:val="en-US" w:eastAsia="zh-CN"/>
        </w:rPr>
        <w:t xml:space="preserve"> </w:t>
      </w:r>
      <w:r>
        <w:rPr>
          <w:rFonts w:hint="eastAsia" w:ascii="宋体" w:hAnsi="宋体" w:eastAsia="宋体" w:cs="宋体"/>
          <w:color w:val="auto"/>
          <w:kern w:val="1"/>
          <w:sz w:val="28"/>
          <w:szCs w:val="28"/>
          <w:highlight w:val="none"/>
          <w:lang w:val="en-US" w:eastAsia="zh-CN"/>
        </w:rPr>
        <w:t>1.</w:t>
      </w:r>
      <w:r>
        <w:rPr>
          <w:rFonts w:hint="eastAsia" w:ascii="宋体" w:hAnsi="宋体" w:eastAsia="宋体" w:cs="宋体"/>
          <w:color w:val="auto"/>
          <w:kern w:val="1"/>
          <w:sz w:val="28"/>
          <w:szCs w:val="28"/>
          <w:highlight w:val="none"/>
        </w:rPr>
        <w:t>井下防排水</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_Toc4510 \h </w:instrText>
      </w:r>
      <w:r>
        <w:rPr>
          <w:color w:val="auto"/>
          <w:sz w:val="28"/>
          <w:szCs w:val="28"/>
          <w:highlight w:val="none"/>
        </w:rPr>
        <w:fldChar w:fldCharType="separate"/>
      </w:r>
      <w:r>
        <w:rPr>
          <w:color w:val="auto"/>
          <w:sz w:val="28"/>
          <w:szCs w:val="28"/>
          <w:highlight w:val="none"/>
        </w:rPr>
        <w:t>70</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07C61302">
      <w:pPr>
        <w:pStyle w:val="13"/>
        <w:tabs>
          <w:tab w:val="right" w:leader="dot" w:pos="9070"/>
          <w:tab w:val="clear" w:pos="8948"/>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_Toc3917 </w:instrText>
      </w:r>
      <w:r>
        <w:rPr>
          <w:rFonts w:ascii="Times New Roman" w:hAnsi="Times New Roman" w:eastAsia="仿宋_GB2312"/>
          <w:bCs/>
          <w:color w:val="auto"/>
          <w:sz w:val="28"/>
          <w:szCs w:val="28"/>
          <w:highlight w:val="none"/>
        </w:rPr>
        <w:fldChar w:fldCharType="separate"/>
      </w:r>
      <w:r>
        <w:rPr>
          <w:rFonts w:hint="eastAsia" w:ascii="黑体" w:hAnsi="黑体" w:eastAsia="黑体" w:cs="黑体"/>
          <w:bCs/>
          <w:snapToGrid w:val="0"/>
          <w:color w:val="auto"/>
          <w:sz w:val="28"/>
          <w:szCs w:val="28"/>
          <w:highlight w:val="none"/>
          <w:lang w:val="en-US" w:eastAsia="zh-CN" w:bidi="ar"/>
        </w:rPr>
        <w:t>第五章  结论与建议</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_Toc3917 \h </w:instrText>
      </w:r>
      <w:r>
        <w:rPr>
          <w:color w:val="auto"/>
          <w:sz w:val="28"/>
          <w:szCs w:val="28"/>
          <w:highlight w:val="none"/>
        </w:rPr>
        <w:fldChar w:fldCharType="separate"/>
      </w:r>
      <w:r>
        <w:rPr>
          <w:color w:val="auto"/>
          <w:sz w:val="28"/>
          <w:szCs w:val="28"/>
          <w:highlight w:val="none"/>
        </w:rPr>
        <w:t>73</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60F05D94">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_Toc3418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5.1设计利用资源储量、可采储量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_Toc3418 \h </w:instrText>
      </w:r>
      <w:r>
        <w:rPr>
          <w:color w:val="auto"/>
          <w:sz w:val="28"/>
          <w:szCs w:val="28"/>
          <w:highlight w:val="none"/>
        </w:rPr>
        <w:fldChar w:fldCharType="separate"/>
      </w:r>
      <w:r>
        <w:rPr>
          <w:color w:val="auto"/>
          <w:sz w:val="28"/>
          <w:szCs w:val="28"/>
          <w:highlight w:val="none"/>
        </w:rPr>
        <w:t>73</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3E499AB7">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_Toc13651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5.2申请开采区域</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_Toc13651 \h </w:instrText>
      </w:r>
      <w:r>
        <w:rPr>
          <w:color w:val="auto"/>
          <w:sz w:val="28"/>
          <w:szCs w:val="28"/>
          <w:highlight w:val="none"/>
        </w:rPr>
        <w:fldChar w:fldCharType="separate"/>
      </w:r>
      <w:r>
        <w:rPr>
          <w:color w:val="auto"/>
          <w:sz w:val="28"/>
          <w:szCs w:val="28"/>
          <w:highlight w:val="none"/>
        </w:rPr>
        <w:t>73</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45FE14B5">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_Toc189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5.3开采矿种及产品方案</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_Toc189 \h </w:instrText>
      </w:r>
      <w:r>
        <w:rPr>
          <w:color w:val="auto"/>
          <w:sz w:val="28"/>
          <w:szCs w:val="28"/>
          <w:highlight w:val="none"/>
        </w:rPr>
        <w:fldChar w:fldCharType="separate"/>
      </w:r>
      <w:r>
        <w:rPr>
          <w:color w:val="auto"/>
          <w:sz w:val="28"/>
          <w:szCs w:val="28"/>
          <w:highlight w:val="none"/>
        </w:rPr>
        <w:t>73</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11EE4FF6">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_Toc6001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5.4开采方式、开采顺序、采矿方法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_Toc6001 \h </w:instrText>
      </w:r>
      <w:r>
        <w:rPr>
          <w:color w:val="auto"/>
          <w:sz w:val="28"/>
          <w:szCs w:val="28"/>
          <w:highlight w:val="none"/>
        </w:rPr>
        <w:fldChar w:fldCharType="separate"/>
      </w:r>
      <w:r>
        <w:rPr>
          <w:color w:val="auto"/>
          <w:sz w:val="28"/>
          <w:szCs w:val="28"/>
          <w:highlight w:val="none"/>
        </w:rPr>
        <w:t>73</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1391C1E8">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_Toc24489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5.5拟建生产规模、矿山服务年限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_Toc24489 \h </w:instrText>
      </w:r>
      <w:r>
        <w:rPr>
          <w:color w:val="auto"/>
          <w:sz w:val="28"/>
          <w:szCs w:val="28"/>
          <w:highlight w:val="none"/>
        </w:rPr>
        <w:fldChar w:fldCharType="separate"/>
      </w:r>
      <w:r>
        <w:rPr>
          <w:color w:val="auto"/>
          <w:sz w:val="28"/>
          <w:szCs w:val="28"/>
          <w:highlight w:val="none"/>
        </w:rPr>
        <w:t>74</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02E3F652">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_Toc15477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5.6综合利用情况，采矿回采率</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_Toc15477 \h </w:instrText>
      </w:r>
      <w:r>
        <w:rPr>
          <w:color w:val="auto"/>
          <w:sz w:val="28"/>
          <w:szCs w:val="28"/>
          <w:highlight w:val="none"/>
        </w:rPr>
        <w:fldChar w:fldCharType="separate"/>
      </w:r>
      <w:r>
        <w:rPr>
          <w:color w:val="auto"/>
          <w:sz w:val="28"/>
          <w:szCs w:val="28"/>
          <w:highlight w:val="none"/>
        </w:rPr>
        <w:t>74</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6AE11B12">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_Toc13924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5.7主要敏感目标及其影响，矿山采取的防治措施</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_Toc13924 \h </w:instrText>
      </w:r>
      <w:r>
        <w:rPr>
          <w:color w:val="auto"/>
          <w:sz w:val="28"/>
          <w:szCs w:val="28"/>
          <w:highlight w:val="none"/>
        </w:rPr>
        <w:fldChar w:fldCharType="separate"/>
      </w:r>
      <w:r>
        <w:rPr>
          <w:color w:val="auto"/>
          <w:sz w:val="28"/>
          <w:szCs w:val="28"/>
          <w:highlight w:val="none"/>
        </w:rPr>
        <w:t>74</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7694FCA2">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_Toc17808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5.8意见及建议</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_Toc17808 \h </w:instrText>
      </w:r>
      <w:r>
        <w:rPr>
          <w:color w:val="auto"/>
          <w:sz w:val="28"/>
          <w:szCs w:val="28"/>
          <w:highlight w:val="none"/>
        </w:rPr>
        <w:fldChar w:fldCharType="separate"/>
      </w:r>
      <w:r>
        <w:rPr>
          <w:color w:val="auto"/>
          <w:sz w:val="28"/>
          <w:szCs w:val="28"/>
          <w:highlight w:val="none"/>
        </w:rPr>
        <w:t>75</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141D3484">
      <w:pPr>
        <w:pStyle w:val="15"/>
        <w:tabs>
          <w:tab w:val="right" w:leader="dot" w:pos="9070"/>
        </w:tabs>
        <w:rPr>
          <w:color w:val="auto"/>
          <w:sz w:val="28"/>
          <w:szCs w:val="28"/>
          <w:highlight w:val="none"/>
        </w:rPr>
      </w:pPr>
      <w:r>
        <w:rPr>
          <w:rFonts w:ascii="Times New Roman" w:hAnsi="Times New Roman" w:eastAsia="仿宋_GB2312"/>
          <w:bCs/>
          <w:color w:val="auto"/>
          <w:sz w:val="28"/>
          <w:szCs w:val="28"/>
          <w:highlight w:val="none"/>
        </w:rPr>
        <w:fldChar w:fldCharType="begin"/>
      </w:r>
      <w:r>
        <w:rPr>
          <w:rFonts w:ascii="Times New Roman" w:hAnsi="Times New Roman" w:eastAsia="仿宋_GB2312"/>
          <w:bCs/>
          <w:color w:val="auto"/>
          <w:sz w:val="28"/>
          <w:szCs w:val="28"/>
          <w:highlight w:val="none"/>
        </w:rPr>
        <w:instrText xml:space="preserve"> HYPERLINK \l _Toc22355 </w:instrText>
      </w:r>
      <w:r>
        <w:rPr>
          <w:rFonts w:ascii="Times New Roman" w:hAnsi="Times New Roman" w:eastAsia="仿宋_GB2312"/>
          <w:bCs/>
          <w:color w:val="auto"/>
          <w:sz w:val="28"/>
          <w:szCs w:val="28"/>
          <w:highlight w:val="none"/>
        </w:rPr>
        <w:fldChar w:fldCharType="separate"/>
      </w:r>
      <w:r>
        <w:rPr>
          <w:rFonts w:hint="eastAsia" w:ascii="宋体" w:hAnsi="宋体" w:eastAsia="宋体" w:cs="宋体"/>
          <w:bCs w:val="0"/>
          <w:snapToGrid w:val="0"/>
          <w:color w:val="auto"/>
          <w:kern w:val="0"/>
          <w:sz w:val="28"/>
          <w:szCs w:val="28"/>
          <w:highlight w:val="none"/>
          <w:lang w:val="en-US" w:eastAsia="zh-CN"/>
        </w:rPr>
        <w:t>5.9综合技术经济指标表</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_Toc22355 \h </w:instrText>
      </w:r>
      <w:r>
        <w:rPr>
          <w:color w:val="auto"/>
          <w:sz w:val="28"/>
          <w:szCs w:val="28"/>
          <w:highlight w:val="none"/>
        </w:rPr>
        <w:fldChar w:fldCharType="separate"/>
      </w:r>
      <w:r>
        <w:rPr>
          <w:color w:val="auto"/>
          <w:sz w:val="28"/>
          <w:szCs w:val="28"/>
          <w:highlight w:val="none"/>
        </w:rPr>
        <w:t>76</w:t>
      </w:r>
      <w:r>
        <w:rPr>
          <w:color w:val="auto"/>
          <w:sz w:val="28"/>
          <w:szCs w:val="28"/>
          <w:highlight w:val="none"/>
        </w:rPr>
        <w:fldChar w:fldCharType="end"/>
      </w:r>
      <w:r>
        <w:rPr>
          <w:rFonts w:ascii="Times New Roman" w:hAnsi="Times New Roman" w:eastAsia="仿宋_GB2312"/>
          <w:bCs/>
          <w:color w:val="auto"/>
          <w:sz w:val="28"/>
          <w:szCs w:val="28"/>
          <w:highlight w:val="none"/>
        </w:rPr>
        <w:fldChar w:fldCharType="end"/>
      </w:r>
    </w:p>
    <w:p w14:paraId="39027271">
      <w:pPr>
        <w:kinsoku/>
        <w:wordWrap/>
        <w:overflowPunct/>
        <w:topLinePunct w:val="0"/>
        <w:bidi w:val="0"/>
        <w:snapToGrid w:val="0"/>
        <w:spacing w:line="360" w:lineRule="auto"/>
        <w:ind w:firstLine="560" w:firstLineChars="200"/>
        <w:jc w:val="center"/>
        <w:rPr>
          <w:rFonts w:ascii="Times New Roman" w:hAnsi="Times New Roman" w:eastAsia="仿宋_GB2312"/>
          <w:bCs/>
          <w:color w:val="auto"/>
          <w:sz w:val="24"/>
          <w:szCs w:val="24"/>
          <w:highlight w:val="none"/>
        </w:rPr>
      </w:pPr>
      <w:r>
        <w:rPr>
          <w:rFonts w:ascii="Times New Roman" w:hAnsi="Times New Roman" w:eastAsia="仿宋_GB2312"/>
          <w:b/>
          <w:bCs/>
          <w:color w:val="auto"/>
          <w:sz w:val="28"/>
          <w:szCs w:val="24"/>
          <w:highlight w:val="none"/>
        </w:rPr>
        <w:fldChar w:fldCharType="end"/>
      </w:r>
    </w:p>
    <w:p w14:paraId="3A921953">
      <w:pPr>
        <w:kinsoku/>
        <w:wordWrap/>
        <w:overflowPunct/>
        <w:topLinePunct w:val="0"/>
        <w:bidi w:val="0"/>
        <w:snapToGrid w:val="0"/>
        <w:spacing w:line="360" w:lineRule="auto"/>
        <w:ind w:firstLine="480" w:firstLineChars="200"/>
        <w:jc w:val="both"/>
        <w:rPr>
          <w:rFonts w:ascii="Times New Roman" w:hAnsi="Times New Roman" w:eastAsia="仿宋_GB2312"/>
          <w:bCs/>
          <w:color w:val="auto"/>
          <w:sz w:val="24"/>
          <w:szCs w:val="24"/>
          <w:highlight w:val="none"/>
        </w:rPr>
      </w:pPr>
    </w:p>
    <w:p w14:paraId="00324383">
      <w:pPr>
        <w:kinsoku/>
        <w:wordWrap/>
        <w:overflowPunct/>
        <w:topLinePunct w:val="0"/>
        <w:bidi w:val="0"/>
        <w:snapToGrid w:val="0"/>
        <w:spacing w:line="360" w:lineRule="auto"/>
        <w:ind w:firstLine="480" w:firstLineChars="200"/>
        <w:jc w:val="both"/>
        <w:rPr>
          <w:rFonts w:hint="eastAsia" w:ascii="Times New Roman" w:hAnsi="Times New Roman" w:eastAsia="仿宋_GB2312"/>
          <w:bCs/>
          <w:color w:val="auto"/>
          <w:sz w:val="24"/>
          <w:szCs w:val="24"/>
          <w:highlight w:val="none"/>
        </w:rPr>
      </w:pPr>
    </w:p>
    <w:p w14:paraId="0DCC6CE8">
      <w:pPr>
        <w:kinsoku/>
        <w:wordWrap/>
        <w:overflowPunct/>
        <w:topLinePunct w:val="0"/>
        <w:bidi w:val="0"/>
        <w:spacing w:line="360" w:lineRule="auto"/>
        <w:jc w:val="center"/>
        <w:rPr>
          <w:rFonts w:hint="eastAsia" w:ascii="Times New Roman" w:hAnsi="Times New Roman" w:eastAsia="仿宋_GB2312"/>
          <w:b/>
          <w:color w:val="auto"/>
          <w:kern w:val="0"/>
          <w:sz w:val="28"/>
          <w:szCs w:val="24"/>
          <w:highlight w:val="none"/>
        </w:rPr>
      </w:pPr>
      <w:r>
        <w:rPr>
          <w:rFonts w:hint="eastAsia" w:ascii="Times New Roman" w:hAnsi="Times New Roman" w:eastAsia="仿宋_GB2312"/>
          <w:b/>
          <w:color w:val="auto"/>
          <w:kern w:val="0"/>
          <w:sz w:val="28"/>
          <w:szCs w:val="24"/>
          <w:highlight w:val="none"/>
        </w:rPr>
        <w:br w:type="page"/>
      </w:r>
      <w:r>
        <w:rPr>
          <w:rFonts w:hint="eastAsia" w:ascii="Times New Roman" w:hAnsi="Times New Roman" w:eastAsia="仿宋_GB2312"/>
          <w:b/>
          <w:color w:val="auto"/>
          <w:kern w:val="0"/>
          <w:sz w:val="28"/>
          <w:szCs w:val="24"/>
          <w:highlight w:val="none"/>
        </w:rPr>
        <w:t>附</w:t>
      </w:r>
      <w:r>
        <w:rPr>
          <w:rFonts w:ascii="Times New Roman" w:hAnsi="Times New Roman" w:eastAsia="仿宋_GB2312"/>
          <w:b/>
          <w:color w:val="auto"/>
          <w:kern w:val="0"/>
          <w:sz w:val="28"/>
          <w:szCs w:val="24"/>
          <w:highlight w:val="none"/>
        </w:rPr>
        <w:t xml:space="preserve">  </w:t>
      </w:r>
      <w:r>
        <w:rPr>
          <w:rFonts w:hint="eastAsia" w:ascii="Times New Roman" w:hAnsi="Times New Roman" w:eastAsia="仿宋_GB2312"/>
          <w:b/>
          <w:color w:val="auto"/>
          <w:kern w:val="0"/>
          <w:sz w:val="28"/>
          <w:szCs w:val="24"/>
          <w:highlight w:val="none"/>
        </w:rPr>
        <w:t>件 目 录</w:t>
      </w:r>
    </w:p>
    <w:tbl>
      <w:tblPr>
        <w:tblStyle w:val="18"/>
        <w:tblW w:w="8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7932"/>
      </w:tblGrid>
      <w:tr w14:paraId="620F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782" w:type="dxa"/>
            <w:noWrap w:val="0"/>
            <w:vAlign w:val="center"/>
          </w:tcPr>
          <w:p w14:paraId="409325FE">
            <w:pPr>
              <w:widowControl/>
              <w:adjustRightInd/>
              <w:spacing w:line="240" w:lineRule="auto"/>
              <w:ind w:firstLine="0" w:firstLineChars="0"/>
              <w:jc w:val="left"/>
              <w:textAlignment w:val="auto"/>
              <w:rPr>
                <w:rFonts w:hint="eastAsia" w:ascii="Times New Roman" w:hAnsi="Times New Roman" w:eastAsia="仿宋_GB2312" w:cs="宋体"/>
                <w:color w:val="auto"/>
                <w:kern w:val="0"/>
                <w:sz w:val="24"/>
                <w:szCs w:val="24"/>
                <w:highlight w:val="none"/>
              </w:rPr>
            </w:pPr>
            <w:r>
              <w:rPr>
                <w:rFonts w:hint="eastAsia" w:ascii="Times New Roman" w:hAnsi="Times New Roman" w:eastAsia="仿宋_GB2312" w:cs="宋体"/>
                <w:color w:val="auto"/>
                <w:kern w:val="0"/>
                <w:sz w:val="24"/>
                <w:szCs w:val="24"/>
                <w:highlight w:val="none"/>
              </w:rPr>
              <w:t>序号</w:t>
            </w:r>
          </w:p>
        </w:tc>
        <w:tc>
          <w:tcPr>
            <w:tcW w:w="7932" w:type="dxa"/>
            <w:noWrap w:val="0"/>
            <w:vAlign w:val="center"/>
          </w:tcPr>
          <w:p w14:paraId="09B7E764">
            <w:pPr>
              <w:widowControl/>
              <w:adjustRightInd/>
              <w:spacing w:line="240" w:lineRule="auto"/>
              <w:ind w:firstLine="0" w:firstLineChars="0"/>
              <w:jc w:val="left"/>
              <w:textAlignment w:val="auto"/>
              <w:rPr>
                <w:rFonts w:hint="eastAsia" w:ascii="Times New Roman" w:hAnsi="Times New Roman" w:eastAsia="仿宋_GB2312" w:cs="宋体"/>
                <w:color w:val="auto"/>
                <w:kern w:val="0"/>
                <w:sz w:val="24"/>
                <w:szCs w:val="24"/>
                <w:highlight w:val="none"/>
              </w:rPr>
            </w:pPr>
            <w:r>
              <w:rPr>
                <w:rFonts w:hint="eastAsia" w:ascii="Times New Roman" w:hAnsi="Times New Roman" w:eastAsia="仿宋_GB2312" w:cs="宋体"/>
                <w:color w:val="auto"/>
                <w:kern w:val="0"/>
                <w:sz w:val="24"/>
                <w:szCs w:val="24"/>
                <w:highlight w:val="none"/>
              </w:rPr>
              <w:t>附件</w:t>
            </w:r>
          </w:p>
        </w:tc>
      </w:tr>
      <w:tr w14:paraId="29F1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82" w:type="dxa"/>
            <w:noWrap w:val="0"/>
            <w:vAlign w:val="center"/>
          </w:tcPr>
          <w:p w14:paraId="1BA0B19F">
            <w:pPr>
              <w:widowControl/>
              <w:adjustRightInd/>
              <w:spacing w:line="240" w:lineRule="auto"/>
              <w:ind w:firstLine="0" w:firstLineChars="0"/>
              <w:jc w:val="left"/>
              <w:textAlignment w:val="auto"/>
              <w:rPr>
                <w:rFonts w:hint="eastAsia" w:ascii="Times New Roman" w:hAnsi="Times New Roman" w:eastAsia="仿宋_GB2312" w:cs="宋体"/>
                <w:color w:val="auto"/>
                <w:kern w:val="0"/>
                <w:sz w:val="24"/>
                <w:szCs w:val="24"/>
                <w:highlight w:val="none"/>
              </w:rPr>
            </w:pPr>
            <w:r>
              <w:rPr>
                <w:rFonts w:hint="eastAsia" w:ascii="Times New Roman" w:hAnsi="Times New Roman" w:eastAsia="仿宋_GB2312" w:cs="宋体"/>
                <w:color w:val="auto"/>
                <w:kern w:val="0"/>
                <w:sz w:val="24"/>
                <w:szCs w:val="24"/>
                <w:highlight w:val="none"/>
              </w:rPr>
              <w:t>1</w:t>
            </w:r>
          </w:p>
        </w:tc>
        <w:tc>
          <w:tcPr>
            <w:tcW w:w="7932" w:type="dxa"/>
            <w:noWrap w:val="0"/>
            <w:vAlign w:val="center"/>
          </w:tcPr>
          <w:p w14:paraId="458B432C">
            <w:pPr>
              <w:widowControl/>
              <w:adjustRightInd/>
              <w:spacing w:line="240" w:lineRule="auto"/>
              <w:ind w:firstLine="0" w:firstLineChars="0"/>
              <w:jc w:val="left"/>
              <w:textAlignment w:val="auto"/>
              <w:rPr>
                <w:rFonts w:hint="eastAsia" w:ascii="Times New Roman" w:hAnsi="Times New Roman" w:eastAsia="仿宋_GB2312" w:cs="宋体"/>
                <w:color w:val="auto"/>
                <w:kern w:val="0"/>
                <w:sz w:val="24"/>
                <w:szCs w:val="24"/>
                <w:highlight w:val="none"/>
                <w:lang w:val="en-US" w:eastAsia="zh-CN"/>
              </w:rPr>
            </w:pPr>
            <w:r>
              <w:rPr>
                <w:rFonts w:hint="eastAsia" w:eastAsia="仿宋_GB2312" w:cs="宋体"/>
                <w:color w:val="auto"/>
                <w:kern w:val="0"/>
                <w:sz w:val="24"/>
                <w:szCs w:val="24"/>
                <w:highlight w:val="none"/>
                <w:lang w:val="en-US" w:eastAsia="zh-CN"/>
              </w:rPr>
              <w:t>委托书</w:t>
            </w:r>
          </w:p>
        </w:tc>
      </w:tr>
      <w:tr w14:paraId="4988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82" w:type="dxa"/>
            <w:noWrap w:val="0"/>
            <w:vAlign w:val="center"/>
          </w:tcPr>
          <w:p w14:paraId="39DE3496">
            <w:pPr>
              <w:widowControl/>
              <w:adjustRightInd/>
              <w:spacing w:line="240" w:lineRule="auto"/>
              <w:ind w:firstLine="0" w:firstLineChars="0"/>
              <w:jc w:val="left"/>
              <w:textAlignment w:val="auto"/>
              <w:rPr>
                <w:rFonts w:hint="eastAsia" w:ascii="Times New Roman" w:hAnsi="Times New Roman" w:eastAsia="仿宋_GB2312" w:cs="宋体"/>
                <w:color w:val="auto"/>
                <w:kern w:val="0"/>
                <w:sz w:val="24"/>
                <w:szCs w:val="24"/>
                <w:highlight w:val="none"/>
              </w:rPr>
            </w:pPr>
            <w:r>
              <w:rPr>
                <w:rFonts w:hint="eastAsia" w:ascii="Times New Roman" w:hAnsi="Times New Roman" w:eastAsia="仿宋_GB2312" w:cs="宋体"/>
                <w:color w:val="auto"/>
                <w:kern w:val="0"/>
                <w:sz w:val="24"/>
                <w:szCs w:val="24"/>
                <w:highlight w:val="none"/>
              </w:rPr>
              <w:t>2</w:t>
            </w:r>
          </w:p>
        </w:tc>
        <w:tc>
          <w:tcPr>
            <w:tcW w:w="7932" w:type="dxa"/>
            <w:noWrap w:val="0"/>
            <w:vAlign w:val="center"/>
          </w:tcPr>
          <w:p w14:paraId="51524FD5">
            <w:pPr>
              <w:widowControl/>
              <w:adjustRightInd/>
              <w:spacing w:line="240" w:lineRule="auto"/>
              <w:ind w:firstLine="0" w:firstLineChars="0"/>
              <w:jc w:val="left"/>
              <w:textAlignment w:val="auto"/>
              <w:rPr>
                <w:rFonts w:hint="eastAsia" w:ascii="Times New Roman" w:hAnsi="Times New Roman" w:eastAsia="仿宋_GB2312" w:cs="宋体"/>
                <w:color w:val="auto"/>
                <w:kern w:val="0"/>
                <w:sz w:val="24"/>
                <w:szCs w:val="24"/>
                <w:highlight w:val="none"/>
                <w:lang w:val="en-US" w:eastAsia="zh-CN" w:bidi="ar-SA"/>
              </w:rPr>
            </w:pPr>
            <w:r>
              <w:rPr>
                <w:rFonts w:hint="eastAsia" w:ascii="Times New Roman" w:hAnsi="Times New Roman" w:eastAsia="仿宋_GB2312" w:cs="宋体"/>
                <w:color w:val="auto"/>
                <w:kern w:val="0"/>
                <w:sz w:val="24"/>
                <w:szCs w:val="24"/>
                <w:highlight w:val="none"/>
              </w:rPr>
              <w:t>营业执照</w:t>
            </w:r>
          </w:p>
        </w:tc>
      </w:tr>
      <w:tr w14:paraId="031B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82" w:type="dxa"/>
            <w:noWrap w:val="0"/>
            <w:vAlign w:val="center"/>
          </w:tcPr>
          <w:p w14:paraId="591D548B">
            <w:pPr>
              <w:widowControl/>
              <w:adjustRightInd/>
              <w:spacing w:line="240" w:lineRule="auto"/>
              <w:ind w:firstLine="0" w:firstLineChars="0"/>
              <w:jc w:val="left"/>
              <w:textAlignment w:val="auto"/>
              <w:rPr>
                <w:rFonts w:hint="eastAsia" w:ascii="Times New Roman" w:hAnsi="Times New Roman" w:eastAsia="仿宋_GB2312" w:cs="宋体"/>
                <w:color w:val="auto"/>
                <w:kern w:val="0"/>
                <w:sz w:val="24"/>
                <w:szCs w:val="24"/>
                <w:highlight w:val="none"/>
              </w:rPr>
            </w:pPr>
            <w:r>
              <w:rPr>
                <w:rFonts w:hint="eastAsia" w:ascii="Times New Roman" w:hAnsi="Times New Roman" w:eastAsia="仿宋_GB2312" w:cs="宋体"/>
                <w:color w:val="auto"/>
                <w:kern w:val="0"/>
                <w:sz w:val="24"/>
                <w:szCs w:val="24"/>
                <w:highlight w:val="none"/>
              </w:rPr>
              <w:t>3</w:t>
            </w:r>
          </w:p>
        </w:tc>
        <w:tc>
          <w:tcPr>
            <w:tcW w:w="7932" w:type="dxa"/>
            <w:noWrap w:val="0"/>
            <w:vAlign w:val="center"/>
          </w:tcPr>
          <w:p w14:paraId="10298D6A">
            <w:pPr>
              <w:widowControl/>
              <w:adjustRightInd/>
              <w:spacing w:line="240" w:lineRule="auto"/>
              <w:ind w:firstLine="0" w:firstLineChars="0"/>
              <w:jc w:val="left"/>
              <w:textAlignment w:val="auto"/>
              <w:rPr>
                <w:rFonts w:hint="eastAsia" w:ascii="Times New Roman" w:hAnsi="Times New Roman" w:eastAsia="仿宋_GB2312" w:cs="宋体"/>
                <w:color w:val="auto"/>
                <w:kern w:val="0"/>
                <w:sz w:val="24"/>
                <w:szCs w:val="24"/>
                <w:highlight w:val="none"/>
                <w:lang w:val="en-US" w:eastAsia="zh-CN" w:bidi="ar-SA"/>
              </w:rPr>
            </w:pPr>
            <w:r>
              <w:rPr>
                <w:rFonts w:hint="eastAsia" w:ascii="Times New Roman" w:hAnsi="Times New Roman" w:eastAsia="仿宋_GB2312" w:cs="宋体"/>
                <w:color w:val="auto"/>
                <w:kern w:val="0"/>
                <w:sz w:val="24"/>
                <w:szCs w:val="24"/>
                <w:highlight w:val="none"/>
              </w:rPr>
              <w:t>采矿许可证</w:t>
            </w:r>
          </w:p>
        </w:tc>
      </w:tr>
      <w:tr w14:paraId="4575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82" w:type="dxa"/>
            <w:noWrap w:val="0"/>
            <w:vAlign w:val="center"/>
          </w:tcPr>
          <w:p w14:paraId="04AE6D2B">
            <w:pPr>
              <w:widowControl/>
              <w:adjustRightInd/>
              <w:spacing w:line="240" w:lineRule="auto"/>
              <w:ind w:firstLine="0" w:firstLineChars="0"/>
              <w:jc w:val="left"/>
              <w:textAlignment w:val="auto"/>
              <w:rPr>
                <w:rFonts w:hint="eastAsia" w:ascii="Times New Roman" w:hAnsi="Times New Roman" w:eastAsia="仿宋_GB2312" w:cs="宋体"/>
                <w:color w:val="auto"/>
                <w:kern w:val="0"/>
                <w:sz w:val="24"/>
                <w:szCs w:val="24"/>
                <w:highlight w:val="none"/>
              </w:rPr>
            </w:pPr>
            <w:r>
              <w:rPr>
                <w:rFonts w:hint="eastAsia" w:ascii="Times New Roman" w:hAnsi="Times New Roman" w:eastAsia="仿宋_GB2312" w:cs="宋体"/>
                <w:color w:val="auto"/>
                <w:kern w:val="0"/>
                <w:sz w:val="24"/>
                <w:szCs w:val="24"/>
                <w:highlight w:val="none"/>
              </w:rPr>
              <w:t>4</w:t>
            </w:r>
          </w:p>
        </w:tc>
        <w:tc>
          <w:tcPr>
            <w:tcW w:w="7932" w:type="dxa"/>
            <w:noWrap w:val="0"/>
            <w:vAlign w:val="center"/>
          </w:tcPr>
          <w:p w14:paraId="34CA3EB0">
            <w:pPr>
              <w:widowControl/>
              <w:adjustRightInd/>
              <w:spacing w:line="240" w:lineRule="auto"/>
              <w:ind w:firstLine="0" w:firstLineChars="0"/>
              <w:jc w:val="left"/>
              <w:textAlignment w:val="auto"/>
              <w:rPr>
                <w:rFonts w:hint="eastAsia" w:ascii="Times New Roman" w:hAnsi="Times New Roman" w:eastAsia="仿宋_GB2312" w:cs="宋体"/>
                <w:color w:val="auto"/>
                <w:kern w:val="0"/>
                <w:sz w:val="24"/>
                <w:szCs w:val="24"/>
                <w:highlight w:val="none"/>
                <w:lang w:val="en-US" w:eastAsia="zh-CN" w:bidi="ar-SA"/>
              </w:rPr>
            </w:pPr>
            <w:r>
              <w:rPr>
                <w:rFonts w:hint="eastAsia" w:eastAsia="仿宋_GB2312" w:cs="宋体"/>
                <w:color w:val="auto"/>
                <w:kern w:val="0"/>
                <w:sz w:val="24"/>
                <w:szCs w:val="24"/>
                <w:highlight w:val="none"/>
                <w:lang w:val="en-US" w:eastAsia="zh-CN" w:bidi="ar-SA"/>
              </w:rPr>
              <w:t>各部门协审表</w:t>
            </w:r>
          </w:p>
        </w:tc>
      </w:tr>
      <w:tr w14:paraId="3175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82" w:type="dxa"/>
            <w:noWrap w:val="0"/>
            <w:vAlign w:val="center"/>
          </w:tcPr>
          <w:p w14:paraId="245A5839">
            <w:pPr>
              <w:widowControl/>
              <w:adjustRightInd/>
              <w:spacing w:line="240" w:lineRule="auto"/>
              <w:ind w:firstLine="0" w:firstLineChars="0"/>
              <w:jc w:val="left"/>
              <w:textAlignment w:val="auto"/>
              <w:rPr>
                <w:rFonts w:hint="default" w:eastAsia="仿宋_GB2312" w:cs="宋体"/>
                <w:color w:val="auto"/>
                <w:kern w:val="0"/>
                <w:sz w:val="24"/>
                <w:szCs w:val="24"/>
                <w:highlight w:val="none"/>
                <w:lang w:val="en-US" w:eastAsia="zh-CN" w:bidi="ar-SA"/>
              </w:rPr>
            </w:pPr>
            <w:r>
              <w:rPr>
                <w:rFonts w:hint="eastAsia" w:eastAsia="仿宋_GB2312" w:cs="宋体"/>
                <w:color w:val="auto"/>
                <w:kern w:val="0"/>
                <w:sz w:val="24"/>
                <w:szCs w:val="24"/>
                <w:highlight w:val="none"/>
                <w:lang w:val="en-US" w:eastAsia="zh-CN" w:bidi="ar-SA"/>
              </w:rPr>
              <w:t>5</w:t>
            </w:r>
          </w:p>
        </w:tc>
        <w:tc>
          <w:tcPr>
            <w:tcW w:w="7932" w:type="dxa"/>
            <w:noWrap w:val="0"/>
            <w:vAlign w:val="center"/>
          </w:tcPr>
          <w:p w14:paraId="143F1CA4">
            <w:pPr>
              <w:widowControl/>
              <w:adjustRightInd/>
              <w:spacing w:line="240" w:lineRule="auto"/>
              <w:ind w:firstLine="0" w:firstLineChars="0"/>
              <w:jc w:val="left"/>
              <w:textAlignment w:val="auto"/>
              <w:rPr>
                <w:rFonts w:hint="eastAsia" w:eastAsia="仿宋_GB2312" w:cs="宋体"/>
                <w:color w:val="auto"/>
                <w:kern w:val="0"/>
                <w:sz w:val="24"/>
                <w:szCs w:val="24"/>
                <w:highlight w:val="none"/>
                <w:lang w:val="en-US" w:eastAsia="zh-CN" w:bidi="ar-SA"/>
              </w:rPr>
            </w:pPr>
            <w:r>
              <w:rPr>
                <w:rFonts w:hint="eastAsia" w:eastAsia="仿宋_GB2312" w:cs="宋体"/>
                <w:color w:val="auto"/>
                <w:kern w:val="0"/>
                <w:sz w:val="24"/>
                <w:szCs w:val="24"/>
                <w:highlight w:val="none"/>
                <w:lang w:val="en-US" w:eastAsia="zh-CN" w:bidi="ar-SA"/>
              </w:rPr>
              <w:t>资源储量评审意见书</w:t>
            </w:r>
          </w:p>
        </w:tc>
      </w:tr>
    </w:tbl>
    <w:p w14:paraId="41A66145">
      <w:pPr>
        <w:kinsoku/>
        <w:wordWrap/>
        <w:overflowPunct/>
        <w:topLinePunct w:val="0"/>
        <w:bidi w:val="0"/>
        <w:spacing w:line="360" w:lineRule="auto"/>
        <w:jc w:val="both"/>
        <w:rPr>
          <w:rFonts w:hint="eastAsia" w:ascii="Times New Roman" w:hAnsi="Times New Roman" w:eastAsia="仿宋_GB2312"/>
          <w:b/>
          <w:color w:val="auto"/>
          <w:kern w:val="0"/>
          <w:sz w:val="28"/>
          <w:szCs w:val="24"/>
          <w:highlight w:val="none"/>
        </w:rPr>
      </w:pPr>
    </w:p>
    <w:p w14:paraId="5551B27A">
      <w:pPr>
        <w:kinsoku/>
        <w:wordWrap/>
        <w:overflowPunct/>
        <w:topLinePunct w:val="0"/>
        <w:bidi w:val="0"/>
        <w:spacing w:line="360" w:lineRule="auto"/>
        <w:ind w:firstLine="480"/>
        <w:jc w:val="center"/>
        <w:rPr>
          <w:rFonts w:ascii="Times New Roman" w:hAnsi="Times New Roman" w:eastAsia="仿宋_GB2312"/>
          <w:b/>
          <w:color w:val="auto"/>
          <w:kern w:val="0"/>
          <w:sz w:val="28"/>
          <w:szCs w:val="24"/>
          <w:highlight w:val="none"/>
        </w:rPr>
      </w:pPr>
      <w:r>
        <w:rPr>
          <w:rFonts w:ascii="Times New Roman" w:hAnsi="Times New Roman" w:eastAsia="仿宋_GB2312"/>
          <w:b/>
          <w:color w:val="auto"/>
          <w:kern w:val="0"/>
          <w:sz w:val="28"/>
          <w:szCs w:val="24"/>
          <w:highlight w:val="none"/>
        </w:rPr>
        <w:t>附  图  目  录</w:t>
      </w:r>
    </w:p>
    <w:tbl>
      <w:tblPr>
        <w:tblStyle w:val="18"/>
        <w:tblW w:w="8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650"/>
        <w:gridCol w:w="6424"/>
        <w:gridCol w:w="1000"/>
      </w:tblGrid>
      <w:tr w14:paraId="59AF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42" w:type="dxa"/>
            <w:noWrap w:val="0"/>
            <w:vAlign w:val="center"/>
          </w:tcPr>
          <w:p w14:paraId="2F1DB1A2">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顺序号</w:t>
            </w:r>
          </w:p>
        </w:tc>
        <w:tc>
          <w:tcPr>
            <w:tcW w:w="650" w:type="dxa"/>
            <w:noWrap w:val="0"/>
            <w:vAlign w:val="center"/>
          </w:tcPr>
          <w:p w14:paraId="681D4917">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图号</w:t>
            </w:r>
          </w:p>
        </w:tc>
        <w:tc>
          <w:tcPr>
            <w:tcW w:w="6424" w:type="dxa"/>
            <w:noWrap w:val="0"/>
            <w:vAlign w:val="center"/>
          </w:tcPr>
          <w:p w14:paraId="154FB55F">
            <w:pPr>
              <w:widowControl/>
              <w:adjustRightInd/>
              <w:spacing w:line="240" w:lineRule="auto"/>
              <w:ind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图  名</w:t>
            </w:r>
          </w:p>
        </w:tc>
        <w:tc>
          <w:tcPr>
            <w:tcW w:w="1000" w:type="dxa"/>
            <w:noWrap w:val="0"/>
            <w:vAlign w:val="center"/>
          </w:tcPr>
          <w:p w14:paraId="7F59A8C5">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比例尺</w:t>
            </w:r>
          </w:p>
        </w:tc>
      </w:tr>
      <w:tr w14:paraId="7692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dxa"/>
            <w:noWrap w:val="0"/>
            <w:vAlign w:val="center"/>
          </w:tcPr>
          <w:p w14:paraId="5346A2B5">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650" w:type="dxa"/>
            <w:noWrap w:val="0"/>
            <w:vAlign w:val="center"/>
          </w:tcPr>
          <w:p w14:paraId="2CCA0DA9">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6424" w:type="dxa"/>
            <w:noWrap w:val="0"/>
            <w:vAlign w:val="center"/>
          </w:tcPr>
          <w:p w14:paraId="0C558056">
            <w:pPr>
              <w:widowControl/>
              <w:adjustRightInd/>
              <w:spacing w:line="240" w:lineRule="auto"/>
              <w:ind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矿山位置卫星影像图</w:t>
            </w:r>
          </w:p>
        </w:tc>
        <w:tc>
          <w:tcPr>
            <w:tcW w:w="1000" w:type="dxa"/>
            <w:noWrap w:val="0"/>
            <w:vAlign w:val="center"/>
          </w:tcPr>
          <w:p w14:paraId="1FC97A4C">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1:5000</w:t>
            </w:r>
          </w:p>
        </w:tc>
      </w:tr>
      <w:tr w14:paraId="7328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dxa"/>
            <w:noWrap w:val="0"/>
            <w:vAlign w:val="center"/>
          </w:tcPr>
          <w:p w14:paraId="5649DF5A">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650" w:type="dxa"/>
            <w:noWrap w:val="0"/>
            <w:vAlign w:val="center"/>
          </w:tcPr>
          <w:p w14:paraId="057AB813">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6424" w:type="dxa"/>
            <w:noWrap w:val="0"/>
            <w:vAlign w:val="center"/>
          </w:tcPr>
          <w:p w14:paraId="0294D150">
            <w:pPr>
              <w:widowControl/>
              <w:adjustRightInd/>
              <w:spacing w:line="240" w:lineRule="auto"/>
              <w:ind w:firstLine="0" w:firstLineChars="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叠合图</w:t>
            </w:r>
          </w:p>
        </w:tc>
        <w:tc>
          <w:tcPr>
            <w:tcW w:w="1000" w:type="dxa"/>
            <w:noWrap w:val="0"/>
            <w:vAlign w:val="center"/>
          </w:tcPr>
          <w:p w14:paraId="59D347A1">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1:2000</w:t>
            </w:r>
          </w:p>
        </w:tc>
      </w:tr>
      <w:tr w14:paraId="3683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dxa"/>
            <w:noWrap w:val="0"/>
            <w:vAlign w:val="center"/>
          </w:tcPr>
          <w:p w14:paraId="7E4D8589">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650" w:type="dxa"/>
            <w:noWrap w:val="0"/>
            <w:vAlign w:val="center"/>
          </w:tcPr>
          <w:p w14:paraId="33F6F764">
            <w:pPr>
              <w:widowControl/>
              <w:adjustRightInd/>
              <w:spacing w:line="240" w:lineRule="auto"/>
              <w:ind w:firstLine="0" w:firstLineChars="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-1</w:t>
            </w:r>
          </w:p>
        </w:tc>
        <w:tc>
          <w:tcPr>
            <w:tcW w:w="6424" w:type="dxa"/>
            <w:noWrap w:val="0"/>
            <w:vAlign w:val="center"/>
          </w:tcPr>
          <w:p w14:paraId="3995E552">
            <w:pPr>
              <w:widowControl/>
              <w:adjustRightInd/>
              <w:spacing w:line="240" w:lineRule="auto"/>
              <w:ind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纵投影图</w:t>
            </w:r>
          </w:p>
        </w:tc>
        <w:tc>
          <w:tcPr>
            <w:tcW w:w="1000" w:type="dxa"/>
            <w:noWrap w:val="0"/>
            <w:vAlign w:val="center"/>
          </w:tcPr>
          <w:p w14:paraId="5DC3CE1C">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1:2000</w:t>
            </w:r>
          </w:p>
        </w:tc>
      </w:tr>
      <w:tr w14:paraId="3FFF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dxa"/>
            <w:noWrap w:val="0"/>
            <w:vAlign w:val="center"/>
          </w:tcPr>
          <w:p w14:paraId="4A63B4F4">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650" w:type="dxa"/>
            <w:noWrap w:val="0"/>
            <w:vAlign w:val="center"/>
          </w:tcPr>
          <w:p w14:paraId="1B67387E">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-2</w:t>
            </w:r>
          </w:p>
        </w:tc>
        <w:tc>
          <w:tcPr>
            <w:tcW w:w="6424" w:type="dxa"/>
            <w:noWrap w:val="0"/>
            <w:vAlign w:val="center"/>
          </w:tcPr>
          <w:p w14:paraId="615EE1AD">
            <w:pPr>
              <w:widowControl/>
              <w:adjustRightInd/>
              <w:spacing w:line="240" w:lineRule="auto"/>
              <w:ind w:firstLine="0" w:firstLineChars="0"/>
              <w:jc w:val="left"/>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5线地质剖面图</w:t>
            </w:r>
          </w:p>
        </w:tc>
        <w:tc>
          <w:tcPr>
            <w:tcW w:w="1000" w:type="dxa"/>
            <w:noWrap w:val="0"/>
            <w:vAlign w:val="center"/>
          </w:tcPr>
          <w:tbl>
            <w:tblPr>
              <w:tblStyle w:val="18"/>
              <w:tblW w:w="8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tblGrid>
            <w:tr w14:paraId="0950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00" w:type="dxa"/>
                  <w:noWrap w:val="0"/>
                  <w:vAlign w:val="center"/>
                </w:tcPr>
                <w:p w14:paraId="25C1D841">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000</w:t>
                  </w:r>
                </w:p>
              </w:tc>
            </w:tr>
          </w:tbl>
          <w:p w14:paraId="769DB154">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p>
        </w:tc>
      </w:tr>
      <w:tr w14:paraId="0340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dxa"/>
            <w:noWrap w:val="0"/>
            <w:vAlign w:val="center"/>
          </w:tcPr>
          <w:p w14:paraId="7A0C65AD">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650" w:type="dxa"/>
            <w:noWrap w:val="0"/>
            <w:vAlign w:val="center"/>
          </w:tcPr>
          <w:p w14:paraId="73A728DA">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-3</w:t>
            </w:r>
          </w:p>
        </w:tc>
        <w:tc>
          <w:tcPr>
            <w:tcW w:w="6424" w:type="dxa"/>
            <w:noWrap w:val="0"/>
            <w:vAlign w:val="center"/>
          </w:tcPr>
          <w:p w14:paraId="576FEC80">
            <w:pPr>
              <w:widowControl/>
              <w:adjustRightInd/>
              <w:spacing w:line="240" w:lineRule="auto"/>
              <w:ind w:firstLine="0" w:firstLineChars="0"/>
              <w:jc w:val="left"/>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6+1线地质剖面图</w:t>
            </w:r>
          </w:p>
        </w:tc>
        <w:tc>
          <w:tcPr>
            <w:tcW w:w="1000" w:type="dxa"/>
            <w:noWrap w:val="0"/>
            <w:vAlign w:val="center"/>
          </w:tcPr>
          <w:p w14:paraId="19443428">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000</w:t>
            </w:r>
          </w:p>
        </w:tc>
      </w:tr>
      <w:tr w14:paraId="1694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dxa"/>
            <w:noWrap w:val="0"/>
            <w:vAlign w:val="center"/>
          </w:tcPr>
          <w:p w14:paraId="50AEB143">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p>
        </w:tc>
        <w:tc>
          <w:tcPr>
            <w:tcW w:w="650" w:type="dxa"/>
            <w:noWrap w:val="0"/>
            <w:vAlign w:val="center"/>
          </w:tcPr>
          <w:p w14:paraId="4FA135C6">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-4</w:t>
            </w:r>
          </w:p>
        </w:tc>
        <w:tc>
          <w:tcPr>
            <w:tcW w:w="6424" w:type="dxa"/>
            <w:noWrap w:val="0"/>
            <w:vAlign w:val="center"/>
          </w:tcPr>
          <w:p w14:paraId="69759D28">
            <w:pPr>
              <w:widowControl/>
              <w:adjustRightInd/>
              <w:spacing w:line="240" w:lineRule="auto"/>
              <w:ind w:firstLine="0" w:firstLineChars="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7线地质剖面图</w:t>
            </w:r>
          </w:p>
        </w:tc>
        <w:tc>
          <w:tcPr>
            <w:tcW w:w="1000" w:type="dxa"/>
            <w:noWrap w:val="0"/>
            <w:vAlign w:val="center"/>
          </w:tcPr>
          <w:p w14:paraId="00617198">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000</w:t>
            </w:r>
          </w:p>
        </w:tc>
      </w:tr>
      <w:tr w14:paraId="026D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dxa"/>
            <w:noWrap w:val="0"/>
            <w:vAlign w:val="center"/>
          </w:tcPr>
          <w:p w14:paraId="15251BEE">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7</w:t>
            </w:r>
          </w:p>
        </w:tc>
        <w:tc>
          <w:tcPr>
            <w:tcW w:w="650" w:type="dxa"/>
            <w:noWrap w:val="0"/>
            <w:vAlign w:val="center"/>
          </w:tcPr>
          <w:p w14:paraId="0E80B35C">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6424" w:type="dxa"/>
            <w:noWrap w:val="0"/>
            <w:vAlign w:val="center"/>
          </w:tcPr>
          <w:p w14:paraId="4A464A9A">
            <w:pPr>
              <w:widowControl/>
              <w:adjustRightInd/>
              <w:spacing w:line="240" w:lineRule="auto"/>
              <w:ind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矿山总平面布置图</w:t>
            </w:r>
          </w:p>
        </w:tc>
        <w:tc>
          <w:tcPr>
            <w:tcW w:w="1000" w:type="dxa"/>
            <w:noWrap w:val="0"/>
            <w:vAlign w:val="center"/>
          </w:tcPr>
          <w:p w14:paraId="4A19036E">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1:2000</w:t>
            </w:r>
          </w:p>
        </w:tc>
      </w:tr>
      <w:tr w14:paraId="284C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dxa"/>
            <w:noWrap w:val="0"/>
            <w:vAlign w:val="center"/>
          </w:tcPr>
          <w:p w14:paraId="18833E0C">
            <w:pPr>
              <w:widowControl/>
              <w:adjustRightInd/>
              <w:spacing w:line="240" w:lineRule="auto"/>
              <w:ind w:firstLine="0" w:firstLineChars="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w:t>
            </w:r>
          </w:p>
        </w:tc>
        <w:tc>
          <w:tcPr>
            <w:tcW w:w="650" w:type="dxa"/>
            <w:noWrap w:val="0"/>
            <w:vAlign w:val="center"/>
          </w:tcPr>
          <w:p w14:paraId="141F3165">
            <w:pPr>
              <w:widowControl/>
              <w:adjustRightInd/>
              <w:spacing w:line="240" w:lineRule="auto"/>
              <w:ind w:firstLine="0" w:firstLineChars="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5-1</w:t>
            </w:r>
          </w:p>
        </w:tc>
        <w:tc>
          <w:tcPr>
            <w:tcW w:w="6424" w:type="dxa"/>
            <w:noWrap w:val="0"/>
            <w:vAlign w:val="center"/>
          </w:tcPr>
          <w:p w14:paraId="7F7A68F0">
            <w:pPr>
              <w:widowControl/>
              <w:adjustRightInd/>
              <w:spacing w:line="24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390m中段开拓平面图</w:t>
            </w:r>
          </w:p>
        </w:tc>
        <w:tc>
          <w:tcPr>
            <w:tcW w:w="1000" w:type="dxa"/>
            <w:noWrap w:val="0"/>
            <w:vAlign w:val="center"/>
          </w:tcPr>
          <w:p w14:paraId="2D846662">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1:2000</w:t>
            </w:r>
          </w:p>
        </w:tc>
      </w:tr>
      <w:tr w14:paraId="7846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dxa"/>
            <w:noWrap w:val="0"/>
            <w:vAlign w:val="center"/>
          </w:tcPr>
          <w:p w14:paraId="6AB41DB6">
            <w:pPr>
              <w:widowControl/>
              <w:adjustRightInd/>
              <w:spacing w:line="240" w:lineRule="auto"/>
              <w:ind w:firstLine="0" w:firstLineChars="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9</w:t>
            </w:r>
          </w:p>
        </w:tc>
        <w:tc>
          <w:tcPr>
            <w:tcW w:w="650" w:type="dxa"/>
            <w:noWrap w:val="0"/>
            <w:vAlign w:val="center"/>
          </w:tcPr>
          <w:p w14:paraId="5302AECA">
            <w:pPr>
              <w:widowControl/>
              <w:adjustRightInd/>
              <w:spacing w:line="240" w:lineRule="auto"/>
              <w:ind w:firstLine="0" w:firstLineChars="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5-2</w:t>
            </w:r>
          </w:p>
        </w:tc>
        <w:tc>
          <w:tcPr>
            <w:tcW w:w="6424" w:type="dxa"/>
            <w:noWrap w:val="0"/>
            <w:vAlign w:val="center"/>
          </w:tcPr>
          <w:p w14:paraId="4F464B41">
            <w:pPr>
              <w:widowControl/>
              <w:adjustRightInd/>
              <w:spacing w:line="240" w:lineRule="auto"/>
              <w:ind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340m中段开拓平面图</w:t>
            </w:r>
          </w:p>
        </w:tc>
        <w:tc>
          <w:tcPr>
            <w:tcW w:w="1000" w:type="dxa"/>
            <w:noWrap w:val="0"/>
            <w:vAlign w:val="center"/>
          </w:tcPr>
          <w:p w14:paraId="13507DAE">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1:2000</w:t>
            </w:r>
          </w:p>
        </w:tc>
      </w:tr>
      <w:tr w14:paraId="705F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dxa"/>
            <w:noWrap w:val="0"/>
            <w:vAlign w:val="center"/>
          </w:tcPr>
          <w:p w14:paraId="664D9189">
            <w:pPr>
              <w:widowControl/>
              <w:adjustRightInd/>
              <w:spacing w:line="240" w:lineRule="auto"/>
              <w:ind w:firstLine="0" w:firstLineChars="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w:t>
            </w:r>
          </w:p>
        </w:tc>
        <w:tc>
          <w:tcPr>
            <w:tcW w:w="650" w:type="dxa"/>
            <w:noWrap w:val="0"/>
            <w:vAlign w:val="center"/>
          </w:tcPr>
          <w:p w14:paraId="4AE1F520">
            <w:pPr>
              <w:widowControl/>
              <w:adjustRightInd/>
              <w:spacing w:line="240" w:lineRule="auto"/>
              <w:ind w:firstLine="0" w:firstLineChars="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5-3</w:t>
            </w:r>
          </w:p>
        </w:tc>
        <w:tc>
          <w:tcPr>
            <w:tcW w:w="6424" w:type="dxa"/>
            <w:noWrap w:val="0"/>
            <w:vAlign w:val="center"/>
          </w:tcPr>
          <w:p w14:paraId="25D10DC0">
            <w:pPr>
              <w:widowControl/>
              <w:adjustRightInd/>
              <w:spacing w:line="240" w:lineRule="auto"/>
              <w:ind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290m中段开拓平面图</w:t>
            </w:r>
          </w:p>
        </w:tc>
        <w:tc>
          <w:tcPr>
            <w:tcW w:w="1000" w:type="dxa"/>
            <w:noWrap w:val="0"/>
            <w:vAlign w:val="center"/>
          </w:tcPr>
          <w:p w14:paraId="461745B7">
            <w:pPr>
              <w:widowControl/>
              <w:adjustRightInd/>
              <w:spacing w:line="240" w:lineRule="auto"/>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1:2000</w:t>
            </w:r>
          </w:p>
        </w:tc>
      </w:tr>
    </w:tbl>
    <w:p w14:paraId="2238A603">
      <w:pPr>
        <w:kinsoku/>
        <w:wordWrap/>
        <w:overflowPunct/>
        <w:topLinePunct w:val="0"/>
        <w:bidi w:val="0"/>
        <w:spacing w:line="360" w:lineRule="auto"/>
        <w:rPr>
          <w:rFonts w:hint="eastAsia" w:ascii="Times New Roman" w:hAnsi="Times New Roman" w:eastAsia="仿宋_GB2312"/>
          <w:color w:val="auto"/>
          <w:sz w:val="28"/>
          <w:highlight w:val="none"/>
        </w:rPr>
        <w:sectPr>
          <w:endnotePr>
            <w:numFmt w:val="decimal"/>
          </w:endnotePr>
          <w:pgSz w:w="11906" w:h="16838"/>
          <w:pgMar w:top="1418" w:right="1418" w:bottom="1418" w:left="1418"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29397D5C">
      <w:pPr>
        <w:pStyle w:val="2"/>
        <w:keepNext/>
        <w:keepLines/>
        <w:pageBreakBefore w:val="0"/>
        <w:widowControl/>
        <w:kinsoku w:val="0"/>
        <w:wordWrap/>
        <w:overflowPunct/>
        <w:topLinePunct w:val="0"/>
        <w:autoSpaceDE w:val="0"/>
        <w:autoSpaceDN w:val="0"/>
        <w:bidi w:val="0"/>
        <w:adjustRightInd w:val="0"/>
        <w:snapToGrid w:val="0"/>
        <w:spacing w:before="100" w:beforeAutospacing="1" w:after="100" w:afterAutospacing="1" w:line="240" w:lineRule="auto"/>
        <w:ind w:firstLine="0" w:firstLineChars="0"/>
        <w:jc w:val="center"/>
        <w:textAlignment w:val="baseline"/>
        <w:rPr>
          <w:rFonts w:hint="eastAsia" w:ascii="Times New Roman" w:hAnsi="Times New Roman" w:eastAsia="仿宋_GB2312"/>
          <w:bCs/>
          <w:color w:val="auto"/>
          <w:kern w:val="2"/>
          <w:sz w:val="30"/>
          <w:szCs w:val="30"/>
          <w:highlight w:val="none"/>
        </w:rPr>
      </w:pPr>
      <w:bookmarkStart w:id="13" w:name="_Toc29016"/>
      <w:bookmarkStart w:id="14" w:name="_Toc311458850"/>
      <w:r>
        <w:rPr>
          <w:rFonts w:hint="eastAsia" w:ascii="黑体" w:hAnsi="黑体" w:eastAsia="黑体" w:cs="黑体"/>
          <w:bCs/>
          <w:snapToGrid w:val="0"/>
          <w:color w:val="auto"/>
          <w:sz w:val="32"/>
          <w:szCs w:val="32"/>
          <w:highlight w:val="none"/>
          <w:lang w:eastAsia="zh-CN" w:bidi="ar"/>
        </w:rPr>
        <w:t>前  言</w:t>
      </w:r>
      <w:bookmarkEnd w:id="13"/>
      <w:bookmarkEnd w:id="14"/>
      <w:bookmarkStart w:id="15" w:name="_Toc311458851"/>
    </w:p>
    <w:p w14:paraId="19FDEE31">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eastAsia="zh-CN"/>
        </w:rPr>
      </w:pPr>
      <w:bookmarkStart w:id="16" w:name="_Toc2512"/>
      <w:r>
        <w:rPr>
          <w:rFonts w:hint="eastAsia" w:ascii="宋体" w:hAnsi="宋体" w:eastAsia="宋体" w:cs="宋体"/>
          <w:b/>
          <w:bCs w:val="0"/>
          <w:snapToGrid w:val="0"/>
          <w:color w:val="auto"/>
          <w:kern w:val="0"/>
          <w:sz w:val="30"/>
          <w:szCs w:val="30"/>
          <w:highlight w:val="none"/>
          <w:lang w:eastAsia="zh-CN"/>
        </w:rPr>
        <w:t>0</w:t>
      </w:r>
      <w:bookmarkEnd w:id="15"/>
      <w:r>
        <w:rPr>
          <w:rFonts w:hint="eastAsia" w:ascii="宋体" w:hAnsi="宋体" w:eastAsia="宋体" w:cs="宋体"/>
          <w:b/>
          <w:bCs w:val="0"/>
          <w:snapToGrid w:val="0"/>
          <w:color w:val="auto"/>
          <w:kern w:val="0"/>
          <w:sz w:val="30"/>
          <w:szCs w:val="30"/>
          <w:highlight w:val="none"/>
          <w:lang w:eastAsia="zh-CN"/>
        </w:rPr>
        <w:t>.1任务来源及编制目的</w:t>
      </w:r>
      <w:bookmarkEnd w:id="16"/>
    </w:p>
    <w:p w14:paraId="3E1D20A3">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bookmarkStart w:id="17" w:name="_Toc311458852"/>
      <w:r>
        <w:rPr>
          <w:rFonts w:hint="eastAsia" w:ascii="宋体" w:hAnsi="宋体" w:eastAsia="宋体" w:cs="宋体"/>
          <w:color w:val="auto"/>
          <w:sz w:val="28"/>
          <w:szCs w:val="28"/>
          <w:highlight w:val="none"/>
        </w:rPr>
        <w:t>2021年12月，《福建省明溪县上龙坑矿区方解石矿生产勘探及扩深实施方案》由明溪县自然资源局以明自然资勘审字〔2021〕04号文评审通过，根据自然资规〔2023〕4号文《自然资源部关于进一步完善矿产资源勘查开采登记管理的通知》要求，采矿权人</w:t>
      </w:r>
      <w:r>
        <w:rPr>
          <w:rFonts w:hint="eastAsia" w:ascii="宋体" w:hAnsi="宋体" w:eastAsia="宋体" w:cs="宋体"/>
          <w:color w:val="auto"/>
          <w:sz w:val="28"/>
          <w:szCs w:val="28"/>
          <w:highlight w:val="none"/>
          <w:lang w:eastAsia="zh-CN"/>
        </w:rPr>
        <w:t>委托中化地质矿山总局福建地质勘查院</w:t>
      </w:r>
      <w:r>
        <w:rPr>
          <w:rFonts w:hint="eastAsia" w:ascii="宋体" w:hAnsi="宋体" w:eastAsia="宋体" w:cs="宋体"/>
          <w:color w:val="auto"/>
          <w:sz w:val="28"/>
          <w:szCs w:val="28"/>
          <w:highlight w:val="none"/>
        </w:rPr>
        <w:t>在矿区范围深部、上部开展勘查工作，勘查标高为+380m～+80m。</w:t>
      </w:r>
    </w:p>
    <w:p w14:paraId="46865E8E">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根据中化地质矿山总局福建地质勘查院于</w:t>
      </w:r>
      <w:r>
        <w:rPr>
          <w:rFonts w:hint="eastAsia" w:ascii="宋体" w:hAnsi="宋体" w:eastAsia="宋体" w:cs="宋体"/>
          <w:color w:val="auto"/>
          <w:sz w:val="28"/>
          <w:szCs w:val="28"/>
          <w:highlight w:val="none"/>
          <w:lang w:val="en-US" w:eastAsia="zh-CN"/>
        </w:rPr>
        <w:t>2025年8月编制的</w:t>
      </w:r>
      <w:r>
        <w:rPr>
          <w:rFonts w:hint="eastAsia" w:ascii="宋体" w:hAnsi="宋体" w:eastAsia="宋体" w:cs="宋体"/>
          <w:color w:val="auto"/>
          <w:sz w:val="28"/>
          <w:szCs w:val="28"/>
          <w:highlight w:val="none"/>
        </w:rPr>
        <w:t>《福建省明溪县上龙坑矿区方解石矿资源储量核实暨深部</w:t>
      </w:r>
      <w:r>
        <w:rPr>
          <w:rFonts w:hint="eastAsia" w:ascii="宋体" w:hAnsi="宋体" w:eastAsia="宋体" w:cs="宋体"/>
          <w:color w:val="auto"/>
          <w:sz w:val="28"/>
          <w:szCs w:val="28"/>
          <w:highlight w:val="none"/>
          <w:lang w:eastAsia="zh-CN"/>
        </w:rPr>
        <w:t>勘探</w:t>
      </w:r>
      <w:r>
        <w:rPr>
          <w:rFonts w:hint="eastAsia" w:ascii="宋体" w:hAnsi="宋体" w:eastAsia="宋体" w:cs="宋体"/>
          <w:color w:val="auto"/>
          <w:sz w:val="28"/>
          <w:szCs w:val="28"/>
          <w:highlight w:val="none"/>
        </w:rPr>
        <w:t>地质报告（2025年）》</w:t>
      </w:r>
      <w:r>
        <w:rPr>
          <w:rFonts w:hint="eastAsia" w:ascii="宋体" w:hAnsi="宋体" w:eastAsia="宋体" w:cs="宋体"/>
          <w:color w:val="auto"/>
          <w:sz w:val="28"/>
          <w:szCs w:val="28"/>
          <w:highlight w:val="none"/>
          <w:lang w:eastAsia="zh-CN"/>
        </w:rPr>
        <w:t>，查明</w:t>
      </w:r>
      <w:r>
        <w:rPr>
          <w:rFonts w:hint="eastAsia" w:ascii="宋体" w:hAnsi="宋体" w:eastAsia="宋体" w:cs="宋体"/>
          <w:color w:val="auto"/>
          <w:sz w:val="28"/>
          <w:szCs w:val="28"/>
          <w:highlight w:val="none"/>
          <w:lang w:val="en-US" w:eastAsia="zh-CN"/>
        </w:rPr>
        <w:t>截至</w:t>
      </w:r>
      <w:r>
        <w:rPr>
          <w:rFonts w:hint="eastAsia" w:ascii="宋体" w:hAnsi="宋体" w:eastAsia="宋体" w:cs="宋体"/>
          <w:color w:val="auto"/>
          <w:sz w:val="28"/>
          <w:szCs w:val="28"/>
          <w:highlight w:val="none"/>
          <w:lang w:eastAsia="zh-CN"/>
        </w:rPr>
        <w:t>2025年4月30日，拟申请矿区范围内（+480～+2</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eastAsia="zh-CN"/>
        </w:rPr>
        <w:t>0m）保有方解石矿、白云石方解石矿总矿石资源量为</w:t>
      </w:r>
      <w:r>
        <w:rPr>
          <w:rFonts w:hint="eastAsia" w:ascii="宋体" w:hAnsi="宋体" w:eastAsia="宋体" w:cs="宋体"/>
          <w:color w:val="auto"/>
          <w:spacing w:val="-2"/>
          <w:sz w:val="28"/>
          <w:szCs w:val="28"/>
          <w:highlight w:val="none"/>
        </w:rPr>
        <w:t>1721.56</w:t>
      </w:r>
      <w:r>
        <w:rPr>
          <w:rFonts w:hint="eastAsia" w:ascii="宋体" w:hAnsi="宋体" w:eastAsia="宋体" w:cs="宋体"/>
          <w:color w:val="auto"/>
          <w:sz w:val="28"/>
          <w:szCs w:val="28"/>
          <w:highlight w:val="none"/>
          <w:lang w:eastAsia="zh-CN"/>
        </w:rPr>
        <w:t>万吨。其中保有方解石矿（探明+控制+推断）矿石资源量为</w:t>
      </w:r>
      <w:r>
        <w:rPr>
          <w:rFonts w:hint="eastAsia" w:ascii="宋体" w:hAnsi="宋体" w:eastAsia="宋体" w:cs="宋体"/>
          <w:color w:val="auto"/>
          <w:spacing w:val="-2"/>
          <w:sz w:val="28"/>
          <w:szCs w:val="28"/>
          <w:highlight w:val="none"/>
        </w:rPr>
        <w:t>1047.29</w:t>
      </w:r>
      <w:r>
        <w:rPr>
          <w:rFonts w:hint="eastAsia" w:ascii="宋体" w:hAnsi="宋体" w:eastAsia="宋体" w:cs="宋体"/>
          <w:color w:val="auto"/>
          <w:sz w:val="28"/>
          <w:szCs w:val="28"/>
          <w:highlight w:val="none"/>
          <w:lang w:eastAsia="zh-CN"/>
        </w:rPr>
        <w:t xml:space="preserve"> 万吨；保有白云石方解石矿（探明+控制+推断）矿石资源量为674.27万吨。</w:t>
      </w:r>
    </w:p>
    <w:p w14:paraId="19583AB2">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为了申办采矿权</w:t>
      </w:r>
      <w:r>
        <w:rPr>
          <w:rFonts w:hint="eastAsia" w:ascii="宋体" w:hAnsi="宋体" w:eastAsia="宋体" w:cs="宋体"/>
          <w:color w:val="auto"/>
          <w:sz w:val="28"/>
          <w:szCs w:val="28"/>
          <w:highlight w:val="none"/>
          <w:lang w:eastAsia="zh-CN"/>
        </w:rPr>
        <w:t>变更矿区范围（扩大开采标高）</w:t>
      </w:r>
      <w:r>
        <w:rPr>
          <w:rFonts w:hint="eastAsia" w:ascii="宋体" w:hAnsi="宋体" w:eastAsia="宋体" w:cs="宋体"/>
          <w:color w:val="auto"/>
          <w:sz w:val="28"/>
          <w:szCs w:val="28"/>
          <w:highlight w:val="none"/>
        </w:rPr>
        <w:t>登记，</w:t>
      </w:r>
      <w:r>
        <w:rPr>
          <w:rFonts w:hint="eastAsia" w:ascii="宋体" w:hAnsi="宋体" w:eastAsia="宋体" w:cs="宋体"/>
          <w:color w:val="auto"/>
          <w:sz w:val="28"/>
          <w:szCs w:val="28"/>
          <w:highlight w:val="none"/>
          <w:lang w:eastAsia="zh-CN"/>
        </w:rPr>
        <w:t>受</w:t>
      </w:r>
      <w:r>
        <w:rPr>
          <w:rFonts w:hint="eastAsia" w:ascii="宋体" w:hAnsi="宋体" w:eastAsia="宋体" w:cs="宋体"/>
          <w:color w:val="auto"/>
          <w:sz w:val="28"/>
          <w:szCs w:val="28"/>
          <w:highlight w:val="none"/>
        </w:rPr>
        <w:t>明溪县钰岩石材料加工厂</w:t>
      </w:r>
      <w:r>
        <w:rPr>
          <w:rFonts w:hint="eastAsia" w:ascii="宋体" w:hAnsi="宋体" w:eastAsia="宋体" w:cs="宋体"/>
          <w:color w:val="auto"/>
          <w:sz w:val="28"/>
          <w:szCs w:val="28"/>
          <w:highlight w:val="none"/>
          <w:lang w:eastAsia="zh-CN"/>
        </w:rPr>
        <w:t>的委托，由</w:t>
      </w:r>
      <w:r>
        <w:rPr>
          <w:rFonts w:hint="eastAsia" w:ascii="宋体" w:hAnsi="宋体" w:eastAsia="宋体" w:cs="宋体"/>
          <w:color w:val="auto"/>
          <w:sz w:val="28"/>
          <w:szCs w:val="28"/>
          <w:highlight w:val="none"/>
        </w:rPr>
        <w:t>福建所思达勘测设计院有限公司大田分公司</w:t>
      </w:r>
      <w:r>
        <w:rPr>
          <w:rFonts w:hint="eastAsia" w:ascii="宋体" w:hAnsi="宋体" w:eastAsia="宋体" w:cs="宋体"/>
          <w:color w:val="auto"/>
          <w:sz w:val="28"/>
          <w:szCs w:val="28"/>
          <w:highlight w:val="none"/>
          <w:lang w:eastAsia="zh-CN"/>
        </w:rPr>
        <w:t>承担对</w:t>
      </w:r>
      <w:r>
        <w:rPr>
          <w:rFonts w:hint="eastAsia" w:ascii="宋体" w:hAnsi="宋体" w:eastAsia="宋体" w:cs="宋体"/>
          <w:color w:val="auto"/>
          <w:sz w:val="28"/>
          <w:szCs w:val="28"/>
          <w:highlight w:val="none"/>
        </w:rPr>
        <w:t>《明溪县瀚仙矿场上龙坑方解石矿开采方案》</w:t>
      </w:r>
      <w:r>
        <w:rPr>
          <w:rFonts w:hint="eastAsia" w:ascii="宋体" w:hAnsi="宋体" w:eastAsia="宋体" w:cs="宋体"/>
          <w:color w:val="auto"/>
          <w:sz w:val="28"/>
          <w:szCs w:val="28"/>
          <w:highlight w:val="none"/>
          <w:lang w:eastAsia="zh-CN"/>
        </w:rPr>
        <w:t>的编制工作</w:t>
      </w:r>
      <w:r>
        <w:rPr>
          <w:rFonts w:hint="eastAsia" w:ascii="宋体" w:hAnsi="宋体" w:eastAsia="宋体" w:cs="宋体"/>
          <w:color w:val="auto"/>
          <w:sz w:val="28"/>
          <w:szCs w:val="28"/>
          <w:highlight w:val="none"/>
        </w:rPr>
        <w:t>，为采矿权</w:t>
      </w:r>
      <w:r>
        <w:rPr>
          <w:rFonts w:hint="eastAsia" w:ascii="宋体" w:hAnsi="宋体" w:eastAsia="宋体" w:cs="宋体"/>
          <w:color w:val="auto"/>
          <w:sz w:val="28"/>
          <w:szCs w:val="28"/>
          <w:highlight w:val="none"/>
          <w:lang w:eastAsia="zh-CN"/>
        </w:rPr>
        <w:t>变更矿区范围（扩大开采标高）</w:t>
      </w:r>
      <w:r>
        <w:rPr>
          <w:rFonts w:hint="eastAsia" w:ascii="宋体" w:hAnsi="宋体" w:eastAsia="宋体" w:cs="宋体"/>
          <w:color w:val="auto"/>
          <w:sz w:val="28"/>
          <w:szCs w:val="28"/>
          <w:highlight w:val="none"/>
        </w:rPr>
        <w:t>登记</w:t>
      </w:r>
      <w:r>
        <w:rPr>
          <w:rFonts w:hint="eastAsia" w:ascii="宋体" w:hAnsi="宋体" w:eastAsia="宋体" w:cs="宋体"/>
          <w:color w:val="auto"/>
          <w:sz w:val="28"/>
          <w:szCs w:val="28"/>
          <w:highlight w:val="none"/>
          <w:lang w:eastAsia="zh-CN"/>
        </w:rPr>
        <w:t>、编制矿区生态修复方案</w:t>
      </w:r>
      <w:r>
        <w:rPr>
          <w:rFonts w:hint="eastAsia" w:ascii="宋体" w:hAnsi="宋体" w:eastAsia="宋体" w:cs="宋体"/>
          <w:color w:val="auto"/>
          <w:sz w:val="28"/>
          <w:szCs w:val="28"/>
          <w:highlight w:val="none"/>
        </w:rPr>
        <w:t>及今后自然资源部门对矿山开发利用的监督管理提供依据。</w:t>
      </w:r>
    </w:p>
    <w:p w14:paraId="38A57C19">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eastAsia="zh-CN"/>
        </w:rPr>
      </w:pPr>
      <w:bookmarkStart w:id="18" w:name="_Toc8977"/>
      <w:r>
        <w:rPr>
          <w:rFonts w:hint="eastAsia" w:ascii="宋体" w:hAnsi="宋体" w:eastAsia="宋体" w:cs="宋体"/>
          <w:b/>
          <w:bCs w:val="0"/>
          <w:snapToGrid w:val="0"/>
          <w:color w:val="auto"/>
          <w:kern w:val="0"/>
          <w:sz w:val="30"/>
          <w:szCs w:val="30"/>
          <w:highlight w:val="none"/>
          <w:lang w:eastAsia="zh-CN"/>
        </w:rPr>
        <w:t>0.2编制工作概况</w:t>
      </w:r>
      <w:bookmarkEnd w:id="18"/>
    </w:p>
    <w:p w14:paraId="09A088BB">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由福建所思达勘测设计院有限公司大田分公司承担本</w:t>
      </w:r>
      <w:r>
        <w:rPr>
          <w:rFonts w:hint="eastAsia" w:ascii="宋体" w:hAnsi="宋体" w:eastAsia="宋体" w:cs="宋体"/>
          <w:color w:val="auto"/>
          <w:sz w:val="28"/>
          <w:szCs w:val="28"/>
          <w:highlight w:val="none"/>
          <w:lang w:eastAsia="zh-CN"/>
        </w:rPr>
        <w:t>开采</w:t>
      </w:r>
      <w:r>
        <w:rPr>
          <w:rFonts w:hint="eastAsia" w:ascii="宋体" w:hAnsi="宋体" w:eastAsia="宋体" w:cs="宋体"/>
          <w:color w:val="auto"/>
          <w:sz w:val="28"/>
          <w:szCs w:val="28"/>
          <w:highlight w:val="none"/>
        </w:rPr>
        <w:t>方案的编制工作。</w:t>
      </w:r>
    </w:p>
    <w:p w14:paraId="1ADEC0C2">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福建所思达勘测设计院有限公司大田分公司接受委托后，及时组织有关人员到矿山</w:t>
      </w:r>
      <w:r>
        <w:rPr>
          <w:rFonts w:hint="eastAsia" w:ascii="宋体" w:hAnsi="宋体" w:eastAsia="宋体" w:cs="宋体"/>
          <w:color w:val="auto"/>
          <w:sz w:val="28"/>
          <w:szCs w:val="28"/>
          <w:highlight w:val="none"/>
          <w:lang w:eastAsia="zh-CN"/>
        </w:rPr>
        <w:t>进行</w:t>
      </w:r>
      <w:r>
        <w:rPr>
          <w:rFonts w:hint="eastAsia" w:ascii="宋体" w:hAnsi="宋体" w:eastAsia="宋体" w:cs="宋体"/>
          <w:color w:val="auto"/>
          <w:sz w:val="28"/>
          <w:szCs w:val="28"/>
          <w:highlight w:val="none"/>
        </w:rPr>
        <w:t>现场踏勘、收集资料，并根据</w:t>
      </w:r>
      <w:r>
        <w:rPr>
          <w:rFonts w:hint="eastAsia" w:ascii="宋体" w:hAnsi="宋体" w:eastAsia="宋体" w:cs="宋体"/>
          <w:color w:val="auto"/>
          <w:sz w:val="28"/>
          <w:szCs w:val="28"/>
          <w:highlight w:val="none"/>
          <w:lang w:eastAsia="zh-CN"/>
        </w:rPr>
        <w:t>部、省自然资源部门有关</w:t>
      </w:r>
      <w:r>
        <w:rPr>
          <w:rFonts w:hint="eastAsia" w:ascii="宋体" w:hAnsi="宋体" w:eastAsia="宋体" w:cs="宋体"/>
          <w:color w:val="auto"/>
          <w:sz w:val="28"/>
          <w:szCs w:val="28"/>
          <w:highlight w:val="none"/>
        </w:rPr>
        <w:t>要求，组织编制本</w:t>
      </w:r>
      <w:r>
        <w:rPr>
          <w:rFonts w:hint="eastAsia" w:ascii="宋体" w:hAnsi="宋体" w:eastAsia="宋体" w:cs="宋体"/>
          <w:color w:val="auto"/>
          <w:sz w:val="28"/>
          <w:szCs w:val="28"/>
          <w:highlight w:val="none"/>
          <w:lang w:eastAsia="zh-CN"/>
        </w:rPr>
        <w:t>开采</w:t>
      </w:r>
      <w:r>
        <w:rPr>
          <w:rFonts w:hint="eastAsia" w:ascii="宋体" w:hAnsi="宋体" w:eastAsia="宋体" w:cs="宋体"/>
          <w:color w:val="auto"/>
          <w:sz w:val="28"/>
          <w:szCs w:val="28"/>
          <w:highlight w:val="none"/>
        </w:rPr>
        <w:t>方案。</w:t>
      </w:r>
    </w:p>
    <w:p w14:paraId="7BD65BB5">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eastAsia="zh-CN"/>
        </w:rPr>
      </w:pPr>
      <w:bookmarkStart w:id="19" w:name="_Toc11648"/>
      <w:r>
        <w:rPr>
          <w:rFonts w:hint="eastAsia" w:ascii="宋体" w:hAnsi="宋体" w:eastAsia="宋体" w:cs="宋体"/>
          <w:b/>
          <w:bCs w:val="0"/>
          <w:snapToGrid w:val="0"/>
          <w:color w:val="auto"/>
          <w:kern w:val="0"/>
          <w:sz w:val="30"/>
          <w:szCs w:val="30"/>
          <w:highlight w:val="none"/>
          <w:lang w:eastAsia="zh-CN"/>
        </w:rPr>
        <w:t>0.3</w:t>
      </w:r>
      <w:bookmarkStart w:id="20" w:name="_Toc2505"/>
      <w:r>
        <w:rPr>
          <w:rFonts w:hint="eastAsia" w:ascii="宋体" w:hAnsi="宋体" w:eastAsia="宋体" w:cs="宋体"/>
          <w:b/>
          <w:bCs w:val="0"/>
          <w:snapToGrid w:val="0"/>
          <w:color w:val="auto"/>
          <w:kern w:val="0"/>
          <w:sz w:val="30"/>
          <w:szCs w:val="30"/>
          <w:highlight w:val="none"/>
          <w:lang w:eastAsia="zh-CN"/>
        </w:rPr>
        <w:t>编制依据</w:t>
      </w:r>
      <w:bookmarkEnd w:id="19"/>
      <w:bookmarkEnd w:id="20"/>
    </w:p>
    <w:p w14:paraId="23B6F9FF">
      <w:pPr>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0.</w:t>
      </w:r>
      <w:r>
        <w:rPr>
          <w:rFonts w:hint="eastAsia" w:ascii="宋体" w:hAnsi="宋体" w:eastAsia="宋体" w:cs="宋体"/>
          <w:b/>
          <w:bCs w:val="0"/>
          <w:color w:val="auto"/>
          <w:sz w:val="28"/>
          <w:szCs w:val="28"/>
          <w:highlight w:val="none"/>
          <w:lang w:val="en-US" w:eastAsia="zh-CN"/>
        </w:rPr>
        <w:t>3</w:t>
      </w:r>
      <w:r>
        <w:rPr>
          <w:rFonts w:hint="eastAsia" w:ascii="宋体" w:hAnsi="宋体" w:eastAsia="宋体" w:cs="宋体"/>
          <w:b/>
          <w:bCs w:val="0"/>
          <w:color w:val="auto"/>
          <w:sz w:val="28"/>
          <w:szCs w:val="28"/>
          <w:highlight w:val="none"/>
        </w:rPr>
        <w:t>.1</w:t>
      </w:r>
      <w:bookmarkStart w:id="21" w:name="_Toc472203279"/>
      <w:r>
        <w:rPr>
          <w:rFonts w:hint="eastAsia" w:ascii="宋体" w:hAnsi="宋体" w:eastAsia="宋体" w:cs="宋体"/>
          <w:b/>
          <w:bCs w:val="0"/>
          <w:color w:val="auto"/>
          <w:sz w:val="28"/>
          <w:szCs w:val="28"/>
          <w:highlight w:val="none"/>
        </w:rPr>
        <w:t>主要</w:t>
      </w:r>
      <w:r>
        <w:rPr>
          <w:rFonts w:hint="eastAsia" w:ascii="宋体" w:hAnsi="宋体" w:eastAsia="宋体" w:cs="宋体"/>
          <w:b/>
          <w:bCs w:val="0"/>
          <w:color w:val="auto"/>
          <w:sz w:val="28"/>
          <w:szCs w:val="28"/>
          <w:highlight w:val="none"/>
          <w:lang w:eastAsia="zh-CN"/>
        </w:rPr>
        <w:t>法律</w:t>
      </w:r>
      <w:r>
        <w:rPr>
          <w:rFonts w:hint="eastAsia" w:ascii="宋体" w:hAnsi="宋体" w:eastAsia="宋体" w:cs="宋体"/>
          <w:b/>
          <w:bCs w:val="0"/>
          <w:color w:val="auto"/>
          <w:sz w:val="28"/>
          <w:szCs w:val="28"/>
          <w:highlight w:val="none"/>
        </w:rPr>
        <w:t>、法规、</w:t>
      </w:r>
      <w:r>
        <w:rPr>
          <w:rFonts w:hint="eastAsia" w:ascii="宋体" w:hAnsi="宋体" w:eastAsia="宋体" w:cs="宋体"/>
          <w:b/>
          <w:bCs w:val="0"/>
          <w:color w:val="auto"/>
          <w:sz w:val="28"/>
          <w:szCs w:val="28"/>
          <w:highlight w:val="none"/>
          <w:lang w:eastAsia="zh-CN"/>
        </w:rPr>
        <w:t>政策性文件规范、</w:t>
      </w:r>
      <w:r>
        <w:rPr>
          <w:rFonts w:hint="eastAsia" w:ascii="宋体" w:hAnsi="宋体" w:eastAsia="宋体" w:cs="宋体"/>
          <w:b/>
          <w:bCs w:val="0"/>
          <w:color w:val="auto"/>
          <w:sz w:val="28"/>
          <w:szCs w:val="28"/>
          <w:highlight w:val="none"/>
        </w:rPr>
        <w:t>技术</w:t>
      </w:r>
      <w:r>
        <w:rPr>
          <w:rFonts w:hint="eastAsia" w:ascii="宋体" w:hAnsi="宋体" w:eastAsia="宋体" w:cs="宋体"/>
          <w:b/>
          <w:bCs w:val="0"/>
          <w:color w:val="auto"/>
          <w:sz w:val="28"/>
          <w:szCs w:val="28"/>
          <w:highlight w:val="none"/>
          <w:lang w:eastAsia="zh-CN"/>
        </w:rPr>
        <w:t>标准等</w:t>
      </w:r>
    </w:p>
    <w:p w14:paraId="537C4F6B">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（一）法律法规</w:t>
      </w:r>
    </w:p>
    <w:p w14:paraId="4B72F2F9">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（1）《中华人民共和国矿产资源法》（2024年11月8日修订，2025年7月1日起施行）；</w:t>
      </w:r>
    </w:p>
    <w:p w14:paraId="66CC6B81">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（2）《中华人民共和国土地管理法》（2020年1月1日起实施）；</w:t>
      </w:r>
    </w:p>
    <w:p w14:paraId="63C3F84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（3）《中华人民共和国安全生产法》（202</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9月1日起实施</w:t>
      </w:r>
      <w:r>
        <w:rPr>
          <w:rFonts w:hint="eastAsia" w:ascii="宋体" w:hAnsi="宋体" w:eastAsia="宋体" w:cs="宋体"/>
          <w:color w:val="auto"/>
          <w:sz w:val="28"/>
          <w:szCs w:val="28"/>
          <w:highlight w:val="none"/>
        </w:rPr>
        <w:t>）；</w:t>
      </w:r>
    </w:p>
    <w:p w14:paraId="3F7997FB">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）《中华人民共和国矿山安全法》（2009年</w:t>
      </w:r>
      <w:r>
        <w:rPr>
          <w:rFonts w:hint="eastAsia" w:ascii="宋体" w:hAnsi="宋体" w:eastAsia="宋体" w:cs="宋体"/>
          <w:color w:val="auto"/>
          <w:sz w:val="28"/>
          <w:szCs w:val="28"/>
          <w:highlight w:val="none"/>
          <w:lang w:val="en-US" w:eastAsia="zh-CN"/>
        </w:rPr>
        <w:t>8月27日起实施</w:t>
      </w:r>
      <w:r>
        <w:rPr>
          <w:rFonts w:hint="eastAsia" w:ascii="宋体" w:hAnsi="宋体" w:eastAsia="宋体" w:cs="宋体"/>
          <w:color w:val="auto"/>
          <w:sz w:val="28"/>
          <w:szCs w:val="28"/>
          <w:highlight w:val="none"/>
        </w:rPr>
        <w:t>）；</w:t>
      </w:r>
    </w:p>
    <w:p w14:paraId="03CC5A7F">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）《福建省矿产资源监督管理办法》</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福建省人民政府令第226号</w:t>
      </w:r>
      <w:r>
        <w:rPr>
          <w:rFonts w:hint="eastAsia" w:ascii="宋体" w:hAnsi="宋体" w:eastAsia="宋体" w:cs="宋体"/>
          <w:color w:val="auto"/>
          <w:sz w:val="28"/>
          <w:szCs w:val="28"/>
          <w:highlight w:val="none"/>
          <w:lang w:eastAsia="zh-CN"/>
        </w:rPr>
        <w:t>）。</w:t>
      </w:r>
    </w:p>
    <w:p w14:paraId="4B6E7291">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（二）政策文件</w:t>
      </w:r>
    </w:p>
    <w:p w14:paraId="6AB1EC4A">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（1）《自然资源部办公厅关于印发矿产资源（非油气）开发利用方案编制指南的通知》（自然资办发〔2024〕33号）；</w:t>
      </w:r>
    </w:p>
    <w:p w14:paraId="63ECD014">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（2）《中共中央办公厅 国务院办公厅关于进一步加强矿山安全生产工作的意见》（2023年9月6日）</w:t>
      </w:r>
      <w:r>
        <w:rPr>
          <w:rFonts w:hint="eastAsia" w:ascii="宋体" w:hAnsi="宋体" w:eastAsia="宋体" w:cs="宋体"/>
          <w:color w:val="auto"/>
          <w:sz w:val="28"/>
          <w:szCs w:val="28"/>
          <w:highlight w:val="none"/>
          <w:lang w:eastAsia="zh-CN"/>
        </w:rPr>
        <w:t>；</w:t>
      </w:r>
    </w:p>
    <w:p w14:paraId="20476561">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（3）《自然资源部 生态环境部 财政部 国家市场监督管理总局 国家金融监督管理总局 中国证券监督管理委员会 国家林业和草原局关于进一步加强绿色矿山建设的通知》（自然资规〔2024〕1号）</w:t>
      </w:r>
      <w:r>
        <w:rPr>
          <w:rFonts w:hint="eastAsia" w:ascii="宋体" w:hAnsi="宋体" w:eastAsia="宋体" w:cs="宋体"/>
          <w:color w:val="auto"/>
          <w:sz w:val="28"/>
          <w:szCs w:val="28"/>
          <w:highlight w:val="none"/>
          <w:lang w:eastAsia="zh-CN"/>
        </w:rPr>
        <w:t>；</w:t>
      </w:r>
    </w:p>
    <w:p w14:paraId="656BE8ED">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）《自然资源部关于进一步完善矿产资源勘查开采登记管理的通知》（自然资规〔2023〕4号）</w:t>
      </w:r>
      <w:r>
        <w:rPr>
          <w:rFonts w:hint="eastAsia" w:ascii="宋体" w:hAnsi="宋体" w:eastAsia="宋体" w:cs="宋体"/>
          <w:color w:val="auto"/>
          <w:sz w:val="28"/>
          <w:szCs w:val="28"/>
          <w:highlight w:val="none"/>
          <w:lang w:eastAsia="zh-CN"/>
        </w:rPr>
        <w:t>；</w:t>
      </w:r>
    </w:p>
    <w:p w14:paraId="678FD3D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）《自然资源部关于深化矿产资源管理改革若干事项的意见》（自然资规〔2023〕6号）</w:t>
      </w:r>
      <w:r>
        <w:rPr>
          <w:rFonts w:hint="eastAsia" w:ascii="宋体" w:hAnsi="宋体" w:eastAsia="宋体" w:cs="宋体"/>
          <w:color w:val="auto"/>
          <w:sz w:val="28"/>
          <w:szCs w:val="28"/>
          <w:highlight w:val="none"/>
          <w:lang w:eastAsia="zh-CN"/>
        </w:rPr>
        <w:t>；</w:t>
      </w:r>
    </w:p>
    <w:p w14:paraId="0E710D5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）自然资源部《关于规范和完善砂石开采管理的通知》（自然资发〔2023〕57号）</w:t>
      </w:r>
      <w:r>
        <w:rPr>
          <w:rFonts w:hint="eastAsia" w:ascii="宋体" w:hAnsi="宋体" w:eastAsia="宋体" w:cs="宋体"/>
          <w:color w:val="auto"/>
          <w:sz w:val="28"/>
          <w:szCs w:val="28"/>
          <w:highlight w:val="none"/>
          <w:lang w:eastAsia="zh-CN"/>
        </w:rPr>
        <w:t>；</w:t>
      </w:r>
    </w:p>
    <w:p w14:paraId="6BCA078E">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）《关于调整部分矿种矿山生产建设规模标准的通知》（国土资发〔2004〕208号）</w:t>
      </w:r>
      <w:r>
        <w:rPr>
          <w:rFonts w:hint="eastAsia" w:ascii="宋体" w:hAnsi="宋体" w:eastAsia="宋体" w:cs="宋体"/>
          <w:color w:val="auto"/>
          <w:sz w:val="28"/>
          <w:szCs w:val="28"/>
          <w:highlight w:val="none"/>
          <w:lang w:eastAsia="zh-CN"/>
        </w:rPr>
        <w:t>；</w:t>
      </w:r>
    </w:p>
    <w:p w14:paraId="16EB7C8D">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）国家矿山安全监察局《关于印发〈关于加强非煤矿山安全生产工作的指导意见〉的通知》（矿安〔2022〕4号）；</w:t>
      </w:r>
    </w:p>
    <w:p w14:paraId="3153A0BF">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自然资源部</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关于完善矿产资源规划实施管理有关事项</w:t>
      </w:r>
      <w:r>
        <w:rPr>
          <w:rFonts w:hint="eastAsia" w:ascii="宋体" w:hAnsi="宋体" w:eastAsia="宋体" w:cs="宋体"/>
          <w:color w:val="auto"/>
          <w:sz w:val="28"/>
          <w:szCs w:val="28"/>
          <w:highlight w:val="none"/>
        </w:rPr>
        <w:t>的通知》（</w:t>
      </w:r>
      <w:r>
        <w:rPr>
          <w:rFonts w:hint="eastAsia" w:ascii="宋体" w:hAnsi="宋体" w:eastAsia="宋体" w:cs="宋体"/>
          <w:color w:val="auto"/>
          <w:sz w:val="28"/>
          <w:szCs w:val="28"/>
          <w:highlight w:val="none"/>
          <w:lang w:eastAsia="zh-CN"/>
        </w:rPr>
        <w:t>自然资发</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53</w:t>
      </w:r>
      <w:r>
        <w:rPr>
          <w:rFonts w:hint="eastAsia" w:ascii="宋体" w:hAnsi="宋体" w:eastAsia="宋体" w:cs="宋体"/>
          <w:color w:val="auto"/>
          <w:sz w:val="28"/>
          <w:szCs w:val="28"/>
          <w:highlight w:val="none"/>
        </w:rPr>
        <w:t>号）。</w:t>
      </w:r>
    </w:p>
    <w:p w14:paraId="39EE0DA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10</w:t>
      </w:r>
      <w:r>
        <w:rPr>
          <w:rFonts w:hint="eastAsia" w:ascii="宋体" w:hAnsi="宋体" w:eastAsia="宋体" w:cs="宋体"/>
          <w:color w:val="auto"/>
          <w:sz w:val="28"/>
          <w:szCs w:val="28"/>
          <w:highlight w:val="none"/>
        </w:rPr>
        <w:t>）《福建省人民政府办公厅关于进一步加强矿产资源管理促进矿业高质量发展的通知》（闽政办〔2024〕24号）</w:t>
      </w:r>
      <w:r>
        <w:rPr>
          <w:rFonts w:hint="eastAsia" w:ascii="宋体" w:hAnsi="宋体" w:eastAsia="宋体" w:cs="宋体"/>
          <w:color w:val="auto"/>
          <w:sz w:val="28"/>
          <w:szCs w:val="28"/>
          <w:highlight w:val="none"/>
          <w:lang w:eastAsia="zh-CN"/>
        </w:rPr>
        <w:t>；</w:t>
      </w:r>
    </w:p>
    <w:p w14:paraId="6F955E92">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rPr>
        <w:t>）《福建省应急管理厅 福建省自然资源厅 国家矿山安监局福建局关于进一步加强矿产资源安全监督管理联动的通知》（闽应急〔2022〕68号）</w:t>
      </w:r>
      <w:r>
        <w:rPr>
          <w:rFonts w:hint="eastAsia" w:ascii="宋体" w:hAnsi="宋体" w:eastAsia="宋体" w:cs="宋体"/>
          <w:color w:val="auto"/>
          <w:sz w:val="28"/>
          <w:szCs w:val="28"/>
          <w:highlight w:val="none"/>
          <w:lang w:eastAsia="zh-CN"/>
        </w:rPr>
        <w:t>；</w:t>
      </w:r>
    </w:p>
    <w:p w14:paraId="71F90A49">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）《福建省应急管理厅 国家矿山安监局福建局 福建省自然资源厅 福建省公安厅贯彻〈中共中央办公厅 国务院办公厅关于进一步加强矿山安全生产工作的意见〉》</w:t>
      </w:r>
      <w:r>
        <w:rPr>
          <w:rFonts w:hint="eastAsia" w:ascii="宋体" w:hAnsi="宋体" w:eastAsia="宋体" w:cs="宋体"/>
          <w:color w:val="auto"/>
          <w:sz w:val="28"/>
          <w:szCs w:val="28"/>
          <w:highlight w:val="none"/>
          <w:lang w:eastAsia="zh-CN"/>
        </w:rPr>
        <w:t>；</w:t>
      </w:r>
    </w:p>
    <w:p w14:paraId="48D0AC0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）《中共福建省委办公厅 福建省人民政府办公厅关于印发〈福建省进一步加强矿山安全生产工作的若干措施〉的通知》（闽委办发〔2024〕31号）</w:t>
      </w:r>
      <w:r>
        <w:rPr>
          <w:rFonts w:hint="eastAsia" w:ascii="宋体" w:hAnsi="宋体" w:eastAsia="宋体" w:cs="宋体"/>
          <w:color w:val="auto"/>
          <w:sz w:val="28"/>
          <w:szCs w:val="28"/>
          <w:highlight w:val="none"/>
          <w:lang w:eastAsia="zh-CN"/>
        </w:rPr>
        <w:t>；</w:t>
      </w:r>
    </w:p>
    <w:p w14:paraId="35465AFC">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）《〈福建省进一步加强矿山安全生产工作的若干措施〉有关事项的通知》（闽应急〔2025〕9号）。</w:t>
      </w:r>
    </w:p>
    <w:p w14:paraId="79357AEC">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15）</w:t>
      </w:r>
      <w:r>
        <w:rPr>
          <w:rFonts w:hint="eastAsia" w:ascii="宋体" w:hAnsi="宋体" w:eastAsia="宋体" w:cs="宋体"/>
          <w:color w:val="auto"/>
          <w:sz w:val="28"/>
          <w:szCs w:val="28"/>
          <w:highlight w:val="none"/>
        </w:rPr>
        <w:t>《福建省矿产资源开采方案临时编制指南》</w:t>
      </w:r>
      <w:r>
        <w:rPr>
          <w:rFonts w:hint="eastAsia" w:ascii="宋体" w:hAnsi="宋体" w:eastAsia="宋体" w:cs="宋体"/>
          <w:color w:val="auto"/>
          <w:sz w:val="28"/>
          <w:szCs w:val="28"/>
          <w:highlight w:val="none"/>
          <w:lang w:eastAsia="zh-CN"/>
        </w:rPr>
        <w:t>。</w:t>
      </w:r>
    </w:p>
    <w:p w14:paraId="7B34E4D9">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（三）主要标准与技术规范</w:t>
      </w:r>
    </w:p>
    <w:p w14:paraId="3BE53D1E">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（1）《固体矿产资源储量分类》（GB/T 17766-2020）</w:t>
      </w:r>
      <w:r>
        <w:rPr>
          <w:rFonts w:hint="eastAsia" w:ascii="宋体" w:hAnsi="宋体" w:eastAsia="宋体" w:cs="宋体"/>
          <w:color w:val="auto"/>
          <w:sz w:val="28"/>
          <w:szCs w:val="28"/>
          <w:highlight w:val="none"/>
          <w:lang w:eastAsia="zh-CN"/>
        </w:rPr>
        <w:t>；</w:t>
      </w:r>
    </w:p>
    <w:p w14:paraId="137422A4">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）《矿产资源综合利用技术指标及其计算方法》（GB/T 42249-2022）</w:t>
      </w:r>
      <w:r>
        <w:rPr>
          <w:rFonts w:hint="eastAsia" w:ascii="宋体" w:hAnsi="宋体" w:eastAsia="宋体" w:cs="宋体"/>
          <w:color w:val="auto"/>
          <w:sz w:val="28"/>
          <w:szCs w:val="28"/>
          <w:highlight w:val="none"/>
          <w:lang w:eastAsia="zh-CN"/>
        </w:rPr>
        <w:t>；</w:t>
      </w:r>
    </w:p>
    <w:p w14:paraId="2D6C0949">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）《矿产资源储量规模划分标准》（DZ/T 0400-2022）</w:t>
      </w:r>
      <w:r>
        <w:rPr>
          <w:rFonts w:hint="eastAsia" w:ascii="宋体" w:hAnsi="宋体" w:eastAsia="宋体" w:cs="宋体"/>
          <w:color w:val="auto"/>
          <w:sz w:val="28"/>
          <w:szCs w:val="28"/>
          <w:highlight w:val="none"/>
          <w:lang w:eastAsia="zh-CN"/>
        </w:rPr>
        <w:t>；</w:t>
      </w:r>
    </w:p>
    <w:p w14:paraId="2510B8B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）《冶金矿山采矿设计规范》（GB 50830-2013）</w:t>
      </w:r>
      <w:r>
        <w:rPr>
          <w:rFonts w:hint="eastAsia" w:ascii="宋体" w:hAnsi="宋体" w:eastAsia="宋体" w:cs="宋体"/>
          <w:color w:val="auto"/>
          <w:sz w:val="28"/>
          <w:szCs w:val="28"/>
          <w:highlight w:val="none"/>
          <w:lang w:eastAsia="zh-CN"/>
        </w:rPr>
        <w:t>；</w:t>
      </w:r>
    </w:p>
    <w:p w14:paraId="3E06699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）《区域地质图图例》（GB/T 958-2015）</w:t>
      </w:r>
      <w:r>
        <w:rPr>
          <w:rFonts w:hint="eastAsia" w:ascii="宋体" w:hAnsi="宋体" w:eastAsia="宋体" w:cs="宋体"/>
          <w:color w:val="auto"/>
          <w:sz w:val="28"/>
          <w:szCs w:val="28"/>
          <w:highlight w:val="none"/>
          <w:lang w:eastAsia="zh-CN"/>
        </w:rPr>
        <w:t>；</w:t>
      </w:r>
    </w:p>
    <w:p w14:paraId="34D87E74">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）《非煤矿山采矿术语标准》（GB/T 51339-2018）</w:t>
      </w:r>
      <w:r>
        <w:rPr>
          <w:rFonts w:hint="eastAsia" w:ascii="宋体" w:hAnsi="宋体" w:eastAsia="宋体" w:cs="宋体"/>
          <w:color w:val="auto"/>
          <w:sz w:val="28"/>
          <w:szCs w:val="28"/>
          <w:highlight w:val="none"/>
          <w:lang w:eastAsia="zh-CN"/>
        </w:rPr>
        <w:t>；</w:t>
      </w:r>
    </w:p>
    <w:p w14:paraId="165F5305">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）《矿产勘查矿石加工选冶技术性能试验研究程度要求》（DZ/T 0340-2020）</w:t>
      </w:r>
      <w:r>
        <w:rPr>
          <w:rFonts w:hint="eastAsia" w:ascii="宋体" w:hAnsi="宋体" w:eastAsia="宋体" w:cs="宋体"/>
          <w:color w:val="auto"/>
          <w:sz w:val="28"/>
          <w:szCs w:val="28"/>
          <w:highlight w:val="none"/>
          <w:lang w:eastAsia="zh-CN"/>
        </w:rPr>
        <w:t>；</w:t>
      </w:r>
    </w:p>
    <w:p w14:paraId="2C64D297">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）《金属非金属矿山安全规程》（GB16423-2020）；</w:t>
      </w:r>
    </w:p>
    <w:p w14:paraId="78CAF3A7">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）《工业企业总平面设计规范》（GB50187-2012）；</w:t>
      </w:r>
    </w:p>
    <w:p w14:paraId="3698FDD7">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10</w:t>
      </w:r>
      <w:r>
        <w:rPr>
          <w:rFonts w:hint="eastAsia" w:ascii="宋体" w:hAnsi="宋体" w:eastAsia="宋体" w:cs="宋体"/>
          <w:color w:val="auto"/>
          <w:sz w:val="28"/>
          <w:szCs w:val="28"/>
          <w:highlight w:val="none"/>
        </w:rPr>
        <w:t>）《厂矿道路设计规范》（GBJ22-87）；</w:t>
      </w:r>
    </w:p>
    <w:p w14:paraId="248A9A62">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小型民用爆炸物品储存库安全规范</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GA 838-2009</w:t>
      </w:r>
      <w:r>
        <w:rPr>
          <w:rFonts w:hint="eastAsia" w:ascii="宋体" w:hAnsi="宋体" w:eastAsia="宋体" w:cs="宋体"/>
          <w:color w:val="auto"/>
          <w:sz w:val="28"/>
          <w:szCs w:val="28"/>
          <w:highlight w:val="none"/>
        </w:rPr>
        <w:t>）</w:t>
      </w:r>
    </w:p>
    <w:p w14:paraId="16FCE1E3">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）《矿产资源“三率”指标要求 第6部分：石墨等26种非金属矿产》</w:t>
      </w:r>
      <w:r>
        <w:rPr>
          <w:rFonts w:hint="eastAsia" w:eastAsia="宋体"/>
          <w:color w:val="auto"/>
          <w:sz w:val="28"/>
          <w:szCs w:val="28"/>
          <w:highlight w:val="none"/>
          <w:lang w:eastAsia="zh-CN"/>
        </w:rPr>
        <w:t>（</w:t>
      </w:r>
      <w:r>
        <w:rPr>
          <w:rFonts w:eastAsia="宋体"/>
          <w:color w:val="auto"/>
          <w:sz w:val="28"/>
          <w:szCs w:val="28"/>
          <w:highlight w:val="none"/>
        </w:rPr>
        <w:t>DZ/T 0462.</w:t>
      </w:r>
      <w:r>
        <w:rPr>
          <w:rFonts w:hint="eastAsia" w:eastAsia="宋体"/>
          <w:color w:val="auto"/>
          <w:sz w:val="28"/>
          <w:szCs w:val="28"/>
          <w:highlight w:val="none"/>
          <w:lang w:val="en-US" w:eastAsia="zh-CN"/>
        </w:rPr>
        <w:t>6</w:t>
      </w:r>
      <w:r>
        <w:rPr>
          <w:rFonts w:eastAsia="宋体"/>
          <w:color w:val="auto"/>
          <w:sz w:val="28"/>
          <w:szCs w:val="28"/>
          <w:highlight w:val="none"/>
        </w:rPr>
        <w:t>-2024</w:t>
      </w:r>
      <w:r>
        <w:rPr>
          <w:rFonts w:eastAsia="宋体"/>
          <w:color w:val="auto"/>
          <w:sz w:val="28"/>
          <w:szCs w:val="28"/>
          <w:highlight w:val="none"/>
        </w:rPr>
        <w:tab/>
      </w:r>
      <w:r>
        <w:rPr>
          <w:rFonts w:hint="eastAsia" w:eastAsia="宋体"/>
          <w:color w:val="auto"/>
          <w:sz w:val="28"/>
          <w:szCs w:val="28"/>
          <w:highlight w:val="none"/>
          <w:lang w:eastAsia="zh-CN"/>
        </w:rPr>
        <w:t>）。</w:t>
      </w:r>
    </w:p>
    <w:p w14:paraId="63D225E0">
      <w:pPr>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0.</w:t>
      </w:r>
      <w:r>
        <w:rPr>
          <w:rFonts w:hint="eastAsia" w:ascii="宋体" w:hAnsi="宋体" w:eastAsia="宋体" w:cs="宋体"/>
          <w:b/>
          <w:bCs w:val="0"/>
          <w:color w:val="auto"/>
          <w:sz w:val="28"/>
          <w:szCs w:val="28"/>
          <w:highlight w:val="none"/>
          <w:lang w:val="en-US" w:eastAsia="zh-CN"/>
        </w:rPr>
        <w:t>3</w:t>
      </w:r>
      <w:r>
        <w:rPr>
          <w:rFonts w:hint="eastAsia" w:ascii="宋体" w:hAnsi="宋体" w:eastAsia="宋体" w:cs="宋体"/>
          <w:b/>
          <w:bCs w:val="0"/>
          <w:color w:val="auto"/>
          <w:sz w:val="28"/>
          <w:szCs w:val="28"/>
          <w:highlight w:val="none"/>
        </w:rPr>
        <w:t>.2权利证明材料</w:t>
      </w:r>
    </w:p>
    <w:p w14:paraId="1635236E">
      <w:pPr>
        <w:pageBreakBefore w:val="0"/>
        <w:widowControl w:val="0"/>
        <w:numPr>
          <w:ilvl w:val="0"/>
          <w:numId w:val="0"/>
        </w:numPr>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（1）《采矿许可证》：证号C3504212010016120054514，有效期自2023年10月9日至2033年10月9日，由明溪县自然资源局颁发。</w:t>
      </w:r>
    </w:p>
    <w:p w14:paraId="686A6E87">
      <w:pPr>
        <w:pageBreakBefore w:val="0"/>
        <w:widowControl w:val="0"/>
        <w:numPr>
          <w:ilvl w:val="0"/>
          <w:numId w:val="0"/>
        </w:numPr>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（2）《营业执照》：统一社会信用代码91350421</w:t>
      </w:r>
      <w:r>
        <w:rPr>
          <w:rFonts w:hint="eastAsia" w:ascii="宋体" w:hAnsi="宋体" w:eastAsia="宋体" w:cs="宋体"/>
          <w:color w:val="auto"/>
          <w:sz w:val="28"/>
          <w:szCs w:val="28"/>
          <w:highlight w:val="none"/>
          <w:lang w:val="en-US" w:eastAsia="zh-CN"/>
        </w:rPr>
        <w:t>6719355281</w:t>
      </w:r>
      <w:r>
        <w:rPr>
          <w:rFonts w:hint="eastAsia" w:ascii="宋体" w:hAnsi="宋体" w:eastAsia="宋体" w:cs="宋体"/>
          <w:color w:val="auto"/>
          <w:sz w:val="28"/>
          <w:szCs w:val="28"/>
          <w:highlight w:val="none"/>
        </w:rPr>
        <w:t>，成立日期为200</w:t>
      </w: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03</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18</w:t>
      </w:r>
      <w:r>
        <w:rPr>
          <w:rFonts w:hint="eastAsia" w:ascii="宋体" w:hAnsi="宋体" w:eastAsia="宋体" w:cs="宋体"/>
          <w:color w:val="auto"/>
          <w:sz w:val="28"/>
          <w:szCs w:val="28"/>
          <w:highlight w:val="none"/>
        </w:rPr>
        <w:t>日，由明溪县市场监督管理局颁发。</w:t>
      </w:r>
    </w:p>
    <w:p w14:paraId="0A26B851">
      <w:pPr>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0.</w:t>
      </w:r>
      <w:r>
        <w:rPr>
          <w:rFonts w:hint="eastAsia" w:ascii="宋体" w:hAnsi="宋体" w:eastAsia="宋体" w:cs="宋体"/>
          <w:b/>
          <w:bCs w:val="0"/>
          <w:color w:val="auto"/>
          <w:sz w:val="28"/>
          <w:szCs w:val="28"/>
          <w:highlight w:val="none"/>
          <w:lang w:val="en-US" w:eastAsia="zh-CN"/>
        </w:rPr>
        <w:t>3</w:t>
      </w:r>
      <w:r>
        <w:rPr>
          <w:rFonts w:hint="eastAsia" w:ascii="宋体" w:hAnsi="宋体" w:eastAsia="宋体" w:cs="宋体"/>
          <w:b/>
          <w:bCs w:val="0"/>
          <w:color w:val="auto"/>
          <w:sz w:val="28"/>
          <w:szCs w:val="28"/>
          <w:highlight w:val="none"/>
        </w:rPr>
        <w:t>.</w:t>
      </w:r>
      <w:r>
        <w:rPr>
          <w:rFonts w:hint="eastAsia" w:ascii="宋体" w:hAnsi="宋体" w:eastAsia="宋体" w:cs="宋体"/>
          <w:b/>
          <w:bCs w:val="0"/>
          <w:color w:val="auto"/>
          <w:sz w:val="28"/>
          <w:szCs w:val="28"/>
          <w:highlight w:val="none"/>
          <w:lang w:val="en-US" w:eastAsia="zh-CN"/>
        </w:rPr>
        <w:t>3</w:t>
      </w:r>
      <w:r>
        <w:rPr>
          <w:rFonts w:hint="eastAsia" w:ascii="宋体" w:hAnsi="宋体" w:eastAsia="宋体" w:cs="宋体"/>
          <w:b/>
          <w:bCs w:val="0"/>
          <w:color w:val="auto"/>
          <w:sz w:val="28"/>
          <w:szCs w:val="28"/>
          <w:highlight w:val="none"/>
        </w:rPr>
        <w:t>主要基础性资料</w:t>
      </w:r>
      <w:bookmarkEnd w:id="21"/>
    </w:p>
    <w:p w14:paraId="1DAE2870">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（1）中化地质矿山总局福建地质勘查院于2025年8月提交的《福建省明溪县上龙坑矿区方解石矿资源储量核实暨深部</w:t>
      </w:r>
      <w:r>
        <w:rPr>
          <w:rFonts w:hint="eastAsia" w:ascii="宋体" w:hAnsi="宋体" w:eastAsia="宋体" w:cs="宋体"/>
          <w:color w:val="auto"/>
          <w:sz w:val="28"/>
          <w:szCs w:val="28"/>
          <w:highlight w:val="none"/>
          <w:lang w:eastAsia="zh-CN"/>
        </w:rPr>
        <w:t>勘探</w:t>
      </w:r>
      <w:r>
        <w:rPr>
          <w:rFonts w:hint="eastAsia" w:ascii="宋体" w:hAnsi="宋体" w:eastAsia="宋体" w:cs="宋体"/>
          <w:color w:val="auto"/>
          <w:sz w:val="28"/>
          <w:szCs w:val="28"/>
          <w:highlight w:val="none"/>
        </w:rPr>
        <w:t>地质报告（2025年）》；</w:t>
      </w:r>
    </w:p>
    <w:p w14:paraId="15626B83">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（2）福建省自然资源评审中心于202</w:t>
      </w:r>
      <w:r>
        <w:rPr>
          <w:rFonts w:hint="eastAsia" w:ascii="宋体" w:hAnsi="宋体" w:eastAsia="宋体" w:cs="宋体"/>
          <w:color w:val="auto"/>
          <w:sz w:val="28"/>
          <w:szCs w:val="28"/>
          <w:highlight w:val="none"/>
          <w:lang w:val="en-US" w:eastAsia="zh-CN"/>
        </w:rPr>
        <w:t>6年6</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rPr>
        <w:t>日出具的《福建省明溪县上龙坑矿区方解石矿资源储量核实暨深部</w:t>
      </w:r>
      <w:r>
        <w:rPr>
          <w:rFonts w:hint="eastAsia" w:ascii="宋体" w:hAnsi="宋体" w:eastAsia="宋体" w:cs="宋体"/>
          <w:color w:val="auto"/>
          <w:sz w:val="28"/>
          <w:szCs w:val="28"/>
          <w:highlight w:val="none"/>
          <w:lang w:eastAsia="zh-CN"/>
        </w:rPr>
        <w:t>勘探</w:t>
      </w:r>
      <w:r>
        <w:rPr>
          <w:rFonts w:hint="eastAsia" w:ascii="宋体" w:hAnsi="宋体" w:eastAsia="宋体" w:cs="宋体"/>
          <w:color w:val="auto"/>
          <w:sz w:val="28"/>
          <w:szCs w:val="28"/>
          <w:highlight w:val="none"/>
        </w:rPr>
        <w:t>地质报告（2025年）矿产资源储量评审意见书》（闽自然资储评字〔202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14</w:t>
      </w:r>
      <w:r>
        <w:rPr>
          <w:rFonts w:hint="eastAsia" w:ascii="宋体" w:hAnsi="宋体" w:eastAsia="宋体" w:cs="宋体"/>
          <w:color w:val="auto"/>
          <w:sz w:val="28"/>
          <w:szCs w:val="28"/>
          <w:highlight w:val="none"/>
        </w:rPr>
        <w:t>号）；</w:t>
      </w:r>
    </w:p>
    <w:p w14:paraId="08D80E00">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）中化地质矿山总局福建地质勘查院于202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月提交的《福建省明溪县上龙坑矿区方解石矿</w:t>
      </w:r>
      <w:r>
        <w:rPr>
          <w:rFonts w:hint="eastAsia" w:ascii="宋体" w:hAnsi="宋体" w:eastAsia="宋体" w:cs="宋体"/>
          <w:color w:val="auto"/>
          <w:sz w:val="28"/>
          <w:szCs w:val="28"/>
          <w:highlight w:val="none"/>
          <w:lang w:val="en-US" w:eastAsia="zh-CN"/>
        </w:rPr>
        <w:t>2025年度资源</w:t>
      </w:r>
      <w:r>
        <w:rPr>
          <w:rFonts w:hint="eastAsia" w:ascii="宋体" w:hAnsi="宋体" w:eastAsia="宋体" w:cs="宋体"/>
          <w:color w:val="auto"/>
          <w:sz w:val="28"/>
          <w:szCs w:val="28"/>
          <w:highlight w:val="none"/>
          <w:lang w:eastAsia="zh-CN"/>
        </w:rPr>
        <w:t>储量变化表</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及评审意见书</w:t>
      </w:r>
      <w:r>
        <w:rPr>
          <w:rFonts w:hint="eastAsia" w:ascii="宋体" w:hAnsi="宋体" w:eastAsia="宋体" w:cs="宋体"/>
          <w:color w:val="auto"/>
          <w:sz w:val="28"/>
          <w:szCs w:val="28"/>
          <w:highlight w:val="none"/>
        </w:rPr>
        <w:t>；</w:t>
      </w:r>
    </w:p>
    <w:p w14:paraId="6F84AF31">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）福州龙林工程技术有限公司于2023年8月提交的《明溪县瀚仙矿场上龙坑方解石矿矿产资源开发利用、地质环境恢复治理、土地复垦方案》及评审意见书；</w:t>
      </w:r>
    </w:p>
    <w:p w14:paraId="668AA7B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）2024年</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月中舜国际工程设计有限公司编制《明溪县钰岩石材料加工厂明溪县瀚仙矿场上龙坑方解石矿隐蔽致灾因素普查治理报告》（普查单位：山东省煤田地质局第四勘探队）；</w:t>
      </w:r>
    </w:p>
    <w:p w14:paraId="1147E83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eastAsia="zh-CN"/>
        </w:rPr>
        <w:t>福州大学</w:t>
      </w:r>
      <w:r>
        <w:rPr>
          <w:rFonts w:hint="eastAsia" w:ascii="宋体" w:hAnsi="宋体" w:eastAsia="宋体" w:cs="宋体"/>
          <w:color w:val="auto"/>
          <w:sz w:val="28"/>
          <w:szCs w:val="28"/>
          <w:highlight w:val="none"/>
        </w:rPr>
        <w:t>编制</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福建省</w:t>
      </w:r>
      <w:r>
        <w:rPr>
          <w:rFonts w:hint="eastAsia" w:ascii="宋体" w:hAnsi="宋体" w:eastAsia="宋体" w:cs="宋体"/>
          <w:color w:val="auto"/>
          <w:sz w:val="28"/>
          <w:szCs w:val="28"/>
          <w:highlight w:val="none"/>
        </w:rPr>
        <w:t>明溪县</w:t>
      </w:r>
      <w:r>
        <w:rPr>
          <w:rFonts w:hint="eastAsia" w:ascii="宋体" w:hAnsi="宋体" w:eastAsia="宋体" w:cs="宋体"/>
          <w:color w:val="auto"/>
          <w:sz w:val="28"/>
          <w:szCs w:val="28"/>
          <w:highlight w:val="none"/>
          <w:lang w:eastAsia="zh-CN"/>
        </w:rPr>
        <w:t>上龙坑矿区方解石矿地表安全论证</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w:t>
      </w:r>
    </w:p>
    <w:p w14:paraId="327678FA">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）明溪县自然资源局提供的矿区土地利用现状图（三调图）</w:t>
      </w:r>
      <w:r>
        <w:rPr>
          <w:rFonts w:hint="eastAsia" w:ascii="宋体" w:hAnsi="宋体" w:eastAsia="宋体" w:cs="宋体"/>
          <w:color w:val="auto"/>
          <w:sz w:val="28"/>
          <w:szCs w:val="28"/>
          <w:highlight w:val="none"/>
          <w:lang w:eastAsia="zh-CN"/>
        </w:rPr>
        <w:t>；</w:t>
      </w:r>
    </w:p>
    <w:p w14:paraId="02E04112">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）矿区及周边“三区三线、各类保护区”相关基础性资料</w:t>
      </w:r>
      <w:r>
        <w:rPr>
          <w:rFonts w:hint="eastAsia" w:ascii="宋体" w:hAnsi="宋体" w:eastAsia="宋体" w:cs="宋体"/>
          <w:color w:val="auto"/>
          <w:sz w:val="28"/>
          <w:szCs w:val="28"/>
          <w:highlight w:val="none"/>
          <w:lang w:eastAsia="zh-CN"/>
        </w:rPr>
        <w:t>；</w:t>
      </w:r>
    </w:p>
    <w:p w14:paraId="472FBB74">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）项目组现场踏勘、调查、照片等资料</w:t>
      </w:r>
      <w:r>
        <w:rPr>
          <w:rFonts w:hint="eastAsia" w:ascii="宋体" w:hAnsi="宋体" w:eastAsia="宋体" w:cs="宋体"/>
          <w:color w:val="auto"/>
          <w:sz w:val="28"/>
          <w:szCs w:val="28"/>
          <w:highlight w:val="none"/>
          <w:lang w:eastAsia="zh-CN"/>
        </w:rPr>
        <w:t>。</w:t>
      </w:r>
    </w:p>
    <w:p w14:paraId="39868F19">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55290C5E">
      <w:pPr>
        <w:pStyle w:val="17"/>
        <w:pageBreakBefore w:val="0"/>
        <w:widowControl w:val="0"/>
        <w:kinsoku/>
        <w:wordWrap/>
        <w:overflowPunct/>
        <w:topLinePunct w:val="0"/>
        <w:autoSpaceDE/>
        <w:autoSpaceDN/>
        <w:bidi w:val="0"/>
        <w:adjustRightInd w:val="0"/>
        <w:snapToGrid w:val="0"/>
        <w:spacing w:after="0" w:line="360" w:lineRule="auto"/>
        <w:ind w:left="0" w:leftChars="0" w:firstLine="650" w:firstLineChars="200"/>
        <w:rPr>
          <w:rFonts w:hint="eastAsia" w:ascii="宋体" w:hAnsi="宋体" w:eastAsia="宋体" w:cs="宋体"/>
          <w:color w:val="auto"/>
          <w:sz w:val="28"/>
          <w:szCs w:val="28"/>
          <w:highlight w:val="none"/>
        </w:rPr>
      </w:pPr>
    </w:p>
    <w:p w14:paraId="2CD5842F">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1B1AEB29">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039864F9">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211E1D93">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652F532E">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2454B50C">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1E08BC7A">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6AAFCA00">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3D4669B9">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53FBB97F">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5DB4CC5F">
      <w:pPr>
        <w:pageBreakBefore w:val="0"/>
        <w:widowControl w:val="0"/>
        <w:kinsoku/>
        <w:wordWrap/>
        <w:overflowPunct/>
        <w:topLinePunct w:val="0"/>
        <w:autoSpaceDE/>
        <w:autoSpaceDN/>
        <w:bidi w:val="0"/>
        <w:adjustRightInd w:val="0"/>
        <w:spacing w:line="360" w:lineRule="auto"/>
        <w:rPr>
          <w:rFonts w:hint="eastAsia" w:ascii="宋体" w:hAnsi="宋体" w:eastAsia="宋体" w:cs="宋体"/>
          <w:color w:val="auto"/>
          <w:sz w:val="28"/>
          <w:highlight w:val="none"/>
        </w:rPr>
      </w:pPr>
    </w:p>
    <w:p w14:paraId="24B034C9">
      <w:pPr>
        <w:pStyle w:val="16"/>
        <w:kinsoku/>
        <w:wordWrap/>
        <w:overflowPunct/>
        <w:topLinePunct w:val="0"/>
        <w:bidi w:val="0"/>
        <w:spacing w:line="360" w:lineRule="auto"/>
        <w:rPr>
          <w:rFonts w:hint="eastAsia" w:ascii="Times New Roman" w:hAnsi="Times New Roman" w:eastAsia="仿宋_GB2312"/>
          <w:color w:val="auto"/>
          <w:sz w:val="28"/>
          <w:highlight w:val="none"/>
        </w:rPr>
      </w:pPr>
    </w:p>
    <w:p w14:paraId="3BCEC59D">
      <w:pPr>
        <w:pStyle w:val="2"/>
        <w:keepNext/>
        <w:keepLines/>
        <w:pageBreakBefore w:val="0"/>
        <w:widowControl/>
        <w:kinsoku w:val="0"/>
        <w:wordWrap/>
        <w:overflowPunct/>
        <w:topLinePunct w:val="0"/>
        <w:autoSpaceDE w:val="0"/>
        <w:autoSpaceDN w:val="0"/>
        <w:bidi w:val="0"/>
        <w:adjustRightInd w:val="0"/>
        <w:snapToGrid w:val="0"/>
        <w:spacing w:before="100" w:beforeAutospacing="1" w:after="100" w:afterAutospacing="1" w:line="240" w:lineRule="auto"/>
        <w:ind w:firstLine="0" w:firstLineChars="0"/>
        <w:jc w:val="center"/>
        <w:textAlignment w:val="baseline"/>
        <w:rPr>
          <w:rFonts w:hint="eastAsia" w:ascii="黑体" w:hAnsi="黑体" w:eastAsia="黑体" w:cs="黑体"/>
          <w:bCs/>
          <w:snapToGrid w:val="0"/>
          <w:color w:val="auto"/>
          <w:sz w:val="32"/>
          <w:szCs w:val="32"/>
          <w:highlight w:val="none"/>
          <w:lang w:eastAsia="zh-CN" w:bidi="ar"/>
        </w:rPr>
        <w:sectPr>
          <w:headerReference r:id="rId17" w:type="default"/>
          <w:footerReference r:id="rId19" w:type="default"/>
          <w:headerReference r:id="rId18" w:type="even"/>
          <w:footerReference r:id="rId20" w:type="even"/>
          <w:pgSz w:w="11905" w:h="16838"/>
          <w:pgMar w:top="1417" w:right="1417" w:bottom="1417" w:left="1417" w:header="851" w:footer="992" w:gutter="0"/>
          <w:pgBorders>
            <w:top w:val="none" w:sz="0" w:space="0"/>
            <w:left w:val="none" w:sz="0" w:space="0"/>
            <w:bottom w:val="none" w:sz="0" w:space="0"/>
            <w:right w:val="none" w:sz="0" w:space="0"/>
          </w:pgBorders>
          <w:pgNumType w:fmt="decimal" w:start="1"/>
          <w:cols w:space="720" w:num="1"/>
          <w:docGrid w:type="linesAndChars" w:linePitch="312" w:charSpace="1223"/>
        </w:sectPr>
      </w:pPr>
    </w:p>
    <w:p w14:paraId="796E491C">
      <w:pPr>
        <w:pStyle w:val="2"/>
        <w:keepNext/>
        <w:keepLines/>
        <w:pageBreakBefore w:val="0"/>
        <w:widowControl/>
        <w:kinsoku w:val="0"/>
        <w:wordWrap/>
        <w:overflowPunct/>
        <w:topLinePunct w:val="0"/>
        <w:autoSpaceDE w:val="0"/>
        <w:autoSpaceDN w:val="0"/>
        <w:bidi w:val="0"/>
        <w:adjustRightInd w:val="0"/>
        <w:snapToGrid w:val="0"/>
        <w:spacing w:before="100" w:beforeAutospacing="1" w:after="100" w:afterAutospacing="1" w:line="240" w:lineRule="auto"/>
        <w:ind w:firstLine="0" w:firstLineChars="0"/>
        <w:jc w:val="center"/>
        <w:textAlignment w:val="baseline"/>
        <w:rPr>
          <w:rFonts w:hint="eastAsia" w:ascii="黑体" w:hAnsi="黑体" w:eastAsia="黑体" w:cs="黑体"/>
          <w:bCs/>
          <w:snapToGrid w:val="0"/>
          <w:color w:val="auto"/>
          <w:sz w:val="32"/>
          <w:szCs w:val="32"/>
          <w:highlight w:val="none"/>
          <w:lang w:eastAsia="zh-CN" w:bidi="ar"/>
        </w:rPr>
      </w:pPr>
      <w:bookmarkStart w:id="22" w:name="_Toc20748"/>
      <w:r>
        <w:rPr>
          <w:rFonts w:hint="eastAsia" w:ascii="黑体" w:hAnsi="黑体" w:eastAsia="黑体" w:cs="黑体"/>
          <w:bCs/>
          <w:snapToGrid w:val="0"/>
          <w:color w:val="auto"/>
          <w:sz w:val="32"/>
          <w:szCs w:val="32"/>
          <w:highlight w:val="none"/>
          <w:lang w:eastAsia="zh-CN" w:bidi="ar"/>
        </w:rPr>
        <w:t>第一章 矿山基本情况</w:t>
      </w:r>
      <w:bookmarkEnd w:id="22"/>
    </w:p>
    <w:p w14:paraId="62DD79E0">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eastAsia="zh-CN"/>
        </w:rPr>
      </w:pPr>
      <w:bookmarkStart w:id="23" w:name="_Toc3471"/>
      <w:r>
        <w:rPr>
          <w:rFonts w:hint="eastAsia" w:ascii="宋体" w:hAnsi="宋体" w:eastAsia="宋体" w:cs="宋体"/>
          <w:b/>
          <w:bCs w:val="0"/>
          <w:snapToGrid w:val="0"/>
          <w:color w:val="auto"/>
          <w:kern w:val="0"/>
          <w:sz w:val="30"/>
          <w:szCs w:val="30"/>
          <w:highlight w:val="none"/>
          <w:lang w:eastAsia="zh-CN"/>
        </w:rPr>
        <w:t>1.1矿山位置及交通情况</w:t>
      </w:r>
      <w:bookmarkEnd w:id="23"/>
    </w:p>
    <w:p w14:paraId="50E69BF0">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矿区位于明溪县城关33°方向，直距约9km处，隶属</w:t>
      </w:r>
      <w:r>
        <w:rPr>
          <w:rFonts w:hint="eastAsia" w:ascii="宋体" w:hAnsi="宋体" w:eastAsia="宋体" w:cs="宋体"/>
          <w:color w:val="auto"/>
          <w:sz w:val="28"/>
          <w:szCs w:val="28"/>
          <w:highlight w:val="none"/>
          <w:lang w:eastAsia="zh-CN"/>
        </w:rPr>
        <w:t>明溪县瀚仙镇坪地村管辖</w:t>
      </w:r>
      <w:r>
        <w:rPr>
          <w:rFonts w:hint="eastAsia" w:ascii="宋体" w:hAnsi="宋体" w:eastAsia="宋体" w:cs="宋体"/>
          <w:color w:val="auto"/>
          <w:sz w:val="28"/>
          <w:szCs w:val="28"/>
          <w:highlight w:val="none"/>
        </w:rPr>
        <w:t>，地理坐标:东经117°14′37.63″～117°15′05.82″，北纬26°25′29.99″～26°25′42.49″，</w:t>
      </w:r>
      <w:r>
        <w:rPr>
          <w:rFonts w:hint="eastAsia" w:ascii="宋体" w:hAnsi="宋体" w:eastAsia="宋体" w:cs="宋体"/>
          <w:color w:val="auto"/>
          <w:sz w:val="28"/>
          <w:szCs w:val="28"/>
          <w:highlight w:val="none"/>
          <w:lang w:eastAsia="zh-CN"/>
        </w:rPr>
        <w:t>矿区</w:t>
      </w:r>
      <w:r>
        <w:rPr>
          <w:rFonts w:hint="eastAsia" w:ascii="宋体" w:hAnsi="宋体" w:eastAsia="宋体" w:cs="宋体"/>
          <w:color w:val="auto"/>
          <w:sz w:val="28"/>
          <w:szCs w:val="28"/>
          <w:highlight w:val="none"/>
        </w:rPr>
        <w:t>面积0.1805km</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w:t>
      </w:r>
    </w:p>
    <w:p w14:paraId="666D15FE">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矿山有简易公路与省道S204线（路程约10km）相连，连接处到明溪县城约2km；县内还有莆炎、永宁两条高速公路，交通便利（见图1-1）。</w:t>
      </w:r>
    </w:p>
    <w:p w14:paraId="1595FE3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baseline"/>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drawing>
          <wp:inline distT="0" distB="0" distL="114300" distR="114300">
            <wp:extent cx="5699125" cy="4138930"/>
            <wp:effectExtent l="0" t="0" r="15875" b="1397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24"/>
                    <a:srcRect l="9023" t="13435" r="9167" b="13167"/>
                    <a:stretch>
                      <a:fillRect/>
                    </a:stretch>
                  </pic:blipFill>
                  <pic:spPr>
                    <a:xfrm>
                      <a:off x="0" y="0"/>
                      <a:ext cx="5699125" cy="4138930"/>
                    </a:xfrm>
                    <a:prstGeom prst="rect">
                      <a:avLst/>
                    </a:prstGeom>
                    <a:noFill/>
                    <a:ln>
                      <a:noFill/>
                    </a:ln>
                  </pic:spPr>
                </pic:pic>
              </a:graphicData>
            </a:graphic>
          </wp:inline>
        </w:drawing>
      </w:r>
    </w:p>
    <w:p w14:paraId="59F9A09C">
      <w:pPr>
        <w:keepNext w:val="0"/>
        <w:keepLines w:val="0"/>
        <w:pageBreakBefore w:val="0"/>
        <w:widowControl w:val="0"/>
        <w:kinsoku/>
        <w:wordWrap/>
        <w:overflowPunct/>
        <w:topLinePunct w:val="0"/>
        <w:autoSpaceDE/>
        <w:autoSpaceDN/>
        <w:bidi w:val="0"/>
        <w:adjustRightInd w:val="0"/>
        <w:snapToGrid w:val="0"/>
        <w:spacing w:line="360" w:lineRule="auto"/>
        <w:textAlignment w:val="baseline"/>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 xml:space="preserve">图1-1  </w:t>
      </w:r>
      <w:r>
        <w:rPr>
          <w:rFonts w:hint="eastAsia" w:ascii="宋体" w:hAnsi="宋体" w:eastAsia="宋体" w:cs="宋体"/>
          <w:snapToGrid w:val="0"/>
          <w:color w:val="auto"/>
          <w:sz w:val="28"/>
          <w:szCs w:val="28"/>
          <w:highlight w:val="none"/>
          <w:lang w:val="en-US" w:eastAsia="zh-CN"/>
        </w:rPr>
        <w:t xml:space="preserve">                  </w:t>
      </w:r>
      <w:r>
        <w:rPr>
          <w:rFonts w:hint="eastAsia" w:ascii="宋体" w:hAnsi="宋体" w:eastAsia="宋体" w:cs="宋体"/>
          <w:snapToGrid w:val="0"/>
          <w:color w:val="auto"/>
          <w:sz w:val="28"/>
          <w:szCs w:val="28"/>
          <w:highlight w:val="none"/>
        </w:rPr>
        <w:t xml:space="preserve"> 交通位置图</w:t>
      </w:r>
    </w:p>
    <w:p w14:paraId="70DB5A11">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eastAsia="zh-CN"/>
        </w:rPr>
      </w:pPr>
      <w:bookmarkStart w:id="24" w:name="_Toc21377"/>
      <w:r>
        <w:rPr>
          <w:rFonts w:hint="eastAsia" w:ascii="宋体" w:hAnsi="宋体" w:eastAsia="宋体" w:cs="宋体"/>
          <w:b/>
          <w:bCs w:val="0"/>
          <w:snapToGrid w:val="0"/>
          <w:color w:val="auto"/>
          <w:kern w:val="0"/>
          <w:sz w:val="30"/>
          <w:szCs w:val="30"/>
          <w:highlight w:val="none"/>
          <w:lang w:eastAsia="zh-CN"/>
        </w:rPr>
        <w:t>1.2采矿权设置情况</w:t>
      </w:r>
      <w:bookmarkEnd w:id="24"/>
    </w:p>
    <w:p w14:paraId="305F4F80">
      <w:pPr>
        <w:pageBreakBefore w:val="0"/>
        <w:kinsoku/>
        <w:wordWrap/>
        <w:overflowPunct/>
        <w:topLinePunct w:val="0"/>
        <w:autoSpaceDE/>
        <w:autoSpaceDN/>
        <w:bidi w:val="0"/>
        <w:snapToGrid w:val="0"/>
        <w:spacing w:line="360" w:lineRule="auto"/>
        <w:rPr>
          <w:rFonts w:hint="eastAsia" w:ascii="宋体" w:hAnsi="宋体" w:eastAsia="宋体" w:cs="宋体"/>
          <w:b/>
          <w:bCs w:val="0"/>
          <w:color w:val="auto"/>
          <w:sz w:val="28"/>
          <w:szCs w:val="28"/>
          <w:highlight w:val="none"/>
          <w:lang w:val="en-US" w:eastAsia="zh-CN"/>
        </w:rPr>
      </w:pPr>
      <w:bookmarkStart w:id="25" w:name="_Toc492305751"/>
      <w:r>
        <w:rPr>
          <w:rFonts w:hint="eastAsia" w:ascii="宋体" w:hAnsi="宋体" w:eastAsia="宋体" w:cs="宋体"/>
          <w:b/>
          <w:bCs w:val="0"/>
          <w:color w:val="auto"/>
          <w:sz w:val="28"/>
          <w:szCs w:val="28"/>
          <w:highlight w:val="none"/>
        </w:rPr>
        <w:t>1.</w:t>
      </w:r>
      <w:bookmarkEnd w:id="25"/>
      <w:r>
        <w:rPr>
          <w:rFonts w:hint="eastAsia" w:ascii="宋体" w:hAnsi="宋体" w:eastAsia="宋体" w:cs="宋体"/>
          <w:b/>
          <w:bCs w:val="0"/>
          <w:color w:val="auto"/>
          <w:sz w:val="28"/>
          <w:szCs w:val="28"/>
          <w:highlight w:val="none"/>
        </w:rPr>
        <w:t>2.1</w:t>
      </w:r>
      <w:r>
        <w:rPr>
          <w:rFonts w:hint="eastAsia" w:ascii="宋体" w:hAnsi="宋体" w:eastAsia="宋体" w:cs="宋体"/>
          <w:b/>
          <w:bCs w:val="0"/>
          <w:color w:val="auto"/>
          <w:sz w:val="28"/>
          <w:szCs w:val="28"/>
          <w:highlight w:val="none"/>
          <w:lang w:val="en-US" w:eastAsia="zh-CN"/>
        </w:rPr>
        <w:t>矿业权人的隶属关系和企业性质</w:t>
      </w:r>
    </w:p>
    <w:p w14:paraId="0DA45B43">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lang w:eastAsia="zh-CN"/>
        </w:rPr>
        <w:t>矿山采矿权人为</w:t>
      </w:r>
      <w:r>
        <w:rPr>
          <w:rFonts w:hint="eastAsia" w:ascii="宋体" w:hAnsi="宋体" w:eastAsia="宋体" w:cs="宋体"/>
          <w:snapToGrid w:val="0"/>
          <w:color w:val="auto"/>
          <w:sz w:val="28"/>
          <w:szCs w:val="28"/>
          <w:highlight w:val="none"/>
        </w:rPr>
        <w:t>明溪县钰岩石材料加工厂</w:t>
      </w:r>
      <w:r>
        <w:rPr>
          <w:rFonts w:hint="eastAsia" w:ascii="宋体" w:hAnsi="宋体" w:eastAsia="宋体" w:cs="宋体"/>
          <w:snapToGrid w:val="0"/>
          <w:color w:val="auto"/>
          <w:sz w:val="28"/>
          <w:szCs w:val="28"/>
          <w:highlight w:val="none"/>
          <w:lang w:eastAsia="zh-CN"/>
        </w:rPr>
        <w:t>，企业性质为个人独资企业。</w:t>
      </w:r>
    </w:p>
    <w:p w14:paraId="0DB8A089">
      <w:pPr>
        <w:pageBreakBefore w:val="0"/>
        <w:kinsoku/>
        <w:wordWrap/>
        <w:overflowPunct/>
        <w:topLinePunct w:val="0"/>
        <w:autoSpaceDE/>
        <w:autoSpaceDN/>
        <w:bidi w:val="0"/>
        <w:snapToGrid w:val="0"/>
        <w:spacing w:line="360" w:lineRule="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1.2.</w:t>
      </w:r>
      <w:r>
        <w:rPr>
          <w:rFonts w:hint="eastAsia" w:ascii="宋体" w:hAnsi="宋体" w:eastAsia="宋体" w:cs="宋体"/>
          <w:b/>
          <w:bCs w:val="0"/>
          <w:color w:val="auto"/>
          <w:sz w:val="28"/>
          <w:szCs w:val="28"/>
          <w:highlight w:val="none"/>
          <w:lang w:val="en-US" w:eastAsia="zh-CN"/>
        </w:rPr>
        <w:t>2原有采矿权设置情况</w:t>
      </w:r>
    </w:p>
    <w:p w14:paraId="59470C8D">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snapToGrid w:val="0"/>
          <w:color w:val="auto"/>
          <w:sz w:val="28"/>
          <w:szCs w:val="28"/>
          <w:highlight w:val="none"/>
          <w:lang w:eastAsia="zh-CN"/>
        </w:rPr>
        <w:t>矿山采矿权人：明溪县钰岩石材料加工厂，采矿许可证证号：C3504212010016120054514，</w:t>
      </w:r>
      <w:r>
        <w:rPr>
          <w:rFonts w:hint="eastAsia" w:ascii="宋体" w:hAnsi="宋体" w:eastAsia="宋体" w:cs="宋体"/>
          <w:color w:val="auto"/>
          <w:sz w:val="28"/>
          <w:szCs w:val="28"/>
          <w:highlight w:val="none"/>
        </w:rPr>
        <w:t>矿山名称：明溪县瀚仙矿场上龙坑方解石矿，经济类型：其他企业，开采矿种：方解石，开采方式：地下开采，生产规模5万吨/年，矿区面积0.1805km</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，开采标高：+480m～+380m。发证机关：明溪县自然资源局，有效期限：自2023年10月9日至2033年10月9日。矿区范围由以下6个拐点坐标圈定，具体详见表1-1。</w:t>
      </w:r>
    </w:p>
    <w:p w14:paraId="7D13822E">
      <w:pPr>
        <w:pageBreakBefore w:val="0"/>
        <w:kinsoku/>
        <w:wordWrap/>
        <w:overflowPunct/>
        <w:topLinePunct w:val="0"/>
        <w:autoSpaceDE/>
        <w:autoSpaceDN/>
        <w:bidi w:val="0"/>
        <w:snapToGrid w:val="0"/>
        <w:spacing w:line="240" w:lineRule="auto"/>
        <w:ind w:firstLine="570"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lang w:eastAsia="zh-CN"/>
        </w:rPr>
        <w:t>原</w:t>
      </w:r>
      <w:r>
        <w:rPr>
          <w:rFonts w:hint="eastAsia" w:ascii="宋体" w:hAnsi="宋体" w:eastAsia="宋体" w:cs="宋体"/>
          <w:b/>
          <w:color w:val="auto"/>
          <w:sz w:val="28"/>
          <w:szCs w:val="28"/>
          <w:highlight w:val="none"/>
        </w:rPr>
        <w:t xml:space="preserve">矿区范围拐点坐标表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表1-1</w:t>
      </w:r>
    </w:p>
    <w:bookmarkEnd w:id="17"/>
    <w:tbl>
      <w:tblPr>
        <w:tblStyle w:val="18"/>
        <w:tblW w:w="8853" w:type="dxa"/>
        <w:jc w:val="center"/>
        <w:tblLayout w:type="fixed"/>
        <w:tblCellMar>
          <w:top w:w="0" w:type="dxa"/>
          <w:left w:w="108" w:type="dxa"/>
          <w:bottom w:w="0" w:type="dxa"/>
          <w:right w:w="108" w:type="dxa"/>
        </w:tblCellMar>
      </w:tblPr>
      <w:tblGrid>
        <w:gridCol w:w="718"/>
        <w:gridCol w:w="1739"/>
        <w:gridCol w:w="1891"/>
        <w:gridCol w:w="801"/>
        <w:gridCol w:w="1721"/>
        <w:gridCol w:w="1983"/>
      </w:tblGrid>
      <w:tr w14:paraId="7089CE6F">
        <w:tblPrEx>
          <w:tblCellMar>
            <w:top w:w="0" w:type="dxa"/>
            <w:left w:w="108" w:type="dxa"/>
            <w:bottom w:w="0" w:type="dxa"/>
            <w:right w:w="108" w:type="dxa"/>
          </w:tblCellMar>
        </w:tblPrEx>
        <w:trPr>
          <w:trHeight w:val="193" w:hRule="atLeast"/>
          <w:jc w:val="center"/>
        </w:trPr>
        <w:tc>
          <w:tcPr>
            <w:tcW w:w="718" w:type="dxa"/>
            <w:vMerge w:val="restart"/>
            <w:tcBorders>
              <w:top w:val="single" w:color="auto" w:sz="4" w:space="0"/>
              <w:left w:val="single" w:color="auto" w:sz="4" w:space="0"/>
              <w:bottom w:val="single" w:color="auto" w:sz="4" w:space="0"/>
              <w:right w:val="single" w:color="auto" w:sz="4" w:space="0"/>
            </w:tcBorders>
            <w:noWrap/>
            <w:vAlign w:val="center"/>
          </w:tcPr>
          <w:p w14:paraId="5BB884F7">
            <w:pPr>
              <w:widowControl/>
              <w:jc w:val="center"/>
              <w:rPr>
                <w:rFonts w:hint="eastAsia" w:ascii="宋体" w:hAnsi="宋体" w:eastAsia="宋体" w:cs="宋体"/>
                <w:color w:val="auto"/>
                <w:kern w:val="0"/>
                <w:sz w:val="24"/>
                <w:szCs w:val="24"/>
                <w:highlight w:val="none"/>
              </w:rPr>
            </w:pPr>
            <w:bookmarkStart w:id="26" w:name="_Toc311458853"/>
            <w:r>
              <w:rPr>
                <w:rFonts w:hint="eastAsia" w:ascii="宋体" w:hAnsi="宋体" w:eastAsia="宋体" w:cs="宋体"/>
                <w:color w:val="auto"/>
                <w:kern w:val="0"/>
                <w:sz w:val="24"/>
                <w:szCs w:val="24"/>
                <w:highlight w:val="none"/>
              </w:rPr>
              <w:t>拐点编号</w:t>
            </w:r>
          </w:p>
        </w:tc>
        <w:tc>
          <w:tcPr>
            <w:tcW w:w="3630" w:type="dxa"/>
            <w:gridSpan w:val="2"/>
            <w:tcBorders>
              <w:top w:val="single" w:color="auto" w:sz="4" w:space="0"/>
              <w:left w:val="nil"/>
              <w:bottom w:val="single" w:color="auto" w:sz="4" w:space="0"/>
              <w:right w:val="single" w:color="auto" w:sz="4" w:space="0"/>
            </w:tcBorders>
            <w:noWrap/>
            <w:vAlign w:val="center"/>
          </w:tcPr>
          <w:p w14:paraId="524C9254">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2000国家大地坐标系</w:t>
            </w:r>
          </w:p>
        </w:tc>
        <w:tc>
          <w:tcPr>
            <w:tcW w:w="801" w:type="dxa"/>
            <w:vMerge w:val="restart"/>
            <w:tcBorders>
              <w:top w:val="single" w:color="auto" w:sz="4" w:space="0"/>
              <w:left w:val="single" w:color="auto" w:sz="4" w:space="0"/>
              <w:right w:val="single" w:color="auto" w:sz="4" w:space="0"/>
            </w:tcBorders>
            <w:noWrap/>
            <w:vAlign w:val="center"/>
          </w:tcPr>
          <w:p w14:paraId="338DF30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拐点编号</w:t>
            </w:r>
          </w:p>
        </w:tc>
        <w:tc>
          <w:tcPr>
            <w:tcW w:w="3704" w:type="dxa"/>
            <w:gridSpan w:val="2"/>
            <w:tcBorders>
              <w:top w:val="single" w:color="auto" w:sz="4" w:space="0"/>
              <w:left w:val="single" w:color="auto" w:sz="4" w:space="0"/>
              <w:bottom w:val="single" w:color="auto" w:sz="4" w:space="0"/>
              <w:right w:val="single" w:color="auto" w:sz="4" w:space="0"/>
            </w:tcBorders>
            <w:noWrap/>
            <w:vAlign w:val="center"/>
          </w:tcPr>
          <w:p w14:paraId="18D6C3AD">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2000国家大地坐标系</w:t>
            </w:r>
          </w:p>
        </w:tc>
      </w:tr>
      <w:tr w14:paraId="14ECDC6A">
        <w:tblPrEx>
          <w:tblCellMar>
            <w:top w:w="0" w:type="dxa"/>
            <w:left w:w="108" w:type="dxa"/>
            <w:bottom w:w="0" w:type="dxa"/>
            <w:right w:w="108" w:type="dxa"/>
          </w:tblCellMar>
        </w:tblPrEx>
        <w:trPr>
          <w:trHeight w:val="193" w:hRule="atLeast"/>
          <w:jc w:val="center"/>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73213A37">
            <w:pPr>
              <w:widowControl/>
              <w:jc w:val="left"/>
              <w:rPr>
                <w:rFonts w:hint="eastAsia" w:ascii="宋体" w:hAnsi="宋体" w:eastAsia="宋体" w:cs="宋体"/>
                <w:color w:val="auto"/>
                <w:kern w:val="0"/>
                <w:sz w:val="24"/>
                <w:szCs w:val="24"/>
                <w:highlight w:val="none"/>
              </w:rPr>
            </w:pPr>
          </w:p>
        </w:tc>
        <w:tc>
          <w:tcPr>
            <w:tcW w:w="1739" w:type="dxa"/>
            <w:tcBorders>
              <w:top w:val="single" w:color="auto" w:sz="4" w:space="0"/>
              <w:left w:val="nil"/>
              <w:bottom w:val="single" w:color="auto" w:sz="4" w:space="0"/>
              <w:right w:val="single" w:color="auto" w:sz="4" w:space="0"/>
            </w:tcBorders>
            <w:noWrap/>
            <w:vAlign w:val="center"/>
          </w:tcPr>
          <w:p w14:paraId="6016925C">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X</w:t>
            </w:r>
          </w:p>
        </w:tc>
        <w:tc>
          <w:tcPr>
            <w:tcW w:w="1891" w:type="dxa"/>
            <w:tcBorders>
              <w:top w:val="single" w:color="auto" w:sz="4" w:space="0"/>
              <w:left w:val="nil"/>
              <w:bottom w:val="single" w:color="auto" w:sz="4" w:space="0"/>
              <w:right w:val="single" w:color="auto" w:sz="4" w:space="0"/>
            </w:tcBorders>
            <w:noWrap/>
            <w:vAlign w:val="center"/>
          </w:tcPr>
          <w:p w14:paraId="402EBB16">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Y</w:t>
            </w:r>
          </w:p>
        </w:tc>
        <w:tc>
          <w:tcPr>
            <w:tcW w:w="801" w:type="dxa"/>
            <w:vMerge w:val="continue"/>
            <w:tcBorders>
              <w:left w:val="single" w:color="auto" w:sz="4" w:space="0"/>
              <w:bottom w:val="single" w:color="auto" w:sz="4" w:space="0"/>
              <w:right w:val="single" w:color="auto" w:sz="4" w:space="0"/>
            </w:tcBorders>
            <w:noWrap w:val="0"/>
            <w:vAlign w:val="center"/>
          </w:tcPr>
          <w:p w14:paraId="74920748">
            <w:pPr>
              <w:widowControl/>
              <w:jc w:val="center"/>
              <w:rPr>
                <w:rFonts w:hint="eastAsia" w:ascii="宋体" w:hAnsi="宋体" w:eastAsia="宋体" w:cs="宋体"/>
                <w:color w:val="auto"/>
                <w:kern w:val="0"/>
                <w:sz w:val="24"/>
                <w:szCs w:val="24"/>
                <w:highlight w:val="none"/>
                <w:lang w:val="en-US" w:eastAsia="zh-CN" w:bidi="ar-SA"/>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56652088">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X</w:t>
            </w:r>
          </w:p>
        </w:tc>
        <w:tc>
          <w:tcPr>
            <w:tcW w:w="1983" w:type="dxa"/>
            <w:tcBorders>
              <w:top w:val="single" w:color="auto" w:sz="4" w:space="0"/>
              <w:left w:val="single" w:color="auto" w:sz="4" w:space="0"/>
              <w:bottom w:val="single" w:color="auto" w:sz="4" w:space="0"/>
              <w:right w:val="single" w:color="auto" w:sz="4" w:space="0"/>
            </w:tcBorders>
            <w:noWrap w:val="0"/>
            <w:vAlign w:val="center"/>
          </w:tcPr>
          <w:p w14:paraId="17517E94">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Y</w:t>
            </w:r>
          </w:p>
        </w:tc>
      </w:tr>
      <w:tr w14:paraId="237218AE">
        <w:tblPrEx>
          <w:tblCellMar>
            <w:top w:w="0" w:type="dxa"/>
            <w:left w:w="108" w:type="dxa"/>
            <w:bottom w:w="0" w:type="dxa"/>
            <w:right w:w="108" w:type="dxa"/>
          </w:tblCellMar>
        </w:tblPrEx>
        <w:trPr>
          <w:trHeight w:val="193" w:hRule="atLeast"/>
          <w:jc w:val="center"/>
        </w:trPr>
        <w:tc>
          <w:tcPr>
            <w:tcW w:w="718" w:type="dxa"/>
            <w:tcBorders>
              <w:top w:val="nil"/>
              <w:left w:val="single" w:color="auto" w:sz="4" w:space="0"/>
              <w:bottom w:val="single" w:color="auto" w:sz="4" w:space="0"/>
              <w:right w:val="single" w:color="auto" w:sz="4" w:space="0"/>
            </w:tcBorders>
            <w:noWrap/>
            <w:vAlign w:val="center"/>
          </w:tcPr>
          <w:p w14:paraId="24C168F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739" w:type="dxa"/>
            <w:tcBorders>
              <w:top w:val="nil"/>
              <w:left w:val="nil"/>
              <w:bottom w:val="single" w:color="auto" w:sz="4" w:space="0"/>
              <w:right w:val="single" w:color="auto" w:sz="4" w:space="0"/>
            </w:tcBorders>
            <w:noWrap/>
            <w:vAlign w:val="top"/>
          </w:tcPr>
          <w:p w14:paraId="5D0A72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2923943.8080 </w:t>
            </w:r>
          </w:p>
        </w:tc>
        <w:tc>
          <w:tcPr>
            <w:tcW w:w="1891" w:type="dxa"/>
            <w:tcBorders>
              <w:top w:val="nil"/>
              <w:left w:val="nil"/>
              <w:bottom w:val="single" w:color="auto" w:sz="4" w:space="0"/>
              <w:right w:val="single" w:color="auto" w:sz="4" w:space="0"/>
            </w:tcBorders>
            <w:noWrap/>
            <w:vAlign w:val="top"/>
          </w:tcPr>
          <w:p w14:paraId="0CAF68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39524319.1750 </w:t>
            </w:r>
          </w:p>
        </w:tc>
        <w:tc>
          <w:tcPr>
            <w:tcW w:w="801" w:type="dxa"/>
            <w:tcBorders>
              <w:top w:val="nil"/>
              <w:left w:val="nil"/>
              <w:bottom w:val="single" w:color="auto" w:sz="4" w:space="0"/>
              <w:right w:val="single" w:color="auto" w:sz="4" w:space="0"/>
            </w:tcBorders>
            <w:noWrap/>
            <w:vAlign w:val="center"/>
          </w:tcPr>
          <w:p w14:paraId="565AA05D">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4</w:t>
            </w:r>
          </w:p>
        </w:tc>
        <w:tc>
          <w:tcPr>
            <w:tcW w:w="1721" w:type="dxa"/>
            <w:tcBorders>
              <w:top w:val="nil"/>
              <w:left w:val="single" w:color="auto" w:sz="4" w:space="0"/>
              <w:bottom w:val="single" w:color="auto" w:sz="4" w:space="0"/>
              <w:right w:val="single" w:color="auto" w:sz="4" w:space="0"/>
            </w:tcBorders>
            <w:noWrap/>
            <w:vAlign w:val="top"/>
          </w:tcPr>
          <w:p w14:paraId="12995651">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2924329.8150 </w:t>
            </w:r>
          </w:p>
        </w:tc>
        <w:tc>
          <w:tcPr>
            <w:tcW w:w="1983" w:type="dxa"/>
            <w:tcBorders>
              <w:top w:val="nil"/>
              <w:left w:val="single" w:color="auto" w:sz="4" w:space="0"/>
              <w:bottom w:val="single" w:color="auto" w:sz="4" w:space="0"/>
              <w:right w:val="single" w:color="auto" w:sz="4" w:space="0"/>
            </w:tcBorders>
            <w:noWrap/>
            <w:vAlign w:val="top"/>
          </w:tcPr>
          <w:p w14:paraId="4F6FF0A3">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39525099.1810 </w:t>
            </w:r>
          </w:p>
        </w:tc>
      </w:tr>
      <w:tr w14:paraId="13801F07">
        <w:tblPrEx>
          <w:tblCellMar>
            <w:top w:w="0" w:type="dxa"/>
            <w:left w:w="108" w:type="dxa"/>
            <w:bottom w:w="0" w:type="dxa"/>
            <w:right w:w="108" w:type="dxa"/>
          </w:tblCellMar>
        </w:tblPrEx>
        <w:trPr>
          <w:trHeight w:val="193" w:hRule="atLeast"/>
          <w:jc w:val="center"/>
        </w:trPr>
        <w:tc>
          <w:tcPr>
            <w:tcW w:w="718" w:type="dxa"/>
            <w:tcBorders>
              <w:top w:val="nil"/>
              <w:left w:val="single" w:color="auto" w:sz="4" w:space="0"/>
              <w:bottom w:val="single" w:color="auto" w:sz="4" w:space="0"/>
              <w:right w:val="single" w:color="auto" w:sz="4" w:space="0"/>
            </w:tcBorders>
            <w:noWrap/>
            <w:vAlign w:val="center"/>
          </w:tcPr>
          <w:p w14:paraId="76471E96">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739" w:type="dxa"/>
            <w:tcBorders>
              <w:top w:val="nil"/>
              <w:left w:val="nil"/>
              <w:bottom w:val="single" w:color="auto" w:sz="4" w:space="0"/>
              <w:right w:val="single" w:color="auto" w:sz="4" w:space="0"/>
            </w:tcBorders>
            <w:noWrap/>
            <w:vAlign w:val="top"/>
          </w:tcPr>
          <w:p w14:paraId="076646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2924113.8110 </w:t>
            </w:r>
          </w:p>
        </w:tc>
        <w:tc>
          <w:tcPr>
            <w:tcW w:w="1891" w:type="dxa"/>
            <w:tcBorders>
              <w:top w:val="nil"/>
              <w:left w:val="nil"/>
              <w:bottom w:val="single" w:color="auto" w:sz="4" w:space="0"/>
              <w:right w:val="single" w:color="auto" w:sz="4" w:space="0"/>
            </w:tcBorders>
            <w:noWrap/>
            <w:vAlign w:val="top"/>
          </w:tcPr>
          <w:p w14:paraId="046414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39524711.1780 </w:t>
            </w:r>
          </w:p>
        </w:tc>
        <w:tc>
          <w:tcPr>
            <w:tcW w:w="801" w:type="dxa"/>
            <w:tcBorders>
              <w:top w:val="nil"/>
              <w:left w:val="nil"/>
              <w:bottom w:val="single" w:color="auto" w:sz="4" w:space="0"/>
              <w:right w:val="single" w:color="auto" w:sz="4" w:space="0"/>
            </w:tcBorders>
            <w:noWrap/>
            <w:vAlign w:val="center"/>
          </w:tcPr>
          <w:p w14:paraId="11B8AFA7">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w:t>
            </w:r>
          </w:p>
        </w:tc>
        <w:tc>
          <w:tcPr>
            <w:tcW w:w="1721" w:type="dxa"/>
            <w:tcBorders>
              <w:top w:val="nil"/>
              <w:left w:val="single" w:color="auto" w:sz="4" w:space="0"/>
              <w:bottom w:val="single" w:color="auto" w:sz="4" w:space="0"/>
              <w:right w:val="single" w:color="auto" w:sz="4" w:space="0"/>
            </w:tcBorders>
            <w:noWrap/>
            <w:vAlign w:val="top"/>
          </w:tcPr>
          <w:p w14:paraId="079173E4">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2924030.8110 </w:t>
            </w:r>
          </w:p>
        </w:tc>
        <w:tc>
          <w:tcPr>
            <w:tcW w:w="1983" w:type="dxa"/>
            <w:tcBorders>
              <w:top w:val="nil"/>
              <w:left w:val="single" w:color="auto" w:sz="4" w:space="0"/>
              <w:bottom w:val="single" w:color="auto" w:sz="4" w:space="0"/>
              <w:right w:val="single" w:color="auto" w:sz="4" w:space="0"/>
            </w:tcBorders>
            <w:noWrap/>
            <w:vAlign w:val="top"/>
          </w:tcPr>
          <w:p w14:paraId="74E600C9">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39525099.1820 </w:t>
            </w:r>
          </w:p>
        </w:tc>
      </w:tr>
      <w:tr w14:paraId="2030E3E2">
        <w:tblPrEx>
          <w:tblCellMar>
            <w:top w:w="0" w:type="dxa"/>
            <w:left w:w="108" w:type="dxa"/>
            <w:bottom w:w="0" w:type="dxa"/>
            <w:right w:w="108" w:type="dxa"/>
          </w:tblCellMar>
        </w:tblPrEx>
        <w:trPr>
          <w:trHeight w:val="193" w:hRule="atLeast"/>
          <w:jc w:val="center"/>
        </w:trPr>
        <w:tc>
          <w:tcPr>
            <w:tcW w:w="718" w:type="dxa"/>
            <w:tcBorders>
              <w:top w:val="nil"/>
              <w:left w:val="single" w:color="auto" w:sz="4" w:space="0"/>
              <w:bottom w:val="single" w:color="auto" w:sz="4" w:space="0"/>
              <w:right w:val="single" w:color="auto" w:sz="4" w:space="0"/>
            </w:tcBorders>
            <w:noWrap/>
            <w:vAlign w:val="center"/>
          </w:tcPr>
          <w:p w14:paraId="77E99444">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739" w:type="dxa"/>
            <w:tcBorders>
              <w:top w:val="nil"/>
              <w:left w:val="nil"/>
              <w:bottom w:val="single" w:color="auto" w:sz="4" w:space="0"/>
              <w:right w:val="single" w:color="auto" w:sz="4" w:space="0"/>
            </w:tcBorders>
            <w:noWrap/>
            <w:vAlign w:val="top"/>
          </w:tcPr>
          <w:p w14:paraId="6EE179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2924217.8120 </w:t>
            </w:r>
          </w:p>
        </w:tc>
        <w:tc>
          <w:tcPr>
            <w:tcW w:w="1891" w:type="dxa"/>
            <w:tcBorders>
              <w:top w:val="nil"/>
              <w:left w:val="nil"/>
              <w:bottom w:val="single" w:color="auto" w:sz="4" w:space="0"/>
              <w:right w:val="single" w:color="auto" w:sz="4" w:space="0"/>
            </w:tcBorders>
            <w:noWrap/>
            <w:vAlign w:val="top"/>
          </w:tcPr>
          <w:p w14:paraId="383B5C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39524711.1770 </w:t>
            </w:r>
          </w:p>
        </w:tc>
        <w:tc>
          <w:tcPr>
            <w:tcW w:w="801" w:type="dxa"/>
            <w:tcBorders>
              <w:top w:val="nil"/>
              <w:left w:val="nil"/>
              <w:bottom w:val="single" w:color="auto" w:sz="4" w:space="0"/>
              <w:right w:val="single" w:color="auto" w:sz="4" w:space="0"/>
            </w:tcBorders>
            <w:noWrap/>
            <w:vAlign w:val="center"/>
          </w:tcPr>
          <w:p w14:paraId="7BD011B3">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6</w:t>
            </w:r>
          </w:p>
        </w:tc>
        <w:tc>
          <w:tcPr>
            <w:tcW w:w="1721" w:type="dxa"/>
            <w:tcBorders>
              <w:top w:val="nil"/>
              <w:left w:val="single" w:color="auto" w:sz="4" w:space="0"/>
              <w:bottom w:val="single" w:color="auto" w:sz="4" w:space="0"/>
              <w:right w:val="single" w:color="auto" w:sz="4" w:space="0"/>
            </w:tcBorders>
            <w:noWrap/>
            <w:vAlign w:val="top"/>
          </w:tcPr>
          <w:p w14:paraId="6BE6B144">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2923807.8050 </w:t>
            </w:r>
          </w:p>
        </w:tc>
        <w:tc>
          <w:tcPr>
            <w:tcW w:w="1983" w:type="dxa"/>
            <w:tcBorders>
              <w:top w:val="nil"/>
              <w:left w:val="single" w:color="auto" w:sz="4" w:space="0"/>
              <w:bottom w:val="single" w:color="auto" w:sz="4" w:space="0"/>
              <w:right w:val="single" w:color="auto" w:sz="4" w:space="0"/>
            </w:tcBorders>
            <w:noWrap/>
            <w:vAlign w:val="top"/>
          </w:tcPr>
          <w:p w14:paraId="50EE8852">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39524319.1730 </w:t>
            </w:r>
          </w:p>
        </w:tc>
      </w:tr>
      <w:tr w14:paraId="386BB9BF">
        <w:tblPrEx>
          <w:tblCellMar>
            <w:top w:w="0" w:type="dxa"/>
            <w:left w:w="108" w:type="dxa"/>
            <w:bottom w:w="0" w:type="dxa"/>
            <w:right w:w="108" w:type="dxa"/>
          </w:tblCellMar>
        </w:tblPrEx>
        <w:trPr>
          <w:trHeight w:val="193" w:hRule="atLeast"/>
          <w:jc w:val="center"/>
        </w:trPr>
        <w:tc>
          <w:tcPr>
            <w:tcW w:w="8853" w:type="dxa"/>
            <w:gridSpan w:val="6"/>
            <w:tcBorders>
              <w:top w:val="single" w:color="auto" w:sz="4" w:space="0"/>
              <w:left w:val="single" w:color="auto" w:sz="4" w:space="0"/>
              <w:bottom w:val="single" w:color="auto" w:sz="4" w:space="0"/>
              <w:right w:val="single" w:color="auto" w:sz="4" w:space="0"/>
            </w:tcBorders>
            <w:noWrap/>
            <w:vAlign w:val="center"/>
          </w:tcPr>
          <w:p w14:paraId="6C45C05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面积：0.1805km</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；开采标高：+480～+380m</w:t>
            </w:r>
          </w:p>
        </w:tc>
      </w:tr>
    </w:tbl>
    <w:p w14:paraId="20ECCED0">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baseline"/>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1.2.</w:t>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本次申请采矿许可证设置情况</w:t>
      </w:r>
    </w:p>
    <w:p w14:paraId="01679E5C">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本矿为拟变更采矿权矿区范围</w:t>
      </w:r>
      <w:r>
        <w:rPr>
          <w:rFonts w:hint="eastAsia" w:ascii="宋体" w:hAnsi="宋体" w:eastAsia="宋体" w:cs="宋体"/>
          <w:color w:val="auto"/>
          <w:sz w:val="28"/>
          <w:szCs w:val="28"/>
          <w:highlight w:val="none"/>
          <w:lang w:eastAsia="zh-CN"/>
        </w:rPr>
        <w:t>（扩大开采标高）</w:t>
      </w:r>
      <w:r>
        <w:rPr>
          <w:rFonts w:hint="eastAsia" w:ascii="宋体" w:hAnsi="宋体" w:eastAsia="宋体" w:cs="宋体"/>
          <w:snapToGrid w:val="0"/>
          <w:color w:val="auto"/>
          <w:sz w:val="28"/>
          <w:szCs w:val="28"/>
          <w:highlight w:val="none"/>
        </w:rPr>
        <w:t>项目。根据2024年3月25日中华人民共和国自然资源部司局函《关于核实规范矿业权登记坐标数据的函》（自然资矿业权函〔2024)28号），2000国家大地坐标系的直角坐标保留2位小数。本次拟变更采矿权矿区范围</w:t>
      </w:r>
      <w:r>
        <w:rPr>
          <w:rFonts w:hint="eastAsia" w:ascii="宋体" w:hAnsi="宋体" w:eastAsia="宋体" w:cs="宋体"/>
          <w:color w:val="auto"/>
          <w:sz w:val="28"/>
          <w:szCs w:val="28"/>
          <w:highlight w:val="none"/>
          <w:lang w:eastAsia="zh-CN"/>
        </w:rPr>
        <w:t>（扩大开采标高）</w:t>
      </w:r>
      <w:r>
        <w:rPr>
          <w:rFonts w:hint="eastAsia" w:ascii="宋体" w:hAnsi="宋体" w:eastAsia="宋体" w:cs="宋体"/>
          <w:snapToGrid w:val="0"/>
          <w:color w:val="auto"/>
          <w:sz w:val="28"/>
          <w:szCs w:val="28"/>
          <w:highlight w:val="none"/>
        </w:rPr>
        <w:t>后</w:t>
      </w:r>
      <w:r>
        <w:rPr>
          <w:rFonts w:hint="eastAsia" w:ascii="宋体" w:hAnsi="宋体" w:eastAsia="宋体" w:cs="宋体"/>
          <w:snapToGrid w:val="0"/>
          <w:color w:val="auto"/>
          <w:sz w:val="28"/>
          <w:szCs w:val="28"/>
          <w:highlight w:val="none"/>
          <w:lang w:eastAsia="zh-CN"/>
        </w:rPr>
        <w:t>，</w:t>
      </w:r>
      <w:r>
        <w:rPr>
          <w:rFonts w:hint="eastAsia" w:ascii="宋体" w:hAnsi="宋体" w:eastAsia="宋体" w:cs="宋体"/>
          <w:snapToGrid w:val="0"/>
          <w:color w:val="auto"/>
          <w:sz w:val="28"/>
          <w:szCs w:val="28"/>
          <w:highlight w:val="none"/>
        </w:rPr>
        <w:t>开采矿种</w:t>
      </w:r>
      <w:r>
        <w:rPr>
          <w:rFonts w:hint="eastAsia" w:ascii="宋体" w:hAnsi="宋体" w:eastAsia="宋体" w:cs="宋体"/>
          <w:snapToGrid w:val="0"/>
          <w:color w:val="auto"/>
          <w:sz w:val="28"/>
          <w:szCs w:val="28"/>
          <w:highlight w:val="none"/>
          <w:lang w:eastAsia="zh-CN"/>
        </w:rPr>
        <w:t>仍为</w:t>
      </w:r>
      <w:r>
        <w:rPr>
          <w:rFonts w:hint="eastAsia" w:ascii="宋体" w:hAnsi="宋体" w:eastAsia="宋体" w:cs="宋体"/>
          <w:snapToGrid w:val="0"/>
          <w:color w:val="auto"/>
          <w:sz w:val="28"/>
          <w:szCs w:val="28"/>
          <w:highlight w:val="none"/>
        </w:rPr>
        <w:t>方解石；生产规模由</w:t>
      </w:r>
      <w:r>
        <w:rPr>
          <w:rFonts w:hint="eastAsia" w:ascii="宋体" w:hAnsi="宋体" w:eastAsia="宋体" w:cs="宋体"/>
          <w:snapToGrid w:val="0"/>
          <w:color w:val="auto"/>
          <w:sz w:val="28"/>
          <w:szCs w:val="28"/>
          <w:highlight w:val="none"/>
          <w:lang w:val="en-US" w:eastAsia="zh-CN"/>
        </w:rPr>
        <w:t>5</w:t>
      </w:r>
      <w:r>
        <w:rPr>
          <w:rFonts w:hint="eastAsia" w:ascii="宋体" w:hAnsi="宋体" w:eastAsia="宋体" w:cs="宋体"/>
          <w:snapToGrid w:val="0"/>
          <w:color w:val="auto"/>
          <w:sz w:val="28"/>
          <w:szCs w:val="28"/>
          <w:highlight w:val="none"/>
        </w:rPr>
        <w:t>万t/年扩大为</w:t>
      </w:r>
      <w:r>
        <w:rPr>
          <w:rFonts w:hint="eastAsia" w:ascii="宋体" w:hAnsi="宋体" w:eastAsia="宋体" w:cs="宋体"/>
          <w:snapToGrid w:val="0"/>
          <w:color w:val="auto"/>
          <w:sz w:val="28"/>
          <w:szCs w:val="28"/>
          <w:highlight w:val="none"/>
          <w:lang w:val="en-US" w:eastAsia="zh-CN"/>
        </w:rPr>
        <w:t>4</w:t>
      </w:r>
      <w:r>
        <w:rPr>
          <w:rFonts w:hint="eastAsia" w:ascii="宋体" w:hAnsi="宋体" w:eastAsia="宋体" w:cs="宋体"/>
          <w:snapToGrid w:val="0"/>
          <w:color w:val="auto"/>
          <w:sz w:val="28"/>
          <w:szCs w:val="28"/>
          <w:highlight w:val="none"/>
        </w:rPr>
        <w:t>0万t /年，开采标高调整为：+480m～+2</w:t>
      </w:r>
      <w:r>
        <w:rPr>
          <w:rFonts w:hint="eastAsia" w:ascii="宋体" w:hAnsi="宋体" w:eastAsia="宋体" w:cs="宋体"/>
          <w:snapToGrid w:val="0"/>
          <w:color w:val="auto"/>
          <w:sz w:val="28"/>
          <w:szCs w:val="28"/>
          <w:highlight w:val="none"/>
          <w:lang w:val="en-US" w:eastAsia="zh-CN"/>
        </w:rPr>
        <w:t>8</w:t>
      </w:r>
      <w:r>
        <w:rPr>
          <w:rFonts w:hint="eastAsia" w:ascii="宋体" w:hAnsi="宋体" w:eastAsia="宋体" w:cs="宋体"/>
          <w:snapToGrid w:val="0"/>
          <w:color w:val="auto"/>
          <w:sz w:val="28"/>
          <w:szCs w:val="28"/>
          <w:highlight w:val="none"/>
        </w:rPr>
        <w:t>0m</w:t>
      </w:r>
      <w:r>
        <w:rPr>
          <w:rFonts w:hint="eastAsia" w:ascii="宋体" w:hAnsi="宋体" w:eastAsia="宋体" w:cs="宋体"/>
          <w:snapToGrid w:val="0"/>
          <w:color w:val="auto"/>
          <w:sz w:val="28"/>
          <w:szCs w:val="28"/>
          <w:highlight w:val="none"/>
          <w:lang w:eastAsia="zh-CN"/>
        </w:rPr>
        <w:t>，矿山服务年限</w:t>
      </w:r>
      <w:r>
        <w:rPr>
          <w:rFonts w:hint="eastAsia" w:ascii="宋体" w:hAnsi="宋体" w:eastAsia="宋体" w:cs="宋体"/>
          <w:snapToGrid w:val="0"/>
          <w:color w:val="auto"/>
          <w:sz w:val="28"/>
          <w:szCs w:val="28"/>
          <w:highlight w:val="none"/>
          <w:lang w:val="en-US" w:eastAsia="zh-CN"/>
        </w:rPr>
        <w:t>16年</w:t>
      </w:r>
      <w:r>
        <w:rPr>
          <w:rFonts w:hint="eastAsia" w:ascii="宋体" w:hAnsi="宋体" w:eastAsia="宋体" w:cs="宋体"/>
          <w:snapToGrid w:val="0"/>
          <w:color w:val="auto"/>
          <w:sz w:val="28"/>
          <w:szCs w:val="28"/>
          <w:highlight w:val="none"/>
        </w:rPr>
        <w:t>。</w:t>
      </w:r>
      <w:r>
        <w:rPr>
          <w:rFonts w:hint="eastAsia" w:ascii="宋体" w:hAnsi="宋体" w:eastAsia="宋体" w:cs="宋体"/>
          <w:snapToGrid w:val="0"/>
          <w:color w:val="auto"/>
          <w:sz w:val="28"/>
          <w:szCs w:val="28"/>
          <w:highlight w:val="none"/>
          <w:lang w:eastAsia="zh-CN"/>
        </w:rPr>
        <w:t>此外，</w:t>
      </w:r>
      <w:r>
        <w:rPr>
          <w:rFonts w:hint="eastAsia" w:ascii="宋体" w:hAnsi="宋体" w:eastAsia="宋体" w:cs="宋体"/>
          <w:snapToGrid w:val="0"/>
          <w:color w:val="auto"/>
          <w:sz w:val="28"/>
          <w:szCs w:val="28"/>
          <w:highlight w:val="none"/>
        </w:rPr>
        <w:t>本次拟变更</w:t>
      </w:r>
      <w:r>
        <w:rPr>
          <w:rFonts w:hint="eastAsia" w:ascii="宋体" w:hAnsi="宋体" w:eastAsia="宋体" w:cs="宋体"/>
          <w:snapToGrid w:val="0"/>
          <w:color w:val="auto"/>
          <w:sz w:val="28"/>
          <w:szCs w:val="28"/>
          <w:highlight w:val="none"/>
          <w:lang w:eastAsia="zh-CN"/>
        </w:rPr>
        <w:t>采矿权</w:t>
      </w:r>
      <w:r>
        <w:rPr>
          <w:rFonts w:hint="eastAsia" w:ascii="宋体" w:hAnsi="宋体" w:eastAsia="宋体" w:cs="宋体"/>
          <w:snapToGrid w:val="0"/>
          <w:color w:val="auto"/>
          <w:sz w:val="28"/>
          <w:szCs w:val="28"/>
          <w:highlight w:val="none"/>
        </w:rPr>
        <w:t>矿区范围</w:t>
      </w:r>
      <w:r>
        <w:rPr>
          <w:rFonts w:hint="eastAsia" w:ascii="宋体" w:hAnsi="宋体" w:eastAsia="宋体" w:cs="宋体"/>
          <w:color w:val="auto"/>
          <w:sz w:val="28"/>
          <w:szCs w:val="28"/>
          <w:highlight w:val="none"/>
          <w:lang w:eastAsia="zh-CN"/>
        </w:rPr>
        <w:t>（扩大开采标高）</w:t>
      </w:r>
      <w:r>
        <w:rPr>
          <w:rFonts w:hint="eastAsia" w:ascii="宋体" w:hAnsi="宋体" w:eastAsia="宋体" w:cs="宋体"/>
          <w:snapToGrid w:val="0"/>
          <w:color w:val="auto"/>
          <w:sz w:val="28"/>
          <w:szCs w:val="28"/>
          <w:highlight w:val="none"/>
        </w:rPr>
        <w:t>矿山的开采方式、矿区面积均保持不变</w:t>
      </w:r>
      <w:r>
        <w:rPr>
          <w:rFonts w:hint="eastAsia" w:ascii="宋体" w:hAnsi="宋体" w:eastAsia="宋体" w:cs="宋体"/>
          <w:color w:val="auto"/>
          <w:sz w:val="28"/>
          <w:szCs w:val="28"/>
          <w:highlight w:val="none"/>
        </w:rPr>
        <w:t>。</w:t>
      </w:r>
      <w:r>
        <w:rPr>
          <w:rFonts w:hint="eastAsia" w:ascii="宋体" w:hAnsi="宋体" w:eastAsia="宋体" w:cs="宋体"/>
          <w:snapToGrid w:val="0"/>
          <w:color w:val="auto"/>
          <w:sz w:val="28"/>
          <w:szCs w:val="28"/>
          <w:highlight w:val="none"/>
        </w:rPr>
        <w:t>故本次拟申</w:t>
      </w:r>
      <w:r>
        <w:rPr>
          <w:rFonts w:hint="eastAsia" w:ascii="宋体" w:hAnsi="宋体" w:eastAsia="宋体" w:cs="宋体"/>
          <w:snapToGrid w:val="0"/>
          <w:color w:val="auto"/>
          <w:sz w:val="28"/>
          <w:szCs w:val="28"/>
          <w:highlight w:val="none"/>
          <w:lang w:eastAsia="zh-CN"/>
        </w:rPr>
        <w:t>请开采区域</w:t>
      </w:r>
      <w:r>
        <w:rPr>
          <w:rFonts w:hint="eastAsia" w:ascii="宋体" w:hAnsi="宋体" w:eastAsia="宋体" w:cs="宋体"/>
          <w:snapToGrid w:val="0"/>
          <w:color w:val="auto"/>
          <w:sz w:val="28"/>
          <w:szCs w:val="28"/>
          <w:highlight w:val="none"/>
        </w:rPr>
        <w:t>由以下6个拐点坐标组成，具体详见表1-2。</w:t>
      </w:r>
    </w:p>
    <w:p w14:paraId="05778B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eastAsia" w:ascii="宋体" w:hAnsi="宋体"/>
          <w:b/>
          <w:color w:val="auto"/>
          <w:sz w:val="24"/>
          <w:highlight w:val="none"/>
        </w:rPr>
      </w:pP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lang w:eastAsia="zh-CN"/>
        </w:rPr>
        <w:t>拟申请开采区域</w:t>
      </w:r>
      <w:r>
        <w:rPr>
          <w:rFonts w:hint="eastAsia" w:ascii="宋体" w:hAnsi="宋体" w:eastAsia="宋体" w:cs="宋体"/>
          <w:b/>
          <w:color w:val="auto"/>
          <w:sz w:val="28"/>
          <w:szCs w:val="28"/>
          <w:highlight w:val="none"/>
        </w:rPr>
        <w:t xml:space="preserve">拐点坐标表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表1-</w:t>
      </w:r>
      <w:r>
        <w:rPr>
          <w:rFonts w:hint="eastAsia" w:ascii="宋体" w:hAnsi="宋体" w:eastAsia="宋体" w:cs="宋体"/>
          <w:b/>
          <w:color w:val="auto"/>
          <w:sz w:val="28"/>
          <w:szCs w:val="28"/>
          <w:highlight w:val="none"/>
          <w:lang w:val="en-US" w:eastAsia="zh-CN"/>
        </w:rPr>
        <w:t>2</w:t>
      </w:r>
      <w:r>
        <w:rPr>
          <w:rFonts w:hint="eastAsia" w:ascii="宋体" w:hAnsi="宋体"/>
          <w:b/>
          <w:color w:val="auto"/>
          <w:sz w:val="24"/>
          <w:highlight w:val="none"/>
        </w:rPr>
        <w:t xml:space="preserve"> </w:t>
      </w:r>
    </w:p>
    <w:tbl>
      <w:tblPr>
        <w:tblStyle w:val="18"/>
        <w:tblW w:w="8853" w:type="dxa"/>
        <w:jc w:val="center"/>
        <w:tblLayout w:type="fixed"/>
        <w:tblCellMar>
          <w:top w:w="0" w:type="dxa"/>
          <w:left w:w="108" w:type="dxa"/>
          <w:bottom w:w="0" w:type="dxa"/>
          <w:right w:w="108" w:type="dxa"/>
        </w:tblCellMar>
      </w:tblPr>
      <w:tblGrid>
        <w:gridCol w:w="718"/>
        <w:gridCol w:w="1739"/>
        <w:gridCol w:w="1891"/>
        <w:gridCol w:w="801"/>
        <w:gridCol w:w="1721"/>
        <w:gridCol w:w="1983"/>
      </w:tblGrid>
      <w:tr w14:paraId="49308347">
        <w:tblPrEx>
          <w:tblCellMar>
            <w:top w:w="0" w:type="dxa"/>
            <w:left w:w="108" w:type="dxa"/>
            <w:bottom w:w="0" w:type="dxa"/>
            <w:right w:w="108" w:type="dxa"/>
          </w:tblCellMar>
        </w:tblPrEx>
        <w:trPr>
          <w:trHeight w:val="263" w:hRule="atLeast"/>
          <w:jc w:val="center"/>
        </w:trPr>
        <w:tc>
          <w:tcPr>
            <w:tcW w:w="718" w:type="dxa"/>
            <w:vMerge w:val="restart"/>
            <w:tcBorders>
              <w:top w:val="single" w:color="auto" w:sz="4" w:space="0"/>
              <w:left w:val="single" w:color="auto" w:sz="4" w:space="0"/>
              <w:bottom w:val="single" w:color="auto" w:sz="4" w:space="0"/>
              <w:right w:val="single" w:color="auto" w:sz="4" w:space="0"/>
            </w:tcBorders>
            <w:noWrap/>
            <w:vAlign w:val="center"/>
          </w:tcPr>
          <w:p w14:paraId="4062FA29">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拐点编号</w:t>
            </w:r>
          </w:p>
        </w:tc>
        <w:tc>
          <w:tcPr>
            <w:tcW w:w="3630" w:type="dxa"/>
            <w:gridSpan w:val="2"/>
            <w:tcBorders>
              <w:top w:val="single" w:color="auto" w:sz="4" w:space="0"/>
              <w:left w:val="nil"/>
              <w:bottom w:val="single" w:color="auto" w:sz="4" w:space="0"/>
              <w:right w:val="single" w:color="auto" w:sz="4" w:space="0"/>
            </w:tcBorders>
            <w:noWrap/>
            <w:vAlign w:val="center"/>
          </w:tcPr>
          <w:p w14:paraId="49B04115">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2000国家大地坐标系</w:t>
            </w:r>
          </w:p>
        </w:tc>
        <w:tc>
          <w:tcPr>
            <w:tcW w:w="801" w:type="dxa"/>
            <w:vMerge w:val="restart"/>
            <w:tcBorders>
              <w:top w:val="single" w:color="auto" w:sz="4" w:space="0"/>
              <w:left w:val="single" w:color="auto" w:sz="4" w:space="0"/>
              <w:right w:val="single" w:color="auto" w:sz="4" w:space="0"/>
            </w:tcBorders>
            <w:noWrap/>
            <w:vAlign w:val="center"/>
          </w:tcPr>
          <w:p w14:paraId="228B745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拐点编号</w:t>
            </w:r>
          </w:p>
        </w:tc>
        <w:tc>
          <w:tcPr>
            <w:tcW w:w="3704" w:type="dxa"/>
            <w:gridSpan w:val="2"/>
            <w:tcBorders>
              <w:top w:val="single" w:color="auto" w:sz="4" w:space="0"/>
              <w:left w:val="single" w:color="auto" w:sz="4" w:space="0"/>
              <w:bottom w:val="single" w:color="auto" w:sz="4" w:space="0"/>
              <w:right w:val="single" w:color="auto" w:sz="4" w:space="0"/>
            </w:tcBorders>
            <w:noWrap/>
            <w:vAlign w:val="center"/>
          </w:tcPr>
          <w:p w14:paraId="79E4EA1F">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2000国家大地坐标系</w:t>
            </w:r>
          </w:p>
        </w:tc>
      </w:tr>
      <w:tr w14:paraId="54C498D6">
        <w:tblPrEx>
          <w:tblCellMar>
            <w:top w:w="0" w:type="dxa"/>
            <w:left w:w="108" w:type="dxa"/>
            <w:bottom w:w="0" w:type="dxa"/>
            <w:right w:w="108" w:type="dxa"/>
          </w:tblCellMar>
        </w:tblPrEx>
        <w:trPr>
          <w:trHeight w:val="263" w:hRule="atLeast"/>
          <w:jc w:val="center"/>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246F858F">
            <w:pPr>
              <w:widowControl/>
              <w:jc w:val="left"/>
              <w:rPr>
                <w:rFonts w:hint="eastAsia" w:ascii="宋体" w:hAnsi="宋体" w:eastAsia="宋体" w:cs="宋体"/>
                <w:color w:val="auto"/>
                <w:kern w:val="0"/>
                <w:sz w:val="24"/>
                <w:szCs w:val="24"/>
                <w:highlight w:val="none"/>
              </w:rPr>
            </w:pPr>
          </w:p>
        </w:tc>
        <w:tc>
          <w:tcPr>
            <w:tcW w:w="1739" w:type="dxa"/>
            <w:tcBorders>
              <w:top w:val="single" w:color="auto" w:sz="4" w:space="0"/>
              <w:left w:val="nil"/>
              <w:bottom w:val="single" w:color="auto" w:sz="4" w:space="0"/>
              <w:right w:val="single" w:color="auto" w:sz="4" w:space="0"/>
            </w:tcBorders>
            <w:noWrap/>
            <w:vAlign w:val="center"/>
          </w:tcPr>
          <w:p w14:paraId="4882676F">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X</w:t>
            </w:r>
          </w:p>
        </w:tc>
        <w:tc>
          <w:tcPr>
            <w:tcW w:w="1891" w:type="dxa"/>
            <w:tcBorders>
              <w:top w:val="single" w:color="auto" w:sz="4" w:space="0"/>
              <w:left w:val="nil"/>
              <w:bottom w:val="single" w:color="auto" w:sz="4" w:space="0"/>
              <w:right w:val="single" w:color="auto" w:sz="4" w:space="0"/>
            </w:tcBorders>
            <w:noWrap/>
            <w:vAlign w:val="center"/>
          </w:tcPr>
          <w:p w14:paraId="72565A47">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Y</w:t>
            </w:r>
          </w:p>
        </w:tc>
        <w:tc>
          <w:tcPr>
            <w:tcW w:w="801" w:type="dxa"/>
            <w:vMerge w:val="continue"/>
            <w:tcBorders>
              <w:left w:val="single" w:color="auto" w:sz="4" w:space="0"/>
              <w:bottom w:val="single" w:color="auto" w:sz="4" w:space="0"/>
              <w:right w:val="single" w:color="auto" w:sz="4" w:space="0"/>
            </w:tcBorders>
            <w:noWrap w:val="0"/>
            <w:vAlign w:val="center"/>
          </w:tcPr>
          <w:p w14:paraId="371B477D">
            <w:pPr>
              <w:widowControl/>
              <w:jc w:val="center"/>
              <w:rPr>
                <w:rFonts w:hint="eastAsia" w:ascii="宋体" w:hAnsi="宋体" w:eastAsia="宋体" w:cs="宋体"/>
                <w:color w:val="auto"/>
                <w:kern w:val="0"/>
                <w:sz w:val="24"/>
                <w:szCs w:val="24"/>
                <w:highlight w:val="none"/>
                <w:lang w:val="en-US" w:eastAsia="zh-CN" w:bidi="ar-SA"/>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5774B778">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X</w:t>
            </w:r>
          </w:p>
        </w:tc>
        <w:tc>
          <w:tcPr>
            <w:tcW w:w="1983" w:type="dxa"/>
            <w:tcBorders>
              <w:top w:val="single" w:color="auto" w:sz="4" w:space="0"/>
              <w:left w:val="single" w:color="auto" w:sz="4" w:space="0"/>
              <w:bottom w:val="single" w:color="auto" w:sz="4" w:space="0"/>
              <w:right w:val="single" w:color="auto" w:sz="4" w:space="0"/>
            </w:tcBorders>
            <w:noWrap w:val="0"/>
            <w:vAlign w:val="center"/>
          </w:tcPr>
          <w:p w14:paraId="5A272DBB">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Y</w:t>
            </w:r>
          </w:p>
        </w:tc>
      </w:tr>
      <w:tr w14:paraId="0514E45F">
        <w:tblPrEx>
          <w:tblCellMar>
            <w:top w:w="0" w:type="dxa"/>
            <w:left w:w="108" w:type="dxa"/>
            <w:bottom w:w="0" w:type="dxa"/>
            <w:right w:w="108" w:type="dxa"/>
          </w:tblCellMar>
        </w:tblPrEx>
        <w:trPr>
          <w:trHeight w:val="263" w:hRule="atLeast"/>
          <w:jc w:val="center"/>
        </w:trPr>
        <w:tc>
          <w:tcPr>
            <w:tcW w:w="718" w:type="dxa"/>
            <w:tcBorders>
              <w:top w:val="nil"/>
              <w:left w:val="single" w:color="auto" w:sz="4" w:space="0"/>
              <w:bottom w:val="single" w:color="auto" w:sz="4" w:space="0"/>
              <w:right w:val="single" w:color="auto" w:sz="4" w:space="0"/>
            </w:tcBorders>
            <w:noWrap/>
            <w:vAlign w:val="center"/>
          </w:tcPr>
          <w:p w14:paraId="3D5BCF40">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1</w:t>
            </w:r>
          </w:p>
        </w:tc>
        <w:tc>
          <w:tcPr>
            <w:tcW w:w="1739" w:type="dxa"/>
            <w:tcBorders>
              <w:top w:val="nil"/>
              <w:left w:val="nil"/>
              <w:bottom w:val="single" w:color="auto" w:sz="4" w:space="0"/>
              <w:right w:val="single" w:color="auto" w:sz="4" w:space="0"/>
            </w:tcBorders>
            <w:noWrap/>
            <w:vAlign w:val="top"/>
          </w:tcPr>
          <w:p w14:paraId="13D891FE">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2923943.8</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 xml:space="preserve"> </w:t>
            </w:r>
          </w:p>
        </w:tc>
        <w:tc>
          <w:tcPr>
            <w:tcW w:w="1891" w:type="dxa"/>
            <w:tcBorders>
              <w:top w:val="nil"/>
              <w:left w:val="nil"/>
              <w:bottom w:val="single" w:color="auto" w:sz="4" w:space="0"/>
              <w:right w:val="single" w:color="auto" w:sz="4" w:space="0"/>
            </w:tcBorders>
            <w:noWrap/>
            <w:vAlign w:val="top"/>
          </w:tcPr>
          <w:p w14:paraId="31BB4477">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39524319.18 </w:t>
            </w:r>
          </w:p>
        </w:tc>
        <w:tc>
          <w:tcPr>
            <w:tcW w:w="801" w:type="dxa"/>
            <w:tcBorders>
              <w:top w:val="nil"/>
              <w:left w:val="nil"/>
              <w:bottom w:val="single" w:color="auto" w:sz="4" w:space="0"/>
              <w:right w:val="single" w:color="auto" w:sz="4" w:space="0"/>
            </w:tcBorders>
            <w:noWrap/>
            <w:vAlign w:val="center"/>
          </w:tcPr>
          <w:p w14:paraId="7F4736D4">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4</w:t>
            </w:r>
          </w:p>
        </w:tc>
        <w:tc>
          <w:tcPr>
            <w:tcW w:w="1721" w:type="dxa"/>
            <w:tcBorders>
              <w:top w:val="nil"/>
              <w:left w:val="single" w:color="auto" w:sz="4" w:space="0"/>
              <w:bottom w:val="single" w:color="auto" w:sz="4" w:space="0"/>
              <w:right w:val="single" w:color="auto" w:sz="4" w:space="0"/>
            </w:tcBorders>
            <w:noWrap/>
            <w:vAlign w:val="top"/>
          </w:tcPr>
          <w:p w14:paraId="2146024D">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2924329.8</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w:t>
            </w:r>
          </w:p>
        </w:tc>
        <w:tc>
          <w:tcPr>
            <w:tcW w:w="1983" w:type="dxa"/>
            <w:tcBorders>
              <w:top w:val="nil"/>
              <w:left w:val="single" w:color="auto" w:sz="4" w:space="0"/>
              <w:bottom w:val="single" w:color="auto" w:sz="4" w:space="0"/>
              <w:right w:val="single" w:color="auto" w:sz="4" w:space="0"/>
            </w:tcBorders>
            <w:noWrap/>
            <w:vAlign w:val="top"/>
          </w:tcPr>
          <w:p w14:paraId="5C700FC9">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39525099.18 </w:t>
            </w:r>
          </w:p>
        </w:tc>
      </w:tr>
      <w:tr w14:paraId="5EC82137">
        <w:tblPrEx>
          <w:tblCellMar>
            <w:top w:w="0" w:type="dxa"/>
            <w:left w:w="108" w:type="dxa"/>
            <w:bottom w:w="0" w:type="dxa"/>
            <w:right w:w="108" w:type="dxa"/>
          </w:tblCellMar>
        </w:tblPrEx>
        <w:trPr>
          <w:trHeight w:val="263" w:hRule="atLeast"/>
          <w:jc w:val="center"/>
        </w:trPr>
        <w:tc>
          <w:tcPr>
            <w:tcW w:w="718" w:type="dxa"/>
            <w:tcBorders>
              <w:top w:val="nil"/>
              <w:left w:val="single" w:color="auto" w:sz="4" w:space="0"/>
              <w:bottom w:val="single" w:color="auto" w:sz="4" w:space="0"/>
              <w:right w:val="single" w:color="auto" w:sz="4" w:space="0"/>
            </w:tcBorders>
            <w:noWrap/>
            <w:vAlign w:val="center"/>
          </w:tcPr>
          <w:p w14:paraId="63D00F93">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2</w:t>
            </w:r>
          </w:p>
        </w:tc>
        <w:tc>
          <w:tcPr>
            <w:tcW w:w="1739" w:type="dxa"/>
            <w:tcBorders>
              <w:top w:val="nil"/>
              <w:left w:val="nil"/>
              <w:bottom w:val="single" w:color="auto" w:sz="4" w:space="0"/>
              <w:right w:val="single" w:color="auto" w:sz="4" w:space="0"/>
            </w:tcBorders>
            <w:noWrap/>
            <w:vAlign w:val="top"/>
          </w:tcPr>
          <w:p w14:paraId="6D8FD203">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2924113.81 </w:t>
            </w:r>
          </w:p>
        </w:tc>
        <w:tc>
          <w:tcPr>
            <w:tcW w:w="1891" w:type="dxa"/>
            <w:tcBorders>
              <w:top w:val="nil"/>
              <w:left w:val="nil"/>
              <w:bottom w:val="single" w:color="auto" w:sz="4" w:space="0"/>
              <w:right w:val="single" w:color="auto" w:sz="4" w:space="0"/>
            </w:tcBorders>
            <w:noWrap/>
            <w:vAlign w:val="top"/>
          </w:tcPr>
          <w:p w14:paraId="75BAB39A">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39524711.18 </w:t>
            </w:r>
          </w:p>
        </w:tc>
        <w:tc>
          <w:tcPr>
            <w:tcW w:w="801" w:type="dxa"/>
            <w:tcBorders>
              <w:top w:val="nil"/>
              <w:left w:val="nil"/>
              <w:bottom w:val="single" w:color="auto" w:sz="4" w:space="0"/>
              <w:right w:val="single" w:color="auto" w:sz="4" w:space="0"/>
            </w:tcBorders>
            <w:noWrap/>
            <w:vAlign w:val="center"/>
          </w:tcPr>
          <w:p w14:paraId="773346E4">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5</w:t>
            </w:r>
          </w:p>
        </w:tc>
        <w:tc>
          <w:tcPr>
            <w:tcW w:w="1721" w:type="dxa"/>
            <w:tcBorders>
              <w:top w:val="nil"/>
              <w:left w:val="single" w:color="auto" w:sz="4" w:space="0"/>
              <w:bottom w:val="single" w:color="auto" w:sz="4" w:space="0"/>
              <w:right w:val="single" w:color="auto" w:sz="4" w:space="0"/>
            </w:tcBorders>
            <w:noWrap/>
            <w:vAlign w:val="top"/>
          </w:tcPr>
          <w:p w14:paraId="28CFAD32">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2924030.8</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w:t>
            </w:r>
          </w:p>
        </w:tc>
        <w:tc>
          <w:tcPr>
            <w:tcW w:w="1983" w:type="dxa"/>
            <w:tcBorders>
              <w:top w:val="nil"/>
              <w:left w:val="single" w:color="auto" w:sz="4" w:space="0"/>
              <w:bottom w:val="single" w:color="auto" w:sz="4" w:space="0"/>
              <w:right w:val="single" w:color="auto" w:sz="4" w:space="0"/>
            </w:tcBorders>
            <w:noWrap/>
            <w:vAlign w:val="top"/>
          </w:tcPr>
          <w:p w14:paraId="164CFF49">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39525099.18 </w:t>
            </w:r>
          </w:p>
        </w:tc>
      </w:tr>
      <w:tr w14:paraId="34C60C83">
        <w:tblPrEx>
          <w:tblCellMar>
            <w:top w:w="0" w:type="dxa"/>
            <w:left w:w="108" w:type="dxa"/>
            <w:bottom w:w="0" w:type="dxa"/>
            <w:right w:w="108" w:type="dxa"/>
          </w:tblCellMar>
        </w:tblPrEx>
        <w:trPr>
          <w:trHeight w:val="263" w:hRule="atLeast"/>
          <w:jc w:val="center"/>
        </w:trPr>
        <w:tc>
          <w:tcPr>
            <w:tcW w:w="718" w:type="dxa"/>
            <w:tcBorders>
              <w:top w:val="nil"/>
              <w:left w:val="single" w:color="auto" w:sz="4" w:space="0"/>
              <w:bottom w:val="single" w:color="auto" w:sz="4" w:space="0"/>
              <w:right w:val="single" w:color="auto" w:sz="4" w:space="0"/>
            </w:tcBorders>
            <w:noWrap/>
            <w:vAlign w:val="center"/>
          </w:tcPr>
          <w:p w14:paraId="1B932A9B">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w:t>
            </w:r>
          </w:p>
        </w:tc>
        <w:tc>
          <w:tcPr>
            <w:tcW w:w="1739" w:type="dxa"/>
            <w:tcBorders>
              <w:top w:val="nil"/>
              <w:left w:val="nil"/>
              <w:bottom w:val="single" w:color="auto" w:sz="4" w:space="0"/>
              <w:right w:val="single" w:color="auto" w:sz="4" w:space="0"/>
            </w:tcBorders>
            <w:noWrap/>
            <w:vAlign w:val="top"/>
          </w:tcPr>
          <w:p w14:paraId="016665DC">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2924217.81 </w:t>
            </w:r>
          </w:p>
        </w:tc>
        <w:tc>
          <w:tcPr>
            <w:tcW w:w="1891" w:type="dxa"/>
            <w:tcBorders>
              <w:top w:val="nil"/>
              <w:left w:val="nil"/>
              <w:bottom w:val="single" w:color="auto" w:sz="4" w:space="0"/>
              <w:right w:val="single" w:color="auto" w:sz="4" w:space="0"/>
            </w:tcBorders>
            <w:noWrap/>
            <w:vAlign w:val="top"/>
          </w:tcPr>
          <w:p w14:paraId="65D05E5A">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39524711.18 </w:t>
            </w:r>
          </w:p>
        </w:tc>
        <w:tc>
          <w:tcPr>
            <w:tcW w:w="801" w:type="dxa"/>
            <w:tcBorders>
              <w:top w:val="nil"/>
              <w:left w:val="nil"/>
              <w:bottom w:val="single" w:color="auto" w:sz="4" w:space="0"/>
              <w:right w:val="single" w:color="auto" w:sz="4" w:space="0"/>
            </w:tcBorders>
            <w:noWrap/>
            <w:vAlign w:val="center"/>
          </w:tcPr>
          <w:p w14:paraId="23F5B825">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6</w:t>
            </w:r>
          </w:p>
        </w:tc>
        <w:tc>
          <w:tcPr>
            <w:tcW w:w="1721" w:type="dxa"/>
            <w:tcBorders>
              <w:top w:val="nil"/>
              <w:left w:val="single" w:color="auto" w:sz="4" w:space="0"/>
              <w:bottom w:val="single" w:color="auto" w:sz="4" w:space="0"/>
              <w:right w:val="single" w:color="auto" w:sz="4" w:space="0"/>
            </w:tcBorders>
            <w:noWrap/>
            <w:vAlign w:val="top"/>
          </w:tcPr>
          <w:p w14:paraId="63398C01">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2923807.81 </w:t>
            </w:r>
          </w:p>
        </w:tc>
        <w:tc>
          <w:tcPr>
            <w:tcW w:w="1983" w:type="dxa"/>
            <w:tcBorders>
              <w:top w:val="nil"/>
              <w:left w:val="single" w:color="auto" w:sz="4" w:space="0"/>
              <w:bottom w:val="single" w:color="auto" w:sz="4" w:space="0"/>
              <w:right w:val="single" w:color="auto" w:sz="4" w:space="0"/>
            </w:tcBorders>
            <w:noWrap/>
            <w:vAlign w:val="top"/>
          </w:tcPr>
          <w:p w14:paraId="3697F173">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39524319.1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 </w:t>
            </w:r>
          </w:p>
        </w:tc>
      </w:tr>
      <w:tr w14:paraId="4348CC82">
        <w:tblPrEx>
          <w:tblCellMar>
            <w:top w:w="0" w:type="dxa"/>
            <w:left w:w="108" w:type="dxa"/>
            <w:bottom w:w="0" w:type="dxa"/>
            <w:right w:w="108" w:type="dxa"/>
          </w:tblCellMar>
        </w:tblPrEx>
        <w:trPr>
          <w:trHeight w:val="306" w:hRule="atLeast"/>
          <w:jc w:val="center"/>
        </w:trPr>
        <w:tc>
          <w:tcPr>
            <w:tcW w:w="8853" w:type="dxa"/>
            <w:gridSpan w:val="6"/>
            <w:tcBorders>
              <w:top w:val="single" w:color="auto" w:sz="4" w:space="0"/>
              <w:left w:val="single" w:color="auto" w:sz="4" w:space="0"/>
              <w:bottom w:val="single" w:color="auto" w:sz="4" w:space="0"/>
              <w:right w:val="single" w:color="auto" w:sz="4" w:space="0"/>
            </w:tcBorders>
            <w:noWrap/>
            <w:vAlign w:val="center"/>
          </w:tcPr>
          <w:p w14:paraId="7C041FD3">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面积：0.1805km</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；开采标高：+480～+2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0m</w:t>
            </w:r>
          </w:p>
        </w:tc>
      </w:tr>
    </w:tbl>
    <w:p w14:paraId="6587B451">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eastAsia="zh-CN"/>
        </w:rPr>
      </w:pPr>
      <w:bookmarkStart w:id="27" w:name="_Toc31855"/>
      <w:r>
        <w:rPr>
          <w:rFonts w:hint="eastAsia" w:ascii="宋体" w:hAnsi="宋体" w:eastAsia="宋体" w:cs="宋体"/>
          <w:b/>
          <w:bCs w:val="0"/>
          <w:snapToGrid w:val="0"/>
          <w:color w:val="auto"/>
          <w:kern w:val="0"/>
          <w:sz w:val="30"/>
          <w:szCs w:val="30"/>
          <w:highlight w:val="none"/>
          <w:lang w:eastAsia="zh-CN"/>
        </w:rPr>
        <w:t>1.3矿山勘查开采历史及现状</w:t>
      </w:r>
      <w:bookmarkEnd w:id="27"/>
    </w:p>
    <w:p w14:paraId="40E702F7">
      <w:pPr>
        <w:pageBreakBefore w:val="0"/>
        <w:kinsoku/>
        <w:wordWrap/>
        <w:overflowPunct/>
        <w:topLinePunct w:val="0"/>
        <w:autoSpaceDE/>
        <w:autoSpaceDN/>
        <w:bidi w:val="0"/>
        <w:snapToGrid w:val="0"/>
        <w:spacing w:line="360" w:lineRule="auto"/>
        <w:rPr>
          <w:rFonts w:hint="eastAsia" w:ascii="宋体" w:hAnsi="宋体" w:eastAsia="宋体" w:cs="宋体"/>
          <w:b/>
          <w:bCs w:val="0"/>
          <w:color w:val="auto"/>
          <w:sz w:val="28"/>
          <w:szCs w:val="28"/>
          <w:highlight w:val="none"/>
        </w:rPr>
      </w:pPr>
      <w:bookmarkStart w:id="28" w:name="_Toc56325241"/>
      <w:r>
        <w:rPr>
          <w:rFonts w:hint="eastAsia" w:ascii="宋体" w:hAnsi="宋体" w:eastAsia="宋体" w:cs="宋体"/>
          <w:b/>
          <w:bCs w:val="0"/>
          <w:color w:val="auto"/>
          <w:sz w:val="28"/>
          <w:szCs w:val="28"/>
          <w:highlight w:val="none"/>
        </w:rPr>
        <w:t>1.3.1</w:t>
      </w:r>
      <w:bookmarkEnd w:id="28"/>
      <w:r>
        <w:rPr>
          <w:rFonts w:hint="eastAsia" w:ascii="宋体" w:hAnsi="宋体" w:eastAsia="宋体" w:cs="宋体"/>
          <w:b/>
          <w:bCs w:val="0"/>
          <w:color w:val="auto"/>
          <w:sz w:val="28"/>
          <w:szCs w:val="28"/>
          <w:highlight w:val="none"/>
        </w:rPr>
        <w:t>矿山勘查、开采历史情况</w:t>
      </w:r>
    </w:p>
    <w:p w14:paraId="56686288">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eastAsia="zh-CN"/>
        </w:rPr>
      </w:pPr>
      <w:bookmarkStart w:id="29" w:name="_Toc56325242"/>
      <w:r>
        <w:rPr>
          <w:rFonts w:hint="eastAsia" w:ascii="宋体" w:hAnsi="宋体" w:eastAsia="宋体" w:cs="宋体"/>
          <w:color w:val="auto"/>
          <w:sz w:val="28"/>
          <w:szCs w:val="28"/>
          <w:highlight w:val="none"/>
          <w:lang w:eastAsia="zh-CN"/>
        </w:rPr>
        <w:t>一、勘查历史情况</w:t>
      </w:r>
    </w:p>
    <w:p w14:paraId="52781683">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1、1985年1月，福建省闽西地质大队地质二分队在区内开展了大理石矿地质调查工作，提交了《福建省明溪县瀚仙大理石矿地质调查报告》，探求了全区大理石矿资源量6156250m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w:t>
      </w:r>
    </w:p>
    <w:p w14:paraId="1939B59D">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2、1995年6月-9月，福建省三明市建明地质矿产开发公司在该区开展了白云岩地质勘查工作，提交了《福建省明溪县上龙坑白云岩矿勘查地质报告》，探明（C+D）级矿石量59.43万吨。</w:t>
      </w:r>
    </w:p>
    <w:p w14:paraId="53DD087B">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3、2003年12月，福建省196煤田地质勘探队对本区进行了资源储量核实工作，并提交了《福建省明溪县瀚仙矿场上龙坑方解石矿山储量核实报告》，探求的保有资源储量为：</w:t>
      </w:r>
      <w:r>
        <w:rPr>
          <w:rFonts w:hint="eastAsia" w:ascii="宋体" w:hAnsi="宋体" w:eastAsia="宋体" w:cs="宋体"/>
          <w:color w:val="auto"/>
          <w:sz w:val="28"/>
          <w:szCs w:val="28"/>
          <w:highlight w:val="none"/>
          <w:lang w:val="en-US" w:eastAsia="zh-CN"/>
        </w:rPr>
        <w:t>截至</w:t>
      </w:r>
      <w:r>
        <w:rPr>
          <w:rFonts w:hint="eastAsia" w:ascii="宋体" w:hAnsi="宋体" w:eastAsia="宋体" w:cs="宋体"/>
          <w:color w:val="auto"/>
          <w:sz w:val="28"/>
          <w:szCs w:val="28"/>
          <w:highlight w:val="none"/>
        </w:rPr>
        <w:t>2003年11月底，矿山保有资源量（C+D）级矿石量55.8万吨，其中C级矿石量11.9万吨，D级矿石量43.9万吨。该报告未经福建省国土资源厅储量主管部门评审。</w:t>
      </w:r>
    </w:p>
    <w:p w14:paraId="697E258A">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4、2007年4月，福建省196煤田地质勘探队对本区开展了普查地质工作，提交了《福建省明溪县上龙坑矿区方解石矿普查地质报告》，该报告于 2007年8月30日由福建省国土资源评估中心以闽国土资储审明字[2007]73号文评审通过，评审通过的资源储量为：截至2007年5月底，矿区范围内方解石矿保有资源储量（122b+333+2S22）矿石量281.1万吨，其中（122b）矿石量为91.1万吨，（333）矿石量为147.0万吨，（2S22）矿石量为43.0万吨。</w:t>
      </w:r>
    </w:p>
    <w:p w14:paraId="14FC0BB9">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5、2012年6月，福建省196地质大队对本区进行了资源储量核实工作，并提交了《福建省明溪县上龙坑矿区方解石矿资源量核实报告》，该报告于 2012年10月10日由福建省国土资源评估中心以闽国土资储审明字[2012]47号文评审通过，评审通过的资源储量为：截至2012年5月底,采矿许可证核定矿区范围内方解石矿保有资源储量（122b+333）矿石量239.4万吨，其中（122b）矿石量11.3万吨，（333）矿石量228.1万吨。</w:t>
      </w:r>
    </w:p>
    <w:p w14:paraId="7346184E">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2015年11月，福建省196地质大队对本区进行了资源储量核实工作，并提交了《福建省明溪县上龙坑矿区方解石矿2015年资源储量核实报告》，该报告于2016年3月7日由福建省国土资源评估中心以闽国土资储审明字[2016]2号文评审通过，评审通过的资源储量为：截至2015年11月底,采矿许可证核定矿区范围内方解石矿保有资源储量（122b+333）矿石量143.58万吨，其中（122b）矿石量31.22万吨，（333）矿石量112.36万吨。</w:t>
      </w:r>
    </w:p>
    <w:p w14:paraId="55EFEBE9">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7、2017年11月-2018年3月，中化地质矿山总局福建地质勘查院对本区进行了资源储量核实工作，并提交了《福建省明溪县上龙坑矿区方解石矿2018年储量地质报告》，该报告于 2018年10月22日由福建省国土资源评估中心以闽国土资储评明字[2018]16号文评审通过，备案文号：明国土资储备案字[2018]16号，评审通过的资源储量为：截至2018年3月底,采矿许可证核定矿区范围内方解石矿保有资源储量（122b+333）矿石量197.45万吨，其中（122b）矿石量102.93万吨，（333）矿石量94.52万吨。</w:t>
      </w:r>
    </w:p>
    <w:p w14:paraId="1996FF0F">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2022年4月初-2022年7月底，中化地质矿山总局福建地质勘查院对本区进行了资源储量核实工作，并提交了《福建省明溪县上龙坑矿区方解石矿2022年资源储量地质报告》（简称2022年核实报告，下同），该报告于2023年4月3日由福建省国土资源评估中心以闽国土资储评字[2023]6号文评审通过，备案文号：闽自然资储备案字[2023]6号，评审通过的资源储量为：</w:t>
      </w:r>
      <w:r>
        <w:rPr>
          <w:rFonts w:hint="eastAsia" w:ascii="宋体" w:hAnsi="宋体" w:eastAsia="宋体" w:cs="宋体"/>
          <w:color w:val="auto"/>
          <w:sz w:val="28"/>
          <w:szCs w:val="28"/>
          <w:highlight w:val="none"/>
          <w:lang w:val="en-US" w:eastAsia="zh-CN"/>
        </w:rPr>
        <w:t>截至</w:t>
      </w:r>
      <w:r>
        <w:rPr>
          <w:rFonts w:hint="eastAsia" w:ascii="宋体" w:hAnsi="宋体" w:eastAsia="宋体" w:cs="宋体"/>
          <w:color w:val="auto"/>
          <w:sz w:val="28"/>
          <w:szCs w:val="28"/>
          <w:highlight w:val="none"/>
        </w:rPr>
        <w:t>2022年7月底，矿区内保有的方解石矿（控制+推断）资源量矿石量307.18万吨。其中，控制资源量为112.59万吨；推断资源量为194.59万吨。</w:t>
      </w:r>
    </w:p>
    <w:p w14:paraId="6E9E2C8A">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2021年12月～2025年4月，中化地质矿山总局福建地质勘查院前期对矿区进行深部勘探地质工作，后期开展资源储量核实工作，于2025年8月提交《福建省明溪县上龙坑矿区方解石矿资源储量核实暨深部</w:t>
      </w:r>
      <w:r>
        <w:rPr>
          <w:rFonts w:hint="eastAsia" w:ascii="宋体" w:hAnsi="宋体" w:eastAsia="宋体" w:cs="宋体"/>
          <w:color w:val="auto"/>
          <w:sz w:val="28"/>
          <w:szCs w:val="28"/>
          <w:highlight w:val="none"/>
          <w:lang w:eastAsia="zh-CN"/>
        </w:rPr>
        <w:t>勘探</w:t>
      </w:r>
      <w:r>
        <w:rPr>
          <w:rFonts w:hint="eastAsia" w:ascii="宋体" w:hAnsi="宋体" w:eastAsia="宋体" w:cs="宋体"/>
          <w:color w:val="auto"/>
          <w:sz w:val="28"/>
          <w:szCs w:val="28"/>
          <w:highlight w:val="none"/>
        </w:rPr>
        <w:t>地质报告（2025年）》</w:t>
      </w:r>
      <w:r>
        <w:rPr>
          <w:rFonts w:hint="eastAsia" w:ascii="宋体" w:hAnsi="宋体" w:eastAsia="宋体" w:cs="宋体"/>
          <w:color w:val="auto"/>
          <w:sz w:val="28"/>
          <w:szCs w:val="28"/>
          <w:highlight w:val="none"/>
          <w:lang w:eastAsia="zh-CN"/>
        </w:rPr>
        <w:t>，查明</w:t>
      </w:r>
      <w:r>
        <w:rPr>
          <w:rFonts w:hint="eastAsia" w:ascii="宋体" w:hAnsi="宋体" w:eastAsia="宋体" w:cs="宋体"/>
          <w:color w:val="auto"/>
          <w:sz w:val="28"/>
          <w:szCs w:val="28"/>
          <w:highlight w:val="none"/>
          <w:lang w:val="en-US" w:eastAsia="zh-CN"/>
        </w:rPr>
        <w:t>截至</w:t>
      </w:r>
      <w:r>
        <w:rPr>
          <w:rFonts w:hint="eastAsia" w:ascii="宋体" w:hAnsi="宋体" w:eastAsia="宋体" w:cs="宋体"/>
          <w:color w:val="auto"/>
          <w:sz w:val="28"/>
          <w:szCs w:val="28"/>
          <w:highlight w:val="none"/>
          <w:lang w:eastAsia="zh-CN"/>
        </w:rPr>
        <w:t>2025年4月30日，拟申请矿区范围内（+480～+240m）保有方解石矿、白云石方解石矿总矿石资源量为</w:t>
      </w:r>
      <w:r>
        <w:rPr>
          <w:rFonts w:hint="eastAsia" w:ascii="宋体" w:hAnsi="宋体" w:eastAsia="宋体" w:cs="宋体"/>
          <w:color w:val="auto"/>
          <w:spacing w:val="-2"/>
          <w:sz w:val="28"/>
          <w:szCs w:val="28"/>
          <w:highlight w:val="none"/>
        </w:rPr>
        <w:t>1721.56万吨，其中探明资源量为258.80万吨，控制资源量为538.05万吨，推断资源量为924.71万吨，保</w:t>
      </w:r>
      <w:r>
        <w:rPr>
          <w:rFonts w:hint="eastAsia" w:ascii="宋体" w:hAnsi="宋体" w:eastAsia="宋体" w:cs="宋体"/>
          <w:color w:val="auto"/>
          <w:sz w:val="28"/>
          <w:szCs w:val="28"/>
          <w:highlight w:val="none"/>
        </w:rPr>
        <w:t>有储量（证实+可信）312.64万吨，其中证实储量52.34万吨，可信储量260.30万吨。</w:t>
      </w:r>
      <w:r>
        <w:rPr>
          <w:rFonts w:hint="eastAsia" w:ascii="宋体" w:hAnsi="宋体" w:eastAsia="宋体" w:cs="宋体"/>
          <w:color w:val="auto"/>
          <w:sz w:val="28"/>
          <w:szCs w:val="28"/>
          <w:highlight w:val="none"/>
          <w:lang w:eastAsia="zh-CN"/>
        </w:rPr>
        <w:t>其中</w:t>
      </w:r>
      <w:r>
        <w:rPr>
          <w:rFonts w:hint="eastAsia" w:ascii="宋体" w:hAnsi="宋体" w:eastAsia="宋体" w:cs="宋体"/>
          <w:color w:val="auto"/>
          <w:spacing w:val="-2"/>
          <w:sz w:val="28"/>
          <w:szCs w:val="28"/>
          <w:highlight w:val="none"/>
        </w:rPr>
        <w:t>保有方解石矿（探明+控制+推断）矿石资源量为1047.29万吨，平均品位CaO: 54.55%， MgO: 0.94%，白度：88.20%。其中，探明资源量为181.44万吨；控制资源量为427.72万吨；推断资源量为438.13万吨，保</w:t>
      </w:r>
      <w:r>
        <w:rPr>
          <w:rFonts w:hint="eastAsia" w:ascii="宋体" w:hAnsi="宋体" w:eastAsia="宋体" w:cs="宋体"/>
          <w:color w:val="auto"/>
          <w:sz w:val="28"/>
          <w:szCs w:val="28"/>
          <w:highlight w:val="none"/>
        </w:rPr>
        <w:t>有储量（证实+可信）262.46万吨，其中证实储量35.53万吨，可信储量226.93万吨。</w:t>
      </w:r>
      <w:r>
        <w:rPr>
          <w:rFonts w:hint="eastAsia" w:ascii="宋体" w:hAnsi="宋体" w:eastAsia="宋体" w:cs="宋体"/>
          <w:color w:val="auto"/>
          <w:spacing w:val="-2"/>
          <w:sz w:val="28"/>
          <w:szCs w:val="28"/>
          <w:highlight w:val="none"/>
        </w:rPr>
        <w:t>保有白云石方解石矿（探明+控制+推断）矿石资源量为674.27万吨，平均品位MgO:13.80%，CaO+MgO:52.91%，白度：86.57%。其中，探明资源量为77.36万吨；控制资源量为110.33万吨；推断资源量为486.58吨，保</w:t>
      </w:r>
      <w:r>
        <w:rPr>
          <w:rFonts w:hint="eastAsia" w:ascii="宋体" w:hAnsi="宋体" w:eastAsia="宋体" w:cs="宋体"/>
          <w:color w:val="auto"/>
          <w:sz w:val="28"/>
          <w:szCs w:val="28"/>
          <w:highlight w:val="none"/>
        </w:rPr>
        <w:t>有储量（证实+可信）50.18万吨，其中证实储量16.81万吨，可信储量33.37万吨</w:t>
      </w:r>
      <w:r>
        <w:rPr>
          <w:rFonts w:hint="eastAsia" w:ascii="宋体" w:hAnsi="宋体" w:eastAsia="宋体" w:cs="宋体"/>
          <w:color w:val="auto"/>
          <w:spacing w:val="-2"/>
          <w:sz w:val="28"/>
          <w:szCs w:val="28"/>
          <w:highlight w:val="none"/>
        </w:rPr>
        <w:t>。</w:t>
      </w:r>
      <w:r>
        <w:rPr>
          <w:rFonts w:hint="eastAsia" w:ascii="宋体" w:hAnsi="宋体" w:eastAsia="宋体" w:cs="宋体"/>
          <w:color w:val="auto"/>
          <w:sz w:val="28"/>
          <w:szCs w:val="28"/>
          <w:highlight w:val="none"/>
          <w:lang w:eastAsia="zh-CN"/>
        </w:rPr>
        <w:t>并于</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rPr>
        <w:t>日</w:t>
      </w:r>
      <w:r>
        <w:rPr>
          <w:rFonts w:hint="eastAsia" w:ascii="宋体" w:hAnsi="宋体" w:eastAsia="宋体" w:cs="宋体"/>
          <w:color w:val="auto"/>
          <w:sz w:val="28"/>
          <w:szCs w:val="28"/>
          <w:highlight w:val="none"/>
          <w:lang w:eastAsia="zh-CN"/>
        </w:rPr>
        <w:t>经</w:t>
      </w:r>
      <w:r>
        <w:rPr>
          <w:rFonts w:hint="eastAsia" w:ascii="宋体" w:hAnsi="宋体" w:eastAsia="宋体" w:cs="宋体"/>
          <w:color w:val="auto"/>
          <w:sz w:val="28"/>
          <w:szCs w:val="28"/>
          <w:highlight w:val="none"/>
        </w:rPr>
        <w:t>福建省自然资源评审中心</w:t>
      </w:r>
      <w:r>
        <w:rPr>
          <w:rFonts w:hint="eastAsia" w:ascii="宋体" w:hAnsi="宋体" w:eastAsia="宋体" w:cs="宋体"/>
          <w:color w:val="auto"/>
          <w:sz w:val="28"/>
          <w:szCs w:val="28"/>
          <w:highlight w:val="none"/>
          <w:lang w:eastAsia="zh-CN"/>
        </w:rPr>
        <w:t>以“</w:t>
      </w:r>
      <w:r>
        <w:rPr>
          <w:rFonts w:hint="eastAsia" w:ascii="宋体" w:hAnsi="宋体" w:eastAsia="宋体" w:cs="宋体"/>
          <w:color w:val="auto"/>
          <w:sz w:val="28"/>
          <w:szCs w:val="28"/>
          <w:highlight w:val="none"/>
        </w:rPr>
        <w:t>闽自然资储评字〔202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14</w:t>
      </w:r>
      <w:r>
        <w:rPr>
          <w:rFonts w:hint="eastAsia" w:ascii="宋体" w:hAnsi="宋体" w:eastAsia="宋体" w:cs="宋体"/>
          <w:color w:val="auto"/>
          <w:sz w:val="28"/>
          <w:szCs w:val="28"/>
          <w:highlight w:val="none"/>
        </w:rPr>
        <w:t>号</w:t>
      </w:r>
      <w:r>
        <w:rPr>
          <w:rFonts w:hint="eastAsia" w:ascii="宋体" w:hAnsi="宋体" w:eastAsia="宋体" w:cs="宋体"/>
          <w:color w:val="auto"/>
          <w:sz w:val="28"/>
          <w:szCs w:val="28"/>
          <w:highlight w:val="none"/>
          <w:lang w:eastAsia="zh-CN"/>
        </w:rPr>
        <w:t>文”评审确认。</w:t>
      </w:r>
    </w:p>
    <w:p w14:paraId="12968E81">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二、开采历史情况</w:t>
      </w:r>
    </w:p>
    <w:p w14:paraId="4F9266E1">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矿山于</w:t>
      </w:r>
      <w:r>
        <w:rPr>
          <w:rFonts w:hint="eastAsia" w:ascii="宋体" w:hAnsi="宋体" w:eastAsia="宋体" w:cs="宋体"/>
          <w:color w:val="auto"/>
          <w:sz w:val="28"/>
          <w:szCs w:val="28"/>
          <w:highlight w:val="none"/>
          <w:lang w:eastAsia="zh-CN"/>
        </w:rPr>
        <w:t>上世纪九十年代开采，于</w:t>
      </w:r>
      <w:r>
        <w:rPr>
          <w:rFonts w:hint="eastAsia" w:ascii="宋体" w:hAnsi="宋体" w:eastAsia="宋体" w:cs="宋体"/>
          <w:color w:val="auto"/>
          <w:sz w:val="28"/>
          <w:szCs w:val="28"/>
          <w:highlight w:val="none"/>
        </w:rPr>
        <w:t>2001年12月</w:t>
      </w:r>
      <w:r>
        <w:rPr>
          <w:rFonts w:hint="eastAsia" w:ascii="宋体" w:hAnsi="宋体" w:eastAsia="宋体" w:cs="宋体"/>
          <w:color w:val="FF0000"/>
          <w:sz w:val="28"/>
          <w:szCs w:val="28"/>
          <w:highlight w:val="none"/>
          <w:lang w:eastAsia="zh-CN"/>
        </w:rPr>
        <w:t>延续</w:t>
      </w:r>
      <w:r>
        <w:rPr>
          <w:rFonts w:hint="eastAsia" w:ascii="宋体" w:hAnsi="宋体" w:eastAsia="宋体" w:cs="宋体"/>
          <w:color w:val="auto"/>
          <w:sz w:val="28"/>
          <w:szCs w:val="28"/>
          <w:highlight w:val="none"/>
          <w:lang w:eastAsia="zh-CN"/>
        </w:rPr>
        <w:t>取</w:t>
      </w:r>
      <w:r>
        <w:rPr>
          <w:rFonts w:hint="eastAsia" w:ascii="宋体" w:hAnsi="宋体" w:eastAsia="宋体" w:cs="宋体"/>
          <w:color w:val="auto"/>
          <w:sz w:val="28"/>
          <w:szCs w:val="28"/>
          <w:highlight w:val="none"/>
        </w:rPr>
        <w:t>得采矿证，采矿证名称：明溪县瀚仙矿场上龙坑方解石矿，采矿许可证号：3504210120009，采矿权人：明溪县瀚仙矿场，发证机关：明溪县国土资源局（现明溪县自然资源局），开采矿种：方解石，开采方式：地下开采，生产规模：3万吨/年，矿区面积：0.1360km2，开采标高：+480m至+380m标高，有效期限：自2001年12月1日至2003年12月1日。</w:t>
      </w:r>
    </w:p>
    <w:p w14:paraId="2DD47AE2">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2004年8月，采矿权第一次延续，采矿权人、开采矿种、开采方式、生产规模、矿区范围、矿区面积、开采标高等均不变，采矿许可证号变更为：3504210430024，有效期限：自2004年8月11日至2007年8月11日。</w:t>
      </w:r>
    </w:p>
    <w:p w14:paraId="071238B1">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2010年1月，采矿权第二次延续</w:t>
      </w:r>
      <w:r>
        <w:rPr>
          <w:rFonts w:hint="eastAsia" w:ascii="宋体" w:hAnsi="宋体" w:eastAsia="宋体" w:cs="宋体"/>
          <w:color w:val="auto"/>
          <w:sz w:val="28"/>
          <w:szCs w:val="28"/>
          <w:highlight w:val="none"/>
          <w:lang w:eastAsia="zh-CN"/>
        </w:rPr>
        <w:t>变更（扩大矿区范围、转让变更）</w:t>
      </w:r>
      <w:r>
        <w:rPr>
          <w:rFonts w:hint="eastAsia" w:ascii="宋体" w:hAnsi="宋体" w:eastAsia="宋体" w:cs="宋体"/>
          <w:color w:val="auto"/>
          <w:sz w:val="28"/>
          <w:szCs w:val="28"/>
          <w:highlight w:val="none"/>
        </w:rPr>
        <w:t>，开采矿种、开采方式不变，采矿许可证号变更为：C3504212010016120054514，采矿权人变更为：明溪县钰岩石材料加工厂，生产规模扩大为：5万吨/年，矿区面积扩大为：0.1805km</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，有效期限：自2010年1月18日至2011年1月18日。</w:t>
      </w:r>
    </w:p>
    <w:p w14:paraId="244CC9FF">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2010年12月，采矿权第三次延续，采矿许可证号、采矿权人、开采矿种、开采方式、生产规模、矿区范围、矿区面积、开采标高等均不变，采矿证有效期限：自2010年12月17日至2012年12月17日。</w:t>
      </w:r>
    </w:p>
    <w:p w14:paraId="371CDAF8">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2013年1月，采矿权第四次延续，采矿许可证号、采矿权人、开采矿种、开采方式、生产规模、矿区范围、矿区面积、开采标高等均不变，有效期限：自2013年1月18日至2016年1月18日。</w:t>
      </w:r>
    </w:p>
    <w:p w14:paraId="2CC62138">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2016年，采矿权第五次延续，采矿许可证号、采矿权人、开采矿种、开采方式、生产规模、矿区范围、矿区面积、开采标高等均不变，采矿证有效期限：自2016年9月8日至2019年9月8日。</w:t>
      </w:r>
    </w:p>
    <w:p w14:paraId="2C1A9260">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2020年，采矿权第六次延续，采矿许可证号、采矿权人、开采矿种、开采方式、生产规模、矿区范围、矿区面积、开采标高等均不变，采矿证有效期限：自2020年1月14日至2023年1月14日。</w:t>
      </w:r>
    </w:p>
    <w:p w14:paraId="18B256B9">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2023年，采矿权第七次延续，由明溪县自然资源局颁发，现采矿许可证号、采矿权人、开采矿种、开采方式、生产规模、矿区范围、矿区面积、开采标高等均不变，采矿证有效期限：自2023年10月9日至2033年10月9日。</w:t>
      </w:r>
    </w:p>
    <w:p w14:paraId="43A5F21A">
      <w:pPr>
        <w:keepNext w:val="0"/>
        <w:keepLines w:val="0"/>
        <w:pageBreakBefore w:val="0"/>
        <w:widowControl w:val="0"/>
        <w:kinsoku/>
        <w:wordWrap/>
        <w:overflowPunct/>
        <w:topLinePunct w:val="0"/>
        <w:autoSpaceDE/>
        <w:autoSpaceDN/>
        <w:bidi w:val="0"/>
        <w:adjustRightInd w:val="0"/>
        <w:snapToGrid w:val="0"/>
        <w:spacing w:line="360" w:lineRule="auto"/>
        <w:textAlignment w:val="baseline"/>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1.3.2矿山开采现状</w:t>
      </w:r>
      <w:bookmarkEnd w:id="29"/>
    </w:p>
    <w:p w14:paraId="02A08411">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一、矿山建设设计情况</w:t>
      </w:r>
    </w:p>
    <w:p w14:paraId="18B97116">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矿山于2001年12月</w:t>
      </w:r>
      <w:r>
        <w:rPr>
          <w:rFonts w:hint="eastAsia" w:ascii="宋体" w:hAnsi="宋体" w:eastAsia="宋体" w:cs="宋体"/>
          <w:color w:val="FF0000"/>
          <w:sz w:val="28"/>
          <w:szCs w:val="28"/>
          <w:highlight w:val="none"/>
          <w:lang w:val="en-US" w:eastAsia="zh-CN"/>
        </w:rPr>
        <w:t>延续</w:t>
      </w:r>
      <w:r>
        <w:rPr>
          <w:rFonts w:hint="eastAsia" w:ascii="宋体" w:hAnsi="宋体" w:eastAsia="宋体" w:cs="宋体"/>
          <w:color w:val="auto"/>
          <w:sz w:val="28"/>
          <w:szCs w:val="28"/>
          <w:highlight w:val="none"/>
          <w:lang w:val="en-US" w:eastAsia="zh-CN"/>
        </w:rPr>
        <w:t>取得采矿许可证以来，共开拓了三个生产井，分别为西部的1号井和东部的XJ472、XPD456，其中1号井开采工作面位于侵蚀基准面以下，涌水量较大，开采成本较高,已停采多年，XJ472已作为通风井使用，XPD456主斜坡道经多年开采已形成了450m、430m、410m、390m四个开采中段，目前已开拓至最低开采中段+390m中段。</w:t>
      </w:r>
    </w:p>
    <w:p w14:paraId="0FAE4663">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2020年4月7日，山东乾舜矿冶科技股份有限公司提交了《明溪县瀚仙矿场上龙坑方解石矿扩建初步设计》，设计开采对象为矿区范围内东矿段Ⅰ号方解石矿体，生产规模为5万吨/年，开采方式采用地下开采，开拓方式采用斜坡道开拓，井下运输采用矿用自卸汽车运输，采矿方法采用房柱采矿法，设计开采标高+430-+390m，布置+430m、+410m、+390m 三个中段。2023年8月，由福州龙林工程技术有限公司提交了《明溪县瀚仙矿场上龙坑方解石矿矿产资源开发利用、地质环境恢复治理土地复垦方案》，设计开采对象为矿区范围内东矿段Ⅰ号方解石矿体，设计矿山生产规模为5万吨/年，采用地下开采，斜坡道开拓，矿用自卸汽车运输，采矿方法为房柱采矿法，采矿回收率80%，采矿贫化率2%。设计开采标高为+410m～+390m，布置+410m、+390m 两个中段。并于2024年10月28日取得安全生产许可证，有效期：2024年11月17日至2027年11月16日。</w:t>
      </w:r>
    </w:p>
    <w:p w14:paraId="6DFCCF20">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二、矿山资源利用情况</w:t>
      </w:r>
    </w:p>
    <w:p w14:paraId="5B8DBF08">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1、2001年12月至2015年11月底，矿山开采的矿体为Ⅰ号，开采位置为位于7线至8线之间430m-450m中段，动用矿石资源量27.83万吨，采出矿石量16.14万吨，回采率57.99%。</w:t>
      </w:r>
    </w:p>
    <w:p w14:paraId="35EC6CAC">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2、2015年12月至2018年3月底，矿山开采的矿体为Ⅰ号，开采位置为位于6线至8线之间430m中段，动用矿石资源量8.80万吨，采出矿石量6.54万吨，矿山统计回采率74.34%。</w:t>
      </w:r>
    </w:p>
    <w:p w14:paraId="0747EBB4">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3、2018年4月至2022年7月底，矿山开采的矿体为Ⅰ号，开采位置为位于6线至8线之间410m中段和430m中段进行了开采，动用矿石资源量17.53万吨，采出矿石量9.83万吨，矿山统计回采率56.08%。</w:t>
      </w:r>
    </w:p>
    <w:p w14:paraId="7F59AC1C">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至2022年7月底以往累计动用矿石资源量54.16万吨，采出矿石量32.51万吨，矿山统计回采率60.03%。本次为了区分以往动用的矿石类型，对以往动用矿石资源量进行重新估算，动用矿石资源量仍为54.16万吨，采出矿石量32.51万吨，其中，动用方解石矿矿石资源量为48.02万吨，白云石方解石矿矿石资源量为6.14万吨；采出方解石矿矿石量为28.82万吨，白云石方解石矿矿石量为3.69万吨。</w:t>
      </w:r>
    </w:p>
    <w:p w14:paraId="28842362">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本次核实期间，2022年8月-2025年4月底，矿山开采的矿体为Ⅰ、①号，开采位置为位于6线至8线之间的390m、410m中段。矿山统计共动用矿石资源量22.31万吨，采出矿石量13.77万吨，回采率61.72%。本次估算动用资源量为23.57万吨，其中，动用方解石矿矿石资源量为13.90万吨，白云石方解石矿矿石资源量为9.67万吨；采出方解石矿矿石量为8.12万吨，白云石方解石矿矿石量为5.65万吨。统计值22.31万吨与估算值23.57万吨误差1.26万吨，对比误差5.65%，与矿山统计动用量基本一致。</w:t>
      </w:r>
    </w:p>
    <w:p w14:paraId="709B3576">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截至2025年4月底，本次估算累计动用矿石资源量77.73万吨，矿山统计累计开采动用矿石量76.47万吨（未区分矿石类型）。</w:t>
      </w:r>
    </w:p>
    <w:p w14:paraId="55789E97">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三、矿山开采现状</w:t>
      </w:r>
    </w:p>
    <w:p w14:paraId="47012CAF">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default" w:ascii="Times New Roman" w:hAnsi="Times New Roman" w:eastAsia="宋体" w:cs="华文楷体"/>
          <w:snapToGrid w:val="0"/>
          <w:color w:val="auto"/>
          <w:szCs w:val="28"/>
          <w:highlight w:val="none"/>
          <w:lang w:val="en-US" w:eastAsia="zh-CN"/>
        </w:rPr>
      </w:pPr>
      <w:r>
        <w:rPr>
          <w:rFonts w:hint="eastAsia" w:ascii="Times New Roman" w:hAnsi="Times New Roman" w:eastAsia="宋体" w:cs="华文楷体"/>
          <w:snapToGrid w:val="0"/>
          <w:color w:val="auto"/>
          <w:szCs w:val="28"/>
          <w:highlight w:val="none"/>
          <w:lang w:eastAsia="zh-CN"/>
        </w:rPr>
        <w:t>（</w:t>
      </w:r>
      <w:r>
        <w:rPr>
          <w:rFonts w:hint="eastAsia" w:ascii="Times New Roman" w:hAnsi="Times New Roman" w:eastAsia="宋体" w:cs="华文楷体"/>
          <w:snapToGrid w:val="0"/>
          <w:color w:val="auto"/>
          <w:szCs w:val="28"/>
          <w:highlight w:val="none"/>
          <w:lang w:val="en-US" w:eastAsia="zh-CN"/>
        </w:rPr>
        <w:t>1</w:t>
      </w:r>
      <w:r>
        <w:rPr>
          <w:rFonts w:hint="eastAsia" w:ascii="Times New Roman" w:hAnsi="Times New Roman" w:eastAsia="宋体" w:cs="华文楷体"/>
          <w:snapToGrid w:val="0"/>
          <w:color w:val="auto"/>
          <w:szCs w:val="28"/>
          <w:highlight w:val="none"/>
          <w:lang w:eastAsia="zh-CN"/>
        </w:rPr>
        <w:t>）开采系统布设情况</w:t>
      </w:r>
    </w:p>
    <w:p w14:paraId="22059113">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宋体" w:hAnsi="宋体" w:eastAsia="宋体" w:cs="宋体"/>
          <w:color w:val="auto"/>
          <w:sz w:val="28"/>
          <w:szCs w:val="28"/>
          <w:highlight w:val="none"/>
          <w:lang w:val="en-US" w:eastAsia="zh-CN"/>
        </w:rPr>
      </w:pPr>
      <w:r>
        <w:rPr>
          <w:rFonts w:hint="eastAsia" w:ascii="Times New Roman" w:hAnsi="Times New Roman" w:eastAsia="宋体" w:cs="华文楷体"/>
          <w:snapToGrid w:val="0"/>
          <w:color w:val="auto"/>
          <w:szCs w:val="28"/>
          <w:highlight w:val="none"/>
        </w:rPr>
        <w:t>目前矿山开拓方式采用斜坡道开拓，已掘进主</w:t>
      </w:r>
      <w:r>
        <w:rPr>
          <w:rFonts w:hint="eastAsia" w:ascii="Times New Roman" w:hAnsi="Times New Roman" w:cs="华文楷体"/>
          <w:snapToGrid w:val="0"/>
          <w:color w:val="auto"/>
          <w:szCs w:val="28"/>
          <w:highlight w:val="none"/>
          <w:lang w:eastAsia="zh-CN"/>
        </w:rPr>
        <w:t>斜坡道</w:t>
      </w:r>
      <w:r>
        <w:rPr>
          <w:rFonts w:hint="eastAsia" w:ascii="Times New Roman" w:hAnsi="Times New Roman" w:cs="华文楷体"/>
          <w:snapToGrid w:val="0"/>
          <w:color w:val="auto"/>
          <w:szCs w:val="28"/>
          <w:highlight w:val="none"/>
          <w:lang w:val="en-US" w:eastAsia="zh-CN"/>
        </w:rPr>
        <w:t>X</w:t>
      </w:r>
      <w:r>
        <w:rPr>
          <w:rFonts w:hint="eastAsia" w:ascii="Times New Roman" w:hAnsi="Times New Roman" w:eastAsia="宋体" w:cs="华文楷体"/>
          <w:snapToGrid w:val="0"/>
          <w:color w:val="auto"/>
          <w:szCs w:val="28"/>
          <w:highlight w:val="none"/>
        </w:rPr>
        <w:t>PD</w:t>
      </w:r>
      <w:r>
        <w:rPr>
          <w:rFonts w:hint="eastAsia" w:ascii="Times New Roman" w:hAnsi="Times New Roman" w:cs="华文楷体"/>
          <w:snapToGrid w:val="0"/>
          <w:color w:val="auto"/>
          <w:szCs w:val="28"/>
          <w:highlight w:val="none"/>
          <w:lang w:val="en-US" w:eastAsia="zh-CN"/>
        </w:rPr>
        <w:t>456</w:t>
      </w:r>
      <w:r>
        <w:rPr>
          <w:rFonts w:hint="eastAsia" w:ascii="Times New Roman" w:hAnsi="Times New Roman" w:eastAsia="宋体" w:cs="华文楷体"/>
          <w:snapToGrid w:val="0"/>
          <w:color w:val="auto"/>
          <w:szCs w:val="28"/>
          <w:highlight w:val="none"/>
        </w:rPr>
        <w:t>、回风</w:t>
      </w:r>
      <w:r>
        <w:rPr>
          <w:rFonts w:hint="eastAsia" w:ascii="Times New Roman" w:hAnsi="Times New Roman" w:cs="华文楷体"/>
          <w:snapToGrid w:val="0"/>
          <w:color w:val="auto"/>
          <w:szCs w:val="28"/>
          <w:highlight w:val="none"/>
          <w:lang w:eastAsia="zh-CN"/>
        </w:rPr>
        <w:t>斜井</w:t>
      </w:r>
      <w:r>
        <w:rPr>
          <w:rFonts w:hint="eastAsia" w:ascii="Times New Roman" w:hAnsi="Times New Roman" w:cs="华文楷体"/>
          <w:snapToGrid w:val="0"/>
          <w:color w:val="auto"/>
          <w:szCs w:val="28"/>
          <w:highlight w:val="none"/>
          <w:lang w:val="en-US" w:eastAsia="zh-CN"/>
        </w:rPr>
        <w:t>XJ472两个</w:t>
      </w:r>
      <w:r>
        <w:rPr>
          <w:rFonts w:hint="eastAsia" w:ascii="Times New Roman" w:hAnsi="Times New Roman" w:eastAsia="宋体" w:cs="华文楷体"/>
          <w:snapToGrid w:val="0"/>
          <w:color w:val="auto"/>
          <w:szCs w:val="28"/>
          <w:highlight w:val="none"/>
        </w:rPr>
        <w:t>硐口，已开拓450m、430m、410m、390m</w:t>
      </w:r>
      <w:r>
        <w:rPr>
          <w:rFonts w:hint="eastAsia" w:ascii="Times New Roman" w:hAnsi="Times New Roman" w:cs="华文楷体"/>
          <w:snapToGrid w:val="0"/>
          <w:color w:val="auto"/>
          <w:szCs w:val="28"/>
          <w:highlight w:val="none"/>
          <w:lang w:eastAsia="zh-CN"/>
        </w:rPr>
        <w:t>四</w:t>
      </w:r>
      <w:r>
        <w:rPr>
          <w:rFonts w:hint="eastAsia" w:ascii="Times New Roman" w:hAnsi="Times New Roman" w:eastAsia="宋体" w:cs="华文楷体"/>
          <w:snapToGrid w:val="0"/>
          <w:color w:val="auto"/>
          <w:szCs w:val="28"/>
          <w:highlight w:val="none"/>
        </w:rPr>
        <w:t>个中段，其中</w:t>
      </w:r>
      <w:r>
        <w:rPr>
          <w:rFonts w:hint="eastAsia" w:ascii="Times New Roman" w:hAnsi="Times New Roman" w:cs="华文楷体"/>
          <w:snapToGrid w:val="0"/>
          <w:color w:val="auto"/>
          <w:szCs w:val="28"/>
          <w:highlight w:val="none"/>
          <w:lang w:val="en-US" w:eastAsia="zh-CN"/>
        </w:rPr>
        <w:t>41</w:t>
      </w:r>
      <w:r>
        <w:rPr>
          <w:rFonts w:hint="eastAsia" w:ascii="Times New Roman" w:hAnsi="Times New Roman" w:eastAsia="宋体" w:cs="华文楷体"/>
          <w:snapToGrid w:val="0"/>
          <w:color w:val="auto"/>
          <w:szCs w:val="28"/>
          <w:highlight w:val="none"/>
        </w:rPr>
        <w:t>0m中段以上已</w:t>
      </w:r>
      <w:r>
        <w:rPr>
          <w:rFonts w:hint="eastAsia" w:ascii="Times New Roman" w:hAnsi="Times New Roman" w:cs="华文楷体"/>
          <w:snapToGrid w:val="0"/>
          <w:color w:val="auto"/>
          <w:szCs w:val="28"/>
          <w:highlight w:val="none"/>
          <w:lang w:eastAsia="zh-CN"/>
        </w:rPr>
        <w:t>全部</w:t>
      </w:r>
      <w:r>
        <w:rPr>
          <w:rFonts w:hint="eastAsia" w:ascii="Times New Roman" w:hAnsi="Times New Roman" w:eastAsia="宋体" w:cs="华文楷体"/>
          <w:snapToGrid w:val="0"/>
          <w:color w:val="auto"/>
          <w:szCs w:val="28"/>
          <w:highlight w:val="none"/>
        </w:rPr>
        <w:t>采空，目前正在390m中段</w:t>
      </w:r>
      <w:r>
        <w:rPr>
          <w:rFonts w:hint="eastAsia" w:ascii="Times New Roman" w:hAnsi="Times New Roman" w:cs="华文楷体"/>
          <w:snapToGrid w:val="0"/>
          <w:color w:val="auto"/>
          <w:szCs w:val="28"/>
          <w:highlight w:val="none"/>
          <w:lang w:val="en-US" w:eastAsia="zh-CN"/>
        </w:rPr>
        <w:t>5线以东开采</w:t>
      </w:r>
      <w:r>
        <w:rPr>
          <w:rFonts w:hint="eastAsia" w:ascii="Times New Roman" w:hAnsi="Times New Roman" w:eastAsia="宋体" w:cs="华文楷体"/>
          <w:snapToGrid w:val="0"/>
          <w:color w:val="auto"/>
          <w:szCs w:val="28"/>
          <w:highlight w:val="none"/>
        </w:rPr>
        <w:t>，已形成完整的开拓运输系统</w:t>
      </w:r>
      <w:r>
        <w:rPr>
          <w:rFonts w:hint="eastAsia" w:ascii="Times New Roman" w:hAnsi="Times New Roman" w:eastAsia="宋体" w:cs="华文楷体"/>
          <w:snapToGrid w:val="0"/>
          <w:color w:val="auto"/>
          <w:szCs w:val="28"/>
          <w:highlight w:val="none"/>
          <w:lang w:eastAsia="zh-CN"/>
        </w:rPr>
        <w:t>；矿山现有通风系统采用机械抽出式通风，</w:t>
      </w:r>
      <w:r>
        <w:rPr>
          <w:rFonts w:hint="eastAsia" w:ascii="Times New Roman" w:hAnsi="Times New Roman" w:eastAsia="宋体" w:cs="宋体"/>
          <w:bCs/>
          <w:color w:val="auto"/>
          <w:sz w:val="28"/>
          <w:szCs w:val="28"/>
          <w:highlight w:val="none"/>
        </w:rPr>
        <w:t>已形成完善的通风系统</w:t>
      </w:r>
      <w:r>
        <w:rPr>
          <w:rFonts w:hint="eastAsia" w:ascii="Times New Roman" w:hAnsi="Times New Roman" w:cs="宋体"/>
          <w:bCs/>
          <w:color w:val="auto"/>
          <w:sz w:val="28"/>
          <w:szCs w:val="28"/>
          <w:highlight w:val="none"/>
          <w:lang w:eastAsia="zh-CN"/>
        </w:rPr>
        <w:t>，即</w:t>
      </w:r>
      <w:r>
        <w:rPr>
          <w:rFonts w:hint="eastAsia" w:ascii="Times New Roman" w:hAnsi="Times New Roman" w:eastAsia="宋体" w:cs="华文楷体"/>
          <w:snapToGrid w:val="0"/>
          <w:color w:val="auto"/>
          <w:szCs w:val="28"/>
          <w:highlight w:val="none"/>
          <w:lang w:eastAsia="zh-CN"/>
        </w:rPr>
        <w:t>新鲜风流从</w:t>
      </w:r>
      <w:r>
        <w:rPr>
          <w:rFonts w:hint="eastAsia" w:ascii="Times New Roman" w:hAnsi="Times New Roman" w:eastAsia="宋体" w:cs="华文楷体"/>
          <w:snapToGrid w:val="0"/>
          <w:color w:val="auto"/>
          <w:szCs w:val="28"/>
          <w:highlight w:val="none"/>
        </w:rPr>
        <w:t>主</w:t>
      </w:r>
      <w:r>
        <w:rPr>
          <w:rFonts w:hint="eastAsia" w:ascii="Times New Roman" w:hAnsi="Times New Roman" w:cs="华文楷体"/>
          <w:snapToGrid w:val="0"/>
          <w:color w:val="auto"/>
          <w:szCs w:val="28"/>
          <w:highlight w:val="none"/>
          <w:lang w:eastAsia="zh-CN"/>
        </w:rPr>
        <w:t>斜坡道</w:t>
      </w:r>
      <w:r>
        <w:rPr>
          <w:rFonts w:hint="eastAsia" w:ascii="Times New Roman" w:hAnsi="Times New Roman" w:cs="华文楷体"/>
          <w:snapToGrid w:val="0"/>
          <w:color w:val="auto"/>
          <w:szCs w:val="28"/>
          <w:highlight w:val="none"/>
          <w:lang w:val="en-US" w:eastAsia="zh-CN"/>
        </w:rPr>
        <w:t>X</w:t>
      </w:r>
      <w:r>
        <w:rPr>
          <w:rFonts w:hint="eastAsia" w:ascii="Times New Roman" w:hAnsi="Times New Roman" w:eastAsia="宋体" w:cs="华文楷体"/>
          <w:snapToGrid w:val="0"/>
          <w:color w:val="auto"/>
          <w:szCs w:val="28"/>
          <w:highlight w:val="none"/>
        </w:rPr>
        <w:t>PD</w:t>
      </w:r>
      <w:r>
        <w:rPr>
          <w:rFonts w:hint="eastAsia" w:ascii="Times New Roman" w:hAnsi="Times New Roman" w:cs="华文楷体"/>
          <w:snapToGrid w:val="0"/>
          <w:color w:val="auto"/>
          <w:szCs w:val="28"/>
          <w:highlight w:val="none"/>
          <w:lang w:val="en-US" w:eastAsia="zh-CN"/>
        </w:rPr>
        <w:t>456硐口进入，经斜坡道、390m中段石门、390m中段运输</w:t>
      </w:r>
      <w:r>
        <w:rPr>
          <w:rFonts w:hint="eastAsia" w:ascii="Times New Roman" w:hAnsi="Times New Roman" w:eastAsia="宋体" w:cs="宋体"/>
          <w:bCs/>
          <w:color w:val="auto"/>
          <w:sz w:val="28"/>
          <w:szCs w:val="28"/>
          <w:highlight w:val="none"/>
        </w:rPr>
        <w:t>平巷和采准巷道到达采场各工作面，污风由行人通风天井汇集到</w:t>
      </w:r>
      <w:r>
        <w:rPr>
          <w:rFonts w:hint="eastAsia" w:ascii="Times New Roman" w:hAnsi="Times New Roman" w:cs="宋体"/>
          <w:bCs/>
          <w:color w:val="auto"/>
          <w:sz w:val="28"/>
          <w:szCs w:val="28"/>
          <w:highlight w:val="none"/>
          <w:lang w:val="en-US" w:eastAsia="zh-CN"/>
        </w:rPr>
        <w:t>450</w:t>
      </w:r>
      <w:r>
        <w:rPr>
          <w:rFonts w:hint="eastAsia" w:ascii="Times New Roman" w:hAnsi="Times New Roman" w:eastAsia="宋体" w:cs="宋体"/>
          <w:bCs/>
          <w:color w:val="auto"/>
          <w:sz w:val="28"/>
          <w:szCs w:val="28"/>
          <w:highlight w:val="none"/>
        </w:rPr>
        <w:t>m中段回风平巷，最后从</w:t>
      </w:r>
      <w:r>
        <w:rPr>
          <w:rFonts w:hint="eastAsia" w:ascii="Times New Roman" w:hAnsi="Times New Roman" w:eastAsia="宋体" w:cs="华文楷体"/>
          <w:snapToGrid w:val="0"/>
          <w:color w:val="auto"/>
          <w:szCs w:val="28"/>
          <w:highlight w:val="none"/>
        </w:rPr>
        <w:t>回风</w:t>
      </w:r>
      <w:r>
        <w:rPr>
          <w:rFonts w:hint="eastAsia" w:ascii="Times New Roman" w:hAnsi="Times New Roman" w:cs="华文楷体"/>
          <w:snapToGrid w:val="0"/>
          <w:color w:val="auto"/>
          <w:szCs w:val="28"/>
          <w:highlight w:val="none"/>
          <w:lang w:eastAsia="zh-CN"/>
        </w:rPr>
        <w:t>斜井</w:t>
      </w:r>
      <w:r>
        <w:rPr>
          <w:rFonts w:hint="eastAsia" w:ascii="Times New Roman" w:hAnsi="Times New Roman" w:cs="华文楷体"/>
          <w:snapToGrid w:val="0"/>
          <w:color w:val="auto"/>
          <w:szCs w:val="28"/>
          <w:highlight w:val="none"/>
          <w:lang w:val="en-US" w:eastAsia="zh-CN"/>
        </w:rPr>
        <w:t>XJ472</w:t>
      </w:r>
      <w:r>
        <w:rPr>
          <w:rFonts w:hint="eastAsia" w:ascii="Times New Roman" w:hAnsi="Times New Roman" w:eastAsia="宋体" w:cs="宋体"/>
          <w:bCs/>
          <w:color w:val="auto"/>
          <w:sz w:val="28"/>
          <w:szCs w:val="28"/>
          <w:highlight w:val="none"/>
        </w:rPr>
        <w:t>硐口排出地表</w:t>
      </w:r>
      <w:r>
        <w:rPr>
          <w:rFonts w:hint="eastAsia" w:ascii="Times New Roman" w:hAnsi="Times New Roman" w:cs="华文楷体"/>
          <w:snapToGrid w:val="0"/>
          <w:color w:val="auto"/>
          <w:szCs w:val="28"/>
          <w:highlight w:val="none"/>
          <w:lang w:val="en-US" w:eastAsia="zh-CN"/>
        </w:rPr>
        <w:t>；目前井下排水系统采用分段排水方式进行排水，已在+430m中段靠近斜坡道附近和在+390m 中段斜坡道端部附近各设置了一个水仓，并配备了水泵，井下水由+390m 中段水仓抽水至+430m 中段水仓，最后由X</w:t>
      </w:r>
      <w:r>
        <w:rPr>
          <w:rFonts w:hint="eastAsia" w:ascii="Times New Roman" w:hAnsi="Times New Roman" w:eastAsia="宋体" w:cs="华文楷体"/>
          <w:snapToGrid w:val="0"/>
          <w:color w:val="auto"/>
          <w:szCs w:val="28"/>
          <w:highlight w:val="none"/>
        </w:rPr>
        <w:t>PD</w:t>
      </w:r>
      <w:r>
        <w:rPr>
          <w:rFonts w:hint="eastAsia" w:ascii="Times New Roman" w:hAnsi="Times New Roman" w:cs="华文楷体"/>
          <w:snapToGrid w:val="0"/>
          <w:color w:val="auto"/>
          <w:szCs w:val="28"/>
          <w:highlight w:val="none"/>
          <w:lang w:val="en-US" w:eastAsia="zh-CN"/>
        </w:rPr>
        <w:t>456斜坡道口排出地表；</w:t>
      </w:r>
      <w:r>
        <w:rPr>
          <w:rFonts w:hint="eastAsia" w:ascii="Times New Roman" w:hAnsi="Times New Roman" w:eastAsia="宋体" w:cs="华文楷体"/>
          <w:snapToGrid w:val="0"/>
          <w:color w:val="auto"/>
          <w:szCs w:val="28"/>
          <w:highlight w:val="none"/>
          <w:lang w:eastAsia="zh-CN"/>
        </w:rPr>
        <w:t>采矿方法采用房柱采矿法；目前矿山正常生产，年实际生产能力约</w:t>
      </w:r>
      <w:r>
        <w:rPr>
          <w:rFonts w:hint="eastAsia" w:ascii="Times New Roman" w:hAnsi="Times New Roman" w:eastAsia="宋体" w:cs="华文楷体"/>
          <w:snapToGrid w:val="0"/>
          <w:color w:val="auto"/>
          <w:szCs w:val="28"/>
          <w:highlight w:val="none"/>
          <w:lang w:val="en-US" w:eastAsia="zh-CN"/>
        </w:rPr>
        <w:t>5.0万吨/年，生产运行情况良好</w:t>
      </w:r>
      <w:r>
        <w:rPr>
          <w:rFonts w:hint="eastAsia" w:ascii="宋体" w:hAnsi="宋体" w:eastAsia="宋体" w:cs="宋体"/>
          <w:color w:val="auto"/>
          <w:sz w:val="28"/>
          <w:szCs w:val="28"/>
          <w:highlight w:val="none"/>
          <w:lang w:val="en-US" w:eastAsia="zh-CN"/>
        </w:rPr>
        <w:t>。</w:t>
      </w:r>
    </w:p>
    <w:p w14:paraId="2434140C">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color w:val="auto"/>
          <w:sz w:val="28"/>
          <w:szCs w:val="28"/>
          <w:highlight w:val="none"/>
          <w:lang w:val="en-US" w:eastAsia="zh-CN"/>
        </w:rPr>
      </w:pPr>
      <w:r>
        <w:rPr>
          <w:rFonts w:hint="eastAsia" w:ascii="宋体" w:hAnsi="宋体"/>
          <w:color w:val="auto"/>
          <w:sz w:val="28"/>
          <w:szCs w:val="28"/>
          <w:highlight w:val="none"/>
          <w:lang w:val="en-US" w:eastAsia="zh-CN"/>
        </w:rPr>
        <w:t>（2）地面功能区布设情况</w:t>
      </w:r>
    </w:p>
    <w:p w14:paraId="13E66DF4">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color w:val="auto"/>
          <w:sz w:val="28"/>
          <w:szCs w:val="28"/>
          <w:highlight w:val="none"/>
          <w:lang w:val="en-US" w:eastAsia="zh-CN"/>
        </w:rPr>
      </w:pPr>
      <w:r>
        <w:rPr>
          <w:rFonts w:hint="eastAsia" w:ascii="宋体" w:hAnsi="宋体"/>
          <w:color w:val="auto"/>
          <w:sz w:val="28"/>
          <w:szCs w:val="28"/>
          <w:highlight w:val="none"/>
          <w:lang w:val="en-US" w:eastAsia="zh-CN"/>
        </w:rPr>
        <w:t>本矿山开采布设地面功能区已有区域：硐口段（XPD456、XJ472）、工业场地(1#、2#、3#)、原办公生活区作为生活区遗留与原炸药库作为办公区遗留统一称为办公生活区，原矿山道路已纳入农村道路管辖。</w:t>
      </w:r>
    </w:p>
    <w:p w14:paraId="5FF75378">
      <w:pPr>
        <w:snapToGrid w:val="0"/>
        <w:spacing w:line="360" w:lineRule="auto"/>
        <w:ind w:firstLine="570" w:firstLineChars="200"/>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lang w:val="zh-CN"/>
        </w:rPr>
        <w:t>主斜坡道硐口(</w:t>
      </w:r>
      <w:r>
        <w:rPr>
          <w:rFonts w:hint="eastAsia" w:ascii="Times New Roman" w:hAnsi="Times New Roman" w:eastAsia="宋体"/>
          <w:color w:val="auto"/>
          <w:sz w:val="28"/>
          <w:szCs w:val="28"/>
          <w:highlight w:val="none"/>
          <w:lang w:val="en-US" w:eastAsia="zh-CN"/>
        </w:rPr>
        <w:t>X</w:t>
      </w:r>
      <w:r>
        <w:rPr>
          <w:rFonts w:hint="eastAsia" w:ascii="Times New Roman" w:hAnsi="Times New Roman" w:eastAsia="宋体"/>
          <w:color w:val="auto"/>
          <w:sz w:val="28"/>
          <w:szCs w:val="28"/>
          <w:highlight w:val="none"/>
        </w:rPr>
        <w:t>PD</w:t>
      </w:r>
      <w:r>
        <w:rPr>
          <w:rFonts w:hint="eastAsia" w:ascii="Times New Roman" w:hAnsi="Times New Roman" w:eastAsia="宋体"/>
          <w:color w:val="auto"/>
          <w:sz w:val="28"/>
          <w:szCs w:val="28"/>
          <w:highlight w:val="none"/>
          <w:lang w:val="en-US" w:eastAsia="zh-CN"/>
        </w:rPr>
        <w:t>456</w:t>
      </w:r>
      <w:r>
        <w:rPr>
          <w:rFonts w:hint="eastAsia" w:ascii="Times New Roman" w:hAnsi="Times New Roman" w:eastAsia="宋体"/>
          <w:color w:val="auto"/>
          <w:sz w:val="28"/>
          <w:szCs w:val="28"/>
          <w:highlight w:val="none"/>
        </w:rPr>
        <w:t>)位于矿区</w:t>
      </w:r>
      <w:r>
        <w:rPr>
          <w:rFonts w:hint="eastAsia" w:ascii="Times New Roman" w:hAnsi="Times New Roman" w:eastAsia="宋体"/>
          <w:color w:val="auto"/>
          <w:sz w:val="28"/>
          <w:szCs w:val="28"/>
          <w:highlight w:val="none"/>
          <w:lang w:eastAsia="zh-CN"/>
        </w:rPr>
        <w:t>东部</w:t>
      </w:r>
      <w:r>
        <w:rPr>
          <w:rFonts w:hint="eastAsia" w:ascii="Times New Roman" w:hAnsi="Times New Roman" w:eastAsia="宋体"/>
          <w:color w:val="auto"/>
          <w:sz w:val="28"/>
          <w:szCs w:val="28"/>
          <w:highlight w:val="none"/>
        </w:rPr>
        <w:t>南</w:t>
      </w:r>
      <w:r>
        <w:rPr>
          <w:rFonts w:hint="eastAsia" w:ascii="Times New Roman" w:hAnsi="Times New Roman" w:eastAsia="宋体"/>
          <w:color w:val="auto"/>
          <w:sz w:val="28"/>
          <w:szCs w:val="28"/>
          <w:highlight w:val="none"/>
          <w:lang w:eastAsia="zh-CN"/>
        </w:rPr>
        <w:t>侧</w:t>
      </w:r>
      <w:r>
        <w:rPr>
          <w:rFonts w:hint="eastAsia" w:ascii="Times New Roman" w:hAnsi="Times New Roman" w:eastAsia="宋体"/>
          <w:color w:val="auto"/>
          <w:sz w:val="28"/>
          <w:szCs w:val="28"/>
          <w:highlight w:val="none"/>
          <w:lang w:val="zh-CN"/>
        </w:rPr>
        <w:t>，场地占地面积为</w:t>
      </w:r>
      <w:r>
        <w:rPr>
          <w:rFonts w:hint="eastAsia" w:ascii="Times New Roman" w:hAnsi="Times New Roman" w:eastAsia="宋体"/>
          <w:color w:val="auto"/>
          <w:sz w:val="28"/>
          <w:szCs w:val="28"/>
          <w:highlight w:val="none"/>
          <w:lang w:val="en-US" w:eastAsia="zh-CN"/>
        </w:rPr>
        <w:t>0.0347</w:t>
      </w:r>
      <w:r>
        <w:rPr>
          <w:rFonts w:hint="eastAsia" w:ascii="Times New Roman" w:hAnsi="Times New Roman" w:eastAsia="宋体"/>
          <w:color w:val="auto"/>
          <w:sz w:val="28"/>
          <w:szCs w:val="28"/>
          <w:highlight w:val="none"/>
          <w:lang w:val="zh-CN"/>
        </w:rPr>
        <w:t>hm</w:t>
      </w:r>
      <w:r>
        <w:rPr>
          <w:rFonts w:hint="eastAsia" w:ascii="Times New Roman" w:hAnsi="Times New Roman" w:eastAsia="宋体"/>
          <w:color w:val="auto"/>
          <w:sz w:val="28"/>
          <w:szCs w:val="28"/>
          <w:highlight w:val="none"/>
          <w:vertAlign w:val="superscript"/>
          <w:lang w:val="zh-CN"/>
        </w:rPr>
        <w:t>2</w:t>
      </w:r>
      <w:r>
        <w:rPr>
          <w:rFonts w:hint="eastAsia" w:ascii="Times New Roman" w:hAnsi="Times New Roman" w:eastAsia="宋体"/>
          <w:color w:val="auto"/>
          <w:sz w:val="28"/>
          <w:szCs w:val="28"/>
          <w:highlight w:val="none"/>
          <w:lang w:val="zh-CN"/>
        </w:rPr>
        <w:t>，</w:t>
      </w:r>
      <w:r>
        <w:rPr>
          <w:rFonts w:hint="eastAsia" w:ascii="Times New Roman" w:hAnsi="Times New Roman" w:eastAsia="宋体"/>
          <w:color w:val="auto"/>
          <w:sz w:val="28"/>
          <w:szCs w:val="28"/>
          <w:highlight w:val="none"/>
        </w:rPr>
        <w:t>井口</w:t>
      </w:r>
      <w:r>
        <w:rPr>
          <w:rFonts w:hint="eastAsia" w:ascii="Times New Roman" w:hAnsi="Times New Roman" w:eastAsia="宋体"/>
          <w:color w:val="auto"/>
          <w:sz w:val="28"/>
          <w:szCs w:val="28"/>
          <w:highlight w:val="none"/>
          <w:lang w:val="zh-CN"/>
        </w:rPr>
        <w:t>已采取支护及后方截排水沟、植被恢复措施，</w:t>
      </w:r>
      <w:r>
        <w:rPr>
          <w:rFonts w:hint="eastAsia" w:ascii="Times New Roman" w:hAnsi="Times New Roman" w:eastAsia="宋体"/>
          <w:color w:val="auto"/>
          <w:sz w:val="28"/>
          <w:szCs w:val="28"/>
          <w:highlight w:val="none"/>
        </w:rPr>
        <w:t>现状稳定，</w:t>
      </w:r>
      <w:r>
        <w:rPr>
          <w:rFonts w:hint="eastAsia" w:ascii="Times New Roman" w:hAnsi="Times New Roman" w:eastAsia="宋体"/>
          <w:color w:val="auto"/>
          <w:sz w:val="28"/>
          <w:szCs w:val="28"/>
          <w:highlight w:val="none"/>
          <w:lang w:eastAsia="zh-CN"/>
        </w:rPr>
        <w:t>后续可作为抽排水井口使用</w:t>
      </w:r>
      <w:r>
        <w:rPr>
          <w:rFonts w:hint="eastAsia" w:ascii="Times New Roman" w:hAnsi="Times New Roman" w:eastAsia="宋体"/>
          <w:color w:val="auto"/>
          <w:sz w:val="28"/>
          <w:szCs w:val="28"/>
          <w:highlight w:val="none"/>
        </w:rPr>
        <w:t>。</w:t>
      </w:r>
    </w:p>
    <w:p w14:paraId="640CD008">
      <w:pPr>
        <w:snapToGrid w:val="0"/>
        <w:spacing w:line="360" w:lineRule="auto"/>
        <w:ind w:firstLine="570" w:firstLineChars="200"/>
        <w:rPr>
          <w:rFonts w:hint="eastAsia" w:ascii="Times New Roman" w:hAnsi="Times New Roman" w:eastAsia="宋体"/>
          <w:color w:val="auto"/>
          <w:sz w:val="28"/>
          <w:szCs w:val="28"/>
          <w:highlight w:val="none"/>
          <w:lang w:eastAsia="zh-CN"/>
        </w:rPr>
      </w:pPr>
      <w:r>
        <w:rPr>
          <w:rFonts w:hint="eastAsia" w:ascii="Times New Roman" w:hAnsi="Times New Roman" w:eastAsia="宋体" w:cs="宋体"/>
          <w:color w:val="auto"/>
          <w:sz w:val="28"/>
          <w:szCs w:val="28"/>
          <w:highlight w:val="none"/>
        </w:rPr>
        <w:t>通风井(XJ</w:t>
      </w:r>
      <w:r>
        <w:rPr>
          <w:rFonts w:hint="eastAsia" w:ascii="Times New Roman" w:hAnsi="Times New Roman" w:eastAsia="宋体" w:cs="宋体"/>
          <w:color w:val="auto"/>
          <w:sz w:val="28"/>
          <w:szCs w:val="28"/>
          <w:highlight w:val="none"/>
          <w:lang w:val="en-US" w:eastAsia="zh-CN"/>
        </w:rPr>
        <w:t>472</w:t>
      </w:r>
      <w:r>
        <w:rPr>
          <w:rFonts w:hint="eastAsia" w:ascii="Times New Roman" w:hAnsi="Times New Roman" w:eastAsia="宋体" w:cs="宋体"/>
          <w:color w:val="auto"/>
          <w:sz w:val="28"/>
          <w:szCs w:val="28"/>
          <w:highlight w:val="none"/>
        </w:rPr>
        <w:t>)位于矿区</w:t>
      </w:r>
      <w:r>
        <w:rPr>
          <w:rFonts w:hint="eastAsia" w:ascii="Times New Roman" w:hAnsi="Times New Roman" w:eastAsia="宋体" w:cs="仿宋_GB2312"/>
          <w:color w:val="auto"/>
          <w:kern w:val="0"/>
          <w:sz w:val="28"/>
          <w:szCs w:val="28"/>
          <w:highlight w:val="none"/>
          <w:lang w:eastAsia="zh-CN"/>
        </w:rPr>
        <w:t>东侧中部</w:t>
      </w:r>
      <w:r>
        <w:rPr>
          <w:rFonts w:hint="eastAsia" w:ascii="Times New Roman" w:hAnsi="Times New Roman" w:eastAsia="宋体" w:cs="宋体"/>
          <w:color w:val="auto"/>
          <w:sz w:val="28"/>
          <w:szCs w:val="28"/>
          <w:highlight w:val="none"/>
        </w:rPr>
        <w:t>，</w:t>
      </w:r>
      <w:r>
        <w:rPr>
          <w:rFonts w:hint="eastAsia" w:ascii="Times New Roman" w:hAnsi="Times New Roman" w:eastAsia="宋体" w:cs="仿宋_GB2312"/>
          <w:color w:val="auto"/>
          <w:kern w:val="0"/>
          <w:sz w:val="28"/>
          <w:szCs w:val="28"/>
          <w:highlight w:val="none"/>
          <w:lang w:val="zh-CN"/>
        </w:rPr>
        <w:t>场地占地面积为</w:t>
      </w:r>
      <w:r>
        <w:rPr>
          <w:rFonts w:hint="eastAsia" w:ascii="Times New Roman" w:hAnsi="Times New Roman" w:eastAsia="宋体" w:cs="仿宋_GB2312"/>
          <w:color w:val="auto"/>
          <w:kern w:val="0"/>
          <w:sz w:val="28"/>
          <w:szCs w:val="28"/>
          <w:highlight w:val="none"/>
          <w:lang w:val="en-US" w:eastAsia="zh-CN"/>
        </w:rPr>
        <w:t>0.0325</w:t>
      </w:r>
      <w:r>
        <w:rPr>
          <w:rFonts w:hint="eastAsia" w:ascii="Times New Roman" w:hAnsi="Times New Roman" w:eastAsia="宋体" w:cs="仿宋_GB2312"/>
          <w:color w:val="auto"/>
          <w:kern w:val="0"/>
          <w:sz w:val="28"/>
          <w:szCs w:val="28"/>
          <w:highlight w:val="none"/>
          <w:lang w:val="zh-CN"/>
        </w:rPr>
        <w:t>hm</w:t>
      </w:r>
      <w:r>
        <w:rPr>
          <w:rFonts w:hint="eastAsia" w:ascii="Times New Roman" w:hAnsi="Times New Roman" w:eastAsia="宋体" w:cs="仿宋_GB2312"/>
          <w:color w:val="auto"/>
          <w:kern w:val="0"/>
          <w:sz w:val="28"/>
          <w:szCs w:val="28"/>
          <w:highlight w:val="none"/>
          <w:vertAlign w:val="superscript"/>
          <w:lang w:val="zh-CN"/>
        </w:rPr>
        <w:t>2</w:t>
      </w:r>
      <w:r>
        <w:rPr>
          <w:rFonts w:hint="eastAsia" w:ascii="Times New Roman" w:hAnsi="Times New Roman" w:eastAsia="宋体" w:cs="仿宋_GB2312"/>
          <w:color w:val="auto"/>
          <w:kern w:val="0"/>
          <w:sz w:val="28"/>
          <w:szCs w:val="28"/>
          <w:highlight w:val="none"/>
          <w:lang w:val="zh-CN"/>
        </w:rPr>
        <w:t>，</w:t>
      </w:r>
      <w:r>
        <w:rPr>
          <w:rFonts w:hint="eastAsia" w:ascii="Times New Roman" w:hAnsi="Times New Roman" w:eastAsia="宋体"/>
          <w:color w:val="auto"/>
          <w:sz w:val="28"/>
          <w:szCs w:val="28"/>
          <w:highlight w:val="none"/>
        </w:rPr>
        <w:t>井口</w:t>
      </w:r>
      <w:r>
        <w:rPr>
          <w:rFonts w:ascii="Times New Roman" w:hAnsi="Times New Roman" w:eastAsia="宋体" w:cs="仿宋_GB2312"/>
          <w:color w:val="auto"/>
          <w:kern w:val="0"/>
          <w:sz w:val="28"/>
          <w:szCs w:val="28"/>
          <w:highlight w:val="none"/>
          <w:lang w:val="zh-CN"/>
        </w:rPr>
        <w:t>已采取支护</w:t>
      </w:r>
      <w:r>
        <w:rPr>
          <w:rFonts w:hint="eastAsia" w:ascii="Times New Roman" w:hAnsi="Times New Roman" w:eastAsia="宋体"/>
          <w:color w:val="auto"/>
          <w:sz w:val="28"/>
          <w:szCs w:val="28"/>
          <w:highlight w:val="none"/>
          <w:lang w:val="zh-CN"/>
        </w:rPr>
        <w:t>和植被恢复措施</w:t>
      </w:r>
      <w:r>
        <w:rPr>
          <w:rFonts w:ascii="Times New Roman" w:hAnsi="Times New Roman" w:eastAsia="宋体" w:cs="仿宋_GB2312"/>
          <w:color w:val="auto"/>
          <w:kern w:val="0"/>
          <w:sz w:val="28"/>
          <w:szCs w:val="28"/>
          <w:highlight w:val="none"/>
          <w:lang w:val="zh-CN"/>
        </w:rPr>
        <w:t>，</w:t>
      </w:r>
      <w:r>
        <w:rPr>
          <w:rFonts w:hint="eastAsia" w:ascii="Times New Roman" w:hAnsi="Times New Roman" w:eastAsia="宋体" w:cs="宋体"/>
          <w:color w:val="auto"/>
          <w:sz w:val="28"/>
          <w:szCs w:val="28"/>
          <w:highlight w:val="none"/>
        </w:rPr>
        <w:t>现状稳定，场地可继续用于通风井</w:t>
      </w:r>
      <w:r>
        <w:rPr>
          <w:rFonts w:hint="eastAsia" w:ascii="Times New Roman" w:hAnsi="Times New Roman" w:eastAsia="宋体"/>
          <w:color w:val="auto"/>
          <w:sz w:val="28"/>
          <w:szCs w:val="28"/>
          <w:highlight w:val="none"/>
          <w:lang w:eastAsia="zh-CN"/>
        </w:rPr>
        <w:t>；</w:t>
      </w:r>
    </w:p>
    <w:p w14:paraId="7D390FE0">
      <w:pPr>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rPr>
        <w:t>工业场地</w:t>
      </w:r>
      <w:r>
        <w:rPr>
          <w:rFonts w:hint="eastAsia" w:ascii="Times New Roman" w:hAnsi="Times New Roman" w:eastAsia="宋体" w:cs="宋体"/>
          <w:color w:val="auto"/>
          <w:sz w:val="28"/>
          <w:szCs w:val="28"/>
          <w:highlight w:val="none"/>
          <w:lang w:val="en-US" w:eastAsia="zh-CN"/>
        </w:rPr>
        <w:t>1#（标高+473.5m）</w:t>
      </w:r>
      <w:r>
        <w:rPr>
          <w:rFonts w:hint="eastAsia" w:ascii="Times New Roman" w:hAnsi="Times New Roman" w:eastAsia="宋体" w:cs="宋体"/>
          <w:color w:val="auto"/>
          <w:sz w:val="28"/>
          <w:szCs w:val="28"/>
          <w:highlight w:val="none"/>
        </w:rPr>
        <w:t>位于矿区</w:t>
      </w:r>
      <w:r>
        <w:rPr>
          <w:rFonts w:hint="eastAsia" w:ascii="Times New Roman" w:hAnsi="Times New Roman" w:eastAsia="宋体" w:cs="仿宋_GB2312"/>
          <w:color w:val="auto"/>
          <w:kern w:val="0"/>
          <w:sz w:val="28"/>
          <w:szCs w:val="28"/>
          <w:highlight w:val="none"/>
          <w:lang w:eastAsia="zh-CN"/>
        </w:rPr>
        <w:t>东侧中部</w:t>
      </w:r>
      <w:r>
        <w:rPr>
          <w:rFonts w:hint="eastAsia" w:ascii="Times New Roman" w:hAnsi="Times New Roman" w:eastAsia="宋体" w:cs="宋体"/>
          <w:color w:val="auto"/>
          <w:sz w:val="28"/>
          <w:szCs w:val="28"/>
          <w:highlight w:val="none"/>
        </w:rPr>
        <w:t>，占地面积为</w:t>
      </w:r>
      <w:r>
        <w:rPr>
          <w:rFonts w:hint="eastAsia" w:ascii="Times New Roman" w:hAnsi="Times New Roman" w:eastAsia="宋体" w:cs="宋体"/>
          <w:color w:val="auto"/>
          <w:sz w:val="28"/>
          <w:szCs w:val="28"/>
          <w:highlight w:val="none"/>
          <w:lang w:val="en-US" w:eastAsia="zh-CN"/>
        </w:rPr>
        <w:t>0.0358</w:t>
      </w:r>
      <w:r>
        <w:rPr>
          <w:rFonts w:hint="eastAsia" w:ascii="Times New Roman" w:hAnsi="Times New Roman" w:eastAsia="宋体" w:cs="宋体"/>
          <w:color w:val="auto"/>
          <w:sz w:val="28"/>
          <w:szCs w:val="28"/>
          <w:highlight w:val="none"/>
        </w:rPr>
        <w:t>hm</w:t>
      </w:r>
      <w:r>
        <w:rPr>
          <w:rFonts w:hint="eastAsia" w:ascii="Times New Roman" w:hAnsi="Times New Roman" w:eastAsia="宋体" w:cs="宋体"/>
          <w:color w:val="auto"/>
          <w:sz w:val="28"/>
          <w:szCs w:val="28"/>
          <w:highlight w:val="none"/>
          <w:vertAlign w:val="superscript"/>
        </w:rPr>
        <w:t>2</w:t>
      </w:r>
      <w:r>
        <w:rPr>
          <w:rFonts w:hint="eastAsia"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lang w:eastAsia="zh-CN"/>
        </w:rPr>
        <w:t>场地后方存在</w:t>
      </w:r>
      <w:r>
        <w:rPr>
          <w:rFonts w:hint="eastAsia" w:ascii="Times New Roman" w:hAnsi="Times New Roman" w:eastAsia="宋体" w:cs="仿宋_GB2312"/>
          <w:color w:val="auto"/>
          <w:kern w:val="0"/>
          <w:sz w:val="28"/>
          <w:szCs w:val="28"/>
          <w:highlight w:val="none"/>
          <w:lang w:val="zh-CN"/>
        </w:rPr>
        <w:t>开挖边坡高</w:t>
      </w:r>
      <w:r>
        <w:rPr>
          <w:rFonts w:hint="eastAsia" w:ascii="Times New Roman" w:hAnsi="Times New Roman" w:eastAsia="宋体" w:cs="仿宋_GB2312"/>
          <w:color w:val="auto"/>
          <w:kern w:val="0"/>
          <w:sz w:val="28"/>
          <w:szCs w:val="28"/>
          <w:highlight w:val="none"/>
          <w:lang w:val="en-US" w:eastAsia="zh-CN"/>
        </w:rPr>
        <w:t>2</w:t>
      </w:r>
      <w:r>
        <w:rPr>
          <w:rFonts w:hint="eastAsia" w:ascii="Times New Roman" w:hAnsi="Times New Roman" w:eastAsia="宋体" w:cs="仿宋_GB2312"/>
          <w:color w:val="auto"/>
          <w:kern w:val="0"/>
          <w:sz w:val="28"/>
          <w:szCs w:val="28"/>
          <w:highlight w:val="none"/>
          <w:lang w:val="zh-CN"/>
        </w:rPr>
        <w:t>-</w:t>
      </w:r>
      <w:r>
        <w:rPr>
          <w:rFonts w:hint="eastAsia" w:ascii="Times New Roman" w:hAnsi="Times New Roman" w:eastAsia="宋体" w:cs="仿宋_GB2312"/>
          <w:color w:val="auto"/>
          <w:kern w:val="0"/>
          <w:sz w:val="28"/>
          <w:szCs w:val="28"/>
          <w:highlight w:val="none"/>
          <w:lang w:val="en-US" w:eastAsia="zh-CN"/>
        </w:rPr>
        <w:t>5</w:t>
      </w:r>
      <w:r>
        <w:rPr>
          <w:rFonts w:hint="eastAsia" w:ascii="Times New Roman" w:hAnsi="Times New Roman" w:eastAsia="宋体" w:cs="仿宋_GB2312"/>
          <w:color w:val="auto"/>
          <w:kern w:val="0"/>
          <w:sz w:val="28"/>
          <w:szCs w:val="28"/>
          <w:highlight w:val="none"/>
          <w:lang w:val="zh-CN"/>
        </w:rPr>
        <w:t>m，坡度</w:t>
      </w:r>
      <w:r>
        <w:rPr>
          <w:rFonts w:hint="eastAsia" w:ascii="Times New Roman" w:hAnsi="Times New Roman" w:eastAsia="宋体" w:cs="仿宋_GB2312"/>
          <w:color w:val="auto"/>
          <w:kern w:val="0"/>
          <w:sz w:val="28"/>
          <w:szCs w:val="28"/>
          <w:highlight w:val="none"/>
          <w:lang w:val="en-US" w:eastAsia="zh-CN"/>
        </w:rPr>
        <w:t>45</w:t>
      </w:r>
      <w:r>
        <w:rPr>
          <w:rFonts w:hint="eastAsia" w:ascii="Times New Roman" w:hAnsi="Times New Roman" w:eastAsia="宋体" w:cs="仿宋_GB2312"/>
          <w:color w:val="auto"/>
          <w:kern w:val="0"/>
          <w:sz w:val="28"/>
          <w:szCs w:val="28"/>
          <w:highlight w:val="none"/>
          <w:lang w:val="zh-CN"/>
        </w:rPr>
        <w:t>-</w:t>
      </w:r>
      <w:r>
        <w:rPr>
          <w:rFonts w:hint="eastAsia" w:ascii="Times New Roman" w:hAnsi="Times New Roman" w:eastAsia="宋体" w:cs="仿宋_GB2312"/>
          <w:color w:val="auto"/>
          <w:kern w:val="0"/>
          <w:sz w:val="28"/>
          <w:szCs w:val="28"/>
          <w:highlight w:val="none"/>
          <w:lang w:val="en-US" w:eastAsia="zh-CN"/>
        </w:rPr>
        <w:t>55</w:t>
      </w:r>
      <w:r>
        <w:rPr>
          <w:rFonts w:hint="eastAsia" w:ascii="Times New Roman" w:hAnsi="Times New Roman" w:eastAsia="宋体" w:cs="仿宋_GB2312"/>
          <w:color w:val="auto"/>
          <w:kern w:val="0"/>
          <w:sz w:val="28"/>
          <w:szCs w:val="28"/>
          <w:highlight w:val="none"/>
          <w:lang w:val="zh-CN"/>
        </w:rPr>
        <w:t>°</w:t>
      </w:r>
      <w:r>
        <w:rPr>
          <w:rFonts w:hint="eastAsia" w:ascii="Times New Roman" w:hAnsi="Times New Roman" w:eastAsia="宋体" w:cs="宋体"/>
          <w:color w:val="auto"/>
          <w:sz w:val="28"/>
          <w:szCs w:val="28"/>
          <w:highlight w:val="none"/>
        </w:rPr>
        <w:t>，</w:t>
      </w:r>
      <w:r>
        <w:rPr>
          <w:rFonts w:hint="eastAsia" w:ascii="Times New Roman" w:hAnsi="Times New Roman" w:eastAsia="宋体"/>
          <w:color w:val="auto"/>
          <w:sz w:val="28"/>
          <w:szCs w:val="28"/>
          <w:highlight w:val="none"/>
        </w:rPr>
        <w:t>边坡</w:t>
      </w:r>
      <w:r>
        <w:rPr>
          <w:rFonts w:hint="eastAsia" w:ascii="Times New Roman" w:hAnsi="Times New Roman" w:eastAsia="宋体"/>
          <w:color w:val="auto"/>
          <w:sz w:val="28"/>
          <w:szCs w:val="28"/>
          <w:highlight w:val="none"/>
          <w:lang w:eastAsia="zh-CN"/>
        </w:rPr>
        <w:t>岩土体</w:t>
      </w:r>
      <w:r>
        <w:rPr>
          <w:rFonts w:hint="eastAsia" w:ascii="Times New Roman" w:hAnsi="Times New Roman" w:eastAsia="宋体"/>
          <w:color w:val="auto"/>
          <w:sz w:val="28"/>
          <w:szCs w:val="28"/>
          <w:highlight w:val="none"/>
        </w:rPr>
        <w:t>为残坡积层，</w:t>
      </w:r>
      <w:r>
        <w:rPr>
          <w:rFonts w:hint="eastAsia" w:ascii="Times New Roman" w:hAnsi="Times New Roman" w:eastAsia="宋体" w:cs="宋体"/>
          <w:color w:val="auto"/>
          <w:sz w:val="28"/>
          <w:szCs w:val="28"/>
          <w:highlight w:val="none"/>
          <w:lang w:eastAsia="zh-CN"/>
        </w:rPr>
        <w:t>坡脚已布设</w:t>
      </w:r>
      <w:r>
        <w:rPr>
          <w:rFonts w:hint="eastAsia" w:ascii="Times New Roman" w:hAnsi="Times New Roman" w:eastAsia="宋体" w:cs="宋体"/>
          <w:color w:val="auto"/>
          <w:sz w:val="28"/>
          <w:szCs w:val="28"/>
          <w:highlight w:val="none"/>
        </w:rPr>
        <w:t>排水</w:t>
      </w:r>
      <w:r>
        <w:rPr>
          <w:rFonts w:hint="eastAsia" w:ascii="Times New Roman" w:hAnsi="Times New Roman" w:eastAsia="宋体" w:cs="宋体"/>
          <w:color w:val="auto"/>
          <w:sz w:val="28"/>
          <w:szCs w:val="28"/>
          <w:highlight w:val="none"/>
          <w:lang w:eastAsia="zh-CN"/>
        </w:rPr>
        <w:t>沟</w:t>
      </w:r>
      <w:r>
        <w:rPr>
          <w:rFonts w:hint="eastAsia" w:ascii="Times New Roman" w:hAnsi="Times New Roman" w:eastAsia="宋体" w:cs="宋体"/>
          <w:color w:val="auto"/>
          <w:sz w:val="28"/>
          <w:szCs w:val="28"/>
          <w:highlight w:val="none"/>
        </w:rPr>
        <w:t>，</w:t>
      </w:r>
      <w:r>
        <w:rPr>
          <w:rFonts w:hint="eastAsia" w:ascii="Times New Roman" w:hAnsi="Times New Roman" w:eastAsia="宋体"/>
          <w:color w:val="auto"/>
          <w:sz w:val="28"/>
          <w:szCs w:val="28"/>
          <w:highlight w:val="none"/>
        </w:rPr>
        <w:t>后方</w:t>
      </w:r>
      <w:r>
        <w:rPr>
          <w:rFonts w:hint="eastAsia" w:ascii="Times New Roman" w:hAnsi="Times New Roman" w:eastAsia="宋体" w:cs="宋体"/>
          <w:color w:val="auto"/>
          <w:sz w:val="28"/>
          <w:szCs w:val="28"/>
          <w:highlight w:val="none"/>
        </w:rPr>
        <w:t>自然坡度约</w:t>
      </w:r>
      <w:r>
        <w:rPr>
          <w:rFonts w:hint="eastAsia" w:ascii="Times New Roman" w:hAnsi="Times New Roman" w:eastAsia="宋体" w:cs="宋体"/>
          <w:color w:val="auto"/>
          <w:sz w:val="28"/>
          <w:szCs w:val="28"/>
          <w:highlight w:val="none"/>
          <w:lang w:val="en-US" w:eastAsia="zh-CN"/>
        </w:rPr>
        <w:t>15</w:t>
      </w:r>
      <w:r>
        <w:rPr>
          <w:rFonts w:hint="eastAsia" w:ascii="Times New Roman" w:hAnsi="Times New Roman" w:eastAsia="宋体" w:cs="宋体"/>
          <w:color w:val="auto"/>
          <w:sz w:val="28"/>
          <w:szCs w:val="28"/>
          <w:highlight w:val="none"/>
        </w:rPr>
        <w:t>～</w:t>
      </w:r>
      <w:r>
        <w:rPr>
          <w:rFonts w:hint="eastAsia" w:ascii="Times New Roman" w:hAnsi="Times New Roman" w:eastAsia="宋体"/>
          <w:color w:val="auto"/>
          <w:sz w:val="28"/>
          <w:szCs w:val="28"/>
          <w:highlight w:val="none"/>
          <w:lang w:val="en-US" w:eastAsia="zh-CN"/>
        </w:rPr>
        <w:t>30</w:t>
      </w:r>
      <w:r>
        <w:rPr>
          <w:rFonts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rPr>
        <w:t>，坡面植被发育良好，现状稳定</w:t>
      </w:r>
      <w:r>
        <w:rPr>
          <w:rFonts w:hint="eastAsia" w:ascii="宋体" w:hAnsi="宋体" w:eastAsia="宋体" w:cs="宋体"/>
          <w:color w:val="auto"/>
          <w:sz w:val="28"/>
          <w:szCs w:val="28"/>
          <w:highlight w:val="none"/>
          <w:lang w:val="en-US" w:eastAsia="zh-CN"/>
        </w:rPr>
        <w:t>，</w:t>
      </w:r>
      <w:r>
        <w:rPr>
          <w:rFonts w:hint="eastAsia" w:ascii="Times New Roman" w:hAnsi="Times New Roman" w:eastAsia="宋体"/>
          <w:color w:val="auto"/>
          <w:sz w:val="28"/>
          <w:szCs w:val="28"/>
          <w:highlight w:val="none"/>
        </w:rPr>
        <w:t>可</w:t>
      </w:r>
      <w:r>
        <w:rPr>
          <w:rFonts w:hint="eastAsia" w:ascii="Times New Roman" w:hAnsi="Times New Roman" w:eastAsia="宋体"/>
          <w:color w:val="auto"/>
          <w:sz w:val="28"/>
          <w:szCs w:val="28"/>
          <w:highlight w:val="none"/>
          <w:lang w:eastAsia="zh-CN"/>
        </w:rPr>
        <w:t>继续</w:t>
      </w:r>
      <w:r>
        <w:rPr>
          <w:rFonts w:hint="eastAsia" w:ascii="Times New Roman" w:hAnsi="Times New Roman" w:eastAsia="宋体"/>
          <w:color w:val="auto"/>
          <w:sz w:val="28"/>
          <w:szCs w:val="28"/>
          <w:highlight w:val="none"/>
        </w:rPr>
        <w:t>使用</w:t>
      </w:r>
      <w:r>
        <w:rPr>
          <w:rFonts w:hint="eastAsia" w:ascii="宋体" w:hAnsi="宋体" w:eastAsia="宋体" w:cs="宋体"/>
          <w:color w:val="auto"/>
          <w:sz w:val="28"/>
          <w:szCs w:val="28"/>
          <w:highlight w:val="none"/>
          <w:lang w:val="en-US" w:eastAsia="zh-CN"/>
        </w:rPr>
        <w:t>。</w:t>
      </w:r>
    </w:p>
    <w:p w14:paraId="54F34B0D">
      <w:pPr>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rPr>
        <w:t>工业场地</w:t>
      </w:r>
      <w:r>
        <w:rPr>
          <w:rFonts w:hint="eastAsia" w:ascii="Times New Roman" w:hAnsi="Times New Roman" w:eastAsia="宋体" w:cs="宋体"/>
          <w:color w:val="auto"/>
          <w:sz w:val="28"/>
          <w:szCs w:val="28"/>
          <w:highlight w:val="none"/>
          <w:lang w:val="en-US" w:eastAsia="zh-CN"/>
        </w:rPr>
        <w:t>2#（标高+451.5m）</w:t>
      </w:r>
      <w:r>
        <w:rPr>
          <w:rFonts w:hint="eastAsia" w:ascii="Times New Roman" w:hAnsi="Times New Roman" w:eastAsia="宋体" w:cs="宋体"/>
          <w:color w:val="auto"/>
          <w:sz w:val="28"/>
          <w:szCs w:val="28"/>
          <w:highlight w:val="none"/>
        </w:rPr>
        <w:t>位于矿区</w:t>
      </w:r>
      <w:r>
        <w:rPr>
          <w:rFonts w:hint="eastAsia" w:ascii="Times New Roman" w:hAnsi="Times New Roman" w:eastAsia="宋体" w:cs="仿宋_GB2312"/>
          <w:color w:val="auto"/>
          <w:kern w:val="0"/>
          <w:sz w:val="28"/>
          <w:szCs w:val="28"/>
          <w:highlight w:val="none"/>
          <w:lang w:eastAsia="zh-CN"/>
        </w:rPr>
        <w:t>中部南侧及道路外侧</w:t>
      </w:r>
      <w:r>
        <w:rPr>
          <w:rFonts w:hint="eastAsia" w:ascii="Times New Roman" w:hAnsi="Times New Roman" w:eastAsia="宋体" w:cs="宋体"/>
          <w:color w:val="auto"/>
          <w:sz w:val="28"/>
          <w:szCs w:val="28"/>
          <w:highlight w:val="none"/>
        </w:rPr>
        <w:t>，占地面积</w:t>
      </w:r>
      <w:r>
        <w:rPr>
          <w:rFonts w:hint="eastAsia" w:ascii="Times New Roman" w:hAnsi="Times New Roman" w:eastAsia="宋体" w:cs="宋体"/>
          <w:color w:val="auto"/>
          <w:sz w:val="28"/>
          <w:szCs w:val="28"/>
          <w:highlight w:val="none"/>
          <w:lang w:eastAsia="zh-CN"/>
        </w:rPr>
        <w:t>为</w:t>
      </w:r>
      <w:r>
        <w:rPr>
          <w:rFonts w:hint="eastAsia" w:ascii="Times New Roman" w:hAnsi="Times New Roman" w:eastAsia="宋体" w:cs="宋体"/>
          <w:color w:val="auto"/>
          <w:sz w:val="28"/>
          <w:szCs w:val="28"/>
          <w:highlight w:val="none"/>
          <w:lang w:val="en-US" w:eastAsia="zh-CN"/>
        </w:rPr>
        <w:t>0.0260</w:t>
      </w:r>
      <w:r>
        <w:rPr>
          <w:rFonts w:hint="eastAsia" w:ascii="Times New Roman" w:hAnsi="Times New Roman" w:eastAsia="宋体" w:cs="宋体"/>
          <w:color w:val="auto"/>
          <w:sz w:val="28"/>
          <w:szCs w:val="28"/>
          <w:highlight w:val="none"/>
        </w:rPr>
        <w:t>hm</w:t>
      </w:r>
      <w:r>
        <w:rPr>
          <w:rFonts w:hint="eastAsia" w:ascii="Times New Roman" w:hAnsi="Times New Roman" w:eastAsia="宋体" w:cs="宋体"/>
          <w:color w:val="auto"/>
          <w:sz w:val="28"/>
          <w:szCs w:val="28"/>
          <w:highlight w:val="none"/>
          <w:vertAlign w:val="superscript"/>
        </w:rPr>
        <w:t>2</w:t>
      </w:r>
      <w:r>
        <w:rPr>
          <w:rFonts w:hint="eastAsia"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lang w:eastAsia="zh-CN"/>
        </w:rPr>
        <w:t>场地外缘存在河谷自然岸</w:t>
      </w:r>
      <w:r>
        <w:rPr>
          <w:rFonts w:hint="eastAsia" w:ascii="Times New Roman" w:hAnsi="Times New Roman" w:eastAsia="宋体" w:cs="仿宋_GB2312"/>
          <w:color w:val="auto"/>
          <w:kern w:val="0"/>
          <w:sz w:val="28"/>
          <w:szCs w:val="28"/>
          <w:highlight w:val="none"/>
          <w:lang w:val="zh-CN"/>
        </w:rPr>
        <w:t>坡，坡度</w:t>
      </w:r>
      <w:r>
        <w:rPr>
          <w:rFonts w:hint="eastAsia" w:ascii="Times New Roman" w:hAnsi="Times New Roman" w:eastAsia="宋体" w:cs="仿宋_GB2312"/>
          <w:color w:val="auto"/>
          <w:kern w:val="0"/>
          <w:sz w:val="28"/>
          <w:szCs w:val="28"/>
          <w:highlight w:val="none"/>
          <w:lang w:val="en-US" w:eastAsia="zh-CN"/>
        </w:rPr>
        <w:t>小于45</w:t>
      </w:r>
      <w:r>
        <w:rPr>
          <w:rFonts w:hint="eastAsia" w:ascii="Times New Roman" w:hAnsi="Times New Roman" w:eastAsia="宋体" w:cs="仿宋_GB2312"/>
          <w:color w:val="auto"/>
          <w:kern w:val="0"/>
          <w:sz w:val="28"/>
          <w:szCs w:val="28"/>
          <w:highlight w:val="none"/>
          <w:lang w:val="zh-CN"/>
        </w:rPr>
        <w:t>°</w:t>
      </w:r>
      <w:r>
        <w:rPr>
          <w:rFonts w:hint="eastAsia" w:ascii="Times New Roman" w:hAnsi="Times New Roman" w:eastAsia="宋体" w:cs="宋体"/>
          <w:color w:val="auto"/>
          <w:sz w:val="28"/>
          <w:szCs w:val="28"/>
          <w:highlight w:val="none"/>
        </w:rPr>
        <w:t>，坡面植被发育良好，现状稳定</w:t>
      </w:r>
      <w:r>
        <w:rPr>
          <w:rFonts w:hint="eastAsia" w:ascii="宋体" w:hAnsi="宋体" w:eastAsia="宋体" w:cs="宋体"/>
          <w:color w:val="auto"/>
          <w:sz w:val="28"/>
          <w:szCs w:val="28"/>
          <w:highlight w:val="none"/>
          <w:lang w:val="en-US" w:eastAsia="zh-CN"/>
        </w:rPr>
        <w:t>，</w:t>
      </w:r>
      <w:r>
        <w:rPr>
          <w:rFonts w:hint="eastAsia" w:ascii="Times New Roman" w:hAnsi="Times New Roman" w:eastAsia="宋体"/>
          <w:color w:val="auto"/>
          <w:sz w:val="28"/>
          <w:szCs w:val="28"/>
          <w:highlight w:val="none"/>
        </w:rPr>
        <w:t>可</w:t>
      </w:r>
      <w:r>
        <w:rPr>
          <w:rFonts w:hint="eastAsia" w:ascii="Times New Roman" w:hAnsi="Times New Roman" w:eastAsia="宋体"/>
          <w:color w:val="auto"/>
          <w:sz w:val="28"/>
          <w:szCs w:val="28"/>
          <w:highlight w:val="none"/>
          <w:lang w:eastAsia="zh-CN"/>
        </w:rPr>
        <w:t>继续</w:t>
      </w:r>
      <w:r>
        <w:rPr>
          <w:rFonts w:hint="eastAsia" w:ascii="Times New Roman" w:hAnsi="Times New Roman" w:eastAsia="宋体"/>
          <w:color w:val="auto"/>
          <w:sz w:val="28"/>
          <w:szCs w:val="28"/>
          <w:highlight w:val="none"/>
        </w:rPr>
        <w:t>使用</w:t>
      </w:r>
      <w:r>
        <w:rPr>
          <w:rFonts w:hint="eastAsia" w:ascii="宋体" w:hAnsi="宋体" w:eastAsia="宋体" w:cs="宋体"/>
          <w:color w:val="auto"/>
          <w:sz w:val="28"/>
          <w:szCs w:val="28"/>
          <w:highlight w:val="none"/>
          <w:lang w:val="en-US" w:eastAsia="zh-CN"/>
        </w:rPr>
        <w:t>。</w:t>
      </w:r>
    </w:p>
    <w:p w14:paraId="73B47124">
      <w:pPr>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rPr>
        <w:t>工业场地</w:t>
      </w:r>
      <w:r>
        <w:rPr>
          <w:rFonts w:hint="eastAsia" w:ascii="Times New Roman" w:hAnsi="Times New Roman" w:eastAsia="宋体" w:cs="宋体"/>
          <w:color w:val="auto"/>
          <w:sz w:val="28"/>
          <w:szCs w:val="28"/>
          <w:highlight w:val="none"/>
          <w:lang w:val="en-US" w:eastAsia="zh-CN"/>
        </w:rPr>
        <w:t>3#（标高+451.5m）</w:t>
      </w:r>
      <w:r>
        <w:rPr>
          <w:rFonts w:hint="eastAsia" w:ascii="Times New Roman" w:hAnsi="Times New Roman" w:eastAsia="宋体" w:cs="宋体"/>
          <w:color w:val="auto"/>
          <w:sz w:val="28"/>
          <w:szCs w:val="28"/>
          <w:highlight w:val="none"/>
        </w:rPr>
        <w:t>位于矿区</w:t>
      </w:r>
      <w:r>
        <w:rPr>
          <w:rFonts w:hint="eastAsia" w:ascii="Times New Roman" w:hAnsi="Times New Roman" w:eastAsia="宋体" w:cs="仿宋_GB2312"/>
          <w:color w:val="auto"/>
          <w:kern w:val="0"/>
          <w:sz w:val="28"/>
          <w:szCs w:val="28"/>
          <w:highlight w:val="none"/>
          <w:lang w:eastAsia="zh-CN"/>
        </w:rPr>
        <w:t>中部南侧及道路内侧</w:t>
      </w:r>
      <w:r>
        <w:rPr>
          <w:rFonts w:hint="eastAsia" w:ascii="Times New Roman" w:hAnsi="Times New Roman" w:eastAsia="宋体" w:cs="宋体"/>
          <w:color w:val="auto"/>
          <w:sz w:val="28"/>
          <w:szCs w:val="28"/>
          <w:highlight w:val="none"/>
        </w:rPr>
        <w:t>，占地面积</w:t>
      </w:r>
      <w:r>
        <w:rPr>
          <w:rFonts w:hint="eastAsia" w:ascii="Times New Roman" w:hAnsi="Times New Roman" w:eastAsia="宋体" w:cs="宋体"/>
          <w:color w:val="auto"/>
          <w:sz w:val="28"/>
          <w:szCs w:val="28"/>
          <w:highlight w:val="none"/>
          <w:lang w:eastAsia="zh-CN"/>
        </w:rPr>
        <w:t>为</w:t>
      </w:r>
      <w:r>
        <w:rPr>
          <w:rFonts w:hint="eastAsia" w:ascii="Times New Roman" w:hAnsi="Times New Roman" w:eastAsia="宋体" w:cs="宋体"/>
          <w:color w:val="auto"/>
          <w:sz w:val="28"/>
          <w:szCs w:val="28"/>
          <w:highlight w:val="none"/>
          <w:lang w:val="en-US" w:eastAsia="zh-CN"/>
        </w:rPr>
        <w:t>0.0078</w:t>
      </w:r>
      <w:r>
        <w:rPr>
          <w:rFonts w:hint="eastAsia" w:ascii="Times New Roman" w:hAnsi="Times New Roman" w:eastAsia="宋体" w:cs="宋体"/>
          <w:color w:val="auto"/>
          <w:sz w:val="28"/>
          <w:szCs w:val="28"/>
          <w:highlight w:val="none"/>
        </w:rPr>
        <w:t>hm</w:t>
      </w:r>
      <w:r>
        <w:rPr>
          <w:rFonts w:hint="eastAsia" w:ascii="Times New Roman" w:hAnsi="Times New Roman" w:eastAsia="宋体" w:cs="宋体"/>
          <w:color w:val="auto"/>
          <w:sz w:val="28"/>
          <w:szCs w:val="28"/>
          <w:highlight w:val="none"/>
          <w:vertAlign w:val="superscript"/>
        </w:rPr>
        <w:t>2</w:t>
      </w:r>
      <w:r>
        <w:rPr>
          <w:rFonts w:hint="eastAsia"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lang w:eastAsia="zh-CN"/>
        </w:rPr>
        <w:t>场地外缘存在河谷岸</w:t>
      </w:r>
      <w:r>
        <w:rPr>
          <w:rFonts w:hint="eastAsia" w:ascii="Times New Roman" w:hAnsi="Times New Roman" w:eastAsia="宋体" w:cs="仿宋_GB2312"/>
          <w:color w:val="auto"/>
          <w:kern w:val="0"/>
          <w:sz w:val="28"/>
          <w:szCs w:val="28"/>
          <w:highlight w:val="none"/>
          <w:lang w:val="zh-CN"/>
        </w:rPr>
        <w:t>坡，且岸坡已支护</w:t>
      </w:r>
      <w:r>
        <w:rPr>
          <w:rFonts w:hint="eastAsia"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lang w:eastAsia="zh-CN"/>
        </w:rPr>
        <w:t>场地后方水田台地、前方农村道路及其</w:t>
      </w:r>
      <w:r>
        <w:rPr>
          <w:rFonts w:hint="eastAsia" w:ascii="Times New Roman" w:hAnsi="Times New Roman" w:eastAsia="宋体" w:cs="宋体"/>
          <w:color w:val="auto"/>
          <w:sz w:val="28"/>
          <w:szCs w:val="28"/>
          <w:highlight w:val="none"/>
        </w:rPr>
        <w:t>排水系统，现状稳定</w:t>
      </w:r>
      <w:r>
        <w:rPr>
          <w:rFonts w:hint="eastAsia" w:ascii="宋体" w:hAnsi="宋体" w:eastAsia="宋体" w:cs="宋体"/>
          <w:color w:val="auto"/>
          <w:sz w:val="28"/>
          <w:szCs w:val="28"/>
          <w:highlight w:val="none"/>
          <w:lang w:val="en-US" w:eastAsia="zh-CN"/>
        </w:rPr>
        <w:t>，</w:t>
      </w:r>
      <w:r>
        <w:rPr>
          <w:rFonts w:hint="eastAsia" w:ascii="Times New Roman" w:hAnsi="Times New Roman" w:eastAsia="宋体"/>
          <w:color w:val="auto"/>
          <w:sz w:val="28"/>
          <w:szCs w:val="28"/>
          <w:highlight w:val="none"/>
        </w:rPr>
        <w:t>可</w:t>
      </w:r>
      <w:r>
        <w:rPr>
          <w:rFonts w:hint="eastAsia" w:ascii="Times New Roman" w:hAnsi="Times New Roman" w:eastAsia="宋体"/>
          <w:color w:val="auto"/>
          <w:sz w:val="28"/>
          <w:szCs w:val="28"/>
          <w:highlight w:val="none"/>
          <w:lang w:eastAsia="zh-CN"/>
        </w:rPr>
        <w:t>继续</w:t>
      </w:r>
      <w:r>
        <w:rPr>
          <w:rFonts w:hint="eastAsia" w:ascii="Times New Roman" w:hAnsi="Times New Roman" w:eastAsia="宋体"/>
          <w:color w:val="auto"/>
          <w:sz w:val="28"/>
          <w:szCs w:val="28"/>
          <w:highlight w:val="none"/>
        </w:rPr>
        <w:t>使用</w:t>
      </w:r>
      <w:r>
        <w:rPr>
          <w:rFonts w:hint="eastAsia" w:ascii="宋体" w:hAnsi="宋体" w:eastAsia="宋体" w:cs="宋体"/>
          <w:color w:val="auto"/>
          <w:sz w:val="28"/>
          <w:szCs w:val="28"/>
          <w:highlight w:val="none"/>
          <w:lang w:val="en-US" w:eastAsia="zh-CN"/>
        </w:rPr>
        <w:t>。</w:t>
      </w:r>
    </w:p>
    <w:p w14:paraId="31D3B40C">
      <w:pPr>
        <w:snapToGrid w:val="0"/>
        <w:spacing w:line="360" w:lineRule="auto"/>
        <w:ind w:firstLine="570" w:firstLineChars="200"/>
        <w:rPr>
          <w:rFonts w:hint="eastAsia" w:ascii="Times New Roman" w:hAnsi="Times New Roman" w:eastAsia="宋体" w:cs="宋体"/>
          <w:color w:val="auto"/>
          <w:sz w:val="28"/>
          <w:szCs w:val="28"/>
          <w:highlight w:val="none"/>
        </w:rPr>
      </w:pPr>
      <w:r>
        <w:rPr>
          <w:rFonts w:hint="eastAsia" w:ascii="Times New Roman" w:hAnsi="Times New Roman" w:eastAsia="宋体" w:cs="宋体"/>
          <w:color w:val="auto"/>
          <w:sz w:val="28"/>
          <w:szCs w:val="28"/>
          <w:highlight w:val="none"/>
          <w:lang w:eastAsia="zh-CN"/>
        </w:rPr>
        <w:t>原</w:t>
      </w:r>
      <w:r>
        <w:rPr>
          <w:rFonts w:hint="eastAsia" w:ascii="Times New Roman" w:hAnsi="Times New Roman" w:eastAsia="宋体" w:cs="宋体"/>
          <w:color w:val="auto"/>
          <w:sz w:val="28"/>
          <w:szCs w:val="28"/>
          <w:highlight w:val="none"/>
        </w:rPr>
        <w:t>炸药库</w:t>
      </w:r>
      <w:r>
        <w:rPr>
          <w:rFonts w:hint="eastAsia" w:ascii="Times New Roman" w:hAnsi="Times New Roman" w:eastAsia="宋体" w:cs="宋体"/>
          <w:color w:val="auto"/>
          <w:sz w:val="28"/>
          <w:szCs w:val="28"/>
          <w:highlight w:val="none"/>
          <w:lang w:val="en-US" w:eastAsia="zh-CN"/>
        </w:rPr>
        <w:t>（标高+456.8m）</w:t>
      </w:r>
      <w:r>
        <w:rPr>
          <w:rFonts w:hint="eastAsia" w:ascii="Times New Roman" w:hAnsi="Times New Roman" w:eastAsia="宋体"/>
          <w:color w:val="auto"/>
          <w:sz w:val="28"/>
          <w:szCs w:val="28"/>
          <w:highlight w:val="none"/>
        </w:rPr>
        <w:t>位于矿区</w:t>
      </w:r>
      <w:r>
        <w:rPr>
          <w:rFonts w:hint="eastAsia" w:ascii="Times New Roman" w:hAnsi="Times New Roman" w:eastAsia="宋体"/>
          <w:color w:val="auto"/>
          <w:sz w:val="28"/>
          <w:szCs w:val="28"/>
          <w:highlight w:val="none"/>
          <w:lang w:eastAsia="zh-CN"/>
        </w:rPr>
        <w:t>东部</w:t>
      </w:r>
      <w:r>
        <w:rPr>
          <w:rFonts w:hint="eastAsia" w:ascii="Times New Roman" w:hAnsi="Times New Roman" w:eastAsia="宋体"/>
          <w:color w:val="auto"/>
          <w:sz w:val="28"/>
          <w:szCs w:val="28"/>
          <w:highlight w:val="none"/>
        </w:rPr>
        <w:t>南</w:t>
      </w:r>
      <w:r>
        <w:rPr>
          <w:rFonts w:hint="eastAsia" w:ascii="Times New Roman" w:hAnsi="Times New Roman" w:eastAsia="宋体"/>
          <w:color w:val="auto"/>
          <w:sz w:val="28"/>
          <w:szCs w:val="28"/>
          <w:highlight w:val="none"/>
          <w:lang w:eastAsia="zh-CN"/>
        </w:rPr>
        <w:t>侧</w:t>
      </w:r>
      <w:r>
        <w:rPr>
          <w:rFonts w:hint="eastAsia" w:ascii="Times New Roman" w:hAnsi="Times New Roman" w:eastAsia="宋体" w:cs="宋体"/>
          <w:color w:val="auto"/>
          <w:sz w:val="28"/>
          <w:szCs w:val="28"/>
          <w:highlight w:val="none"/>
        </w:rPr>
        <w:t>，占地面积为</w:t>
      </w:r>
      <w:r>
        <w:rPr>
          <w:rFonts w:hint="eastAsia" w:ascii="Times New Roman" w:hAnsi="Times New Roman" w:eastAsia="宋体" w:cs="宋体"/>
          <w:color w:val="auto"/>
          <w:sz w:val="28"/>
          <w:szCs w:val="28"/>
          <w:highlight w:val="none"/>
          <w:lang w:val="en-US" w:eastAsia="zh-CN"/>
        </w:rPr>
        <w:t>0.0770</w:t>
      </w:r>
      <w:r>
        <w:rPr>
          <w:rFonts w:hint="eastAsia" w:ascii="Times New Roman" w:hAnsi="Times New Roman" w:eastAsia="宋体" w:cs="宋体"/>
          <w:color w:val="auto"/>
          <w:sz w:val="28"/>
          <w:szCs w:val="28"/>
          <w:highlight w:val="none"/>
        </w:rPr>
        <w:t>hm</w:t>
      </w:r>
      <w:r>
        <w:rPr>
          <w:rFonts w:hint="eastAsia" w:ascii="Times New Roman" w:hAnsi="Times New Roman" w:eastAsia="宋体" w:cs="宋体"/>
          <w:color w:val="auto"/>
          <w:sz w:val="28"/>
          <w:szCs w:val="28"/>
          <w:highlight w:val="none"/>
          <w:vertAlign w:val="superscript"/>
        </w:rPr>
        <w:t>2</w:t>
      </w:r>
      <w:r>
        <w:rPr>
          <w:rFonts w:hint="eastAsia"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lang w:eastAsia="zh-CN"/>
        </w:rPr>
        <w:t>场地</w:t>
      </w:r>
      <w:r>
        <w:rPr>
          <w:rFonts w:hint="eastAsia" w:ascii="Times New Roman" w:hAnsi="Times New Roman" w:eastAsia="宋体" w:cs="宋体"/>
          <w:color w:val="auto"/>
          <w:sz w:val="28"/>
          <w:szCs w:val="28"/>
          <w:highlight w:val="none"/>
        </w:rPr>
        <w:t>为开挖及碎石填筑的平台，后方人工边坡高</w:t>
      </w:r>
      <w:r>
        <w:rPr>
          <w:rFonts w:hint="eastAsia" w:ascii="Times New Roman" w:hAnsi="Times New Roman" w:eastAsia="宋体" w:cs="宋体"/>
          <w:color w:val="auto"/>
          <w:sz w:val="28"/>
          <w:szCs w:val="28"/>
          <w:highlight w:val="none"/>
          <w:lang w:val="en-US" w:eastAsia="zh-CN"/>
        </w:rPr>
        <w:t>3</w:t>
      </w:r>
      <w:r>
        <w:rPr>
          <w:rFonts w:hint="eastAsia"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lang w:val="en-US" w:eastAsia="zh-CN"/>
        </w:rPr>
        <w:t>5</w:t>
      </w:r>
      <w:r>
        <w:rPr>
          <w:rFonts w:hint="eastAsia" w:ascii="Times New Roman" w:hAnsi="Times New Roman" w:eastAsia="宋体" w:cs="宋体"/>
          <w:color w:val="auto"/>
          <w:sz w:val="28"/>
          <w:szCs w:val="28"/>
          <w:highlight w:val="none"/>
        </w:rPr>
        <w:t>m，坡度为35°～45°，</w:t>
      </w:r>
      <w:r>
        <w:rPr>
          <w:rFonts w:hint="eastAsia" w:ascii="Times New Roman" w:hAnsi="Times New Roman" w:eastAsia="宋体" w:cs="宋体"/>
          <w:color w:val="auto"/>
          <w:sz w:val="28"/>
          <w:szCs w:val="28"/>
          <w:highlight w:val="none"/>
          <w:lang w:eastAsia="zh-CN"/>
        </w:rPr>
        <w:t>坡脚已有</w:t>
      </w:r>
      <w:r>
        <w:rPr>
          <w:rFonts w:hint="eastAsia" w:ascii="Times New Roman" w:hAnsi="Times New Roman" w:eastAsia="宋体" w:cs="宋体"/>
          <w:color w:val="auto"/>
          <w:sz w:val="28"/>
          <w:szCs w:val="28"/>
          <w:highlight w:val="none"/>
        </w:rPr>
        <w:t>排水系统，坡面植被发育，现状稳定</w:t>
      </w:r>
      <w:r>
        <w:rPr>
          <w:rFonts w:hint="eastAsia" w:ascii="宋体" w:hAnsi="宋体"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eastAsia="zh-CN"/>
        </w:rPr>
        <w:t>因安全距离要求，后续</w:t>
      </w:r>
      <w:r>
        <w:rPr>
          <w:rFonts w:hint="eastAsia" w:ascii="Times New Roman" w:hAnsi="Times New Roman" w:eastAsia="宋体"/>
          <w:color w:val="auto"/>
          <w:sz w:val="28"/>
          <w:szCs w:val="28"/>
          <w:highlight w:val="none"/>
        </w:rPr>
        <w:t>作为</w:t>
      </w:r>
      <w:r>
        <w:rPr>
          <w:rFonts w:hint="eastAsia" w:ascii="Times New Roman" w:hAnsi="Times New Roman" w:eastAsia="宋体"/>
          <w:color w:val="auto"/>
          <w:sz w:val="28"/>
          <w:szCs w:val="28"/>
          <w:highlight w:val="none"/>
          <w:lang w:eastAsia="zh-CN"/>
        </w:rPr>
        <w:t>办公生活区中</w:t>
      </w:r>
      <w:r>
        <w:rPr>
          <w:rFonts w:hint="eastAsia" w:ascii="Times New Roman" w:hAnsi="Times New Roman" w:eastAsia="宋体" w:cs="宋体"/>
          <w:color w:val="auto"/>
          <w:sz w:val="28"/>
          <w:szCs w:val="28"/>
          <w:highlight w:val="none"/>
          <w:lang w:eastAsia="zh-CN"/>
        </w:rPr>
        <w:t>办公楼</w:t>
      </w:r>
      <w:r>
        <w:rPr>
          <w:rFonts w:hint="eastAsia" w:ascii="Times New Roman" w:hAnsi="Times New Roman" w:eastAsia="宋体"/>
          <w:color w:val="auto"/>
          <w:sz w:val="28"/>
          <w:szCs w:val="28"/>
          <w:highlight w:val="none"/>
        </w:rPr>
        <w:t>使用</w:t>
      </w:r>
      <w:r>
        <w:rPr>
          <w:rFonts w:hint="eastAsia" w:ascii="Times New Roman" w:hAnsi="Times New Roman" w:eastAsia="宋体" w:cs="宋体"/>
          <w:color w:val="auto"/>
          <w:sz w:val="28"/>
          <w:szCs w:val="28"/>
          <w:highlight w:val="none"/>
        </w:rPr>
        <w:t>。</w:t>
      </w:r>
    </w:p>
    <w:p w14:paraId="3685B8AA">
      <w:pPr>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eastAsia="zh-CN"/>
        </w:rPr>
        <w:t>现有办公生活区</w:t>
      </w:r>
      <w:r>
        <w:rPr>
          <w:rFonts w:hint="eastAsia" w:ascii="Times New Roman" w:hAnsi="Times New Roman" w:eastAsia="宋体" w:cs="宋体"/>
          <w:color w:val="auto"/>
          <w:sz w:val="28"/>
          <w:szCs w:val="28"/>
          <w:highlight w:val="none"/>
          <w:lang w:val="en-US" w:eastAsia="zh-CN"/>
        </w:rPr>
        <w:t>（标高+456.5m）</w:t>
      </w:r>
      <w:r>
        <w:rPr>
          <w:rFonts w:hint="eastAsia" w:ascii="Times New Roman" w:hAnsi="Times New Roman" w:eastAsia="宋体" w:cs="宋体"/>
          <w:color w:val="auto"/>
          <w:sz w:val="28"/>
          <w:szCs w:val="28"/>
          <w:highlight w:val="none"/>
        </w:rPr>
        <w:t>场地位于</w:t>
      </w:r>
      <w:r>
        <w:rPr>
          <w:rFonts w:hint="eastAsia" w:ascii="Times New Roman" w:hAnsi="Times New Roman" w:eastAsia="宋体" w:cs="宋体"/>
          <w:color w:val="auto"/>
          <w:sz w:val="28"/>
          <w:szCs w:val="28"/>
          <w:highlight w:val="none"/>
          <w:lang w:eastAsia="zh-CN"/>
        </w:rPr>
        <w:t>矿区东部南侧农村道路边缘</w:t>
      </w:r>
      <w:r>
        <w:rPr>
          <w:rFonts w:hint="eastAsia" w:ascii="Times New Roman" w:hAnsi="Times New Roman" w:eastAsia="宋体" w:cs="宋体"/>
          <w:color w:val="auto"/>
          <w:sz w:val="28"/>
          <w:szCs w:val="28"/>
          <w:highlight w:val="none"/>
        </w:rPr>
        <w:t>，占地面积为</w:t>
      </w:r>
      <w:r>
        <w:rPr>
          <w:rFonts w:hint="eastAsia" w:ascii="Times New Roman" w:hAnsi="Times New Roman" w:eastAsia="宋体" w:cs="宋体"/>
          <w:color w:val="auto"/>
          <w:sz w:val="28"/>
          <w:szCs w:val="28"/>
          <w:highlight w:val="none"/>
          <w:lang w:val="en-US" w:eastAsia="zh-CN"/>
        </w:rPr>
        <w:t>0.1170</w:t>
      </w:r>
      <w:r>
        <w:rPr>
          <w:rFonts w:hint="eastAsia" w:ascii="Times New Roman" w:hAnsi="Times New Roman" w:eastAsia="宋体" w:cs="宋体"/>
          <w:color w:val="auto"/>
          <w:sz w:val="28"/>
          <w:szCs w:val="28"/>
          <w:highlight w:val="none"/>
        </w:rPr>
        <w:t>hm</w:t>
      </w:r>
      <w:r>
        <w:rPr>
          <w:rFonts w:hint="eastAsia" w:ascii="Times New Roman" w:hAnsi="Times New Roman" w:eastAsia="宋体" w:cs="宋体"/>
          <w:color w:val="auto"/>
          <w:sz w:val="28"/>
          <w:szCs w:val="28"/>
          <w:highlight w:val="none"/>
          <w:vertAlign w:val="superscript"/>
        </w:rPr>
        <w:t>2</w:t>
      </w:r>
      <w:r>
        <w:rPr>
          <w:rFonts w:hint="eastAsia" w:ascii="Times New Roman" w:hAnsi="Times New Roman" w:eastAsia="宋体" w:cs="宋体"/>
          <w:color w:val="auto"/>
          <w:sz w:val="28"/>
          <w:szCs w:val="28"/>
          <w:highlight w:val="none"/>
        </w:rPr>
        <w:t>，为人工填筑形成的平台，</w:t>
      </w:r>
      <w:r>
        <w:rPr>
          <w:rFonts w:hint="eastAsia" w:ascii="Times New Roman" w:hAnsi="Times New Roman" w:eastAsia="宋体" w:cs="宋体"/>
          <w:color w:val="auto"/>
          <w:sz w:val="28"/>
          <w:szCs w:val="28"/>
          <w:highlight w:val="none"/>
          <w:lang w:eastAsia="zh-CN"/>
        </w:rPr>
        <w:t>现南侧边缘河流已设</w:t>
      </w:r>
      <w:r>
        <w:rPr>
          <w:rFonts w:hint="eastAsia" w:ascii="Times New Roman" w:hAnsi="Times New Roman" w:eastAsia="宋体" w:cs="宋体"/>
          <w:color w:val="auto"/>
          <w:sz w:val="28"/>
          <w:szCs w:val="28"/>
          <w:highlight w:val="none"/>
        </w:rPr>
        <w:t>挡墙</w:t>
      </w:r>
      <w:r>
        <w:rPr>
          <w:rFonts w:hint="eastAsia" w:ascii="Times New Roman" w:hAnsi="Times New Roman" w:eastAsia="宋体" w:cs="宋体"/>
          <w:color w:val="auto"/>
          <w:sz w:val="28"/>
          <w:szCs w:val="28"/>
          <w:highlight w:val="none"/>
          <w:lang w:eastAsia="zh-CN"/>
        </w:rPr>
        <w:t>及后方排水系统</w:t>
      </w:r>
      <w:r>
        <w:rPr>
          <w:rFonts w:hint="eastAsia" w:ascii="Times New Roman" w:hAnsi="Times New Roman" w:eastAsia="宋体" w:cs="宋体"/>
          <w:color w:val="auto"/>
          <w:sz w:val="28"/>
          <w:szCs w:val="28"/>
          <w:highlight w:val="none"/>
        </w:rPr>
        <w:t>，现状稳定，</w:t>
      </w:r>
      <w:r>
        <w:rPr>
          <w:rFonts w:hint="eastAsia" w:ascii="Times New Roman" w:hAnsi="Times New Roman" w:eastAsia="宋体"/>
          <w:color w:val="auto"/>
          <w:sz w:val="28"/>
          <w:szCs w:val="28"/>
          <w:highlight w:val="none"/>
        </w:rPr>
        <w:t>可</w:t>
      </w:r>
      <w:r>
        <w:rPr>
          <w:rFonts w:hint="eastAsia" w:ascii="Times New Roman" w:hAnsi="Times New Roman" w:eastAsia="宋体"/>
          <w:color w:val="auto"/>
          <w:sz w:val="28"/>
          <w:szCs w:val="28"/>
          <w:highlight w:val="none"/>
          <w:lang w:eastAsia="zh-CN"/>
        </w:rPr>
        <w:t>继续</w:t>
      </w:r>
      <w:r>
        <w:rPr>
          <w:rFonts w:hint="eastAsia" w:ascii="Times New Roman" w:hAnsi="Times New Roman" w:eastAsia="宋体"/>
          <w:color w:val="auto"/>
          <w:sz w:val="28"/>
          <w:szCs w:val="28"/>
          <w:highlight w:val="none"/>
        </w:rPr>
        <w:t>作为</w:t>
      </w:r>
      <w:r>
        <w:rPr>
          <w:rFonts w:hint="eastAsia" w:ascii="Times New Roman" w:hAnsi="Times New Roman" w:eastAsia="宋体"/>
          <w:color w:val="auto"/>
          <w:sz w:val="28"/>
          <w:szCs w:val="28"/>
          <w:highlight w:val="none"/>
          <w:lang w:eastAsia="zh-CN"/>
        </w:rPr>
        <w:t>办公生活区中</w:t>
      </w:r>
      <w:r>
        <w:rPr>
          <w:rFonts w:hint="eastAsia" w:ascii="Times New Roman" w:hAnsi="Times New Roman" w:eastAsia="宋体" w:cs="宋体"/>
          <w:color w:val="auto"/>
          <w:sz w:val="28"/>
          <w:szCs w:val="28"/>
          <w:highlight w:val="none"/>
          <w:lang w:eastAsia="zh-CN"/>
        </w:rPr>
        <w:t>生活区</w:t>
      </w:r>
      <w:r>
        <w:rPr>
          <w:rFonts w:hint="eastAsia" w:ascii="Times New Roman" w:hAnsi="Times New Roman" w:eastAsia="宋体"/>
          <w:color w:val="auto"/>
          <w:sz w:val="28"/>
          <w:szCs w:val="28"/>
          <w:highlight w:val="none"/>
        </w:rPr>
        <w:t>使用</w:t>
      </w:r>
      <w:r>
        <w:rPr>
          <w:rFonts w:hint="eastAsia" w:ascii="Times New Roman" w:hAnsi="Times New Roman" w:eastAsia="宋体" w:cs="宋体"/>
          <w:color w:val="auto"/>
          <w:sz w:val="28"/>
          <w:szCs w:val="28"/>
          <w:highlight w:val="none"/>
        </w:rPr>
        <w:t>。</w:t>
      </w:r>
    </w:p>
    <w:p w14:paraId="78081B11">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p>
    <w:p w14:paraId="3B6B9238">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p>
    <w:p w14:paraId="6FD8AAB2">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p>
    <w:p w14:paraId="571C50BC">
      <w:pPr>
        <w:pStyle w:val="2"/>
        <w:keepNext/>
        <w:keepLines/>
        <w:pageBreakBefore w:val="0"/>
        <w:widowControl/>
        <w:kinsoku w:val="0"/>
        <w:wordWrap/>
        <w:overflowPunct/>
        <w:topLinePunct w:val="0"/>
        <w:autoSpaceDE w:val="0"/>
        <w:autoSpaceDN w:val="0"/>
        <w:bidi w:val="0"/>
        <w:adjustRightInd w:val="0"/>
        <w:snapToGrid w:val="0"/>
        <w:spacing w:before="100" w:beforeAutospacing="1" w:after="100" w:afterAutospacing="1" w:line="240" w:lineRule="auto"/>
        <w:ind w:firstLine="0" w:firstLineChars="0"/>
        <w:jc w:val="center"/>
        <w:textAlignment w:val="baseline"/>
        <w:rPr>
          <w:rFonts w:hint="eastAsia" w:ascii="黑体" w:hAnsi="黑体" w:eastAsia="黑体" w:cs="黑体"/>
          <w:bCs/>
          <w:snapToGrid w:val="0"/>
          <w:color w:val="auto"/>
          <w:sz w:val="32"/>
          <w:szCs w:val="32"/>
          <w:highlight w:val="none"/>
          <w:lang w:eastAsia="zh-CN" w:bidi="ar"/>
        </w:rPr>
        <w:sectPr>
          <w:pgSz w:w="11905" w:h="16838"/>
          <w:pgMar w:top="1417" w:right="1417" w:bottom="1417" w:left="1417" w:header="851" w:footer="992" w:gutter="0"/>
          <w:pgBorders>
            <w:top w:val="none" w:sz="0" w:space="0"/>
            <w:left w:val="none" w:sz="0" w:space="0"/>
            <w:bottom w:val="none" w:sz="0" w:space="0"/>
            <w:right w:val="none" w:sz="0" w:space="0"/>
          </w:pgBorders>
          <w:pgNumType w:fmt="decimal"/>
          <w:cols w:space="720" w:num="1"/>
          <w:docGrid w:type="linesAndChars" w:linePitch="312" w:charSpace="1223"/>
        </w:sectPr>
      </w:pPr>
    </w:p>
    <w:p w14:paraId="74722B92">
      <w:pPr>
        <w:pStyle w:val="2"/>
        <w:keepNext/>
        <w:keepLines/>
        <w:pageBreakBefore w:val="0"/>
        <w:widowControl/>
        <w:kinsoku w:val="0"/>
        <w:wordWrap/>
        <w:overflowPunct/>
        <w:topLinePunct w:val="0"/>
        <w:autoSpaceDE w:val="0"/>
        <w:autoSpaceDN w:val="0"/>
        <w:bidi w:val="0"/>
        <w:adjustRightInd w:val="0"/>
        <w:snapToGrid w:val="0"/>
        <w:spacing w:before="100" w:beforeAutospacing="1" w:after="100" w:afterAutospacing="1" w:line="240" w:lineRule="auto"/>
        <w:ind w:firstLine="0" w:firstLineChars="0"/>
        <w:jc w:val="center"/>
        <w:textAlignment w:val="baseline"/>
        <w:rPr>
          <w:rFonts w:hint="eastAsia" w:ascii="黑体" w:hAnsi="黑体" w:eastAsia="黑体" w:cs="黑体"/>
          <w:bCs/>
          <w:snapToGrid w:val="0"/>
          <w:color w:val="auto"/>
          <w:sz w:val="32"/>
          <w:szCs w:val="32"/>
          <w:highlight w:val="none"/>
          <w:lang w:val="en-US" w:eastAsia="zh-CN" w:bidi="ar"/>
        </w:rPr>
      </w:pPr>
      <w:bookmarkStart w:id="30" w:name="_Toc2506"/>
      <w:r>
        <w:rPr>
          <w:rFonts w:hint="eastAsia" w:ascii="黑体" w:hAnsi="黑体" w:eastAsia="黑体" w:cs="黑体"/>
          <w:bCs/>
          <w:snapToGrid w:val="0"/>
          <w:color w:val="auto"/>
          <w:sz w:val="32"/>
          <w:szCs w:val="32"/>
          <w:highlight w:val="none"/>
          <w:lang w:eastAsia="zh-CN" w:bidi="ar"/>
        </w:rPr>
        <w:t>第二章 矿区地质与矿产资源情况</w:t>
      </w:r>
      <w:bookmarkEnd w:id="30"/>
    </w:p>
    <w:p w14:paraId="2EE9CFDE">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eastAsia="zh-CN"/>
        </w:rPr>
      </w:pPr>
      <w:bookmarkStart w:id="31" w:name="_Toc8182"/>
      <w:r>
        <w:rPr>
          <w:rFonts w:hint="eastAsia" w:ascii="宋体" w:hAnsi="宋体" w:eastAsia="宋体" w:cs="宋体"/>
          <w:b/>
          <w:bCs w:val="0"/>
          <w:snapToGrid w:val="0"/>
          <w:color w:val="auto"/>
          <w:kern w:val="0"/>
          <w:sz w:val="30"/>
          <w:szCs w:val="30"/>
          <w:highlight w:val="none"/>
          <w:lang w:val="en-US" w:eastAsia="zh-CN"/>
        </w:rPr>
        <w:t>2</w:t>
      </w:r>
      <w:r>
        <w:rPr>
          <w:rFonts w:hint="eastAsia" w:ascii="宋体" w:hAnsi="宋体" w:eastAsia="宋体" w:cs="宋体"/>
          <w:b/>
          <w:bCs w:val="0"/>
          <w:snapToGrid w:val="0"/>
          <w:color w:val="auto"/>
          <w:kern w:val="0"/>
          <w:sz w:val="30"/>
          <w:szCs w:val="30"/>
          <w:highlight w:val="none"/>
          <w:lang w:eastAsia="zh-CN"/>
        </w:rPr>
        <w:t>.1矿床地质与矿体特征</w:t>
      </w:r>
      <w:bookmarkEnd w:id="31"/>
    </w:p>
    <w:p w14:paraId="60D365B1">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2.1.1矿床地质及构造特征</w:t>
      </w:r>
    </w:p>
    <w:p w14:paraId="4FCA38BF">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32" w:name="_Hlk69498060"/>
      <w:bookmarkStart w:id="33" w:name="_Hlk201046099"/>
      <w:r>
        <w:rPr>
          <w:rFonts w:hint="eastAsia" w:ascii="宋体" w:hAnsi="宋体" w:eastAsia="宋体" w:cs="宋体"/>
          <w:b/>
          <w:bCs/>
          <w:color w:val="auto"/>
          <w:sz w:val="28"/>
          <w:szCs w:val="28"/>
          <w:highlight w:val="none"/>
          <w:lang w:val="en-US" w:eastAsia="zh-CN"/>
        </w:rPr>
        <w:t>一、地层</w:t>
      </w:r>
    </w:p>
    <w:p w14:paraId="5FA6B09D">
      <w:pPr>
        <w:pageBreakBefore w:val="0"/>
        <w:widowControl w:val="0"/>
        <w:kinsoku/>
        <w:wordWrap/>
        <w:overflowPunct/>
        <w:topLinePunct w:val="0"/>
        <w:autoSpaceDE/>
        <w:autoSpaceDN/>
        <w:bidi w:val="0"/>
        <w:snapToGrid w:val="0"/>
        <w:spacing w:line="360" w:lineRule="auto"/>
        <w:ind w:firstLine="48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矿区内出露地层主要有石炭系下统林地组（C</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l）、二叠系下统船山组(P</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c)及第四系（Q）,地层特征分述如下：</w:t>
      </w:r>
    </w:p>
    <w:p w14:paraId="7DBA134D">
      <w:pPr>
        <w:pageBreakBefore w:val="0"/>
        <w:widowControl w:val="0"/>
        <w:kinsoku/>
        <w:wordWrap/>
        <w:overflowPunct/>
        <w:topLinePunct w:val="0"/>
        <w:autoSpaceDE/>
        <w:autoSpaceDN/>
        <w:bidi w:val="0"/>
        <w:snapToGrid w:val="0"/>
        <w:spacing w:line="360" w:lineRule="auto"/>
        <w:ind w:firstLine="48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石炭系下统林地组（C</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l）：</w:t>
      </w:r>
      <w:bookmarkStart w:id="34" w:name="_Hlk170409321"/>
      <w:r>
        <w:rPr>
          <w:rFonts w:hint="eastAsia" w:ascii="宋体" w:hAnsi="宋体" w:eastAsia="宋体" w:cs="宋体"/>
          <w:color w:val="auto"/>
          <w:sz w:val="28"/>
          <w:szCs w:val="28"/>
          <w:highlight w:val="none"/>
        </w:rPr>
        <w:t>分布于矿区西部，小面积出露于矿区南部外围，岩性主要为变质石英砂岩、</w:t>
      </w:r>
      <w:r>
        <w:rPr>
          <w:rFonts w:hint="eastAsia" w:ascii="宋体" w:hAnsi="宋体" w:eastAsia="宋体" w:cs="宋体"/>
          <w:bCs/>
          <w:color w:val="auto"/>
          <w:sz w:val="28"/>
          <w:szCs w:val="28"/>
          <w:highlight w:val="none"/>
        </w:rPr>
        <w:t>石英砂砾岩、</w:t>
      </w:r>
      <w:r>
        <w:rPr>
          <w:rFonts w:hint="eastAsia" w:ascii="宋体" w:hAnsi="宋体" w:eastAsia="宋体" w:cs="宋体"/>
          <w:color w:val="auto"/>
          <w:sz w:val="28"/>
          <w:szCs w:val="28"/>
          <w:highlight w:val="none"/>
        </w:rPr>
        <w:t>变质粉砂岩、角岩等；地层走向为北东向，倾向为北西318°～325°，倾角为60°～78°。地层厚度大于100m。</w:t>
      </w:r>
      <w:bookmarkEnd w:id="34"/>
    </w:p>
    <w:p w14:paraId="45BC096E">
      <w:pPr>
        <w:pageBreakBefore w:val="0"/>
        <w:widowControl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35" w:name="_Hlk170409345"/>
      <w:bookmarkStart w:id="36" w:name="_Hlk201047230"/>
      <w:r>
        <w:rPr>
          <w:rFonts w:hint="eastAsia" w:ascii="宋体" w:hAnsi="宋体" w:eastAsia="宋体" w:cs="宋体"/>
          <w:color w:val="auto"/>
          <w:sz w:val="28"/>
          <w:szCs w:val="28"/>
          <w:highlight w:val="none"/>
        </w:rPr>
        <w:t>二叠系下统船山组</w:t>
      </w:r>
      <w:bookmarkEnd w:id="35"/>
      <w:r>
        <w:rPr>
          <w:rFonts w:hint="eastAsia" w:ascii="宋体" w:hAnsi="宋体" w:eastAsia="宋体" w:cs="宋体"/>
          <w:color w:val="auto"/>
          <w:sz w:val="28"/>
          <w:szCs w:val="28"/>
          <w:highlight w:val="none"/>
        </w:rPr>
        <w:t>(P</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c)：</w:t>
      </w:r>
      <w:bookmarkStart w:id="37" w:name="_Hlk170409365"/>
      <w:r>
        <w:rPr>
          <w:rFonts w:hint="eastAsia" w:ascii="宋体" w:hAnsi="宋体" w:eastAsia="宋体" w:cs="宋体"/>
          <w:color w:val="auto"/>
          <w:sz w:val="28"/>
          <w:szCs w:val="28"/>
          <w:highlight w:val="none"/>
        </w:rPr>
        <w:t>在矿区内大面积出露，为一套碳酸盐岩，岩性主要为大理岩、白云石方解石大理岩、方解石白云石大理岩、白云石大理岩等，在矿区西部的该地层下部夹角岩化石英砂岩、白云母石英角岩等，可见硅质结核，为矿区内方解石矿、白云石方解石矿的主要赋矿层位。</w:t>
      </w:r>
      <w:bookmarkEnd w:id="32"/>
      <w:bookmarkEnd w:id="37"/>
      <w:bookmarkStart w:id="38" w:name="_Hlk170409378"/>
      <w:r>
        <w:rPr>
          <w:rFonts w:hint="eastAsia" w:ascii="宋体" w:hAnsi="宋体" w:eastAsia="宋体" w:cs="宋体"/>
          <w:color w:val="auto"/>
          <w:sz w:val="28"/>
          <w:szCs w:val="28"/>
          <w:highlight w:val="none"/>
        </w:rPr>
        <w:t>地层总体走向北东60°～80°，倾向南东，倾角15°～60°。地层厚度大于200m。与石炭系下统林地组碎屑岩呈断层接触，上部被第四系掩盖（地表为梯田），关系不清；与</w:t>
      </w:r>
      <w:r>
        <w:rPr>
          <w:rFonts w:hint="eastAsia" w:ascii="宋体" w:hAnsi="宋体" w:eastAsia="宋体" w:cs="宋体"/>
          <w:color w:val="auto"/>
          <w:kern w:val="0"/>
          <w:sz w:val="28"/>
          <w:szCs w:val="28"/>
          <w:highlight w:val="none"/>
        </w:rPr>
        <w:t>晚侏罗世正长花岗岩</w:t>
      </w:r>
      <w:r>
        <w:rPr>
          <w:rFonts w:hint="eastAsia" w:ascii="宋体" w:hAnsi="宋体" w:eastAsia="宋体" w:cs="宋体"/>
          <w:color w:val="auto"/>
          <w:sz w:val="28"/>
          <w:szCs w:val="28"/>
          <w:highlight w:val="none"/>
        </w:rPr>
        <w:t>呈侵入接触。</w:t>
      </w:r>
    </w:p>
    <w:bookmarkEnd w:id="36"/>
    <w:p w14:paraId="139CD383">
      <w:pPr>
        <w:pageBreakBefore w:val="0"/>
        <w:widowControl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第四系（Q）：在矿区内大面积出露，主要分布于河流、谷地等低洼处，一般由褐色腐殖土和土黄色粉砂质粘土、粘土及少量碎石、砾石、卵石等组成，为残坡积、冲洪积物。厚度大于6m。</w:t>
      </w:r>
    </w:p>
    <w:bookmarkEnd w:id="33"/>
    <w:bookmarkEnd w:id="38"/>
    <w:p w14:paraId="1FCEFD59">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二、侵入岩</w:t>
      </w:r>
    </w:p>
    <w:p w14:paraId="7BD26ED0">
      <w:pPr>
        <w:pageBreakBefore w:val="0"/>
        <w:widowControl w:val="0"/>
        <w:kinsoku/>
        <w:wordWrap/>
        <w:overflowPunct/>
        <w:topLinePunct w:val="0"/>
        <w:autoSpaceDE/>
        <w:autoSpaceDN/>
        <w:bidi w:val="0"/>
        <w:snapToGrid w:val="0"/>
        <w:spacing w:line="360" w:lineRule="auto"/>
        <w:ind w:firstLine="480"/>
        <w:jc w:val="left"/>
        <w:rPr>
          <w:rFonts w:hint="eastAsia" w:ascii="宋体" w:hAnsi="宋体" w:eastAsia="宋体" w:cs="宋体"/>
          <w:color w:val="auto"/>
          <w:sz w:val="28"/>
          <w:szCs w:val="28"/>
          <w:highlight w:val="none"/>
        </w:rPr>
      </w:pPr>
      <w:bookmarkStart w:id="39" w:name="_Toc143745516"/>
      <w:bookmarkStart w:id="40" w:name="_Hlk170409425"/>
      <w:r>
        <w:rPr>
          <w:rFonts w:hint="eastAsia" w:ascii="宋体" w:hAnsi="宋体" w:eastAsia="宋体" w:cs="宋体"/>
          <w:color w:val="auto"/>
          <w:sz w:val="28"/>
          <w:szCs w:val="28"/>
          <w:highlight w:val="none"/>
        </w:rPr>
        <w:t>矿区内岩浆岩主要有晚侏罗世(似斑状)中粗（细）粒黑云母正长花岗岩（ξγJ</w:t>
      </w:r>
      <w:r>
        <w:rPr>
          <w:rFonts w:hint="eastAsia" w:ascii="宋体" w:hAnsi="宋体" w:eastAsia="宋体" w:cs="宋体"/>
          <w:color w:val="auto"/>
          <w:sz w:val="28"/>
          <w:szCs w:val="28"/>
          <w:highlight w:val="none"/>
          <w:vertAlign w:val="subscript"/>
        </w:rPr>
        <w:t>3</w:t>
      </w:r>
      <w:r>
        <w:rPr>
          <w:rFonts w:hint="eastAsia" w:ascii="宋体" w:hAnsi="宋体" w:eastAsia="宋体" w:cs="宋体"/>
          <w:color w:val="auto"/>
          <w:sz w:val="28"/>
          <w:szCs w:val="28"/>
          <w:highlight w:val="none"/>
        </w:rPr>
        <w:t>）、早白垩世正长岩（ξK1）及闪长岩脉（δ）。区内方解石矿、白云石方解石矿的形成与晚侏罗世(似斑状)中粗粒黑云母正长花岗岩的侵入密切相关。</w:t>
      </w:r>
    </w:p>
    <w:p w14:paraId="01F52E8F">
      <w:pPr>
        <w:pageBreakBefore w:val="0"/>
        <w:widowControl w:val="0"/>
        <w:kinsoku/>
        <w:wordWrap/>
        <w:overflowPunct/>
        <w:topLinePunct w:val="0"/>
        <w:autoSpaceDE/>
        <w:autoSpaceDN/>
        <w:bidi w:val="0"/>
        <w:snapToGrid w:val="0"/>
        <w:spacing w:line="360" w:lineRule="auto"/>
        <w:ind w:firstLine="48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晚侏罗世(似斑状)中粗（细）粒黑云母正长花岗岩（ξγJ</w:t>
      </w:r>
      <w:r>
        <w:rPr>
          <w:rFonts w:hint="eastAsia" w:ascii="宋体" w:hAnsi="宋体" w:eastAsia="宋体" w:cs="宋体"/>
          <w:color w:val="auto"/>
          <w:sz w:val="28"/>
          <w:szCs w:val="28"/>
          <w:highlight w:val="none"/>
          <w:vertAlign w:val="subscript"/>
        </w:rPr>
        <w:t>3</w:t>
      </w:r>
      <w:r>
        <w:rPr>
          <w:rFonts w:hint="eastAsia" w:ascii="宋体" w:hAnsi="宋体" w:eastAsia="宋体" w:cs="宋体"/>
          <w:color w:val="auto"/>
          <w:sz w:val="28"/>
          <w:szCs w:val="28"/>
          <w:highlight w:val="none"/>
        </w:rPr>
        <w:t>）：大面积出露于矿区及外围，呈岩基状产出，为白莲岩体向南西的延伸部分，岩石呈肉红色—浅肉红色，似斑状结构、中粗(细)粒花岗结构，块状构造。区内二叠系下统船山组地层沿走向往北东及深部延伸均已被该花岗岩体的侵入所吞蚀。</w:t>
      </w:r>
    </w:p>
    <w:p w14:paraId="39BB7BD0">
      <w:pPr>
        <w:pageBreakBefore w:val="0"/>
        <w:widowControl w:val="0"/>
        <w:kinsoku/>
        <w:wordWrap/>
        <w:overflowPunct/>
        <w:topLinePunct w:val="0"/>
        <w:autoSpaceDE/>
        <w:autoSpaceDN/>
        <w:bidi w:val="0"/>
        <w:snapToGrid w:val="0"/>
        <w:spacing w:line="360" w:lineRule="auto"/>
        <w:ind w:firstLine="48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早白垩世正长岩（ξK</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分布在矿区南西部外围，呈岩株状产出，岩石呈浅肉红色，他形—半自形中粒结构，块状构造，主要由条纹长石或微条纹长石组成，含量＞85%，次有暗色矿物黑云母、角闪石和霓辉石或普通辉石，总量约10%，另有少量副矿物，磁铁矿、钛铁矿、磷灰石和榍石等，次生矿物有绿泥石，绢云母，石英含量很少。该流体与矿体关系不大。</w:t>
      </w:r>
    </w:p>
    <w:p w14:paraId="1C0B6715">
      <w:pPr>
        <w:pageBreakBefore w:val="0"/>
        <w:widowControl w:val="0"/>
        <w:kinsoku/>
        <w:wordWrap/>
        <w:overflowPunct/>
        <w:topLinePunct w:val="0"/>
        <w:autoSpaceDE/>
        <w:autoSpaceDN/>
        <w:bidi w:val="0"/>
        <w:snapToGrid w:val="0"/>
        <w:spacing w:line="360" w:lineRule="auto"/>
        <w:ind w:firstLine="48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闪长岩脉（δ）：灰色，深灰色,细-中粒结构，块状构造。岩石由斜长石（55-60%）、角闪石（40-45%）组成及少量黄铁矿。斜长石呈灰白色，半自形-它形粒状，大小0.2-4mm；角闪石呈灰绿色，半自形-他形粒状，大小0.2-4mm。黄铁矿呈浅黄绿色，半自形粒状，粒径0.2mm，呈星点状不均匀分布于岩石中。闪长岩呈脉状穿插于矿体内，对矿体破坏有限，仅在KZK607钻孔内见到，厚度1.44m。</w:t>
      </w:r>
    </w:p>
    <w:bookmarkEnd w:id="39"/>
    <w:bookmarkEnd w:id="40"/>
    <w:p w14:paraId="24712699">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三、构造</w:t>
      </w:r>
    </w:p>
    <w:p w14:paraId="2F8BEF97">
      <w:pPr>
        <w:pageBreakBefore w:val="0"/>
        <w:widowControl w:val="0"/>
        <w:kinsoku/>
        <w:wordWrap/>
        <w:overflowPunct/>
        <w:topLinePunct w:val="0"/>
        <w:autoSpaceDE/>
        <w:autoSpaceDN/>
        <w:bidi w:val="0"/>
        <w:snapToGrid w:val="0"/>
        <w:spacing w:line="360" w:lineRule="auto"/>
        <w:ind w:firstLine="480"/>
        <w:rPr>
          <w:rFonts w:hint="eastAsia" w:ascii="宋体" w:hAnsi="宋体" w:eastAsia="宋体" w:cs="宋体"/>
          <w:b w:val="0"/>
          <w:bCs w:val="0"/>
          <w:color w:val="auto"/>
          <w:sz w:val="28"/>
          <w:szCs w:val="28"/>
          <w:highlight w:val="none"/>
        </w:rPr>
      </w:pPr>
      <w:bookmarkStart w:id="41" w:name="_Hlk206846766"/>
      <w:r>
        <w:rPr>
          <w:rFonts w:hint="eastAsia" w:ascii="宋体" w:hAnsi="宋体" w:eastAsia="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rPr>
        <w:t xml:space="preserve">、褶皱 </w:t>
      </w:r>
    </w:p>
    <w:p w14:paraId="40F1C5BC">
      <w:pPr>
        <w:pageBreakBefore w:val="0"/>
        <w:widowControl w:val="0"/>
        <w:kinsoku/>
        <w:wordWrap/>
        <w:overflowPunct/>
        <w:topLinePunct w:val="0"/>
        <w:autoSpaceDE/>
        <w:autoSpaceDN/>
        <w:bidi w:val="0"/>
        <w:snapToGrid w:val="0"/>
        <w:spacing w:line="360" w:lineRule="auto"/>
        <w:ind w:firstLine="480"/>
        <w:jc w:val="left"/>
        <w:rPr>
          <w:rFonts w:hint="eastAsia" w:ascii="宋体" w:hAnsi="宋体" w:eastAsia="宋体" w:cs="宋体"/>
          <w:color w:val="auto"/>
          <w:sz w:val="28"/>
          <w:szCs w:val="28"/>
          <w:highlight w:val="none"/>
        </w:rPr>
      </w:pPr>
      <w:bookmarkStart w:id="42" w:name="_Hlk201046655"/>
      <w:r>
        <w:rPr>
          <w:rFonts w:hint="eastAsia" w:ascii="宋体" w:hAnsi="宋体" w:eastAsia="宋体" w:cs="宋体"/>
          <w:color w:val="auto"/>
          <w:sz w:val="28"/>
          <w:szCs w:val="28"/>
          <w:highlight w:val="none"/>
        </w:rPr>
        <w:t>区内地层总体呈单斜产出，二叠系下统船山组走向北东60°～80°，倾向南东，倾角15°～60°，受岩浆侵入影响，呈上部缓下部陡弯曲状，局部可见褶曲；石炭系下统林地组地层走向为北东向，倾向为北西318°～325°，倾角为60°～78°。</w:t>
      </w:r>
    </w:p>
    <w:bookmarkEnd w:id="42"/>
    <w:p w14:paraId="65DCA5B0">
      <w:pPr>
        <w:pageBreakBefore w:val="0"/>
        <w:widowControl w:val="0"/>
        <w:kinsoku/>
        <w:wordWrap/>
        <w:overflowPunct/>
        <w:topLinePunct w:val="0"/>
        <w:autoSpaceDE/>
        <w:autoSpaceDN/>
        <w:bidi w:val="0"/>
        <w:snapToGrid w:val="0"/>
        <w:spacing w:line="360" w:lineRule="auto"/>
        <w:ind w:firstLine="480"/>
        <w:rPr>
          <w:rFonts w:hint="eastAsia" w:ascii="宋体" w:hAnsi="宋体" w:eastAsia="宋体" w:cs="宋体"/>
          <w:b w:val="0"/>
          <w:bCs w:val="0"/>
          <w:color w:val="auto"/>
          <w:sz w:val="28"/>
          <w:szCs w:val="28"/>
          <w:highlight w:val="none"/>
        </w:rPr>
      </w:pPr>
      <w:bookmarkStart w:id="43" w:name="_Hlk170409464"/>
      <w:r>
        <w:rPr>
          <w:rFonts w:hint="eastAsia" w:ascii="宋体" w:hAnsi="宋体" w:eastAsia="宋体" w:cs="宋体"/>
          <w:b w:val="0"/>
          <w:bCs w:val="0"/>
          <w:color w:val="auto"/>
          <w:sz w:val="28"/>
          <w:szCs w:val="28"/>
          <w:highlight w:val="none"/>
          <w:lang w:val="en-US" w:eastAsia="zh-CN"/>
        </w:rPr>
        <w:t>2</w:t>
      </w:r>
      <w:r>
        <w:rPr>
          <w:rFonts w:hint="eastAsia" w:ascii="宋体" w:hAnsi="宋体" w:eastAsia="宋体" w:cs="宋体"/>
          <w:b w:val="0"/>
          <w:bCs w:val="0"/>
          <w:color w:val="auto"/>
          <w:sz w:val="28"/>
          <w:szCs w:val="28"/>
          <w:highlight w:val="none"/>
        </w:rPr>
        <w:t xml:space="preserve">、断裂 </w:t>
      </w:r>
    </w:p>
    <w:p w14:paraId="3FA70CFE">
      <w:pPr>
        <w:pageBreakBefore w:val="0"/>
        <w:widowControl w:val="0"/>
        <w:kinsoku/>
        <w:wordWrap/>
        <w:overflowPunct/>
        <w:topLinePunct w:val="0"/>
        <w:autoSpaceDE/>
        <w:autoSpaceDN/>
        <w:bidi w:val="0"/>
        <w:snapToGrid w:val="0"/>
        <w:spacing w:line="360" w:lineRule="auto"/>
        <w:ind w:firstLine="482"/>
        <w:rPr>
          <w:rFonts w:hint="eastAsia" w:ascii="宋体" w:hAnsi="宋体" w:eastAsia="宋体" w:cs="宋体"/>
          <w:color w:val="auto"/>
          <w:sz w:val="28"/>
          <w:szCs w:val="28"/>
          <w:highlight w:val="none"/>
        </w:rPr>
      </w:pPr>
      <w:bookmarkStart w:id="44" w:name="_Hlk206846715"/>
      <w:r>
        <w:rPr>
          <w:rFonts w:hint="eastAsia" w:ascii="宋体" w:hAnsi="宋体" w:eastAsia="宋体" w:cs="宋体"/>
          <w:color w:val="auto"/>
          <w:sz w:val="28"/>
          <w:szCs w:val="28"/>
          <w:highlight w:val="none"/>
        </w:rPr>
        <w:t>区内主要发育有1条断裂，编号为F</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，为推覆构造，出露在矿区西部，走向北东，局部钻孔还揭露到层间小断裂，推测为压扭性断裂。</w:t>
      </w:r>
    </w:p>
    <w:p w14:paraId="02DF84BB">
      <w:pPr>
        <w:pageBreakBefore w:val="0"/>
        <w:widowControl w:val="0"/>
        <w:kinsoku/>
        <w:wordWrap/>
        <w:overflowPunct/>
        <w:topLinePunct w:val="0"/>
        <w:autoSpaceDE/>
        <w:autoSpaceDN/>
        <w:bidi w:val="0"/>
        <w:snapToGrid w:val="0"/>
        <w:spacing w:line="360" w:lineRule="auto"/>
        <w:ind w:firstLine="48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F</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断裂：为推覆构造，在区内属推覆体的前锋带，形成的构造以断裂和等厚褶皱为主，出露在矿区西部，往南西延伸至证外，区内断裂推测长度约360m。断层总体走向北东，倾向北西，倾角65-72°。</w:t>
      </w:r>
      <w:bookmarkEnd w:id="43"/>
      <w:r>
        <w:rPr>
          <w:rFonts w:hint="eastAsia" w:ascii="宋体" w:hAnsi="宋体" w:eastAsia="宋体" w:cs="宋体"/>
          <w:color w:val="auto"/>
          <w:sz w:val="28"/>
          <w:szCs w:val="28"/>
          <w:highlight w:val="none"/>
        </w:rPr>
        <w:t>断裂上盘为石炭系下统林地组（C</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l）,下盘为二叠系下统船山组(P</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c)。在2-4线北西侧的矿体受断裂切断。</w:t>
      </w:r>
    </w:p>
    <w:bookmarkEnd w:id="41"/>
    <w:bookmarkEnd w:id="44"/>
    <w:p w14:paraId="2C6424C2">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四、变质作用和围岩蚀变</w:t>
      </w:r>
    </w:p>
    <w:p w14:paraId="46B24022">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（一）变质作用</w:t>
      </w:r>
    </w:p>
    <w:p w14:paraId="2F23D283">
      <w:pPr>
        <w:pageBreakBefore w:val="0"/>
        <w:widowControl w:val="0"/>
        <w:kinsoku/>
        <w:wordWrap/>
        <w:overflowPunct/>
        <w:topLinePunct w:val="0"/>
        <w:autoSpaceDE/>
        <w:autoSpaceDN/>
        <w:bidi w:val="0"/>
        <w:snapToGrid w:val="0"/>
        <w:spacing w:line="360" w:lineRule="auto"/>
        <w:ind w:firstLine="570" w:firstLineChars="200"/>
        <w:jc w:val="left"/>
        <w:rPr>
          <w:rFonts w:hint="eastAsia" w:ascii="宋体" w:hAnsi="宋体" w:eastAsia="宋体" w:cs="宋体"/>
          <w:color w:val="auto"/>
          <w:sz w:val="28"/>
          <w:szCs w:val="28"/>
          <w:highlight w:val="none"/>
        </w:rPr>
      </w:pPr>
      <w:bookmarkStart w:id="45" w:name="_Hlk206846855"/>
      <w:r>
        <w:rPr>
          <w:rFonts w:hint="eastAsia" w:ascii="宋体" w:hAnsi="宋体" w:eastAsia="宋体" w:cs="宋体"/>
          <w:color w:val="auto"/>
          <w:sz w:val="28"/>
          <w:szCs w:val="28"/>
          <w:highlight w:val="none"/>
        </w:rPr>
        <w:t>区内变质作用的类型主要为热接触变质作用，次为接触交代变质作用和动力变质作用。</w:t>
      </w:r>
    </w:p>
    <w:bookmarkEnd w:id="45"/>
    <w:p w14:paraId="66E0AF61">
      <w:pPr>
        <w:pageBreakBefore w:val="0"/>
        <w:widowControl w:val="0"/>
        <w:kinsoku/>
        <w:wordWrap/>
        <w:overflowPunct/>
        <w:topLinePunct w:val="0"/>
        <w:autoSpaceDE/>
        <w:autoSpaceDN/>
        <w:bidi w:val="0"/>
        <w:snapToGrid w:val="0"/>
        <w:spacing w:line="360" w:lineRule="auto"/>
        <w:ind w:firstLine="57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1、热接触变质作用</w:t>
      </w:r>
    </w:p>
    <w:p w14:paraId="7D2E657C">
      <w:pPr>
        <w:pageBreakBefore w:val="0"/>
        <w:widowControl w:val="0"/>
        <w:kinsoku/>
        <w:wordWrap/>
        <w:overflowPunct/>
        <w:topLinePunct w:val="0"/>
        <w:autoSpaceDE/>
        <w:autoSpaceDN/>
        <w:bidi w:val="0"/>
        <w:snapToGrid w:val="0"/>
        <w:spacing w:line="360" w:lineRule="auto"/>
        <w:ind w:firstLine="57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区内普遍具热接触变质作用，船山组中的灰岩、白云岩及夹层的石英砂岩在温度升高的情况下进行重结晶作用，形成了大理岩、白云石方解石大理岩、方解石白云石大理岩、白云石大理岩及变质石英砂（砾）岩、角岩化石英砂岩、白云母石英角岩等。</w:t>
      </w:r>
    </w:p>
    <w:p w14:paraId="39B03CFE">
      <w:pPr>
        <w:pageBreakBefore w:val="0"/>
        <w:widowControl w:val="0"/>
        <w:kinsoku/>
        <w:wordWrap/>
        <w:overflowPunct/>
        <w:topLinePunct w:val="0"/>
        <w:autoSpaceDE/>
        <w:autoSpaceDN/>
        <w:bidi w:val="0"/>
        <w:snapToGrid w:val="0"/>
        <w:spacing w:line="360" w:lineRule="auto"/>
        <w:ind w:firstLine="57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2、接触交代作用</w:t>
      </w:r>
    </w:p>
    <w:p w14:paraId="329545EE">
      <w:pPr>
        <w:pageBreakBefore w:val="0"/>
        <w:widowControl w:val="0"/>
        <w:kinsoku/>
        <w:wordWrap/>
        <w:overflowPunct/>
        <w:topLinePunct w:val="0"/>
        <w:autoSpaceDE/>
        <w:autoSpaceDN/>
        <w:bidi w:val="0"/>
        <w:snapToGrid w:val="0"/>
        <w:spacing w:line="360" w:lineRule="auto"/>
        <w:ind w:firstLine="57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晚侏罗世黑云母正长花岗岩侵入船山组内，岩浆热液与碳酸盐岩发生接触交代作用，形成了硅灰石矽卡岩、透辉石矽卡岩、石榴子石矽卡岩等。</w:t>
      </w:r>
    </w:p>
    <w:p w14:paraId="7E6CC4B4">
      <w:pPr>
        <w:pageBreakBefore w:val="0"/>
        <w:widowControl w:val="0"/>
        <w:kinsoku/>
        <w:wordWrap/>
        <w:overflowPunct/>
        <w:topLinePunct w:val="0"/>
        <w:autoSpaceDE/>
        <w:autoSpaceDN/>
        <w:bidi w:val="0"/>
        <w:snapToGrid w:val="0"/>
        <w:spacing w:line="360" w:lineRule="auto"/>
        <w:ind w:firstLine="57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3、动力变质作用</w:t>
      </w:r>
    </w:p>
    <w:p w14:paraId="5A859D6D">
      <w:pPr>
        <w:pageBreakBefore w:val="0"/>
        <w:widowControl w:val="0"/>
        <w:kinsoku/>
        <w:wordWrap/>
        <w:overflowPunct/>
        <w:topLinePunct w:val="0"/>
        <w:autoSpaceDE/>
        <w:autoSpaceDN/>
        <w:bidi w:val="0"/>
        <w:snapToGrid w:val="0"/>
        <w:spacing w:line="360" w:lineRule="auto"/>
        <w:ind w:firstLine="57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区内动力变质作用岩类主要为碎裂岩、碎裂碎粉岩及构造角砾岩等，深部与碳酸盐地层接触的花岗岩亦受不同程度的动力变质作用，已风化蚀变,具高岭土</w:t>
      </w:r>
      <w:r>
        <w:rPr>
          <w:rFonts w:hint="eastAsia" w:ascii="宋体" w:hAnsi="宋体" w:eastAsia="宋体" w:cs="宋体"/>
          <w:color w:val="auto"/>
          <w:sz w:val="28"/>
          <w:szCs w:val="28"/>
          <w:highlight w:val="none"/>
          <w:lang w:eastAsia="zh-CN"/>
        </w:rPr>
        <w:t>化</w:t>
      </w:r>
      <w:r>
        <w:rPr>
          <w:rFonts w:hint="eastAsia" w:ascii="宋体" w:hAnsi="宋体" w:eastAsia="宋体" w:cs="宋体"/>
          <w:color w:val="auto"/>
          <w:sz w:val="28"/>
          <w:szCs w:val="28"/>
          <w:highlight w:val="none"/>
        </w:rPr>
        <w:t>。</w:t>
      </w:r>
    </w:p>
    <w:p w14:paraId="7791DE92">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（二）围岩蚀变</w:t>
      </w:r>
    </w:p>
    <w:p w14:paraId="70EF7AC7">
      <w:pPr>
        <w:pageBreakBefore w:val="0"/>
        <w:widowControl w:val="0"/>
        <w:kinsoku/>
        <w:wordWrap/>
        <w:overflowPunct/>
        <w:topLinePunct w:val="0"/>
        <w:autoSpaceDE/>
        <w:autoSpaceDN/>
        <w:bidi w:val="0"/>
        <w:snapToGrid w:val="0"/>
        <w:spacing w:line="360" w:lineRule="auto"/>
        <w:ind w:firstLine="570" w:firstLineChars="200"/>
        <w:jc w:val="left"/>
        <w:rPr>
          <w:rFonts w:hint="eastAsia" w:ascii="宋体" w:hAnsi="宋体" w:eastAsia="宋体" w:cs="宋体"/>
          <w:color w:val="auto"/>
          <w:sz w:val="28"/>
          <w:szCs w:val="28"/>
          <w:highlight w:val="none"/>
        </w:rPr>
      </w:pPr>
      <w:bookmarkStart w:id="46" w:name="_Hlk206846879"/>
      <w:r>
        <w:rPr>
          <w:rFonts w:hint="eastAsia" w:ascii="宋体" w:hAnsi="宋体" w:eastAsia="宋体" w:cs="宋体"/>
          <w:color w:val="auto"/>
          <w:sz w:val="28"/>
          <w:szCs w:val="28"/>
          <w:highlight w:val="none"/>
        </w:rPr>
        <w:t>区内矿体为船山组的碳酸盐岩经接触热变质形成，因此围岩蚀变以大理岩化为主，其次有矽卡岩化，少量滑石化、</w:t>
      </w:r>
      <w:bookmarkStart w:id="47" w:name="_Hlk170409588"/>
      <w:r>
        <w:rPr>
          <w:rFonts w:hint="eastAsia" w:ascii="宋体" w:hAnsi="宋体" w:eastAsia="宋体" w:cs="宋体"/>
          <w:color w:val="auto"/>
          <w:sz w:val="28"/>
          <w:szCs w:val="28"/>
          <w:highlight w:val="none"/>
        </w:rPr>
        <w:t>绿帘石化</w:t>
      </w:r>
      <w:bookmarkEnd w:id="47"/>
      <w:r>
        <w:rPr>
          <w:rFonts w:hint="eastAsia" w:ascii="宋体" w:hAnsi="宋体" w:eastAsia="宋体" w:cs="宋体"/>
          <w:color w:val="auto"/>
          <w:sz w:val="28"/>
          <w:szCs w:val="28"/>
          <w:highlight w:val="none"/>
        </w:rPr>
        <w:t>、角岩化、碳酸盐化，偶见蛇纹石化。围岩蚀变未见有明显的分带现象，除大理岩化外，以宽度较小的线状蚀变为主，在靠近断裂及船山组与花岗岩接触带位置出现矽卡岩化、滑石化等蚀变。</w:t>
      </w:r>
    </w:p>
    <w:bookmarkEnd w:id="46"/>
    <w:p w14:paraId="34DE6FFF">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2.1.2矿体地质特征、空间分布范围、分布规律及相互关系</w:t>
      </w:r>
    </w:p>
    <w:p w14:paraId="4DB1C0D7">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一、矿体特征</w:t>
      </w:r>
    </w:p>
    <w:p w14:paraId="07E975D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48" w:name="_Hlk206846931"/>
      <w:bookmarkStart w:id="49" w:name="_Hlk170409612"/>
      <w:bookmarkStart w:id="50" w:name="_Hlk201136012"/>
      <w:r>
        <w:rPr>
          <w:rFonts w:hint="eastAsia" w:ascii="宋体" w:hAnsi="宋体" w:eastAsia="宋体" w:cs="宋体"/>
          <w:color w:val="auto"/>
          <w:sz w:val="28"/>
          <w:szCs w:val="28"/>
          <w:highlight w:val="none"/>
        </w:rPr>
        <w:t>通过本次资源储量核实暨深部详查地质工作，在矿区范围内+480m～+240m标高共圈定方解石矿体3个，编号为Ⅰ、Ⅱ</w:t>
      </w:r>
      <w:bookmarkStart w:id="51" w:name="_Hlk207978049"/>
      <w:r>
        <w:rPr>
          <w:rFonts w:hint="eastAsia" w:ascii="宋体" w:hAnsi="宋体" w:eastAsia="宋体" w:cs="宋体"/>
          <w:color w:val="auto"/>
          <w:sz w:val="28"/>
          <w:szCs w:val="28"/>
          <w:highlight w:val="none"/>
        </w:rPr>
        <w:t>、Ⅲ</w:t>
      </w:r>
      <w:bookmarkEnd w:id="51"/>
      <w:r>
        <w:rPr>
          <w:rFonts w:hint="eastAsia" w:ascii="宋体" w:hAnsi="宋体" w:eastAsia="宋体" w:cs="宋体"/>
          <w:color w:val="auto"/>
          <w:sz w:val="28"/>
          <w:szCs w:val="28"/>
          <w:highlight w:val="none"/>
        </w:rPr>
        <w:t>号，其中Ⅰ号为主矿体，其矿石资源量占总矿石量的58.88%。圈定白云石方解石矿体4个，编号为①、②、③</w:t>
      </w:r>
      <w:bookmarkStart w:id="52" w:name="_Hlk207978037"/>
      <w:r>
        <w:rPr>
          <w:rFonts w:hint="eastAsia" w:ascii="宋体" w:hAnsi="宋体" w:eastAsia="宋体" w:cs="宋体"/>
          <w:color w:val="auto"/>
          <w:sz w:val="28"/>
          <w:szCs w:val="28"/>
          <w:highlight w:val="none"/>
        </w:rPr>
        <w:t>、④</w:t>
      </w:r>
      <w:bookmarkEnd w:id="52"/>
      <w:r>
        <w:rPr>
          <w:rFonts w:hint="eastAsia" w:ascii="宋体" w:hAnsi="宋体" w:eastAsia="宋体" w:cs="宋体"/>
          <w:color w:val="auto"/>
          <w:sz w:val="28"/>
          <w:szCs w:val="28"/>
          <w:highlight w:val="none"/>
        </w:rPr>
        <w:t>号，其中①号为主矿体，其资源量矿石量占总矿石量的35.80%。</w:t>
      </w:r>
      <w:bookmarkEnd w:id="48"/>
      <w:r>
        <w:rPr>
          <w:rFonts w:hint="eastAsia" w:ascii="宋体" w:hAnsi="宋体" w:eastAsia="宋体" w:cs="宋体"/>
          <w:color w:val="auto"/>
          <w:sz w:val="28"/>
          <w:szCs w:val="28"/>
          <w:highlight w:val="none"/>
        </w:rPr>
        <w:t>其中，新圈定矿体6个，分别为Ⅱ、Ⅲ、①、②、③、④号矿体。Ⅰ、Ⅱ、Ⅲ号方解石矿，②、③、④号白云石方解石矿为隐伏矿体。矿体赋存层位为二叠系下统船山组，方解石矿与白云石方解石矿互层，呈相变关系。Ⅰ号方解石矿体、①号白云石方解石矿体特征如下：</w:t>
      </w:r>
    </w:p>
    <w:bookmarkEnd w:id="49"/>
    <w:p w14:paraId="576B86A4">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53" w:name="_Hlk170409683"/>
      <w:bookmarkStart w:id="54" w:name="_Hlk213685792"/>
      <w:r>
        <w:rPr>
          <w:rFonts w:hint="eastAsia" w:ascii="宋体" w:hAnsi="宋体" w:eastAsia="宋体" w:cs="宋体"/>
          <w:color w:val="auto"/>
          <w:sz w:val="28"/>
          <w:szCs w:val="28"/>
          <w:highlight w:val="none"/>
        </w:rPr>
        <w:t>Ⅰ号方解石矿体</w:t>
      </w:r>
      <w:bookmarkStart w:id="55" w:name="_Hlk213685807"/>
      <w:r>
        <w:rPr>
          <w:rFonts w:hint="eastAsia" w:ascii="宋体" w:hAnsi="宋体" w:eastAsia="宋体" w:cs="宋体"/>
          <w:color w:val="auto"/>
          <w:sz w:val="28"/>
          <w:szCs w:val="28"/>
          <w:highlight w:val="none"/>
        </w:rPr>
        <w:t>位于矿区大部，由矿区北东延伸至矿区南西采矿证边界之外，在2至8线之间，呈厚层状产出，</w:t>
      </w:r>
      <w:bookmarkStart w:id="56" w:name="_Hlk170412065"/>
      <w:r>
        <w:rPr>
          <w:rFonts w:hint="eastAsia" w:ascii="宋体" w:hAnsi="宋体" w:eastAsia="宋体" w:cs="宋体"/>
          <w:color w:val="auto"/>
          <w:sz w:val="28"/>
          <w:szCs w:val="28"/>
          <w:highlight w:val="none"/>
        </w:rPr>
        <w:t>矿体走向北东60°～80°，倾向南东，倾角15°～60°，由浅到深有逐渐变陡的趋势。矿体走向控制长约670m，倾向控制延深最长达220m（6线），矿体赋存标高+480m～+257m。</w:t>
      </w:r>
      <w:bookmarkEnd w:id="53"/>
      <w:bookmarkEnd w:id="56"/>
      <w:bookmarkStart w:id="57" w:name="_Hlk170409664"/>
      <w:r>
        <w:rPr>
          <w:rFonts w:hint="eastAsia" w:ascii="宋体" w:hAnsi="宋体" w:eastAsia="宋体" w:cs="宋体"/>
          <w:color w:val="auto"/>
          <w:sz w:val="28"/>
          <w:szCs w:val="28"/>
          <w:highlight w:val="none"/>
        </w:rPr>
        <w:t>矿体沿走向上呈北东厚南西薄，沿倾向上呈上薄下厚的特征，未见明显的品位变化特征，</w:t>
      </w:r>
      <w:bookmarkStart w:id="58" w:name="_Hlk170412033"/>
      <w:r>
        <w:rPr>
          <w:rFonts w:hint="eastAsia" w:ascii="宋体" w:hAnsi="宋体" w:eastAsia="宋体" w:cs="宋体"/>
          <w:color w:val="auto"/>
          <w:sz w:val="28"/>
          <w:szCs w:val="28"/>
          <w:highlight w:val="none"/>
        </w:rPr>
        <w:t>矿体真厚度</w:t>
      </w:r>
      <w:bookmarkStart w:id="59" w:name="_Hlk207978086"/>
      <w:r>
        <w:rPr>
          <w:rFonts w:hint="eastAsia" w:ascii="宋体" w:hAnsi="宋体" w:eastAsia="宋体" w:cs="宋体"/>
          <w:color w:val="auto"/>
          <w:sz w:val="28"/>
          <w:szCs w:val="28"/>
          <w:highlight w:val="none"/>
        </w:rPr>
        <w:t>14.94～109.62m</w:t>
      </w:r>
      <w:bookmarkEnd w:id="59"/>
      <w:r>
        <w:rPr>
          <w:rFonts w:hint="eastAsia" w:ascii="宋体" w:hAnsi="宋体" w:eastAsia="宋体" w:cs="宋体"/>
          <w:color w:val="auto"/>
          <w:sz w:val="28"/>
          <w:szCs w:val="28"/>
          <w:highlight w:val="none"/>
        </w:rPr>
        <w:t>，平均真厚度51.63m，</w:t>
      </w:r>
      <w:bookmarkEnd w:id="58"/>
      <w:r>
        <w:rPr>
          <w:rFonts w:hint="eastAsia" w:ascii="宋体" w:hAnsi="宋体" w:eastAsia="宋体" w:cs="宋体"/>
          <w:color w:val="auto"/>
          <w:sz w:val="28"/>
          <w:szCs w:val="28"/>
          <w:highlight w:val="none"/>
        </w:rPr>
        <w:t>厚度变化系数为53.48%，属于厚度变化较稳定；矿体品位：CaO 53.51-55.58%，平均54.53%，变化系数8.51%；MgO 0.51-1.75%，平均0.95%，变化系数38.17%；白度84.82-90.49%，平均88.17%，变化系数2.53%。主要有用组分分布均匀，矿石</w:t>
      </w:r>
      <w:r>
        <w:rPr>
          <w:rFonts w:hint="eastAsia" w:ascii="宋体" w:hAnsi="宋体" w:eastAsia="宋体" w:cs="宋体"/>
          <w:color w:val="auto"/>
          <w:sz w:val="28"/>
          <w:szCs w:val="28"/>
          <w:highlight w:val="none"/>
          <w:lang w:eastAsia="zh-CN"/>
        </w:rPr>
        <w:t>主要由方解石组成</w:t>
      </w:r>
      <w:r>
        <w:rPr>
          <w:rFonts w:hint="eastAsia" w:ascii="宋体" w:hAnsi="宋体" w:eastAsia="宋体" w:cs="宋体"/>
          <w:color w:val="auto"/>
          <w:sz w:val="28"/>
          <w:szCs w:val="28"/>
          <w:highlight w:val="none"/>
        </w:rPr>
        <w:t>，</w:t>
      </w:r>
      <w:bookmarkStart w:id="60" w:name="_Hlk201134640"/>
      <w:r>
        <w:rPr>
          <w:rFonts w:hint="eastAsia" w:ascii="宋体" w:hAnsi="宋体" w:eastAsia="宋体" w:cs="宋体"/>
          <w:color w:val="auto"/>
          <w:sz w:val="28"/>
          <w:szCs w:val="28"/>
          <w:highlight w:val="none"/>
        </w:rPr>
        <w:t>夹石主要分布在矿体中部，少量上部，夹石率8.26%，矿体规则，连续性好。矿体在2-4线北西侧受断裂切断，沿走向往北东及深部延伸均已被该花岗岩体的侵入所吞蚀。</w:t>
      </w:r>
      <w:r>
        <w:rPr>
          <w:rFonts w:hint="eastAsia" w:ascii="宋体" w:hAnsi="宋体" w:eastAsia="宋体" w:cs="宋体"/>
          <w:color w:val="auto"/>
          <w:kern w:val="0"/>
          <w:sz w:val="28"/>
          <w:szCs w:val="28"/>
          <w:highlight w:val="none"/>
        </w:rPr>
        <w:t>矿体</w:t>
      </w:r>
      <w:r>
        <w:rPr>
          <w:rFonts w:hint="eastAsia" w:ascii="宋体" w:hAnsi="宋体" w:eastAsia="宋体" w:cs="宋体"/>
          <w:color w:val="auto"/>
          <w:sz w:val="28"/>
          <w:szCs w:val="28"/>
          <w:highlight w:val="none"/>
        </w:rPr>
        <w:t>与围岩界线多数较清晰，</w:t>
      </w:r>
      <w:r>
        <w:rPr>
          <w:rFonts w:hint="eastAsia" w:ascii="宋体" w:hAnsi="宋体" w:eastAsia="宋体" w:cs="宋体"/>
          <w:color w:val="auto"/>
          <w:kern w:val="0"/>
          <w:sz w:val="28"/>
          <w:szCs w:val="28"/>
          <w:highlight w:val="none"/>
        </w:rPr>
        <w:t>接触界面多呈平直面，矿体顶板</w:t>
      </w:r>
      <w:r>
        <w:rPr>
          <w:rFonts w:hint="eastAsia" w:ascii="宋体" w:hAnsi="宋体" w:eastAsia="宋体" w:cs="宋体"/>
          <w:color w:val="auto"/>
          <w:sz w:val="28"/>
          <w:szCs w:val="28"/>
          <w:highlight w:val="none"/>
        </w:rPr>
        <w:t>为大理岩、白云石大理岩，局部为花岗岩，底板为大理岩、白云石大理岩、花岗岩及①号白云石方解石矿体。</w:t>
      </w:r>
      <w:bookmarkEnd w:id="57"/>
      <w:bookmarkEnd w:id="60"/>
      <w:r>
        <w:rPr>
          <w:rFonts w:hint="eastAsia" w:ascii="宋体" w:hAnsi="宋体" w:eastAsia="宋体" w:cs="宋体"/>
          <w:color w:val="auto"/>
          <w:sz w:val="28"/>
          <w:szCs w:val="28"/>
          <w:highlight w:val="none"/>
        </w:rPr>
        <w:t>该层矿体在6线至8线剖面的390m、410m、430m、440m、450m中段进行了大量开采，矿体保有部分的矿体特征与矿体特征类似。</w:t>
      </w:r>
    </w:p>
    <w:bookmarkEnd w:id="54"/>
    <w:bookmarkEnd w:id="55"/>
    <w:p w14:paraId="115FE3B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61" w:name="_Hlk170409698"/>
      <w:r>
        <w:rPr>
          <w:rFonts w:hint="eastAsia" w:ascii="宋体" w:hAnsi="宋体" w:eastAsia="宋体" w:cs="宋体"/>
          <w:color w:val="auto"/>
          <w:sz w:val="28"/>
          <w:szCs w:val="28"/>
          <w:highlight w:val="none"/>
        </w:rPr>
        <w:t>①号白云石方解石矿体</w:t>
      </w:r>
      <w:bookmarkStart w:id="62" w:name="_Hlk170412130"/>
      <w:r>
        <w:rPr>
          <w:rFonts w:hint="eastAsia" w:ascii="宋体" w:hAnsi="宋体" w:eastAsia="宋体" w:cs="宋体"/>
          <w:color w:val="auto"/>
          <w:sz w:val="28"/>
          <w:szCs w:val="28"/>
          <w:highlight w:val="none"/>
        </w:rPr>
        <w:t>位于矿区大部，</w:t>
      </w:r>
      <w:bookmarkStart w:id="63" w:name="_Hlk213685867"/>
      <w:r>
        <w:rPr>
          <w:rFonts w:hint="eastAsia" w:ascii="宋体" w:hAnsi="宋体" w:eastAsia="宋体" w:cs="宋体"/>
          <w:color w:val="auto"/>
          <w:sz w:val="28"/>
          <w:szCs w:val="28"/>
          <w:highlight w:val="none"/>
        </w:rPr>
        <w:t>由矿区北东延伸至矿区西南采矿证边界之外，在2至8线之间，呈厚层状产出，矿体走向北东60°～80°，倾向南东，倾角30°～60°，局部地段上缓下陡。矿体走向控制长约570m，倾向控制延深最长达157m（6线），矿体赋存标高+480m～+282m。</w:t>
      </w:r>
      <w:bookmarkEnd w:id="61"/>
      <w:bookmarkEnd w:id="62"/>
      <w:bookmarkStart w:id="64" w:name="_Hlk170409712"/>
      <w:r>
        <w:rPr>
          <w:rFonts w:hint="eastAsia" w:ascii="宋体" w:hAnsi="宋体" w:eastAsia="宋体" w:cs="宋体"/>
          <w:color w:val="auto"/>
          <w:sz w:val="28"/>
          <w:szCs w:val="28"/>
          <w:highlight w:val="none"/>
        </w:rPr>
        <w:t>矿体沿走向上呈北东厚南西薄，沿倾向上厚度局部略有变化，其中在4线处呈上薄下厚，在6线处呈上厚下薄的趋势，未见明显的品位变化特征，矿体真厚度1.38～69.64m，平均真厚度32.31m，厚度变化系数为61.94%，属于厚度变化较稳定；矿体品位：MgO 4.37-20.10%，平均13.34%，变化系数58.12%；CaO+MgO 51.50-54.73%，平均52.96%，变化系数3.18%；白度83.25-91.49%，平均86.74%，变化系数2.14%。主要有用组分分布均匀，矿石主要由白云石、方解石组成，夹石主要分布在矿体中部，少量下部，夹石率8.73%，矿体规则，连续性好。矿体在2-4线北西侧受断裂切断，沿走向往北东及深部延伸均已被该花岗岩体的侵入所吞蚀。矿体与围岩界线多数较清晰，接触界面多呈平直面，矿体顶板为（矽卡岩化）大理岩、白云石大理岩及Ⅰ号方解石矿体，底板为大理岩、白云石大理岩、白云石方解石大理岩、角岩化石英砂岩、角岩、花岗岩及Ⅱ号方解石矿体。</w:t>
      </w:r>
      <w:bookmarkEnd w:id="64"/>
      <w:r>
        <w:rPr>
          <w:rFonts w:hint="eastAsia" w:ascii="宋体" w:hAnsi="宋体" w:eastAsia="宋体" w:cs="宋体"/>
          <w:color w:val="auto"/>
          <w:sz w:val="28"/>
          <w:szCs w:val="28"/>
          <w:highlight w:val="none"/>
        </w:rPr>
        <w:t>该层矿体在6线至7线剖面的390m、410m中段进行了少量开采，矿体保有部分的矿体特征与矿体特征类似。</w:t>
      </w:r>
      <w:bookmarkEnd w:id="63"/>
    </w:p>
    <w:bookmarkEnd w:id="50"/>
    <w:p w14:paraId="0D1934D3">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二、矿石质量</w:t>
      </w:r>
    </w:p>
    <w:p w14:paraId="2522C80C">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（一）矿石类型和品级</w:t>
      </w:r>
    </w:p>
    <w:p w14:paraId="3D870CB4">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1、矿石自然类型</w:t>
      </w:r>
    </w:p>
    <w:p w14:paraId="2BA240BE">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bookmarkStart w:id="65" w:name="_Hlk170409797"/>
      <w:r>
        <w:rPr>
          <w:rFonts w:hint="eastAsia" w:ascii="宋体" w:hAnsi="宋体" w:eastAsia="宋体" w:cs="宋体"/>
          <w:b w:val="0"/>
          <w:color w:val="auto"/>
          <w:kern w:val="2"/>
          <w:sz w:val="28"/>
          <w:szCs w:val="28"/>
          <w:highlight w:val="none"/>
          <w:lang w:val="en-US" w:eastAsia="zh-CN" w:bidi="ar-SA"/>
        </w:rPr>
        <w:t>（1）根据区内方解石矿体的品质特征，可将矿石自然类型分为两类。</w:t>
      </w:r>
      <w:bookmarkStart w:id="66" w:name="_Hlk206847384"/>
      <w:r>
        <w:rPr>
          <w:rFonts w:hint="eastAsia" w:ascii="宋体" w:hAnsi="宋体" w:eastAsia="宋体" w:cs="宋体"/>
          <w:b w:val="0"/>
          <w:color w:val="auto"/>
          <w:kern w:val="2"/>
          <w:sz w:val="28"/>
          <w:szCs w:val="28"/>
          <w:highlight w:val="none"/>
          <w:lang w:val="en-US" w:eastAsia="zh-CN" w:bidi="ar-SA"/>
        </w:rPr>
        <w:t>一类为浅灰白色、白色细-粗晶方解石矿石，矿石以灰白色中粗粒结构为主，纯白色细粒结构次之；另一类为白云石方解石矿石。</w:t>
      </w:r>
    </w:p>
    <w:bookmarkEnd w:id="66"/>
    <w:p w14:paraId="24C35947">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（2）根据矿石构造，矿石自然类型仅有一种，为块状矿石，呈白色块状，颜色均匀。</w:t>
      </w:r>
    </w:p>
    <w:bookmarkEnd w:id="65"/>
    <w:p w14:paraId="5E69A64B">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2、矿石工业类型</w:t>
      </w:r>
    </w:p>
    <w:p w14:paraId="6F7A476D">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bookmarkStart w:id="67" w:name="_Hlk213686151"/>
      <w:r>
        <w:rPr>
          <w:rFonts w:hint="eastAsia" w:ascii="宋体" w:hAnsi="宋体" w:eastAsia="宋体" w:cs="宋体"/>
          <w:color w:val="auto"/>
          <w:sz w:val="28"/>
          <w:szCs w:val="28"/>
          <w:highlight w:val="none"/>
          <w:lang w:val="en-US" w:eastAsia="zh-CN"/>
        </w:rPr>
        <w:t>根据工业用途，区内方解石矿石、白云石方解石矿石的主要工业类型为涂料工业用方解石矿石。</w:t>
      </w:r>
    </w:p>
    <w:bookmarkEnd w:id="67"/>
    <w:p w14:paraId="2AC03A18">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3、矿石品级</w:t>
      </w:r>
    </w:p>
    <w:p w14:paraId="37111A6C">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bookmarkStart w:id="68" w:name="_Hlk170409824"/>
      <w:r>
        <w:rPr>
          <w:rFonts w:hint="eastAsia" w:ascii="宋体" w:hAnsi="宋体" w:eastAsia="宋体" w:cs="宋体"/>
          <w:color w:val="auto"/>
          <w:sz w:val="28"/>
          <w:szCs w:val="28"/>
          <w:highlight w:val="none"/>
          <w:lang w:val="en-US" w:eastAsia="zh-CN"/>
        </w:rPr>
        <w:t>本次方解石矿石未分品级。</w:t>
      </w:r>
    </w:p>
    <w:bookmarkEnd w:id="68"/>
    <w:p w14:paraId="3456C84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（二）矿物组成与结构构造</w:t>
      </w:r>
    </w:p>
    <w:p w14:paraId="4267E8C7">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1、矿石矿物成分</w:t>
      </w:r>
    </w:p>
    <w:p w14:paraId="64D61608">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（1）方解石矿</w:t>
      </w:r>
    </w:p>
    <w:p w14:paraId="7ACE146B">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bookmarkStart w:id="69" w:name="_Hlk213686184"/>
      <w:bookmarkStart w:id="70" w:name="_Hlk206847234"/>
      <w:r>
        <w:rPr>
          <w:rFonts w:hint="eastAsia" w:ascii="宋体" w:hAnsi="宋体" w:eastAsia="宋体" w:cs="宋体"/>
          <w:color w:val="auto"/>
          <w:sz w:val="28"/>
          <w:szCs w:val="28"/>
          <w:highlight w:val="none"/>
          <w:lang w:val="en-US" w:eastAsia="zh-CN"/>
        </w:rPr>
        <w:t>矿石矿物成分主要由方解石（＞97%），微量石英(＜2%)、白云母(＜1%)等矿物组成</w:t>
      </w:r>
      <w:bookmarkEnd w:id="69"/>
      <w:r>
        <w:rPr>
          <w:rFonts w:hint="eastAsia" w:ascii="宋体" w:hAnsi="宋体" w:eastAsia="宋体" w:cs="宋体"/>
          <w:color w:val="auto"/>
          <w:sz w:val="28"/>
          <w:szCs w:val="28"/>
          <w:highlight w:val="none"/>
          <w:lang w:val="en-US" w:eastAsia="zh-CN"/>
        </w:rPr>
        <w:t>。</w:t>
      </w:r>
    </w:p>
    <w:bookmarkEnd w:id="70"/>
    <w:p w14:paraId="255254F7">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方解石：白色、灰白色，呈它形细粒-粗粒，粒径一般0.1-10mm，以1-5mm居多，杂乱排列，紧密镶嵌。</w:t>
      </w:r>
    </w:p>
    <w:p w14:paraId="7FB6DDCF">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石英：无色透明，不规则粒状，粒径在0.02～0.3mm之间。</w:t>
      </w:r>
    </w:p>
    <w:p w14:paraId="7ACE1934">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白云母：无色，片状，纤维状，零星分布。</w:t>
      </w:r>
    </w:p>
    <w:p w14:paraId="0B5B3A9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另普遍见有后期方解石呈不规则状的细脉充填于矿石裂隙中，局部可见矽卡岩矿物充填。</w:t>
      </w:r>
    </w:p>
    <w:p w14:paraId="37233D00">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（2）白云石方解石矿</w:t>
      </w:r>
    </w:p>
    <w:p w14:paraId="4470405C">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bookmarkStart w:id="71" w:name="_Hlk206847250"/>
      <w:bookmarkStart w:id="72" w:name="_Hlk213686207"/>
      <w:r>
        <w:rPr>
          <w:rFonts w:hint="eastAsia" w:ascii="宋体" w:hAnsi="宋体" w:eastAsia="宋体" w:cs="宋体"/>
          <w:color w:val="auto"/>
          <w:sz w:val="28"/>
          <w:szCs w:val="28"/>
          <w:highlight w:val="none"/>
          <w:lang w:val="en-US" w:eastAsia="zh-CN"/>
        </w:rPr>
        <w:t>矿石矿物成分主要由白云石、方解石，微量石英（＜2%）等矿物组成</w:t>
      </w:r>
      <w:bookmarkEnd w:id="71"/>
      <w:r>
        <w:rPr>
          <w:rFonts w:hint="eastAsia" w:ascii="宋体" w:hAnsi="宋体" w:eastAsia="宋体" w:cs="宋体"/>
          <w:color w:val="auto"/>
          <w:sz w:val="28"/>
          <w:szCs w:val="28"/>
          <w:highlight w:val="none"/>
          <w:lang w:val="en-US" w:eastAsia="zh-CN"/>
        </w:rPr>
        <w:t>，白云石、方解石两者含量＞98%</w:t>
      </w:r>
      <w:bookmarkEnd w:id="72"/>
      <w:r>
        <w:rPr>
          <w:rFonts w:hint="eastAsia" w:ascii="宋体" w:hAnsi="宋体" w:eastAsia="宋体" w:cs="宋体"/>
          <w:color w:val="auto"/>
          <w:sz w:val="28"/>
          <w:szCs w:val="28"/>
          <w:highlight w:val="none"/>
          <w:lang w:val="en-US" w:eastAsia="zh-CN"/>
        </w:rPr>
        <w:t>。</w:t>
      </w:r>
    </w:p>
    <w:p w14:paraId="3639B19B">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白云石：白色，灰白色，呈它形细粒，粒径一般0.1-0.5mm。</w:t>
      </w:r>
    </w:p>
    <w:p w14:paraId="3D0F5A5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方解石：白色、灰白色，呈它形细粒-粗粒，粒径一般0.1-3.5mm，以0.5-2mm居多，杂乱排列，紧密镶嵌。</w:t>
      </w:r>
    </w:p>
    <w:p w14:paraId="4C423FC5">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石英：无色透明，不规则粒状，粒径在0.02～0.3mm之间。</w:t>
      </w:r>
    </w:p>
    <w:p w14:paraId="645225BB">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另普遍见有后期方解石呈不规则状的细脉充填于矿石裂隙中，局部可见矽卡岩矿物充填。</w:t>
      </w:r>
    </w:p>
    <w:p w14:paraId="4251DEE8">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2、矿石结构构造</w:t>
      </w:r>
    </w:p>
    <w:p w14:paraId="5D07086E">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（1）矿石结构</w:t>
      </w:r>
      <w:bookmarkStart w:id="73" w:name="_Hlk206847200"/>
    </w:p>
    <w:p w14:paraId="3AEDA9E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color w:val="auto"/>
          <w:sz w:val="28"/>
          <w:szCs w:val="28"/>
          <w:highlight w:val="none"/>
          <w:lang w:val="en-US" w:eastAsia="zh-CN"/>
        </w:rPr>
        <w:t>方解石矿石、白云石方解石矿石主要为粒状变晶</w:t>
      </w:r>
      <w:r>
        <w:rPr>
          <w:rFonts w:hint="eastAsia" w:ascii="宋体" w:hAnsi="宋体" w:eastAsia="宋体" w:cs="宋体"/>
          <w:b w:val="0"/>
          <w:color w:val="auto"/>
          <w:kern w:val="2"/>
          <w:sz w:val="28"/>
          <w:szCs w:val="28"/>
          <w:highlight w:val="none"/>
          <w:lang w:val="en-US" w:eastAsia="zh-CN" w:bidi="ar-SA"/>
        </w:rPr>
        <w:t>结构：呈等轴粒状或不规则状外形，</w:t>
      </w:r>
      <w:bookmarkStart w:id="74" w:name="_Hlk206847168"/>
      <w:r>
        <w:rPr>
          <w:rFonts w:hint="eastAsia" w:ascii="宋体" w:hAnsi="宋体" w:eastAsia="宋体" w:cs="宋体"/>
          <w:b w:val="0"/>
          <w:color w:val="auto"/>
          <w:kern w:val="2"/>
          <w:sz w:val="28"/>
          <w:szCs w:val="28"/>
          <w:highlight w:val="none"/>
          <w:lang w:val="en-US" w:eastAsia="zh-CN" w:bidi="ar-SA"/>
        </w:rPr>
        <w:t>矿物粒径在0.1-10mm之间，以1-5mm之间为主，杂乱排列，紧密镶嵌</w:t>
      </w:r>
      <w:bookmarkEnd w:id="74"/>
      <w:r>
        <w:rPr>
          <w:rFonts w:hint="eastAsia" w:ascii="宋体" w:hAnsi="宋体" w:eastAsia="宋体" w:cs="宋体"/>
          <w:b w:val="0"/>
          <w:color w:val="auto"/>
          <w:kern w:val="2"/>
          <w:sz w:val="28"/>
          <w:szCs w:val="28"/>
          <w:highlight w:val="none"/>
          <w:lang w:val="en-US" w:eastAsia="zh-CN" w:bidi="ar-SA"/>
        </w:rPr>
        <w:t>。</w:t>
      </w:r>
    </w:p>
    <w:bookmarkEnd w:id="73"/>
    <w:p w14:paraId="17B84066">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（2）矿石构造</w:t>
      </w:r>
    </w:p>
    <w:p w14:paraId="6A80004B">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方解石矿石、白云石方解石矿石均为块状构造</w:t>
      </w:r>
      <w:bookmarkStart w:id="75" w:name="_Hlk170409898"/>
      <w:bookmarkStart w:id="76" w:name="_Hlk201136699"/>
      <w:r>
        <w:rPr>
          <w:rFonts w:hint="eastAsia" w:ascii="宋体" w:hAnsi="宋体" w:eastAsia="宋体" w:cs="宋体"/>
          <w:color w:val="auto"/>
          <w:sz w:val="28"/>
          <w:szCs w:val="28"/>
          <w:highlight w:val="none"/>
          <w:lang w:val="en-US" w:eastAsia="zh-CN"/>
        </w:rPr>
        <w:t>、厚层状构造。</w:t>
      </w:r>
      <w:bookmarkEnd w:id="75"/>
    </w:p>
    <w:bookmarkEnd w:id="76"/>
    <w:p w14:paraId="2EF6E0E4">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（三）化学成分</w:t>
      </w:r>
    </w:p>
    <w:p w14:paraId="66B1F265">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1、有用组分</w:t>
      </w:r>
    </w:p>
    <w:p w14:paraId="53249637">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方解石矿为白度达到要求的大理岩，白云石方解石矿为白度达到要求的白云石大理岩、白云石方解石大理岩。</w:t>
      </w:r>
    </w:p>
    <w:p w14:paraId="1F0BC01E">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77" w:name="_Hlk170409940"/>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方解石矿有用组分为CaO。其中：</w:t>
      </w:r>
    </w:p>
    <w:p w14:paraId="13CB2FE5">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78" w:name="_Hlk206847278"/>
      <w:r>
        <w:rPr>
          <w:rFonts w:hint="eastAsia" w:ascii="宋体" w:hAnsi="宋体" w:eastAsia="宋体" w:cs="宋体"/>
          <w:color w:val="auto"/>
          <w:sz w:val="28"/>
          <w:szCs w:val="28"/>
          <w:highlight w:val="none"/>
        </w:rPr>
        <w:t>Ⅰ号矿体CaO含量在53.51～55.58%之间，平均品位54.53%；</w:t>
      </w:r>
    </w:p>
    <w:p w14:paraId="08D018E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Ⅱ号矿体CaO含量在54.65～55.30%之间，平均品位55.18%；</w:t>
      </w:r>
    </w:p>
    <w:p w14:paraId="08FE884D">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Ⅲ号矿体CaO含量在54.77～55.23%之间，平均品位55.19%。</w:t>
      </w:r>
    </w:p>
    <w:bookmarkEnd w:id="77"/>
    <w:bookmarkEnd w:id="78"/>
    <w:p w14:paraId="6DAA17AC">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79" w:name="_Hlk170409960"/>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 xml:space="preserve">白云石方解石矿有用组分为CaO、MgO。其中： </w:t>
      </w:r>
    </w:p>
    <w:p w14:paraId="167A4BB2">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80" w:name="_Hlk206847297"/>
      <w:r>
        <w:rPr>
          <w:rFonts w:hint="eastAsia" w:ascii="宋体" w:hAnsi="宋体" w:eastAsia="宋体" w:cs="宋体"/>
          <w:color w:val="auto"/>
          <w:sz w:val="28"/>
          <w:szCs w:val="28"/>
          <w:highlight w:val="none"/>
        </w:rPr>
        <w:t>①号矿体CaO含量在31.40～50.36%之间，平均品位39.62%,MgO含量在4.37～20.10%之间，平均品位13.34%；</w:t>
      </w:r>
    </w:p>
    <w:p w14:paraId="240DDFBB">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②号矿体CaO含量在41.54～49.25%之间，平均品位45.39%,MgO含量在5.66～11.90之间，平均品位8.83%；</w:t>
      </w:r>
    </w:p>
    <w:p w14:paraId="45AAAE09">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③号矿体CaO含量在33.24～41.51%之间，平均品位38.80%,MgO含量在11.83～17.77%之间，平均品位13.80%；</w:t>
      </w:r>
    </w:p>
    <w:p w14:paraId="4D9544AD">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④号矿体CaO含量30.77,MgO含量21.12%。</w:t>
      </w:r>
    </w:p>
    <w:bookmarkEnd w:id="79"/>
    <w:bookmarkEnd w:id="80"/>
    <w:p w14:paraId="1639531D">
      <w:pPr>
        <w:pageBreakBefore w:val="0"/>
        <w:kinsoku/>
        <w:wordWrap/>
        <w:overflowPunct/>
        <w:topLinePunct w:val="0"/>
        <w:autoSpaceDE/>
        <w:autoSpaceDN/>
        <w:bidi w:val="0"/>
        <w:snapToGrid w:val="0"/>
        <w:spacing w:line="360" w:lineRule="auto"/>
        <w:ind w:firstLine="570"/>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rPr>
        <w:t>、伴生有用、有害组份</w:t>
      </w:r>
    </w:p>
    <w:p w14:paraId="760C8ADC">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81" w:name="_Hlk170410055"/>
      <w:bookmarkStart w:id="82" w:name="_Hlk206847346"/>
      <w:r>
        <w:rPr>
          <w:rFonts w:hint="eastAsia" w:ascii="宋体" w:hAnsi="宋体" w:eastAsia="宋体" w:cs="宋体"/>
          <w:color w:val="auto"/>
          <w:sz w:val="28"/>
          <w:szCs w:val="28"/>
          <w:highlight w:val="none"/>
        </w:rPr>
        <w:t>矿区方解石矿主要为各类涂料用，用途广泛，有用组分为CaO，本次论证MgO＜2%，当MgO≥2%时，可归类为白云石方解石矿；白云石方解石矿主要为涂料行业中的腻子粉、水泥漆用，有用组分为CaO、MgO。</w:t>
      </w:r>
    </w:p>
    <w:p w14:paraId="5BC943BB">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根据组合分析及多元素分析结果，fSiO</w:t>
      </w:r>
      <w:r>
        <w:rPr>
          <w:rFonts w:hint="eastAsia" w:ascii="宋体" w:hAnsi="宋体" w:eastAsia="宋体" w:cs="宋体"/>
          <w:color w:val="auto"/>
          <w:sz w:val="28"/>
          <w:szCs w:val="28"/>
          <w:highlight w:val="none"/>
          <w:vertAlign w:val="subscript"/>
        </w:rPr>
        <w:t>2</w:t>
      </w:r>
      <w:r>
        <w:rPr>
          <w:rFonts w:hint="eastAsia" w:ascii="宋体" w:hAnsi="宋体" w:eastAsia="宋体" w:cs="宋体"/>
          <w:color w:val="auto"/>
          <w:sz w:val="28"/>
          <w:szCs w:val="28"/>
          <w:highlight w:val="none"/>
        </w:rPr>
        <w:t>值均小于0.50%，符合《方解石矿地质勘查规范》（DZ/T 0321-2018）附录B中 fSiO</w:t>
      </w:r>
      <w:r>
        <w:rPr>
          <w:rFonts w:hint="eastAsia" w:ascii="宋体" w:hAnsi="宋体" w:eastAsia="宋体" w:cs="宋体"/>
          <w:color w:val="auto"/>
          <w:sz w:val="28"/>
          <w:szCs w:val="28"/>
          <w:highlight w:val="none"/>
          <w:vertAlign w:val="subscript"/>
        </w:rPr>
        <w:t>2</w:t>
      </w:r>
      <w:r>
        <w:rPr>
          <w:rFonts w:hint="eastAsia" w:ascii="宋体" w:hAnsi="宋体" w:eastAsia="宋体" w:cs="宋体"/>
          <w:color w:val="auto"/>
          <w:sz w:val="28"/>
          <w:szCs w:val="28"/>
          <w:highlight w:val="none"/>
        </w:rPr>
        <w:t>一般含量不应大于0.5%的要求。</w:t>
      </w:r>
      <w:bookmarkStart w:id="83" w:name="_Hlk213851423"/>
    </w:p>
    <w:bookmarkEnd w:id="81"/>
    <w:bookmarkEnd w:id="82"/>
    <w:bookmarkEnd w:id="83"/>
    <w:p w14:paraId="7636BAA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84" w:name="_Toc223923599"/>
      <w:bookmarkStart w:id="85" w:name="_Toc226471380"/>
      <w:r>
        <w:rPr>
          <w:rFonts w:hint="eastAsia" w:ascii="宋体" w:hAnsi="宋体" w:eastAsia="宋体" w:cs="宋体"/>
          <w:b/>
          <w:bCs/>
          <w:color w:val="auto"/>
          <w:sz w:val="28"/>
          <w:szCs w:val="28"/>
          <w:highlight w:val="none"/>
          <w:lang w:val="en-US" w:eastAsia="zh-CN"/>
        </w:rPr>
        <w:t>（四）矿体围岩和夹石</w:t>
      </w:r>
      <w:bookmarkEnd w:id="84"/>
      <w:bookmarkEnd w:id="85"/>
    </w:p>
    <w:p w14:paraId="7D14825D">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1</w:t>
      </w:r>
      <w:r>
        <w:rPr>
          <w:rFonts w:hint="eastAsia" w:ascii="宋体" w:hAnsi="宋体" w:eastAsia="宋体" w:cs="宋体"/>
          <w:b w:val="0"/>
          <w:bCs/>
          <w:color w:val="auto"/>
          <w:sz w:val="28"/>
          <w:szCs w:val="28"/>
          <w:highlight w:val="none"/>
        </w:rPr>
        <w:t>、矿体围岩</w:t>
      </w:r>
    </w:p>
    <w:p w14:paraId="3F430837">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86" w:name="_Hlk170410473"/>
      <w:r>
        <w:rPr>
          <w:rFonts w:hint="eastAsia" w:ascii="宋体" w:hAnsi="宋体" w:eastAsia="宋体" w:cs="宋体"/>
          <w:bCs/>
          <w:color w:val="auto"/>
          <w:sz w:val="28"/>
          <w:szCs w:val="28"/>
          <w:highlight w:val="none"/>
        </w:rPr>
        <w:t>矿区内方解石矿体、白云石方解石矿体赋存于二叠系下统船山组（P</w:t>
      </w:r>
      <w:r>
        <w:rPr>
          <w:rFonts w:hint="eastAsia" w:ascii="宋体" w:hAnsi="宋体" w:eastAsia="宋体" w:cs="宋体"/>
          <w:bCs/>
          <w:color w:val="auto"/>
          <w:sz w:val="28"/>
          <w:szCs w:val="28"/>
          <w:highlight w:val="none"/>
          <w:vertAlign w:val="subscript"/>
        </w:rPr>
        <w:t>1</w:t>
      </w:r>
      <w:r>
        <w:rPr>
          <w:rFonts w:hint="eastAsia" w:ascii="宋体" w:hAnsi="宋体" w:eastAsia="宋体" w:cs="宋体"/>
          <w:bCs/>
          <w:color w:val="auto"/>
          <w:sz w:val="28"/>
          <w:szCs w:val="28"/>
          <w:highlight w:val="none"/>
        </w:rPr>
        <w:t>c）内，受花岗岩体侵入影响，因此，矿体围岩为</w:t>
      </w:r>
      <w:r>
        <w:rPr>
          <w:rFonts w:hint="eastAsia" w:ascii="宋体" w:hAnsi="宋体" w:eastAsia="宋体" w:cs="宋体"/>
          <w:color w:val="auto"/>
          <w:sz w:val="28"/>
          <w:szCs w:val="28"/>
          <w:highlight w:val="none"/>
        </w:rPr>
        <w:t>（蚀变）花岗岩、（矽卡岩化）大理岩、白云石大理岩、白云石方解石大理岩、角岩化石英砂岩、角岩以及变质石英砂岩等。</w:t>
      </w:r>
    </w:p>
    <w:bookmarkEnd w:id="86"/>
    <w:p w14:paraId="05991DB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rPr>
        <w:t>、夹石</w:t>
      </w:r>
    </w:p>
    <w:p w14:paraId="7DC2A409">
      <w:pPr>
        <w:pageBreakBefore w:val="0"/>
        <w:kinsoku/>
        <w:wordWrap/>
        <w:overflowPunct/>
        <w:topLinePunct w:val="0"/>
        <w:autoSpaceDE/>
        <w:autoSpaceDN/>
        <w:bidi w:val="0"/>
        <w:snapToGrid w:val="0"/>
        <w:spacing w:line="360" w:lineRule="auto"/>
        <w:ind w:firstLine="472"/>
        <w:rPr>
          <w:rFonts w:hint="eastAsia" w:ascii="宋体" w:hAnsi="宋体" w:eastAsia="宋体" w:cs="宋体"/>
          <w:color w:val="auto"/>
          <w:sz w:val="28"/>
          <w:szCs w:val="28"/>
          <w:highlight w:val="none"/>
        </w:rPr>
      </w:pPr>
      <w:bookmarkStart w:id="87" w:name="_Hlk213851456"/>
      <w:bookmarkStart w:id="88" w:name="_Hlk206847537"/>
      <w:r>
        <w:rPr>
          <w:rFonts w:hint="eastAsia" w:ascii="宋体" w:hAnsi="宋体" w:eastAsia="宋体" w:cs="宋体"/>
          <w:bCs/>
          <w:color w:val="auto"/>
          <w:sz w:val="28"/>
          <w:szCs w:val="28"/>
          <w:highlight w:val="none"/>
        </w:rPr>
        <w:t>方解石矿体夹石主要为白度偏低的大理岩，白云石方解石矿体夹石主要为白度较低的（矽卡岩化）大理岩、白云石大理岩、方解石白云石大理岩以及角岩化石英砂岩等，</w:t>
      </w:r>
      <w:r>
        <w:rPr>
          <w:rFonts w:hint="eastAsia" w:ascii="宋体" w:hAnsi="宋体" w:eastAsia="宋体" w:cs="宋体"/>
          <w:color w:val="auto"/>
          <w:sz w:val="28"/>
          <w:szCs w:val="28"/>
          <w:highlight w:val="none"/>
        </w:rPr>
        <w:t>夹石可作为安全矿柱保留。</w:t>
      </w:r>
    </w:p>
    <w:bookmarkEnd w:id="87"/>
    <w:p w14:paraId="01A0F0FB">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bookmarkStart w:id="89" w:name="_Hlk177113970"/>
      <w:bookmarkStart w:id="90" w:name="_Hlk213851464"/>
      <w:r>
        <w:rPr>
          <w:rFonts w:hint="eastAsia" w:ascii="宋体" w:hAnsi="宋体" w:eastAsia="宋体" w:cs="宋体"/>
          <w:color w:val="auto"/>
          <w:sz w:val="28"/>
          <w:szCs w:val="28"/>
          <w:highlight w:val="none"/>
        </w:rPr>
        <w:t>全区共圈定了19处夹石，矿体夹石率8.11%，</w:t>
      </w:r>
      <w:bookmarkStart w:id="91" w:name="_Hlk213686349"/>
      <w:r>
        <w:rPr>
          <w:rFonts w:hint="eastAsia" w:ascii="宋体" w:hAnsi="宋体" w:eastAsia="宋体" w:cs="宋体"/>
          <w:color w:val="auto"/>
          <w:sz w:val="28"/>
          <w:szCs w:val="28"/>
          <w:highlight w:val="none"/>
        </w:rPr>
        <w:t>各矿体夹石率分别为，</w:t>
      </w:r>
      <w:bookmarkEnd w:id="91"/>
      <w:bookmarkStart w:id="92" w:name="_Hlk213686341"/>
      <w:r>
        <w:rPr>
          <w:rFonts w:hint="eastAsia" w:ascii="宋体" w:hAnsi="宋体" w:eastAsia="宋体" w:cs="宋体"/>
          <w:color w:val="auto"/>
          <w:sz w:val="28"/>
          <w:szCs w:val="28"/>
          <w:highlight w:val="none"/>
        </w:rPr>
        <w:t>Ⅰ号矿体：8.26%</w:t>
      </w:r>
      <w:bookmarkEnd w:id="89"/>
      <w:r>
        <w:rPr>
          <w:rFonts w:hint="eastAsia" w:ascii="宋体" w:hAnsi="宋体" w:eastAsia="宋体" w:cs="宋体"/>
          <w:color w:val="auto"/>
          <w:sz w:val="28"/>
          <w:szCs w:val="28"/>
          <w:highlight w:val="none"/>
        </w:rPr>
        <w:t>；①号矿体：8.73%，③号矿体：17.19%</w:t>
      </w:r>
      <w:bookmarkEnd w:id="92"/>
      <w:r>
        <w:rPr>
          <w:rFonts w:hint="eastAsia" w:ascii="宋体" w:hAnsi="宋体" w:eastAsia="宋体" w:cs="宋体"/>
          <w:color w:val="auto"/>
          <w:sz w:val="28"/>
          <w:szCs w:val="28"/>
          <w:highlight w:val="none"/>
        </w:rPr>
        <w:t>。</w:t>
      </w:r>
      <w:bookmarkEnd w:id="88"/>
      <w:bookmarkEnd w:id="90"/>
    </w:p>
    <w:p w14:paraId="5D1098F7">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（五）岩溶及充填物特征</w:t>
      </w:r>
    </w:p>
    <w:p w14:paraId="1B6BA132">
      <w:pPr>
        <w:pageBreakBefore w:val="0"/>
        <w:kinsoku/>
        <w:wordWrap/>
        <w:overflowPunct/>
        <w:topLinePunct w:val="0"/>
        <w:autoSpaceDE/>
        <w:autoSpaceDN/>
        <w:bidi w:val="0"/>
        <w:snapToGrid w:val="0"/>
        <w:spacing w:line="360" w:lineRule="auto"/>
        <w:ind w:firstLine="482"/>
        <w:rPr>
          <w:rFonts w:hint="eastAsia" w:ascii="宋体" w:hAnsi="宋体" w:eastAsia="宋体" w:cs="宋体"/>
          <w:color w:val="auto"/>
          <w:sz w:val="28"/>
          <w:szCs w:val="28"/>
          <w:highlight w:val="none"/>
        </w:rPr>
      </w:pPr>
      <w:bookmarkStart w:id="93" w:name="_Hlk206847564"/>
      <w:r>
        <w:rPr>
          <w:rFonts w:hint="eastAsia" w:ascii="宋体" w:hAnsi="宋体" w:eastAsia="宋体" w:cs="宋体"/>
          <w:color w:val="auto"/>
          <w:sz w:val="28"/>
          <w:szCs w:val="28"/>
          <w:highlight w:val="none"/>
        </w:rPr>
        <w:t>矿体中岩溶不发育。本次对采硐及钻孔进行了调查和编录，</w:t>
      </w:r>
      <w:r>
        <w:rPr>
          <w:rFonts w:hint="eastAsia" w:ascii="宋体" w:hAnsi="宋体" w:eastAsia="宋体" w:cs="宋体"/>
          <w:bCs/>
          <w:color w:val="auto"/>
          <w:sz w:val="28"/>
          <w:szCs w:val="28"/>
          <w:highlight w:val="none"/>
        </w:rPr>
        <w:t>方解石矿岩溶率为2.08%，其中Ⅰ号矿体岩溶率为2.25%，</w:t>
      </w:r>
      <w:bookmarkStart w:id="94" w:name="_Hlk207977489"/>
      <w:r>
        <w:rPr>
          <w:rFonts w:hint="eastAsia" w:ascii="宋体" w:hAnsi="宋体" w:eastAsia="宋体" w:cs="宋体"/>
          <w:bCs/>
          <w:color w:val="auto"/>
          <w:sz w:val="28"/>
          <w:szCs w:val="28"/>
          <w:highlight w:val="none"/>
        </w:rPr>
        <w:t>Ⅱ、Ⅲ号矿体岩溶不发育；白云石方解石矿岩溶率0.17%，其中①号矿体岩溶率为0.22%，②、③、④号矿体不发育岩溶</w:t>
      </w:r>
      <w:r>
        <w:rPr>
          <w:rFonts w:hint="eastAsia" w:ascii="宋体" w:hAnsi="宋体" w:eastAsia="宋体" w:cs="宋体"/>
          <w:color w:val="auto"/>
          <w:sz w:val="28"/>
          <w:szCs w:val="28"/>
          <w:highlight w:val="none"/>
        </w:rPr>
        <w:t>。</w:t>
      </w:r>
      <w:bookmarkEnd w:id="93"/>
      <w:bookmarkEnd w:id="94"/>
    </w:p>
    <w:p w14:paraId="02426581">
      <w:pPr>
        <w:pageBreakBefore w:val="0"/>
        <w:kinsoku/>
        <w:wordWrap/>
        <w:overflowPunct/>
        <w:topLinePunct w:val="0"/>
        <w:autoSpaceDE/>
        <w:autoSpaceDN/>
        <w:bidi w:val="0"/>
        <w:snapToGrid w:val="0"/>
        <w:spacing w:line="360" w:lineRule="auto"/>
        <w:ind w:firstLine="48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溶洞充填物以泥砂、粘土为主，局部可见钙泥及碳酸盐岩碎屑充填。各个溶洞上下相对位置不重叠,溶洞主要沿各矿体内的小构造面及裂隙分布，走向上基本上与矿体走向一致，形态</w:t>
      </w:r>
      <w:r>
        <w:rPr>
          <w:rFonts w:hint="eastAsia" w:ascii="宋体" w:hAnsi="宋体" w:eastAsia="宋体" w:cs="宋体"/>
          <w:color w:val="auto"/>
          <w:sz w:val="28"/>
          <w:szCs w:val="28"/>
          <w:highlight w:val="none"/>
          <w:lang w:eastAsia="zh-CN"/>
        </w:rPr>
        <w:t>以上</w:t>
      </w:r>
      <w:r>
        <w:rPr>
          <w:rFonts w:hint="eastAsia" w:ascii="宋体" w:hAnsi="宋体" w:eastAsia="宋体" w:cs="宋体"/>
          <w:color w:val="auto"/>
          <w:sz w:val="28"/>
          <w:szCs w:val="28"/>
          <w:highlight w:val="none"/>
        </w:rPr>
        <w:t>大下小的漏斗状为主，部分为椭球状小溶洞、小洞穴及溶蚀沟，局部最大面积约3m</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，直径0.3-0.6m，洞内局部发育石钟乳、石笋及碳酸盐岩晶簇晶牙，可见滴淋水现象。</w:t>
      </w:r>
    </w:p>
    <w:p w14:paraId="3CEAF9B6">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三、矿石加工选冶技术性能</w:t>
      </w:r>
    </w:p>
    <w:p w14:paraId="50CF2BCC">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根据矿山自有加工厂加工技术性能，区内矿石属易碎易磨易加工矿石，生产工艺流程简单，矿石加工技术性能良好。</w:t>
      </w:r>
    </w:p>
    <w:p w14:paraId="6CD44C3E">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通过试验，查明矿石矿物成分、含量、主要矿物的嵌布 特征、赋存状态以及矿物生成顺序，矿石结构、构造，对工艺矿物学研究达到了勘探程度，矿石加工技术性能良好，矿石属易碎易磨易加工矿石。</w:t>
      </w:r>
    </w:p>
    <w:p w14:paraId="517E4B3C">
      <w:pPr>
        <w:pageBreakBefore w:val="0"/>
        <w:kinsoku/>
        <w:wordWrap/>
        <w:overflowPunct/>
        <w:topLinePunct w:val="0"/>
        <w:autoSpaceDE/>
        <w:autoSpaceDN/>
        <w:bidi w:val="0"/>
        <w:snapToGrid w:val="0"/>
        <w:spacing w:line="360" w:lineRule="auto"/>
        <w:ind w:firstLine="570" w:firstLineChars="200"/>
        <w:rPr>
          <w:rFonts w:hint="eastAsia" w:ascii="宋体" w:hAnsi="宋体"/>
          <w:color w:val="auto"/>
          <w:sz w:val="24"/>
          <w:highlight w:val="none"/>
        </w:rPr>
      </w:pPr>
      <w:r>
        <w:rPr>
          <w:rFonts w:hint="eastAsia" w:ascii="宋体" w:hAnsi="宋体" w:eastAsia="宋体" w:cs="宋体"/>
          <w:color w:val="auto"/>
          <w:sz w:val="28"/>
          <w:szCs w:val="28"/>
          <w:highlight w:val="none"/>
        </w:rPr>
        <w:t>因此，区内方解石矿、白云石方解石矿属易碎易磨易加工矿石，矿石加工技术性能良好，详细查明了矿石的加工技术性能，达到勘探阶段要求。</w:t>
      </w:r>
    </w:p>
    <w:p w14:paraId="067BC4CE">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95" w:name="_Toc24233"/>
      <w:bookmarkStart w:id="96" w:name="_Toc7631"/>
      <w:r>
        <w:rPr>
          <w:rFonts w:hint="eastAsia" w:ascii="宋体" w:hAnsi="宋体" w:eastAsia="宋体" w:cs="宋体"/>
          <w:b/>
          <w:bCs w:val="0"/>
          <w:snapToGrid w:val="0"/>
          <w:color w:val="auto"/>
          <w:kern w:val="0"/>
          <w:sz w:val="30"/>
          <w:szCs w:val="30"/>
          <w:highlight w:val="none"/>
          <w:lang w:val="en-US" w:eastAsia="zh-CN"/>
        </w:rPr>
        <w:t>2.2矿床开采技术条件</w:t>
      </w:r>
      <w:bookmarkEnd w:id="95"/>
    </w:p>
    <w:p w14:paraId="0DB86B17">
      <w:pPr>
        <w:pStyle w:val="4"/>
        <w:pageBreakBefore w:val="0"/>
        <w:kinsoku/>
        <w:wordWrap/>
        <w:overflowPunct/>
        <w:topLinePunct w:val="0"/>
        <w:autoSpaceDE/>
        <w:autoSpaceDN/>
        <w:bidi w:val="0"/>
        <w:adjustRightInd w:val="0"/>
        <w:snapToGrid w:val="0"/>
        <w:spacing w:before="0" w:after="0" w:line="360" w:lineRule="auto"/>
        <w:textAlignment w:val="baseline"/>
        <w:rPr>
          <w:rFonts w:hint="eastAsia" w:ascii="宋体" w:hAnsi="宋体" w:eastAsia="宋体" w:cs="宋体"/>
          <w:b/>
          <w:bCs w:val="0"/>
          <w:color w:val="auto"/>
          <w:kern w:val="2"/>
          <w:sz w:val="28"/>
          <w:szCs w:val="28"/>
          <w:highlight w:val="none"/>
          <w:lang w:val="en-US" w:eastAsia="zh-CN" w:bidi="ar-SA"/>
        </w:rPr>
      </w:pPr>
      <w:r>
        <w:rPr>
          <w:rFonts w:hint="eastAsia" w:ascii="宋体" w:hAnsi="宋体" w:eastAsia="宋体" w:cs="宋体"/>
          <w:b/>
          <w:bCs w:val="0"/>
          <w:color w:val="auto"/>
          <w:kern w:val="2"/>
          <w:sz w:val="28"/>
          <w:szCs w:val="28"/>
          <w:highlight w:val="none"/>
          <w:lang w:val="en-US" w:eastAsia="zh-CN" w:bidi="ar-SA"/>
        </w:rPr>
        <w:t>2.2.1矿床水文地质条件</w:t>
      </w:r>
    </w:p>
    <w:p w14:paraId="27CAC97D">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97" w:name="_Toc15743"/>
      <w:r>
        <w:rPr>
          <w:rFonts w:hint="eastAsia" w:ascii="宋体" w:hAnsi="宋体" w:eastAsia="宋体" w:cs="宋体"/>
          <w:b/>
          <w:bCs/>
          <w:color w:val="auto"/>
          <w:sz w:val="28"/>
          <w:szCs w:val="28"/>
          <w:highlight w:val="none"/>
          <w:lang w:val="en-US" w:eastAsia="zh-CN"/>
        </w:rPr>
        <w:t>一、</w:t>
      </w:r>
      <w:bookmarkEnd w:id="97"/>
      <w:bookmarkStart w:id="98" w:name="_Toc206756182"/>
      <w:bookmarkStart w:id="99" w:name="_Toc206403632"/>
      <w:bookmarkStart w:id="100" w:name="_Toc207979713"/>
      <w:bookmarkStart w:id="101" w:name="_Toc226471390"/>
      <w:bookmarkStart w:id="102" w:name="_Toc213849351"/>
      <w:r>
        <w:rPr>
          <w:rFonts w:hint="eastAsia" w:ascii="宋体" w:hAnsi="宋体" w:eastAsia="宋体" w:cs="宋体"/>
          <w:b/>
          <w:bCs/>
          <w:color w:val="auto"/>
          <w:sz w:val="28"/>
          <w:szCs w:val="28"/>
          <w:highlight w:val="none"/>
          <w:lang w:val="en-US" w:eastAsia="zh-CN"/>
        </w:rPr>
        <w:t>矿区水文地质</w:t>
      </w:r>
      <w:bookmarkEnd w:id="98"/>
      <w:bookmarkEnd w:id="99"/>
      <w:bookmarkEnd w:id="100"/>
      <w:bookmarkEnd w:id="101"/>
      <w:bookmarkEnd w:id="102"/>
    </w:p>
    <w:p w14:paraId="5AE8A9B2">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103" w:name="_Toc149036338"/>
      <w:r>
        <w:rPr>
          <w:rFonts w:hint="eastAsia" w:ascii="宋体" w:hAnsi="宋体" w:eastAsia="宋体" w:cs="宋体"/>
          <w:b/>
          <w:bCs/>
          <w:color w:val="auto"/>
          <w:sz w:val="28"/>
          <w:szCs w:val="28"/>
          <w:highlight w:val="none"/>
          <w:lang w:val="en-US" w:eastAsia="zh-CN"/>
        </w:rPr>
        <w:t>（一）岩（矿）层的富水</w:t>
      </w:r>
      <w:bookmarkEnd w:id="103"/>
      <w:r>
        <w:rPr>
          <w:rFonts w:hint="eastAsia" w:ascii="宋体" w:hAnsi="宋体" w:eastAsia="宋体" w:cs="宋体"/>
          <w:b/>
          <w:bCs/>
          <w:color w:val="auto"/>
          <w:sz w:val="28"/>
          <w:szCs w:val="28"/>
          <w:highlight w:val="none"/>
          <w:lang w:val="en-US" w:eastAsia="zh-CN"/>
        </w:rPr>
        <w:t>性</w:t>
      </w:r>
    </w:p>
    <w:p w14:paraId="698DC9AE">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1、地层、岩体富水特征</w:t>
      </w:r>
    </w:p>
    <w:p w14:paraId="5BD25A07">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（1）第四系（Q）——含孔隙潜水，富水性弱</w:t>
      </w:r>
    </w:p>
    <w:p w14:paraId="0A319DE6">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在矿区内大面积出露，主要分布于河流、谷地等低洼处，一般由褐色腐殖土和土黄色粉砂质粘土、粘土及少量碎石、砾石、卵石等组成，为残坡积、冲洪积物，厚度大于6m。根据调查，为第四系孔隙潜水，地下水水位埋深浅，富水性弱。</w:t>
      </w:r>
    </w:p>
    <w:p w14:paraId="250EE306">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（2）石炭系下统林地组（C</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l）——含风化孔隙裂隙水、构造裂隙水，富水性弱</w:t>
      </w:r>
    </w:p>
    <w:p w14:paraId="3DB686CC">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大面积分布于矿区西部，小面积出露于矿区南部外围，岩性主要为变质石英砂岩、</w:t>
      </w:r>
      <w:r>
        <w:rPr>
          <w:rFonts w:hint="eastAsia" w:ascii="宋体" w:hAnsi="宋体" w:eastAsia="宋体" w:cs="宋体"/>
          <w:bCs/>
          <w:color w:val="auto"/>
          <w:sz w:val="28"/>
          <w:szCs w:val="28"/>
          <w:highlight w:val="none"/>
        </w:rPr>
        <w:t>石英砂砾岩、</w:t>
      </w:r>
      <w:r>
        <w:rPr>
          <w:rFonts w:hint="eastAsia" w:ascii="宋体" w:hAnsi="宋体" w:eastAsia="宋体" w:cs="宋体"/>
          <w:color w:val="auto"/>
          <w:sz w:val="28"/>
          <w:szCs w:val="28"/>
          <w:highlight w:val="none"/>
        </w:rPr>
        <w:t>变质粉砂岩、角岩等。</w:t>
      </w:r>
    </w:p>
    <w:p w14:paraId="367E1EC5">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表浅部受风化作用影响，风化带较发育，风化层厚度变化大，地下水赋存在风化带的孔隙裂隙中，含水层较连续，呈带状分布，含水层厚度受地形和风化程度及地下水位埋深影响变化较大，在山脊台面地下水水位埋深较深，在地形低洼处，地下水位埋深较浅，或以股状、片状渗出的泉水出露地表，枯水期未见泉水出露，流量呈季节性变化。渗透性弱，富水性弱。深部岩石中等完整～完整，致密较坚硬～坚硬，裂隙不发育，为隔水层。局部受构造影响，含构造裂隙水，水力性质为无压，富水性弱。</w:t>
      </w:r>
    </w:p>
    <w:p w14:paraId="6164D7D7">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（3）二叠系下统船山组（P</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c）——含碳酸盐岩类裂隙岩溶水，富水性弱～中等</w:t>
      </w:r>
    </w:p>
    <w:p w14:paraId="4D2EA9AF">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分布于矿区中部及西部，小部分出露于矿区西部外围及矿区东南部外围，岩性主要为大理岩、白云石方解石大理岩、方解石白云石大理岩、白云石大理岩等，局部夹角岩化石英砂岩、白云母石英角岩。地下水分布极不均匀，主要赋存于碳酸盐岩类裂隙岩溶水中，水力特征为无压～承压</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单位涌水量为0.01L/s·m，富水性弱；根据ZK102多孔抽水试验成果资料，单位涌水量为0.1305～0.1654L/s·m，富水性中等。因此，该组富水性弱～中等。</w:t>
      </w:r>
    </w:p>
    <w:p w14:paraId="62CCB509">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（4）岩浆岩——含风化裂隙水、构造裂隙水，富水性弱</w:t>
      </w:r>
    </w:p>
    <w:p w14:paraId="40BADB0E">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矿区内岩浆岩主要有晚侏罗世(似斑状)中粗（细）粒黑云母正长花岗岩（ξγJ</w:t>
      </w:r>
      <w:r>
        <w:rPr>
          <w:rFonts w:hint="eastAsia" w:ascii="宋体" w:hAnsi="宋体" w:eastAsia="宋体" w:cs="宋体"/>
          <w:color w:val="auto"/>
          <w:sz w:val="28"/>
          <w:szCs w:val="28"/>
          <w:highlight w:val="none"/>
          <w:vertAlign w:val="subscript"/>
        </w:rPr>
        <w:t>3</w:t>
      </w:r>
      <w:r>
        <w:rPr>
          <w:rFonts w:hint="eastAsia" w:ascii="宋体" w:hAnsi="宋体" w:eastAsia="宋体" w:cs="宋体"/>
          <w:color w:val="auto"/>
          <w:sz w:val="28"/>
          <w:szCs w:val="28"/>
          <w:highlight w:val="none"/>
        </w:rPr>
        <w:t>）、早白垩世正长岩（ξK</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及闪长岩（δ）。地表浅部基岩受风化作用影响多成高岭土、砂质黏土及碎块，呈砂土状、碎块状，结构松散，风化裂隙发育，为风化网状裂隙含水层，透水性弱，富水性弱，水力性质多为无压。深部新鲜基岩岩心中等完整～较完整，致密坚硬，裂隙不发育，为隔水岩体。局部受构造影响，含构造裂隙水，水力性质为无压。根据钻孔ZK603抽水试验成果资料，单位涌水量为0.0714～0.0877L/s·m，富水性弱。</w:t>
      </w:r>
    </w:p>
    <w:p w14:paraId="26D2AC9E">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2、断裂导水性</w:t>
      </w:r>
    </w:p>
    <w:p w14:paraId="7B649593">
      <w:pPr>
        <w:pageBreakBefore w:val="0"/>
        <w:kinsoku/>
        <w:wordWrap/>
        <w:overflowPunct/>
        <w:topLinePunct w:val="0"/>
        <w:autoSpaceDE/>
        <w:autoSpaceDN/>
        <w:bidi w:val="0"/>
        <w:adjustRightInd w:val="0"/>
        <w:snapToGrid w:val="0"/>
        <w:spacing w:line="360" w:lineRule="auto"/>
        <w:ind w:firstLine="482"/>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矿区内主要发育有1条断裂，编号为F</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，F</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断裂为一压扭性逆断层，出露在矿区西部，走向北东，F</w:t>
      </w:r>
      <w:r>
        <w:rPr>
          <w:rFonts w:hint="eastAsia" w:ascii="宋体" w:hAnsi="宋体" w:eastAsia="宋体" w:cs="宋体"/>
          <w:color w:val="auto"/>
          <w:sz w:val="28"/>
          <w:szCs w:val="28"/>
          <w:highlight w:val="none"/>
          <w:vertAlign w:val="subscript"/>
        </w:rPr>
        <w:t>2</w:t>
      </w:r>
      <w:r>
        <w:rPr>
          <w:rFonts w:hint="eastAsia" w:ascii="宋体" w:hAnsi="宋体" w:eastAsia="宋体" w:cs="宋体"/>
          <w:color w:val="auto"/>
          <w:sz w:val="28"/>
          <w:szCs w:val="28"/>
          <w:highlight w:val="none"/>
        </w:rPr>
        <w:t>、F</w:t>
      </w:r>
      <w:r>
        <w:rPr>
          <w:rFonts w:hint="eastAsia" w:ascii="宋体" w:hAnsi="宋体" w:eastAsia="宋体" w:cs="宋体"/>
          <w:color w:val="auto"/>
          <w:sz w:val="28"/>
          <w:szCs w:val="28"/>
          <w:highlight w:val="none"/>
          <w:vertAlign w:val="subscript"/>
        </w:rPr>
        <w:t>3</w:t>
      </w:r>
      <w:r>
        <w:rPr>
          <w:rFonts w:hint="eastAsia" w:ascii="宋体" w:hAnsi="宋体" w:eastAsia="宋体" w:cs="宋体"/>
          <w:color w:val="auto"/>
          <w:sz w:val="28"/>
          <w:szCs w:val="28"/>
          <w:highlight w:val="none"/>
        </w:rPr>
        <w:t>断裂为本次新发现的隐伏断裂，推测为压扭性断裂。其断裂特征描述如下：</w:t>
      </w:r>
    </w:p>
    <w:p w14:paraId="2A45AC6B">
      <w:pPr>
        <w:pageBreakBefore w:val="0"/>
        <w:kinsoku/>
        <w:wordWrap/>
        <w:overflowPunct/>
        <w:topLinePunct w:val="0"/>
        <w:autoSpaceDE/>
        <w:autoSpaceDN/>
        <w:bidi w:val="0"/>
        <w:adjustRightInd w:val="0"/>
        <w:snapToGrid w:val="0"/>
        <w:spacing w:line="360" w:lineRule="auto"/>
        <w:ind w:firstLine="482"/>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F</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断裂：为一压扭性逆断层，出露在矿区西部，往南西延伸至证外，断层可见长度约360m，断层面呈舒缓波状。断层总体走向北东，倾向北西，倾角65-72°。断裂上盘为石炭系下统林地组（C</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l）,下盘为二叠系下统船山组(P</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c)。在2-4线北西侧的矿体受断裂切断。根据地表调查，该断裂带附近未见泉水出露，该断裂为不导水断裂～弱导水断裂。</w:t>
      </w:r>
    </w:p>
    <w:p w14:paraId="57F97800">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（二）岩溶带的发育程度</w:t>
      </w:r>
    </w:p>
    <w:p w14:paraId="0ED7DDEB">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矿区内可溶盐岩地层主要为二叠系下统船山组（P</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c）地层中，分布于矿区中部及西部，小部分出露于矿区西部外围及矿区东南部外围，主要岩性为大理岩、白云石方解石大理岩、方解石白云石大理岩、白云石大理岩等，局部夹角岩化石英砂岩、白云母石英角岩。因受风化、构造、岩溶等综合作用影响，岩溶不发育，地表未见岩溶形态，深部岩溶不发育且不均匀，岩溶形态以溶洞为主，溶蚀裂隙次之。岩溶在平面上具有分带性，垂向上具有分段性。</w:t>
      </w:r>
    </w:p>
    <w:p w14:paraId="16E2B39A">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（三）地下水类型</w:t>
      </w:r>
    </w:p>
    <w:p w14:paraId="3752A83A">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地下水类型以碳酸盐岩类岩溶水为主，基岩裂隙水次之。矿区内岩层(体)受风化、构造作用的影响在地表浅部及局部地段风化裂隙、构造裂隙发育，受岩溶作用影响，局部地段岩溶裂隙、溶洞发育。地下水贮存并运移于基岩裂隙、岩溶裂隙及溶洞中，根据其介质中空隙的成因将矿区内地下水划分为风化孔隙裂隙水、构造裂隙水和碳酸盐岩类岩溶水等三种类型。</w:t>
      </w:r>
    </w:p>
    <w:p w14:paraId="772A1408">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1、风化孔隙裂隙水</w:t>
      </w:r>
    </w:p>
    <w:p w14:paraId="4211B763">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广泛分布地表浅部，赋存在风化带的孔隙裂隙中。岩体风化裂隙发育，裂隙面粗糙、陈旧，局部见黄褐色铁锰质渲染现象。地下水赋存在风化的孔隙裂隙中，含水层较连续，含水层厚度受地形和风化程度及水位埋深影响变化较大，在分水岭及山脊部位水位较深，在沟谷、洼地和坡麓地带汇集，并以散流状、下降泉形式就近排泄，枯水期泉流量为0.046L/s，流量呈季节性变化。透水性弱，富水性弱。</w:t>
      </w:r>
    </w:p>
    <w:p w14:paraId="7AE54A24">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2、构造裂隙水</w:t>
      </w:r>
    </w:p>
    <w:p w14:paraId="3585DC18">
      <w:pPr>
        <w:pageBreakBefore w:val="0"/>
        <w:widowControl/>
        <w:kinsoku/>
        <w:wordWrap/>
        <w:overflowPunct/>
        <w:topLinePunct w:val="0"/>
        <w:autoSpaceDE/>
        <w:autoSpaceDN/>
        <w:bidi w:val="0"/>
        <w:adjustRightInd w:val="0"/>
        <w:snapToGrid w:val="0"/>
        <w:spacing w:line="360" w:lineRule="auto"/>
        <w:ind w:firstLine="570" w:firstLineChars="200"/>
        <w:jc w:val="left"/>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要埋藏于风化带下，岩石受构造、断裂影响，局部裂隙较发育，呈脉状、透镜状，延伸较长，平直，大多呈闭合状，少数呈张开状。根据钻探揭露裂隙发育带、断裂破碎带，岩石破碎～完整性差，呈碎块状、碎屑状，少量块状、柱状，裂隙发育，裂隙面多见铁锰质浸染，局部碳酸盐薄膜化、矿物粘土化，构造裂隙含水层厚度为0.95～11.54m，局部达20.52m。该含水层富水性弱，导水性弱～不导水，水力性质为无压～承压水。</w:t>
      </w:r>
    </w:p>
    <w:p w14:paraId="110A4990">
      <w:pPr>
        <w:pageBreakBefore w:val="0"/>
        <w:kinsoku/>
        <w:wordWrap/>
        <w:overflowPunct/>
        <w:topLinePunct w:val="0"/>
        <w:autoSpaceDE/>
        <w:autoSpaceDN/>
        <w:bidi w:val="0"/>
        <w:adjustRightInd w:val="0"/>
        <w:snapToGrid w:val="0"/>
        <w:spacing w:line="360" w:lineRule="auto"/>
        <w:ind w:firstLine="570" w:firstLineChars="200"/>
        <w:jc w:val="both"/>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3、碳酸盐岩类岩溶水</w:t>
      </w:r>
    </w:p>
    <w:p w14:paraId="545B47DA">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主要赋存于二叠系下统船山组(P</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c)的岩溶裂隙和溶洞中，为矿坑的主要充水层。该层溶洞、岩溶裂隙发育，且分布不均一，主要接受上覆岩层及周围岩层地下水的越流补给。根据钻探揭露裂隙发育带、断裂破碎带，岩石较完整～中等完整，呈块状、柱状，裂隙较发育～发育，裂隙面多见铁锰质浸染，局部碳酸盐薄膜化、矿物粘土化，岩溶裂隙含水层厚度为0.20～19.34m。该含水层富水性弱～中等，水力性质为无压～承压。</w:t>
      </w:r>
    </w:p>
    <w:p w14:paraId="26A76294">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（四）地表水与地下水的水力联系</w:t>
      </w:r>
    </w:p>
    <w:p w14:paraId="34491C7A">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矿区内地表水主要由上龙坑溪和</w:t>
      </w:r>
      <w:r>
        <w:rPr>
          <w:rFonts w:hint="eastAsia" w:ascii="宋体" w:hAnsi="宋体" w:eastAsia="宋体" w:cs="宋体"/>
          <w:color w:val="auto"/>
          <w:spacing w:val="-4"/>
          <w:sz w:val="28"/>
          <w:szCs w:val="28"/>
          <w:highlight w:val="none"/>
        </w:rPr>
        <w:t>Ⅰ号、</w:t>
      </w:r>
      <w:r>
        <w:rPr>
          <w:rFonts w:hint="eastAsia" w:ascii="宋体" w:hAnsi="宋体" w:eastAsia="宋体" w:cs="宋体"/>
          <w:color w:val="auto"/>
          <w:sz w:val="28"/>
          <w:szCs w:val="28"/>
          <w:highlight w:val="none"/>
        </w:rPr>
        <w:t>Ⅱ号支溪组成。上龙坑溪分布于矿区南部，由东向西流经矿区南部，上龙坑溪流入矿区前枯期流量48.733L/s，一部分流经矿区，一部分用于矿区外围的农田灌溉，故上龙坑溪流出矿区后枯期流量20.344 L/s，流量随降雨量呈季节性变化明显。上龙坑溪流经矿区地段已铺设水泥，隔断了与充水含水层的联系，上龙坑溪历年SQ1最高洪水水位454m（主硐口标高456.67m），距离主硐口31m，丰水期最大流量为157.82L/s，流入矿区前枯期流量48.733L/s。因此，上龙坑溪不构成矿床的主要充水因素。</w:t>
      </w:r>
      <w:r>
        <w:rPr>
          <w:rFonts w:hint="eastAsia" w:ascii="宋体" w:hAnsi="宋体" w:eastAsia="宋体" w:cs="宋体"/>
          <w:color w:val="auto"/>
          <w:spacing w:val="-4"/>
          <w:sz w:val="28"/>
          <w:szCs w:val="28"/>
          <w:highlight w:val="none"/>
        </w:rPr>
        <w:t>Ⅰ号</w:t>
      </w:r>
      <w:r>
        <w:rPr>
          <w:rFonts w:hint="eastAsia" w:ascii="宋体" w:hAnsi="宋体" w:eastAsia="宋体" w:cs="宋体"/>
          <w:color w:val="auto"/>
          <w:sz w:val="28"/>
          <w:szCs w:val="28"/>
          <w:highlight w:val="none"/>
        </w:rPr>
        <w:t>支溪分布于东部，地表水由北向南流经矿区中部，出露地层为隔水岩体，</w:t>
      </w:r>
      <w:r>
        <w:rPr>
          <w:rFonts w:hint="eastAsia" w:ascii="宋体" w:hAnsi="宋体" w:eastAsia="宋体" w:cs="宋体"/>
          <w:color w:val="auto"/>
          <w:spacing w:val="-4"/>
          <w:sz w:val="28"/>
          <w:szCs w:val="28"/>
          <w:highlight w:val="none"/>
        </w:rPr>
        <w:t>Ⅰ号</w:t>
      </w:r>
      <w:r>
        <w:rPr>
          <w:rFonts w:hint="eastAsia" w:ascii="宋体" w:hAnsi="宋体" w:eastAsia="宋体" w:cs="宋体"/>
          <w:color w:val="auto"/>
          <w:sz w:val="28"/>
          <w:szCs w:val="28"/>
          <w:highlight w:val="none"/>
        </w:rPr>
        <w:t>支溪不构成矿床的主要充水因素。Ⅱ号支溪分布于矿区中部，由北向南流经矿区中部，在矿区范围内Ⅱ号支溪已铺设水泥，故在矿区范围内Ⅱ号支溪不构成矿床的主要充水因素。</w:t>
      </w:r>
    </w:p>
    <w:p w14:paraId="067A320A">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（五）地下水补给、迳流、排泄及水动态特征</w:t>
      </w:r>
    </w:p>
    <w:p w14:paraId="6E70CEE8">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1、地下水的补给、径流、排泄条件</w:t>
      </w:r>
    </w:p>
    <w:p w14:paraId="3B1F5F60">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矿区内的地下水主要赋存于风化裂隙、构造裂隙和岩溶裂隙中，其补给、径流、排泄条件主要受地形因素控制，并受风化、构造、岩溶作用等因素影响。</w:t>
      </w:r>
    </w:p>
    <w:p w14:paraId="3B222F32">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大气降水是矿区地下水的主要补给来源。区内虽风化裂隙较发育，但由于地形陡峻、沟谷深切，局部风化带厚度较大，降雨大多形成地表径流，仅部分通过风化裂隙渗入补给地下水。由于区内雨量充沛，因而区内地下水的补给来源较丰富。风化带直接接受大气降水渗透补给，构成风化裂隙潜水含水层。由于构造、岩溶作用影响，局部地段构造裂隙、岩溶裂隙发育，风化裂隙水沿构造裂隙、岩溶裂隙下渗补给构造裂隙水，形成构造裂隙承压含水层。</w:t>
      </w:r>
    </w:p>
    <w:p w14:paraId="7E58550A">
      <w:pPr>
        <w:pageBreakBefore w:val="0"/>
        <w:tabs>
          <w:tab w:val="left" w:pos="3261"/>
        </w:tabs>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下水径流主要受地形、裂隙及含水层埋藏深度等因素制约。浅部以垂直径流为主，深部沿裂隙从山脊往溪沟方向运动。矿区范围内的地下水径流途径短，速度快，其流向及水力坡度受地形坡度陡缓的制约，一般与地形坡向基本一致。</w:t>
      </w:r>
    </w:p>
    <w:p w14:paraId="1781EC3F">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矿区内的地下水排泄，自然状态下，在地形低洼处，地下水以片状缓慢渗流的泉水形式排泄地表溪沟；硐内的地下水排泄，经集水仓集水，潜水泵抽至硐口沉淀池，沉淀后由水渠排泄地表溪沟。</w:t>
      </w:r>
    </w:p>
    <w:p w14:paraId="1087E152">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2、水动态变化特征</w:t>
      </w:r>
    </w:p>
    <w:p w14:paraId="42407585">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地表水动态变化与降水量变化相一致。地下水因受大气降水、地形地貌和构造岩性等因素的制约，地下水动态变化呈季节性变化，虽与降水量变化相同，</w:t>
      </w:r>
      <w:r>
        <w:rPr>
          <w:rFonts w:hint="eastAsia" w:ascii="宋体" w:hAnsi="宋体" w:eastAsia="宋体" w:cs="宋体"/>
          <w:color w:val="auto"/>
          <w:sz w:val="28"/>
          <w:szCs w:val="28"/>
          <w:highlight w:val="none"/>
          <w:lang w:val="en-US" w:eastAsia="zh-CN"/>
        </w:rPr>
        <w:t>但</w:t>
      </w:r>
      <w:r>
        <w:rPr>
          <w:rFonts w:hint="eastAsia" w:ascii="宋体" w:hAnsi="宋体" w:eastAsia="宋体" w:cs="宋体"/>
          <w:color w:val="auto"/>
          <w:sz w:val="28"/>
          <w:szCs w:val="28"/>
          <w:highlight w:val="none"/>
        </w:rPr>
        <w:t>滞后5～15天；旱季渗透补给量减少，地下水水位下降，流量也随之减少；雨季渗透补给量增多，地下水水位上升，流量也随之增加。</w:t>
      </w:r>
    </w:p>
    <w:p w14:paraId="097B8F3C">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（六）矿床充水因素分析</w:t>
      </w:r>
    </w:p>
    <w:p w14:paraId="36098BC4">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1、大气降水</w:t>
      </w:r>
    </w:p>
    <w:p w14:paraId="4504B5FF">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区内矿体分布在山坡及沟谷一带，大部分矿体位于当地侵蚀基准面以下。地表覆盖第四系残坡积含碎块粘性砂土，大气降水入渗，通过风化裂隙及构造裂隙补给裂隙溶洞水。因此，大气降水是地下水的主要补给来源，也是矿床充水主要补给来源。</w:t>
      </w:r>
    </w:p>
    <w:p w14:paraId="5F86D32C">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2、地表水</w:t>
      </w:r>
    </w:p>
    <w:p w14:paraId="318B1087">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矿区内地表水主要由上龙坑溪和</w:t>
      </w:r>
      <w:r>
        <w:rPr>
          <w:rFonts w:hint="eastAsia" w:ascii="宋体" w:hAnsi="宋体" w:eastAsia="宋体" w:cs="宋体"/>
          <w:color w:val="auto"/>
          <w:spacing w:val="-4"/>
          <w:sz w:val="28"/>
          <w:szCs w:val="28"/>
          <w:highlight w:val="none"/>
        </w:rPr>
        <w:t>Ⅰ号、</w:t>
      </w:r>
      <w:r>
        <w:rPr>
          <w:rFonts w:hint="eastAsia" w:ascii="宋体" w:hAnsi="宋体" w:eastAsia="宋体" w:cs="宋体"/>
          <w:color w:val="auto"/>
          <w:sz w:val="28"/>
          <w:szCs w:val="28"/>
          <w:highlight w:val="none"/>
        </w:rPr>
        <w:t>Ⅱ号支溪组成。上龙坑溪流经矿区地段已铺设水泥，隔断了与充水含水层的联系，上龙坑溪不构成矿床的主要充水因素。</w:t>
      </w:r>
      <w:r>
        <w:rPr>
          <w:rFonts w:hint="eastAsia" w:ascii="宋体" w:hAnsi="宋体" w:eastAsia="宋体" w:cs="宋体"/>
          <w:color w:val="auto"/>
          <w:spacing w:val="-4"/>
          <w:sz w:val="28"/>
          <w:szCs w:val="28"/>
          <w:highlight w:val="none"/>
        </w:rPr>
        <w:t>Ⅰ号</w:t>
      </w:r>
      <w:r>
        <w:rPr>
          <w:rFonts w:hint="eastAsia" w:ascii="宋体" w:hAnsi="宋体" w:eastAsia="宋体" w:cs="宋体"/>
          <w:color w:val="auto"/>
          <w:sz w:val="28"/>
          <w:szCs w:val="28"/>
          <w:highlight w:val="none"/>
        </w:rPr>
        <w:t>支溪分布于东部，地表水由北向南流经矿区中部，出露地层为隔水岩体，</w:t>
      </w:r>
      <w:r>
        <w:rPr>
          <w:rFonts w:hint="eastAsia" w:ascii="宋体" w:hAnsi="宋体" w:eastAsia="宋体" w:cs="宋体"/>
          <w:color w:val="auto"/>
          <w:spacing w:val="-4"/>
          <w:sz w:val="28"/>
          <w:szCs w:val="28"/>
          <w:highlight w:val="none"/>
        </w:rPr>
        <w:t>Ⅰ号</w:t>
      </w:r>
      <w:r>
        <w:rPr>
          <w:rFonts w:hint="eastAsia" w:ascii="宋体" w:hAnsi="宋体" w:eastAsia="宋体" w:cs="宋体"/>
          <w:color w:val="auto"/>
          <w:sz w:val="28"/>
          <w:szCs w:val="28"/>
          <w:highlight w:val="none"/>
        </w:rPr>
        <w:t>支溪不构成矿床的主要充水因素。Ⅱ号支溪分布于矿区中部，由北向南流经矿区中部，在矿区范围内Ⅱ号支溪已铺设水泥，故在矿区范围内Ⅱ号支溪不构成矿床的主要充水因素。</w:t>
      </w:r>
    </w:p>
    <w:p w14:paraId="1F237E73">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3、地下水</w:t>
      </w:r>
    </w:p>
    <w:p w14:paraId="730686E3">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（1）风化孔隙裂隙水</w:t>
      </w:r>
    </w:p>
    <w:p w14:paraId="4FD2AEF1">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赋存于地表垂深4.40～33.97m的风化裂隙中，含水层较连续，但其厚度受地形和风化程度及水位埋深影响变化较大，岩心多呈砂土状、碎块状，裂隙发育，渗透系数较小，富水性弱。因此，该含水层会对矿坑产生直接或间接充水，但影响不大。</w:t>
      </w:r>
    </w:p>
    <w:p w14:paraId="5A7C0629">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（2）构造裂隙水</w:t>
      </w:r>
    </w:p>
    <w:p w14:paraId="49144F6E">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要埋藏于风化带下，岩石受构造、断裂影响，根据钻探揭露裂隙发育带、断裂破碎带，岩石破碎～完整性差，呈碎块状、碎屑状，少量块状、柱状，裂隙发育，裂隙面多见铁锰质浸染、矿物粘土化，构造裂隙含水层厚度为0.95～11.54m，局部达20.52m。该含水层富水性弱，导水性弱～不导水，水力性质为无压～承压水。根据生产巷道矿体揭露段多潮湿滴水，个别地段滴水～淋水，对矿床直接充水有一定的影响。</w:t>
      </w:r>
    </w:p>
    <w:p w14:paraId="5A311AE6">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（3）碳酸盐岩类岩溶水</w:t>
      </w:r>
    </w:p>
    <w:p w14:paraId="33974136">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主要赋存于二叠系下统船山组（P</w:t>
      </w:r>
      <w:r>
        <w:rPr>
          <w:rFonts w:hint="eastAsia" w:ascii="宋体" w:hAnsi="宋体" w:eastAsia="宋体" w:cs="宋体"/>
          <w:color w:val="auto"/>
          <w:sz w:val="28"/>
          <w:szCs w:val="28"/>
          <w:highlight w:val="none"/>
          <w:vertAlign w:val="subscript"/>
        </w:rPr>
        <w:t>1</w:t>
      </w:r>
      <w:r>
        <w:rPr>
          <w:rFonts w:hint="eastAsia" w:ascii="宋体" w:hAnsi="宋体" w:eastAsia="宋体" w:cs="宋体"/>
          <w:color w:val="auto"/>
          <w:sz w:val="28"/>
          <w:szCs w:val="28"/>
          <w:highlight w:val="none"/>
        </w:rPr>
        <w:t>c）的溶洞和岩溶裂隙中，为矿坑的主要充水层。该层裂隙不发育～发育，且不均匀，局部与上部风化带透水、含水层连通，富水性中等，对矿坑充水影响较大。</w:t>
      </w:r>
    </w:p>
    <w:p w14:paraId="242A48CF">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4、采坑积水</w:t>
      </w:r>
    </w:p>
    <w:p w14:paraId="19C87B06">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在巷道现场调查中，矿坑水自然排泄面标高（主硐口）+456.78m，该硐口未见积水，矿坑水自然排泄标高以下巷道矿坑水采用坑内集水仓集水后利用水泵机械排出至硐口附近水渠内；西侧仅在+440m标高处施工一个</w:t>
      </w:r>
      <w:r>
        <w:rPr>
          <w:rFonts w:hint="eastAsia" w:ascii="宋体" w:hAnsi="宋体" w:eastAsia="宋体" w:cs="宋体"/>
          <w:color w:val="auto"/>
          <w:sz w:val="28"/>
          <w:szCs w:val="28"/>
          <w:highlight w:val="none"/>
          <w:lang w:eastAsia="zh-CN"/>
        </w:rPr>
        <w:t>斜坡道</w:t>
      </w:r>
      <w:r>
        <w:rPr>
          <w:rFonts w:hint="eastAsia" w:ascii="宋体" w:hAnsi="宋体" w:eastAsia="宋体" w:cs="宋体"/>
          <w:color w:val="auto"/>
          <w:sz w:val="28"/>
          <w:szCs w:val="28"/>
          <w:highlight w:val="none"/>
        </w:rPr>
        <w:t>硐口（LD1），</w:t>
      </w:r>
      <w:r>
        <w:rPr>
          <w:rFonts w:hint="eastAsia" w:ascii="宋体" w:hAnsi="宋体" w:eastAsia="宋体" w:cs="宋体"/>
          <w:color w:val="auto"/>
          <w:sz w:val="28"/>
          <w:szCs w:val="28"/>
          <w:highlight w:val="none"/>
          <w:lang w:eastAsia="zh-CN"/>
        </w:rPr>
        <w:t>斜坡道</w:t>
      </w:r>
      <w:r>
        <w:rPr>
          <w:rFonts w:hint="eastAsia" w:ascii="宋体" w:hAnsi="宋体" w:eastAsia="宋体" w:cs="宋体"/>
          <w:color w:val="auto"/>
          <w:sz w:val="28"/>
          <w:szCs w:val="28"/>
          <w:highlight w:val="none"/>
        </w:rPr>
        <w:t>掘进一百米后便出现坍塌，而后便停止施工，LD1硐口于2002年封堵，此后未进行任何采矿作业。LD1硐口规模为2×2m，硐口未见积水流出，</w:t>
      </w:r>
      <w:r>
        <w:rPr>
          <w:rFonts w:hint="eastAsia" w:ascii="宋体" w:hAnsi="宋体" w:eastAsia="宋体" w:cs="宋体"/>
          <w:color w:val="auto"/>
          <w:sz w:val="28"/>
          <w:szCs w:val="28"/>
          <w:highlight w:val="none"/>
          <w:lang w:eastAsia="zh-CN"/>
        </w:rPr>
        <w:t>该</w:t>
      </w:r>
      <w:r>
        <w:rPr>
          <w:rFonts w:hint="eastAsia" w:ascii="宋体" w:hAnsi="宋体" w:eastAsia="宋体" w:cs="宋体"/>
          <w:color w:val="auto"/>
          <w:sz w:val="28"/>
          <w:szCs w:val="28"/>
          <w:highlight w:val="none"/>
        </w:rPr>
        <w:t>斜坡道预估积水量13760m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。对矿床充水具有一定的影响。</w:t>
      </w:r>
    </w:p>
    <w:p w14:paraId="443C99B0">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（七）矿山开采引发的水文地质问题及防治措施</w:t>
      </w:r>
    </w:p>
    <w:p w14:paraId="062941F9">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山开采可能引发水文地质问题预测：1、矿山开采时，可能产生地表水下渗而进入矿坑，形成矿坑水患灾害。2、矿山开采长期疏干地下水，会导致矿山疏干排水范围内的水位下降，水力坡度增大，周围地下水向降落漏斗中心径流，造成局部地下水水位下降。3、矿区2-6线其上部溶洞发育，</w:t>
      </w:r>
      <w:r>
        <w:rPr>
          <w:rFonts w:hint="eastAsia" w:ascii="宋体" w:hAnsi="宋体" w:eastAsia="宋体" w:cs="宋体"/>
          <w:color w:val="auto"/>
          <w:sz w:val="28"/>
          <w:szCs w:val="28"/>
          <w:highlight w:val="none"/>
          <w:lang w:eastAsia="zh-CN"/>
        </w:rPr>
        <w:t>因</w:t>
      </w:r>
      <w:r>
        <w:rPr>
          <w:rFonts w:hint="eastAsia" w:ascii="宋体" w:hAnsi="宋体" w:eastAsia="宋体" w:cs="宋体"/>
          <w:color w:val="auto"/>
          <w:sz w:val="28"/>
          <w:szCs w:val="28"/>
          <w:highlight w:val="none"/>
        </w:rPr>
        <w:t>为无充填物，开采中揭露溶洞发育地段，会产生突水现象。4、LD1虽然硐口已封堵，硐口未见积水，硐内因岩溶裂隙滴水等产生积水，在开采时应注意防范。</w:t>
      </w:r>
    </w:p>
    <w:p w14:paraId="520E2297">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防治措施：1、业主虽已在上龙坑溪流经矿区地段铺设水泥，但为进一步减轻地表水对水泥结构的冲刷侵蚀，建议在该段采用帷幕灌浆的措施进行防治。2、矿山闭坑时，应对各硐口、采空区进行封堵、回填，做到各硐口不再有排水现象，确保地下含水层的水位逐步自然恢复。3、对巷道揭露溶洞时，可能产生突水、突泥现象应采取的防治水措施，在开采过程中必须严格遵守“预防为主，有疑必探，先探后掘，先治后采”的防治水原则；并进行水文地质监测，建立排水疏干系统，保证矿井安全生产。4、LD1硐内积水防范应以“超前探测、主动疏排、动态监测</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为核心。首先，应采用物探技术，圈定老硐内积水范围、厚度及水头压力，明确积水与周边含水层的水力联系；其次，采用分段开挖、分段设置排水点的方式进行主动疏干排水；再次，建立监测体系，及时发现积水变化，防止突发涌水；最后，仍需配备防范措施和应急预案，应对突发情况。</w:t>
      </w:r>
    </w:p>
    <w:p w14:paraId="70D183B8">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（八）水文地质勘查类型</w:t>
      </w:r>
    </w:p>
    <w:p w14:paraId="75077837">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bookmarkStart w:id="104" w:name="_Toc249496559"/>
      <w:r>
        <w:rPr>
          <w:rFonts w:hint="eastAsia" w:ascii="宋体" w:hAnsi="宋体" w:eastAsia="宋体" w:cs="宋体"/>
          <w:color w:val="auto"/>
          <w:sz w:val="28"/>
          <w:szCs w:val="28"/>
          <w:highlight w:val="none"/>
        </w:rPr>
        <w:t>矿区内大部分矿体位于当地侵蚀基准面以下，但地表水不构成矿床的主要充水因素，水文地质边界条件简单，矿区主要含水层的富水性弱～中等，且分布不均匀，地下水补给条件一般，存在一处老空水（LD1），积水量清楚。因此，矿区水文地质勘查类型属以溶蚀裂隙为主的岩溶充水的水文地质条件中等的矿床。</w:t>
      </w:r>
    </w:p>
    <w:bookmarkEnd w:id="104"/>
    <w:p w14:paraId="2825F124">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105" w:name="_Toc213849352"/>
      <w:bookmarkStart w:id="106" w:name="_Toc207979714"/>
      <w:bookmarkStart w:id="107" w:name="_Toc226471391"/>
      <w:bookmarkStart w:id="108" w:name="_Toc206756183"/>
      <w:bookmarkStart w:id="109" w:name="_Toc206403633"/>
      <w:r>
        <w:rPr>
          <w:rFonts w:hint="eastAsia" w:ascii="宋体" w:hAnsi="宋体" w:eastAsia="宋体" w:cs="宋体"/>
          <w:b/>
          <w:bCs/>
          <w:color w:val="auto"/>
          <w:sz w:val="28"/>
          <w:szCs w:val="28"/>
          <w:highlight w:val="none"/>
          <w:lang w:val="en-US" w:eastAsia="zh-CN"/>
        </w:rPr>
        <w:t>二、矿坑涌水量预测计算</w:t>
      </w:r>
      <w:bookmarkEnd w:id="105"/>
      <w:bookmarkEnd w:id="106"/>
      <w:bookmarkEnd w:id="107"/>
      <w:bookmarkEnd w:id="108"/>
      <w:bookmarkEnd w:id="109"/>
    </w:p>
    <w:p w14:paraId="26DF9E54">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1、计算方法</w:t>
      </w:r>
    </w:p>
    <w:p w14:paraId="2CB99F13">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pacing w:val="-2"/>
          <w:sz w:val="28"/>
          <w:szCs w:val="28"/>
          <w:highlight w:val="none"/>
        </w:rPr>
      </w:pPr>
      <w:r>
        <w:rPr>
          <w:rFonts w:hint="eastAsia" w:ascii="宋体" w:hAnsi="宋体" w:eastAsia="宋体" w:cs="宋体"/>
          <w:color w:val="auto"/>
          <w:sz w:val="28"/>
          <w:szCs w:val="28"/>
          <w:highlight w:val="none"/>
        </w:rPr>
        <w:t>在矿区范围内+480m～+240m标高共圈定方解石矿体3个，编号为Ⅰ、Ⅱ、Ⅲ号，其中Ⅰ号为主矿体。圈定白云石方解石矿体4个，编号为①、②、③、④号，其中①号为主矿体。</w:t>
      </w:r>
      <w:r>
        <w:rPr>
          <w:rFonts w:hint="eastAsia" w:ascii="宋体" w:hAnsi="宋体" w:eastAsia="宋体" w:cs="宋体"/>
          <w:color w:val="auto"/>
          <w:spacing w:val="-2"/>
          <w:sz w:val="28"/>
          <w:szCs w:val="28"/>
          <w:highlight w:val="none"/>
        </w:rPr>
        <w:t>矿山采用斜坡道开拓，拟申请采矿证最低开采标高+230m，当地最低侵蚀基准面（</w:t>
      </w:r>
      <w:r>
        <w:rPr>
          <w:rFonts w:hint="eastAsia" w:ascii="宋体" w:hAnsi="宋体" w:eastAsia="宋体" w:cs="宋体"/>
          <w:color w:val="auto"/>
          <w:sz w:val="28"/>
          <w:szCs w:val="28"/>
          <w:highlight w:val="none"/>
        </w:rPr>
        <w:t>矿区西部溪沟河床中</w:t>
      </w:r>
      <w:r>
        <w:rPr>
          <w:rFonts w:hint="eastAsia" w:ascii="宋体" w:hAnsi="宋体" w:eastAsia="宋体" w:cs="宋体"/>
          <w:color w:val="auto"/>
          <w:spacing w:val="-2"/>
          <w:sz w:val="28"/>
          <w:szCs w:val="28"/>
          <w:highlight w:val="none"/>
        </w:rPr>
        <w:t>）标高</w:t>
      </w:r>
      <w:r>
        <w:rPr>
          <w:rFonts w:hint="eastAsia" w:ascii="宋体" w:hAnsi="宋体" w:eastAsia="宋体" w:cs="宋体"/>
          <w:color w:val="auto"/>
          <w:sz w:val="28"/>
          <w:szCs w:val="28"/>
          <w:highlight w:val="none"/>
        </w:rPr>
        <w:t>439.34</w:t>
      </w:r>
      <w:r>
        <w:rPr>
          <w:rFonts w:hint="eastAsia" w:ascii="宋体" w:hAnsi="宋体" w:eastAsia="宋体" w:cs="宋体"/>
          <w:color w:val="auto"/>
          <w:spacing w:val="-2"/>
          <w:sz w:val="28"/>
          <w:szCs w:val="28"/>
          <w:highlight w:val="none"/>
        </w:rPr>
        <w:t>m m，</w:t>
      </w:r>
      <w:r>
        <w:rPr>
          <w:rFonts w:hint="eastAsia" w:ascii="宋体" w:hAnsi="宋体" w:eastAsia="宋体" w:cs="宋体"/>
          <w:color w:val="auto"/>
          <w:sz w:val="28"/>
          <w:szCs w:val="28"/>
          <w:highlight w:val="none"/>
        </w:rPr>
        <w:t>矿坑水自然排泄面标高（</w:t>
      </w:r>
      <w:r>
        <w:rPr>
          <w:rFonts w:hint="eastAsia" w:ascii="宋体" w:hAnsi="宋体" w:eastAsia="宋体" w:cs="宋体"/>
          <w:color w:val="auto"/>
          <w:spacing w:val="-2"/>
          <w:sz w:val="28"/>
          <w:szCs w:val="28"/>
          <w:highlight w:val="none"/>
        </w:rPr>
        <w:t>主硐口</w:t>
      </w:r>
      <w:r>
        <w:rPr>
          <w:rFonts w:hint="eastAsia" w:ascii="宋体" w:hAnsi="宋体" w:eastAsia="宋体" w:cs="宋体"/>
          <w:color w:val="auto"/>
          <w:sz w:val="28"/>
          <w:szCs w:val="28"/>
          <w:highlight w:val="none"/>
        </w:rPr>
        <w:t>）+</w:t>
      </w:r>
      <w:r>
        <w:rPr>
          <w:rFonts w:hint="eastAsia" w:ascii="宋体" w:hAnsi="宋体" w:eastAsia="宋体" w:cs="宋体"/>
          <w:color w:val="auto"/>
          <w:spacing w:val="-2"/>
          <w:sz w:val="28"/>
          <w:szCs w:val="28"/>
          <w:highlight w:val="none"/>
        </w:rPr>
        <w:t>456.67</w:t>
      </w:r>
      <w:r>
        <w:rPr>
          <w:rFonts w:hint="eastAsia" w:ascii="宋体" w:hAnsi="宋体" w:eastAsia="宋体" w:cs="宋体"/>
          <w:color w:val="auto"/>
          <w:sz w:val="28"/>
          <w:szCs w:val="28"/>
          <w:highlight w:val="none"/>
        </w:rPr>
        <w:t>m，矿坑水自然排泄标高以下巷道矿坑水采用坑内集水仓集水后利用水泵机械排出至硐口附近</w:t>
      </w:r>
      <w:r>
        <w:rPr>
          <w:rFonts w:hint="eastAsia" w:ascii="宋体" w:hAnsi="宋体" w:eastAsia="宋体" w:cs="宋体"/>
          <w:color w:val="auto"/>
          <w:spacing w:val="-2"/>
          <w:sz w:val="28"/>
          <w:szCs w:val="28"/>
          <w:highlight w:val="none"/>
        </w:rPr>
        <w:t>排水沟</w:t>
      </w:r>
      <w:r>
        <w:rPr>
          <w:rFonts w:hint="eastAsia" w:ascii="宋体" w:hAnsi="宋体" w:eastAsia="宋体" w:cs="宋体"/>
          <w:color w:val="auto"/>
          <w:sz w:val="28"/>
          <w:szCs w:val="28"/>
          <w:highlight w:val="none"/>
        </w:rPr>
        <w:t>内。</w:t>
      </w:r>
      <w:r>
        <w:rPr>
          <w:rFonts w:hint="eastAsia" w:ascii="宋体" w:hAnsi="宋体" w:eastAsia="宋体" w:cs="宋体"/>
          <w:color w:val="auto"/>
          <w:spacing w:val="-2"/>
          <w:sz w:val="28"/>
          <w:szCs w:val="28"/>
          <w:highlight w:val="none"/>
        </w:rPr>
        <w:t>根据矿区矿体分布特征、矿区水文地质条件和工作程度，选择比拟法和大井法预测开采标高+230m以上的正常涌水量和最大涌水量。</w:t>
      </w:r>
    </w:p>
    <w:p w14:paraId="5A5A2937">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、计算结果评价</w:t>
      </w:r>
    </w:p>
    <w:p w14:paraId="6EA6C706">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坑涌水量计算中，比拟法是根据现有巷道揭露水文地质资料、矿床资源分布特征及水动态长期观测资料，所以预算参数可靠。大井法计算公式适用均质、各向同性、无限含水层计算，水文地质参数随时间不变；而实际矿区岩溶含水层非均质、各向异性，水文地质边界较复杂，水文地质参数是慢时变的，故计算结果涌水量比实际涌水量可能有所偏差。因此，预测开采标高+230m以上矿坑正常涌水量778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/d，最大涌水量1404m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/d。其矿坑涌水量预算结果可作为今后矿山开采设计依据。</w:t>
      </w:r>
    </w:p>
    <w:p w14:paraId="36F6D872">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110" w:name="_Toc226471392"/>
      <w:bookmarkStart w:id="111" w:name="_Toc213849353"/>
      <w:bookmarkStart w:id="112" w:name="_Toc206756184"/>
      <w:bookmarkStart w:id="113" w:name="_Toc206403634"/>
      <w:bookmarkStart w:id="114" w:name="_Toc207979715"/>
      <w:r>
        <w:rPr>
          <w:rFonts w:hint="eastAsia" w:ascii="宋体" w:hAnsi="宋体" w:eastAsia="宋体" w:cs="宋体"/>
          <w:b/>
          <w:bCs/>
          <w:color w:val="auto"/>
          <w:sz w:val="28"/>
          <w:szCs w:val="28"/>
          <w:highlight w:val="none"/>
          <w:lang w:val="en-US" w:eastAsia="zh-CN"/>
        </w:rPr>
        <w:t>三、矿区供水水源综合利用评价</w:t>
      </w:r>
      <w:bookmarkEnd w:id="110"/>
      <w:bookmarkEnd w:id="111"/>
      <w:bookmarkEnd w:id="112"/>
      <w:bookmarkEnd w:id="113"/>
      <w:bookmarkEnd w:id="114"/>
    </w:p>
    <w:p w14:paraId="7817ACFB">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范围内地表水系较发育，主要为上龙坑溪和Ⅰ号、Ⅱ号支溪组成，上龙坑溪，分布于矿区南部，由东向西流经矿区南部，溪沟流量随降雨量呈季节性变化明显。枯水期地表水正常时水的物理性质良好，无色透明，无嗅、无味，pH值为7.31～7.57，矿化度127.60～298mg/l，总硬度为74.01～95.40mg/l，水化学类型为HCO</w:t>
      </w:r>
      <w:r>
        <w:rPr>
          <w:rFonts w:hint="eastAsia" w:ascii="宋体" w:hAnsi="宋体" w:eastAsia="宋体" w:cs="宋体"/>
          <w:color w:val="auto"/>
          <w:sz w:val="28"/>
          <w:szCs w:val="28"/>
          <w:highlight w:val="none"/>
          <w:vertAlign w:val="subscript"/>
        </w:rPr>
        <w:t>3</w:t>
      </w:r>
      <w:r>
        <w:rPr>
          <w:rFonts w:hint="eastAsia" w:ascii="宋体" w:hAnsi="宋体" w:eastAsia="宋体" w:cs="宋体"/>
          <w:color w:val="auto"/>
          <w:sz w:val="28"/>
          <w:szCs w:val="28"/>
          <w:highlight w:val="none"/>
          <w:vertAlign w:val="superscript"/>
        </w:rPr>
        <w:t xml:space="preserve"> </w:t>
      </w:r>
      <w:r>
        <w:rPr>
          <w:rFonts w:hint="eastAsia" w:ascii="宋体" w:hAnsi="宋体" w:eastAsia="宋体" w:cs="宋体"/>
          <w:color w:val="auto"/>
          <w:sz w:val="28"/>
          <w:szCs w:val="28"/>
          <w:highlight w:val="none"/>
        </w:rPr>
        <w:t>--Ca型水,所检测项目达到地表水质量Ⅰ类标准，经处理后，可作矿山生产生活用水水源。矿区内生活生产用水引用矿区外围的山泉水。</w:t>
      </w:r>
    </w:p>
    <w:p w14:paraId="669241DF">
      <w:pPr>
        <w:pageBreakBefore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矿区枯水期地下水类型主要为碳酸盐岩裂隙水，次为基岩裂隙水，地下水水质清澈透明，无嗅无味，水质类型为HCO</w:t>
      </w:r>
      <w:r>
        <w:rPr>
          <w:rFonts w:hint="eastAsia" w:ascii="宋体" w:hAnsi="宋体" w:eastAsia="宋体" w:cs="宋体"/>
          <w:color w:val="auto"/>
          <w:sz w:val="28"/>
          <w:szCs w:val="28"/>
          <w:highlight w:val="none"/>
          <w:vertAlign w:val="subscript"/>
        </w:rPr>
        <w:t>3</w:t>
      </w:r>
      <w:r>
        <w:rPr>
          <w:rFonts w:hint="eastAsia" w:ascii="宋体" w:hAnsi="宋体" w:eastAsia="宋体" w:cs="宋体"/>
          <w:color w:val="auto"/>
          <w:sz w:val="28"/>
          <w:szCs w:val="28"/>
          <w:highlight w:val="none"/>
        </w:rPr>
        <w:t>－Ca·Mg、HCO</w:t>
      </w:r>
      <w:r>
        <w:rPr>
          <w:rFonts w:hint="eastAsia" w:ascii="宋体" w:hAnsi="宋体" w:eastAsia="宋体" w:cs="宋体"/>
          <w:color w:val="auto"/>
          <w:sz w:val="28"/>
          <w:szCs w:val="28"/>
          <w:highlight w:val="none"/>
          <w:vertAlign w:val="subscript"/>
        </w:rPr>
        <w:t>3</w:t>
      </w:r>
      <w:r>
        <w:rPr>
          <w:rFonts w:hint="eastAsia" w:ascii="宋体" w:hAnsi="宋体" w:eastAsia="宋体" w:cs="宋体"/>
          <w:color w:val="auto"/>
          <w:sz w:val="28"/>
          <w:szCs w:val="28"/>
          <w:highlight w:val="none"/>
        </w:rPr>
        <w:t>--Ca型，矿化度164.90～301mg/l，pH值7.57～7.91，所检测项目达到地下水Ⅲ类标准，地下水水质较好。经处理后，可用作矿山生产用水。</w:t>
      </w:r>
    </w:p>
    <w:p w14:paraId="3DD22C2A">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2.2.2矿床工程地质条件</w:t>
      </w:r>
    </w:p>
    <w:p w14:paraId="2267C3E2">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一、矿区工程地质岩组特征</w:t>
      </w:r>
    </w:p>
    <w:p w14:paraId="78086EEA">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（一）矿区工程地质岩组划分</w:t>
      </w:r>
    </w:p>
    <w:p w14:paraId="4BE7C35C">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根据岩石的成因类型、结构构造特征和主要力学指标，将矿区岩矿石划分为完整坚硬岩、碎裂坚硬岩～完整较坚硬岩、碎裂较坚硬岩和较软岩～极软岩等四个工程地质岩组。各岩组工程地质特征分述如下：</w:t>
      </w:r>
    </w:p>
    <w:p w14:paraId="2BBE32BA">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1、完整坚硬岩岩组(Ⅰ)</w:t>
      </w:r>
    </w:p>
    <w:p w14:paraId="2B30FCB9">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组成本组的地层为石炭系下统林地组和二叠系下统船山组，岩性主要为大理岩、白云石方解石大理岩、方解石白云石大理岩、白云石大理岩、变质石英砂岩、石英砂砾岩、变质粉砂岩、角岩等。组成本组的岩浆岩主要为中粗（细）粒黑云母正长花岗岩、正长岩及闪长岩。在矿区范围大面积分布。岩心呈柱状、长柱状，岩体较完整～完整，致密坚硬，岩石饱和抗压强度为62.3～109MPa，岩体质量良～优，岩石抗风化能力强，工程地质性能好。</w:t>
      </w:r>
    </w:p>
    <w:p w14:paraId="36847828">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2、碎裂坚硬岩～完整较坚硬岩岩组(Ⅱ)</w:t>
      </w:r>
    </w:p>
    <w:p w14:paraId="17DA5333">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组成本组的地层为二叠系下统船山组，岩性主要为方解石矿、白云石方解石矿等。在矿区范围大面积分布。岩心呈柱状、长柱状，局部呈块状，岩体完整性中等～完整，坚硬～半坚硬，岩石饱和极限抗压强度59.2～78.7Mpa，岩体质量良，工程地质性能好。</w:t>
      </w:r>
    </w:p>
    <w:p w14:paraId="7B3E21AA">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3、碎裂较硬岩岩组（Ⅲ）</w:t>
      </w:r>
    </w:p>
    <w:p w14:paraId="3CA4F97A">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主要为构造破碎带中的岩体和微风化带、中等风化带中的岩体。该岩组呈面状或带状分布，多分布于矿区浅部，主要受风化、构造、岩溶作用等因素影响，岩石的节理裂隙、岩溶发育，力学性质呈各向异性，其抗压抗剪强度明显偏低，钻进中受机械扰动，岩心较破碎，呈块状或碎块状，RQD值较低，一般＜50%，完整性差～破碎，岩体质量中等～差，工程地质性能较差。</w:t>
      </w:r>
    </w:p>
    <w:p w14:paraId="08CFA89E">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 xml:space="preserve"> 4、松散～较软岩岩组(Ⅳ)</w:t>
      </w:r>
    </w:p>
    <w:p w14:paraId="2B4207C1">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主要由与矿体相接触的花岗岩岩体、碎裂岩、全风化带、强风化带和第四系残坡积层组成，在浅部呈面状分布。残坡积层由褐色腐殖土和土黄色粉砂质粘土、粘土及少量碎石、砾石、卵石等组成，为残坡积、冲洪积物，该层稳定性较差～差，工程地质性能差。全风化带、强风化带深度变化较大，风化呈碎块状，块状，多数松散软弱，遇水软化，稳定性差，易产生坍塌现象。在钻孔中见碎裂岩、与矿体相接触的花岗岩岩体，大部分岩心完整性差～破碎，RQD值0.00～45.53%，仅个别岩心较完整～完整，RQD值达98.82%。岩心呈碎块状、块状，少量呈柱状，岩心裂隙发育，裂隙面见矿物粘土化，局部见铁质浸染，遇水易软化，稳定性差，易产生坍塌现象。因此，该岩组岩石稳定性差，易产生坍塌现象，应需支护。</w:t>
      </w:r>
    </w:p>
    <w:p w14:paraId="554CCF5D">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（二）结构面分组及其特征</w:t>
      </w:r>
    </w:p>
    <w:p w14:paraId="50AACE58">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矿区内断裂构造较发育，主要为北东向Fl断裂。北东向Fl断裂测走向延伸长度约360m，为Ⅱ级结构面。根据断裂结构面的形式及规模大小可划分为Ⅲ和Ⅳ、Ⅴ级等两类结构面，其特征分述如下：</w:t>
      </w:r>
    </w:p>
    <w:p w14:paraId="315C85BE">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1、Ⅱ级结构面</w:t>
      </w:r>
    </w:p>
    <w:p w14:paraId="6C9F23B6">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Fl断裂：为一压扭性逆断层，出露在矿区西部，往南西延伸至证外，断层可见长度约360m，断层面呈舒缓波状。断层总体走向北东，倾向北西，倾角65-72°。断裂上盘为石炭系下统林地组（C</w:t>
      </w:r>
      <w:r>
        <w:rPr>
          <w:rFonts w:hint="eastAsia" w:ascii="宋体" w:hAnsi="宋体" w:eastAsia="宋体" w:cs="宋体"/>
          <w:b w:val="0"/>
          <w:color w:val="auto"/>
          <w:kern w:val="2"/>
          <w:sz w:val="28"/>
          <w:szCs w:val="28"/>
          <w:highlight w:val="none"/>
          <w:vertAlign w:val="subscript"/>
          <w:lang w:val="en-US" w:eastAsia="zh-CN" w:bidi="ar-SA"/>
        </w:rPr>
        <w:t>1</w:t>
      </w:r>
      <w:r>
        <w:rPr>
          <w:rFonts w:hint="eastAsia" w:ascii="宋体" w:hAnsi="宋体" w:eastAsia="宋体" w:cs="宋体"/>
          <w:b w:val="0"/>
          <w:color w:val="auto"/>
          <w:kern w:val="2"/>
          <w:sz w:val="28"/>
          <w:szCs w:val="28"/>
          <w:highlight w:val="none"/>
          <w:lang w:val="en-US" w:eastAsia="zh-CN" w:bidi="ar-SA"/>
        </w:rPr>
        <w:t>l）,下盘为二叠系下统船山组(P</w:t>
      </w:r>
      <w:r>
        <w:rPr>
          <w:rFonts w:hint="eastAsia" w:ascii="宋体" w:hAnsi="宋体" w:eastAsia="宋体" w:cs="宋体"/>
          <w:b w:val="0"/>
          <w:color w:val="auto"/>
          <w:kern w:val="2"/>
          <w:sz w:val="28"/>
          <w:szCs w:val="28"/>
          <w:highlight w:val="none"/>
          <w:vertAlign w:val="subscript"/>
          <w:lang w:val="en-US" w:eastAsia="zh-CN" w:bidi="ar-SA"/>
        </w:rPr>
        <w:t>1</w:t>
      </w:r>
      <w:r>
        <w:rPr>
          <w:rFonts w:hint="eastAsia" w:ascii="宋体" w:hAnsi="宋体" w:eastAsia="宋体" w:cs="宋体"/>
          <w:b w:val="0"/>
          <w:color w:val="auto"/>
          <w:kern w:val="2"/>
          <w:sz w:val="28"/>
          <w:szCs w:val="28"/>
          <w:highlight w:val="none"/>
          <w:lang w:val="en-US" w:eastAsia="zh-CN" w:bidi="ar-SA"/>
        </w:rPr>
        <w:t>c)。在2-4线北西部的矿体受断裂切断，对矿体开采具有一定的影响。</w:t>
      </w:r>
    </w:p>
    <w:p w14:paraId="3DF49B4B">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 w:val="0"/>
          <w:color w:val="auto"/>
          <w:kern w:val="2"/>
          <w:sz w:val="28"/>
          <w:szCs w:val="28"/>
          <w:highlight w:val="none"/>
          <w:lang w:val="en-US" w:eastAsia="zh-CN" w:bidi="ar-SA"/>
        </w:rPr>
      </w:pPr>
      <w:r>
        <w:rPr>
          <w:rFonts w:hint="eastAsia" w:ascii="宋体" w:hAnsi="宋体" w:eastAsia="宋体" w:cs="宋体"/>
          <w:b w:val="0"/>
          <w:color w:val="auto"/>
          <w:kern w:val="2"/>
          <w:sz w:val="28"/>
          <w:szCs w:val="28"/>
          <w:highlight w:val="none"/>
          <w:lang w:val="en-US" w:eastAsia="zh-CN" w:bidi="ar-SA"/>
        </w:rPr>
        <w:t>2、Ⅳ、Ⅴ级结构面</w:t>
      </w:r>
    </w:p>
    <w:p w14:paraId="6EC4BAA1">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b w:val="0"/>
          <w:color w:val="auto"/>
          <w:kern w:val="2"/>
          <w:sz w:val="28"/>
          <w:szCs w:val="28"/>
          <w:highlight w:val="none"/>
          <w:lang w:val="en-US" w:eastAsia="zh-CN" w:bidi="ar-SA"/>
        </w:rPr>
        <w:t>该结构面主要为发育于地表浅部的风化裂隙及断层带两侧岩石的构造裂隙，结构面组数多，延伸短，常呈纵横交错分布，呈微张开状、网格状，产状有178°∠66°、323°∠59°，结构面平整，无充填物。从岩石的力学强度试验结果表明，微小的节理、层理明显降低岩石强度，</w:t>
      </w:r>
      <w:r>
        <w:rPr>
          <w:rFonts w:hint="eastAsia" w:ascii="宋体" w:hAnsi="宋体" w:eastAsia="宋体" w:cs="宋体"/>
          <w:color w:val="auto"/>
          <w:sz w:val="28"/>
          <w:szCs w:val="28"/>
          <w:highlight w:val="none"/>
        </w:rPr>
        <w:t>显示出各向异性的特征。该类结构面延伸不长，对矿层及围岩的完整性影响较小。</w:t>
      </w:r>
    </w:p>
    <w:p w14:paraId="1A63C2E2">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（三）风化带特征</w:t>
      </w:r>
    </w:p>
    <w:p w14:paraId="1906DC2C">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矿区内风化作用较强烈，岩石的风化程度主要受地形控制，地形高处物理、化学风化强烈，风化较深，反之则浅，局部地段岩石风化程度不均匀。根据岩石的风化程度，自上而下分为残坡积层、全风化带、强风化带、中等风化带、微风化带和新鲜基岩等。</w:t>
      </w:r>
    </w:p>
    <w:p w14:paraId="3498D5BB">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1、残坡积层</w:t>
      </w:r>
    </w:p>
    <w:p w14:paraId="6E89CBAD">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主要分布在矿山山坡表层及沟谷两侧，根据地表调查和钻孔揭露资料，发育深度0.46～16.16m，局部地段（ZK102、ZK103、ZK402）残坡积层厚度分别为32.58m、25.77m、30.68m。土体呈土状、碎屑状，松散，稍湿，可塑，岩石质量指标RQD值0.00%，稳定性差。</w:t>
      </w:r>
    </w:p>
    <w:p w14:paraId="1D4E39DB">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2、全风化带</w:t>
      </w:r>
    </w:p>
    <w:p w14:paraId="4056613F">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主要分布在矿区山坡表层，根据地表调查和钻孔揭露资料，发育深度一般6.34～24.20m，岩石风化呈碎屑状，少量呈碎块状，岩石软弱，风化裂隙发育，裂隙中多为铁质充填、见矿物粘土化，岩石质量指标RQD值0.00%，稳定性差，人工边坡易产生滑塌现象。</w:t>
      </w:r>
    </w:p>
    <w:p w14:paraId="37DDE0B2">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3、强风化带</w:t>
      </w:r>
    </w:p>
    <w:p w14:paraId="077EC013">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根据地表调查和钻孔揭露资料，发育深度一般7.00～18.90m，岩石风化呈碎屑状、碎块状，岩石锤击易碎，风化裂隙发育，裂隙面见铁质浸染、见矿物粘土化，局部裂隙碳酸盐溶蚀现象发育，岩石质量指标RQD值0.00%，稳定性差，人工边坡易产生滑塌现象。</w:t>
      </w:r>
    </w:p>
    <w:p w14:paraId="2A015A4D">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4、中等风化带</w:t>
      </w:r>
    </w:p>
    <w:p w14:paraId="71228185">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发育深度一般7.55～32.91m，岩石呈块状、碎块状，局部呈柱状，致密较坚硬，裂隙面见有铁质浸染，局部裂隙碳酸盐溶蚀现象发育，岩石质量指标RQD值0.00%～36.89%，稳定性差。</w:t>
      </w:r>
    </w:p>
    <w:p w14:paraId="504A3C9D">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5、微风化带</w:t>
      </w:r>
    </w:p>
    <w:p w14:paraId="0B732F15">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发育深度一般4.40～33.97m，岩石呈块状，少量呈柱状、长柱状，致密较坚硬，风化裂隙发育，裂隙面见有铁质浸染、碳酸盐薄膜化，岩石质量指标RQD值48.11%～78.86%，个别可达100%，稳定性差～中等。</w:t>
      </w:r>
    </w:p>
    <w:p w14:paraId="73BEA4CA">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6、新鲜基岩</w:t>
      </w:r>
    </w:p>
    <w:p w14:paraId="525F7EB7">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分布矿区深部，岩石较完整～完整，呈长柱状、柱状，致密半坚硬～坚硬，裂隙不发育～较发育，岩石质量指标RQD值75.00～100%，岩石饱和极限抗压强度</w:t>
      </w:r>
      <w:r>
        <w:rPr>
          <w:rFonts w:hint="eastAsia" w:ascii="宋体" w:hAnsi="宋体" w:eastAsia="宋体" w:cs="宋体"/>
          <w:color w:val="auto"/>
          <w:sz w:val="28"/>
          <w:szCs w:val="28"/>
          <w:highlight w:val="none"/>
        </w:rPr>
        <w:t>59.20～113.00</w:t>
      </w:r>
      <w:r>
        <w:rPr>
          <w:rFonts w:hint="eastAsia" w:ascii="宋体" w:hAnsi="宋体" w:eastAsia="宋体" w:cs="宋体"/>
          <w:color w:val="auto"/>
          <w:kern w:val="0"/>
          <w:sz w:val="28"/>
          <w:szCs w:val="28"/>
          <w:highlight w:val="none"/>
          <w:lang w:val="zh-CN"/>
        </w:rPr>
        <w:t>Mpa，稳定性中等</w:t>
      </w:r>
      <w:r>
        <w:rPr>
          <w:rFonts w:hint="eastAsia" w:ascii="宋体" w:hAnsi="宋体" w:eastAsia="宋体" w:cs="宋体"/>
          <w:color w:val="auto"/>
          <w:sz w:val="28"/>
          <w:szCs w:val="28"/>
          <w:highlight w:val="none"/>
        </w:rPr>
        <w:t>～</w:t>
      </w:r>
      <w:r>
        <w:rPr>
          <w:rFonts w:hint="eastAsia" w:ascii="宋体" w:hAnsi="宋体" w:eastAsia="宋体" w:cs="宋体"/>
          <w:color w:val="auto"/>
          <w:kern w:val="0"/>
          <w:sz w:val="28"/>
          <w:szCs w:val="28"/>
          <w:highlight w:val="none"/>
          <w:lang w:val="zh-CN"/>
        </w:rPr>
        <w:t>好。</w:t>
      </w:r>
    </w:p>
    <w:p w14:paraId="398BBD55">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（四）岩石物理力学性质</w:t>
      </w:r>
    </w:p>
    <w:p w14:paraId="5D01395F">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1、岩石的物理性质</w:t>
      </w:r>
    </w:p>
    <w:p w14:paraId="10C9542A">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根据地表、钻孔、坑探揭露资料，区内岩石比重、容重变化不大，矿石体重2.65～2.89g/cm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，平均体重2.76g/cm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，而孔隙与吸水率主要受岩石的分布位置、风化作用、构造裂隙及岩溶发育程度的影响，一般靠近地表、构造裂隙密集带或岩溶发育带，其孔隙率、吸水率较大，反之则小。</w:t>
      </w:r>
    </w:p>
    <w:p w14:paraId="77E32A85">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2、岩石的力学性质</w:t>
      </w:r>
    </w:p>
    <w:p w14:paraId="793433FE">
      <w:pPr>
        <w:pageBreakBefore w:val="0"/>
        <w:widowControl w:val="0"/>
        <w:tabs>
          <w:tab w:val="left" w:pos="946"/>
        </w:tabs>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地表浅部因风化作用强烈，风化带发育深度4.40～33.97m，风化带岩石较破碎，呈土状、碎块状，风化裂隙发育，力学性质低，工程地质性能差～中等。</w:t>
      </w:r>
    </w:p>
    <w:p w14:paraId="68EC6878">
      <w:pPr>
        <w:pageBreakBefore w:val="0"/>
        <w:widowControl w:val="0"/>
        <w:tabs>
          <w:tab w:val="left" w:pos="946"/>
        </w:tabs>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深部大部分岩(矿)石较完整～完整，呈长柱状、柱状，致密坚硬～半坚硬，岩石力学强度高，裂隙较发育～不发育，方解石矿体的极限饱和抗压强度为59.2～78.7MPa，抗拉强度为6.09～7.51MPa，摩擦系数1.02～1.43，粘聚力4.2～6.78MPa，岩体质量良，工程地质性质中等；白云石方解石矿体的极限饱和抗压强度为66.0～74.6MPa，抗拉强度为5.74～6.22MPa，摩擦系数0.92～1.03，粘聚力6.1～6.79MPa，岩体质量良，工程地质性质中等；方解石白云石大理岩、白云石大理岩的极限饱和抗压强度为75.6～109MPa，抗拉强度为7.37～11.7MPa，摩擦系数0.98～1.54，粘聚力6.22～9.70MPa，岩体质量优～良，工程地质性质好～中等；花岗岩的极限饱和抗压强度为62.3～104MPa，抗拉强度为6.52～9.28MPa，摩擦系数1.21～1.45，粘聚力4.8～9.77MPa，岩体质量优～良，工程地质性质好～中等。</w:t>
      </w:r>
    </w:p>
    <w:p w14:paraId="2B52A35A">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115" w:name="_Toc226471395"/>
      <w:bookmarkStart w:id="116" w:name="_Toc206756187"/>
      <w:bookmarkStart w:id="117" w:name="_Toc206403637"/>
      <w:bookmarkStart w:id="118" w:name="_Toc213849356"/>
      <w:bookmarkStart w:id="119" w:name="_Toc207979718"/>
      <w:r>
        <w:rPr>
          <w:rFonts w:hint="eastAsia" w:ascii="宋体" w:hAnsi="宋体" w:eastAsia="宋体" w:cs="宋体"/>
          <w:b/>
          <w:bCs/>
          <w:color w:val="auto"/>
          <w:sz w:val="28"/>
          <w:szCs w:val="28"/>
          <w:highlight w:val="none"/>
          <w:lang w:val="en-US" w:eastAsia="zh-CN"/>
        </w:rPr>
        <w:t>二、工程地质评价</w:t>
      </w:r>
      <w:bookmarkEnd w:id="115"/>
      <w:bookmarkEnd w:id="116"/>
      <w:bookmarkEnd w:id="117"/>
      <w:bookmarkEnd w:id="118"/>
      <w:bookmarkEnd w:id="119"/>
    </w:p>
    <w:p w14:paraId="55AEE8F2">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（一）自然边坡稳定性评价</w:t>
      </w:r>
    </w:p>
    <w:p w14:paraId="16CAC4C3">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矿区内自然山坡坡度一般为20～30°；植被较发育，在天然状态下，矿区范围内未见有大规模的滑坡、坍塌等不良地质现象，自然坡体稳定性较好。</w:t>
      </w:r>
    </w:p>
    <w:p w14:paraId="7EC393DA">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在人工切坡（如修建简易路等）形成高陡边坡时（一般坡度大于60°），表层残坡积土、全风化岩体或强风化岩体容易发生滑塌现象，稳定性差。矿山在场地建设、修路等人工改造边坡时易产生小型滑塌现象，因此在矿山工程施工时，需采取相应的边坡防护</w:t>
      </w:r>
      <w:r>
        <w:rPr>
          <w:rFonts w:hint="eastAsia" w:ascii="宋体" w:hAnsi="宋体" w:eastAsia="宋体" w:cs="宋体"/>
          <w:color w:val="auto"/>
          <w:sz w:val="28"/>
          <w:szCs w:val="28"/>
          <w:highlight w:val="none"/>
          <w:lang w:val="en-US" w:eastAsia="zh-CN"/>
        </w:rPr>
        <w:t>措施</w:t>
      </w:r>
      <w:r>
        <w:rPr>
          <w:rFonts w:hint="eastAsia" w:ascii="宋体" w:hAnsi="宋体" w:eastAsia="宋体" w:cs="宋体"/>
          <w:color w:val="auto"/>
          <w:sz w:val="28"/>
          <w:szCs w:val="28"/>
          <w:highlight w:val="none"/>
        </w:rPr>
        <w:t>，确保矿山安全生产。</w:t>
      </w:r>
    </w:p>
    <w:p w14:paraId="14E495F6">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（二）矿体及其顶底板围岩稳固性</w:t>
      </w:r>
    </w:p>
    <w:p w14:paraId="4BD8B555">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矿体较完整～完整，多呈柱状～长柱状，少量块状、碎块状，裂隙较发育～不发育，岩石属半坚硬～坚硬，RQD值为55.56～100.00%，岩石饱和极限抗压强度59.2～78.7Mpa，工程地质岩组为碎裂坚硬岩～完整较坚硬岩岩组，工程地质性能中等～好，岩体质量</w:t>
      </w:r>
      <w:r>
        <w:rPr>
          <w:rFonts w:hint="eastAsia" w:ascii="宋体" w:hAnsi="宋体" w:eastAsia="宋体" w:cs="宋体"/>
          <w:bCs/>
          <w:color w:val="auto"/>
          <w:sz w:val="28"/>
          <w:szCs w:val="28"/>
          <w:highlight w:val="none"/>
          <w:lang w:eastAsia="zh-CN"/>
        </w:rPr>
        <w:t>良好</w:t>
      </w:r>
      <w:r>
        <w:rPr>
          <w:rFonts w:hint="eastAsia" w:ascii="宋体" w:hAnsi="宋体" w:eastAsia="宋体" w:cs="宋体"/>
          <w:bCs/>
          <w:color w:val="auto"/>
          <w:sz w:val="28"/>
          <w:szCs w:val="28"/>
          <w:highlight w:val="none"/>
        </w:rPr>
        <w:t>，矿体稳固性较好。</w:t>
      </w:r>
    </w:p>
    <w:p w14:paraId="0E1CE765">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矿体顶底板围岩为（蚀变）花岗岩、（矽卡岩化）大理岩、白云石大理岩、白云石方解石大理岩、角岩化石英砂岩、角岩以及变质石英砂岩等。白云石大理岩、方解石白云石大理岩岩石裂隙不发育～较发育，普遍完整，呈柱状～长柱状，致密坚硬，工程地质岩组为完整坚硬岩岩组，工程地质性能高，岩石饱和极限抗压强度</w:t>
      </w:r>
      <w:r>
        <w:rPr>
          <w:rFonts w:hint="eastAsia" w:ascii="宋体" w:hAnsi="宋体" w:eastAsia="宋体" w:cs="宋体"/>
          <w:color w:val="auto"/>
          <w:sz w:val="28"/>
          <w:szCs w:val="28"/>
          <w:highlight w:val="none"/>
        </w:rPr>
        <w:t>75.6～109.0</w:t>
      </w:r>
      <w:r>
        <w:rPr>
          <w:rFonts w:hint="eastAsia" w:ascii="宋体" w:hAnsi="宋体" w:eastAsia="宋体" w:cs="宋体"/>
          <w:bCs/>
          <w:color w:val="auto"/>
          <w:sz w:val="28"/>
          <w:szCs w:val="28"/>
          <w:highlight w:val="none"/>
        </w:rPr>
        <w:t xml:space="preserve"> Mpa，岩体质量</w:t>
      </w:r>
      <w:r>
        <w:rPr>
          <w:rFonts w:hint="eastAsia" w:ascii="宋体" w:hAnsi="宋体" w:eastAsia="宋体" w:cs="宋体"/>
          <w:color w:val="auto"/>
          <w:sz w:val="28"/>
          <w:szCs w:val="28"/>
          <w:highlight w:val="none"/>
        </w:rPr>
        <w:t>良</w:t>
      </w:r>
      <w:r>
        <w:rPr>
          <w:rFonts w:hint="eastAsia" w:ascii="宋体" w:hAnsi="宋体" w:eastAsia="宋体" w:cs="宋体"/>
          <w:bCs/>
          <w:color w:val="auto"/>
          <w:sz w:val="28"/>
          <w:szCs w:val="28"/>
          <w:highlight w:val="none"/>
        </w:rPr>
        <w:t>～优，稳定性中等～好；深部花岗岩岩石裂隙不发育～较发育，普遍完整，以柱状～长柱状为主，致密坚硬，工程地质岩组整体上为完整坚硬岩岩组，工程地质性能好，岩石饱和极限抗压强度</w:t>
      </w:r>
      <w:r>
        <w:rPr>
          <w:rFonts w:hint="eastAsia" w:ascii="宋体" w:hAnsi="宋体" w:eastAsia="宋体" w:cs="宋体"/>
          <w:color w:val="auto"/>
          <w:sz w:val="28"/>
          <w:szCs w:val="28"/>
          <w:highlight w:val="none"/>
        </w:rPr>
        <w:t>62.3～104</w:t>
      </w:r>
      <w:r>
        <w:rPr>
          <w:rFonts w:hint="eastAsia" w:ascii="宋体" w:hAnsi="宋体" w:eastAsia="宋体" w:cs="宋体"/>
          <w:bCs/>
          <w:color w:val="auto"/>
          <w:sz w:val="28"/>
          <w:szCs w:val="28"/>
          <w:highlight w:val="none"/>
        </w:rPr>
        <w:t xml:space="preserve"> Mpa，岩体质量优～</w:t>
      </w:r>
      <w:r>
        <w:rPr>
          <w:rFonts w:hint="eastAsia" w:ascii="宋体" w:hAnsi="宋体" w:eastAsia="宋体" w:cs="宋体"/>
          <w:color w:val="auto"/>
          <w:sz w:val="28"/>
          <w:szCs w:val="28"/>
          <w:highlight w:val="none"/>
        </w:rPr>
        <w:t>良</w:t>
      </w:r>
      <w:r>
        <w:rPr>
          <w:rFonts w:hint="eastAsia" w:ascii="宋体" w:hAnsi="宋体" w:eastAsia="宋体" w:cs="宋体"/>
          <w:bCs/>
          <w:color w:val="auto"/>
          <w:sz w:val="28"/>
          <w:szCs w:val="28"/>
          <w:highlight w:val="none"/>
        </w:rPr>
        <w:t>，稳定性中等～好；与矿体相接触的花岗岩岩体，岩石裂隙发育，完整性差～破碎，以碎块状为主，碎屑状次之，少量块状，岩石质量指标RQD值0.00～</w:t>
      </w:r>
      <w:r>
        <w:rPr>
          <w:rFonts w:hint="eastAsia" w:ascii="宋体" w:hAnsi="宋体" w:eastAsia="宋体" w:cs="宋体"/>
          <w:color w:val="auto"/>
          <w:sz w:val="28"/>
          <w:szCs w:val="28"/>
          <w:highlight w:val="none"/>
        </w:rPr>
        <w:t>45.53%，个别达98.82%，岩体质量差～坏，稳定性差。根据巷道调查，在PD390CM1 4-5#点顶板产生冒落、两壁片帮坍塌，硐顶和两壁支护长13.4m，硐顶采用钢架支护、两壁采用砖砼支护。</w:t>
      </w:r>
    </w:p>
    <w:p w14:paraId="14E83DB6">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局部地段受构造、岩溶作用影响，裂隙较发育，碎裂岩、碎裂碎粉岩、白云母石英角岩等抗压强度有所降低，工程地质性能差，稳固性差，易发生巷道冒顶、片帮等不良工程地质现象，需注意安全防范，进行支护工程。在巷道内+390m中段见钢架、钢板、砖、混凝土支护，支护率5.85%。</w:t>
      </w:r>
    </w:p>
    <w:p w14:paraId="0B7028AF">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（三）采空区稳固性评价</w:t>
      </w:r>
    </w:p>
    <w:p w14:paraId="46FE4209">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bCs/>
          <w:color w:val="auto"/>
          <w:sz w:val="28"/>
          <w:szCs w:val="28"/>
          <w:highlight w:val="none"/>
        </w:rPr>
      </w:pPr>
      <w:r>
        <w:rPr>
          <w:rFonts w:hint="eastAsia" w:ascii="宋体" w:hAnsi="宋体" w:eastAsia="宋体" w:cs="宋体"/>
          <w:color w:val="auto"/>
          <w:sz w:val="28"/>
          <w:szCs w:val="28"/>
          <w:highlight w:val="none"/>
        </w:rPr>
        <w:t>目前矿山开拓方式采用斜坡道开拓，已施工了+450m、+430m、+410m、390m共</w:t>
      </w:r>
      <w:r>
        <w:rPr>
          <w:rFonts w:hint="eastAsia" w:ascii="宋体" w:hAnsi="宋体" w:eastAsia="宋体" w:cs="宋体"/>
          <w:color w:val="auto"/>
          <w:sz w:val="28"/>
          <w:szCs w:val="28"/>
          <w:highlight w:val="none"/>
          <w:lang w:eastAsia="zh-CN"/>
        </w:rPr>
        <w:t>四</w:t>
      </w:r>
      <w:r>
        <w:rPr>
          <w:rFonts w:hint="eastAsia" w:ascii="宋体" w:hAnsi="宋体" w:eastAsia="宋体" w:cs="宋体"/>
          <w:color w:val="auto"/>
          <w:sz w:val="28"/>
          <w:szCs w:val="28"/>
          <w:highlight w:val="none"/>
        </w:rPr>
        <w:t>个中段，430m中段以上采空区已密闭多年，无法进入。2022年8月至2025年3月，矿山正常开采，主要开采位置为位于6+1线至8线之间390m、410m中段的矿体。本次实地调查410m中段巷采空区4个，390m中段巷道采区3个。已采空的地方部分封堵，工程地质无法查明；部分未封闭的，采空区最大暴露面积为4387m</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,采高6.3-13.2m，平均9m左右，形状有长方形、椭圆形、梯形等，未见掉块，未见支护。采空区未封闭的矿体顶底板</w:t>
      </w:r>
      <w:r>
        <w:rPr>
          <w:rFonts w:hint="eastAsia" w:ascii="宋体" w:hAnsi="宋体" w:eastAsia="宋体" w:cs="宋体"/>
          <w:bCs/>
          <w:color w:val="auto"/>
          <w:sz w:val="28"/>
          <w:szCs w:val="28"/>
          <w:highlight w:val="none"/>
        </w:rPr>
        <w:t>围岩主要为花岗岩、（矽卡岩化）大理岩、白云石大理岩、白云石方解石大理岩等。岩石裂隙不发育～较发育，普遍完整，呈柱状～长柱状，致密坚硬，工程地质岩组为碎裂较硬岩岩组～完整坚硬岩岩组，工程地质性能一般～高，稳定性中等～好。</w:t>
      </w:r>
    </w:p>
    <w:p w14:paraId="26674E39">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120" w:name="_Toc206756188"/>
      <w:bookmarkStart w:id="121" w:name="_Toc213849357"/>
      <w:bookmarkStart w:id="122" w:name="_Toc226471396"/>
      <w:bookmarkStart w:id="123" w:name="_Toc206403638"/>
      <w:bookmarkStart w:id="124" w:name="_Toc207979719"/>
      <w:r>
        <w:rPr>
          <w:rFonts w:hint="eastAsia" w:ascii="宋体" w:hAnsi="宋体" w:eastAsia="宋体" w:cs="宋体"/>
          <w:b/>
          <w:bCs/>
          <w:color w:val="auto"/>
          <w:sz w:val="28"/>
          <w:szCs w:val="28"/>
          <w:highlight w:val="none"/>
          <w:lang w:val="en-US" w:eastAsia="zh-CN"/>
        </w:rPr>
        <w:t>三、工程地质问题预测及防治建议</w:t>
      </w:r>
      <w:bookmarkEnd w:id="120"/>
      <w:bookmarkEnd w:id="121"/>
      <w:bookmarkEnd w:id="122"/>
      <w:bookmarkEnd w:id="123"/>
      <w:bookmarkEnd w:id="124"/>
    </w:p>
    <w:p w14:paraId="733090B5">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预测工程地质问题主要表现为地下开采易在风化带、构造裂隙、岩溶（溶洞）发育地段发生巷道冒顶、片帮、采空区岩溶塌陷等不良工程地质现象。</w:t>
      </w:r>
    </w:p>
    <w:p w14:paraId="2079241A">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1、巷道冒顶片帮</w:t>
      </w:r>
    </w:p>
    <w:p w14:paraId="65DEB362">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在巷道掘进过程中，在风化、构造裂隙和岩溶发育地段，因受风化、构造、岩溶作用的影响，尤其在风化带、构造较发育、岩溶（溶洞）较发育及其两侧裂隙发育处，花岗岩、碎裂岩、碎裂碎粉岩等多呈碎块状、块状，岩石力学性质低，工程地质性能弱，稳固性差，易发生巷道冒顶、片帮等不良工程地质现象。</w:t>
      </w:r>
    </w:p>
    <w:p w14:paraId="59D9E0C5">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防治措施：在风化、构造、岩溶（溶洞）较发育地段开采掘进过程中，及时检查和清理因爆破而悬浮在巷道顶板和两帮上的松动岩石；巷道应及时采用支护措施，工作区允许暴露面积不宜过大，面积不宜大于15㎡，跨度不宜大于5m，并保留足够的安全柱等措施。</w:t>
      </w:r>
    </w:p>
    <w:p w14:paraId="3FB69217">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2、采空区岩溶塌陷</w:t>
      </w:r>
    </w:p>
    <w:p w14:paraId="1A0D4C8C">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矿山开采过程中，疏干排水及人为爆破等活动可能打破岩土体原有极限应力平衡状态，可能引发采空区岩溶塌陷、地裂缝等地质灾害，特别是在4线～6+1线之间上部地表。</w:t>
      </w:r>
    </w:p>
    <w:p w14:paraId="2C915D27">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防治措施：矿山开采时，应完善矿坑排水系统，在地表河流和岩溶发育地段开采时应保留足够的防水隔离安全柱，不得采用大型爆破放顶。通过钻孔或岩溶硐口进行回填注浆，强化洞穴充填物、充填溶洞裂隙，隔断地下水。开采过程中对上龙坑溪及两岸加强监测，及时发现因矿坑排水引发的采空区岩溶塌陷、地裂缝等不良地质现象，并设置地质灾害长期观测点，及时掌握地质灾害动态变化特征。</w:t>
      </w:r>
    </w:p>
    <w:p w14:paraId="595BA0F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125" w:name="_Toc207979720"/>
      <w:bookmarkStart w:id="126" w:name="_Toc213849358"/>
      <w:bookmarkStart w:id="127" w:name="_Toc226471397"/>
      <w:bookmarkStart w:id="128" w:name="_Toc206756189"/>
      <w:bookmarkStart w:id="129" w:name="_Toc206403639"/>
      <w:r>
        <w:rPr>
          <w:rFonts w:hint="eastAsia" w:ascii="宋体" w:hAnsi="宋体" w:eastAsia="宋体" w:cs="宋体"/>
          <w:b/>
          <w:bCs/>
          <w:color w:val="auto"/>
          <w:sz w:val="28"/>
          <w:szCs w:val="28"/>
          <w:highlight w:val="none"/>
          <w:lang w:val="en-US" w:eastAsia="zh-CN"/>
        </w:rPr>
        <w:t>四、工程地质勘查类型</w:t>
      </w:r>
      <w:bookmarkEnd w:id="125"/>
      <w:bookmarkEnd w:id="126"/>
      <w:bookmarkEnd w:id="127"/>
      <w:bookmarkEnd w:id="128"/>
      <w:bookmarkEnd w:id="129"/>
    </w:p>
    <w:p w14:paraId="134ACD89">
      <w:pPr>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矿区内地形地貌较简单，地层岩性较简单，地质构造较发育，矿体和顶底板围岩以碳酸盐岩类为主，岩体质量良～优</w:t>
      </w:r>
      <w:r>
        <w:rPr>
          <w:rFonts w:hint="eastAsia" w:ascii="宋体" w:hAnsi="宋体" w:eastAsia="宋体" w:cs="宋体"/>
          <w:bCs/>
          <w:color w:val="auto"/>
          <w:sz w:val="28"/>
          <w:szCs w:val="28"/>
          <w:highlight w:val="none"/>
        </w:rPr>
        <w:t>，稳定性中等～好</w:t>
      </w:r>
      <w:r>
        <w:rPr>
          <w:rFonts w:hint="eastAsia" w:ascii="宋体" w:hAnsi="宋体" w:eastAsia="宋体" w:cs="宋体"/>
          <w:color w:val="auto"/>
          <w:sz w:val="28"/>
          <w:szCs w:val="28"/>
          <w:highlight w:val="none"/>
        </w:rPr>
        <w:t>，局部地段受风化、构造、岩溶作用影响，</w:t>
      </w:r>
      <w:r>
        <w:rPr>
          <w:rFonts w:hint="eastAsia" w:ascii="宋体" w:hAnsi="宋体" w:eastAsia="宋体" w:cs="宋体"/>
          <w:bCs/>
          <w:color w:val="auto"/>
          <w:sz w:val="28"/>
          <w:szCs w:val="28"/>
          <w:highlight w:val="none"/>
        </w:rPr>
        <w:t>工程地质性能差，稳固性差，易发生巷道冒顶、片帮等不良工程地质现象</w:t>
      </w:r>
      <w:r>
        <w:rPr>
          <w:rFonts w:hint="eastAsia" w:ascii="宋体" w:hAnsi="宋体" w:eastAsia="宋体" w:cs="宋体"/>
          <w:color w:val="auto"/>
          <w:sz w:val="28"/>
          <w:szCs w:val="28"/>
          <w:highlight w:val="none"/>
        </w:rPr>
        <w:t>。矿区工程地质勘查类型属以碳酸盐岩类为主的工程地质条件中等类型。</w:t>
      </w:r>
    </w:p>
    <w:p w14:paraId="17665632">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2.2.3矿床环境地质条件</w:t>
      </w:r>
    </w:p>
    <w:p w14:paraId="3615F021">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w:t>
      </w:r>
      <w:bookmarkStart w:id="130" w:name="_Toc226471399"/>
      <w:bookmarkStart w:id="131" w:name="_Toc207979722"/>
      <w:bookmarkStart w:id="132" w:name="_Toc206756191"/>
      <w:bookmarkStart w:id="133" w:name="_Toc206403641"/>
      <w:bookmarkStart w:id="134" w:name="_Toc213849360"/>
      <w:r>
        <w:rPr>
          <w:rFonts w:hint="eastAsia" w:ascii="宋体" w:hAnsi="宋体" w:eastAsia="宋体" w:cs="宋体"/>
          <w:b/>
          <w:bCs/>
          <w:color w:val="auto"/>
          <w:sz w:val="28"/>
          <w:szCs w:val="28"/>
          <w:highlight w:val="none"/>
          <w:lang w:val="en-US" w:eastAsia="zh-CN"/>
        </w:rPr>
        <w:t>区域稳定性</w:t>
      </w:r>
      <w:bookmarkEnd w:id="130"/>
      <w:bookmarkEnd w:id="131"/>
      <w:bookmarkEnd w:id="132"/>
      <w:bookmarkEnd w:id="133"/>
      <w:bookmarkEnd w:id="134"/>
    </w:p>
    <w:p w14:paraId="11D153D4">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根据《中国地震动参数区划图》（GB18306-2015），本区抗震设防烈度属Ⅵ度区，地震动峰值加速度为0.05g，地震动反应谱特征周期0.35S。</w:t>
      </w:r>
    </w:p>
    <w:p w14:paraId="37188742">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据区域地质调查，本区虽有新构造活动的迹象，而大部分仍处在较稳定的上升区，但未发现全新世以来有明显活动迹象的断裂构造，也未发现有构造活动异常，因此，本区域稳定性属稳定。</w:t>
      </w:r>
    </w:p>
    <w:p w14:paraId="522C24BD">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135" w:name="_Toc206403642"/>
      <w:bookmarkStart w:id="136" w:name="_Toc213849361"/>
      <w:bookmarkStart w:id="137" w:name="_Toc226471400"/>
      <w:bookmarkStart w:id="138" w:name="_Toc206756192"/>
      <w:bookmarkStart w:id="139" w:name="_Toc207979723"/>
      <w:r>
        <w:rPr>
          <w:rFonts w:hint="eastAsia" w:ascii="宋体" w:hAnsi="宋体" w:eastAsia="宋体" w:cs="宋体"/>
          <w:b/>
          <w:bCs/>
          <w:color w:val="auto"/>
          <w:sz w:val="28"/>
          <w:szCs w:val="28"/>
          <w:highlight w:val="none"/>
          <w:lang w:val="en-US" w:eastAsia="zh-CN"/>
        </w:rPr>
        <w:t>二、矿山地质环境现状</w:t>
      </w:r>
      <w:bookmarkEnd w:id="135"/>
      <w:bookmarkEnd w:id="136"/>
      <w:bookmarkEnd w:id="137"/>
      <w:bookmarkEnd w:id="138"/>
      <w:bookmarkEnd w:id="139"/>
    </w:p>
    <w:p w14:paraId="5CCDBF8D">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1、人文地理现状</w:t>
      </w:r>
    </w:p>
    <w:p w14:paraId="275E68FB">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本区内属构造侵蚀低山地貌类型，最高海拔高程为554.00m(矿区北东部山脊)，最低海拔标高（当地侵蚀基准面）约439.34m (矿区西部溪沟河床),相对高差114.66m。地形有利于自然排水。矿区的区内地表植被较发育，主要为杂草、毛竹、小灌木等。矿区远离工业区，矿区及其附近无重要的建筑物、旅游景点及敏感性目标，矿区四周无小村庄，空气新鲜无污染。</w:t>
      </w:r>
    </w:p>
    <w:p w14:paraId="23DA99A3">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2、水环境质量现状</w:t>
      </w:r>
    </w:p>
    <w:p w14:paraId="3ACE723E">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本次对该矿山</w:t>
      </w:r>
      <w:r>
        <w:rPr>
          <w:rFonts w:hint="eastAsia" w:ascii="宋体" w:hAnsi="宋体" w:eastAsia="宋体" w:cs="宋体"/>
          <w:color w:val="auto"/>
          <w:sz w:val="28"/>
          <w:szCs w:val="28"/>
          <w:highlight w:val="none"/>
        </w:rPr>
        <w:t>水质分析项目30～36项：K</w:t>
      </w:r>
      <w:r>
        <w:rPr>
          <w:rFonts w:hint="eastAsia" w:ascii="宋体" w:hAnsi="宋体" w:eastAsia="宋体" w:cs="宋体"/>
          <w:color w:val="auto"/>
          <w:sz w:val="28"/>
          <w:szCs w:val="28"/>
          <w:highlight w:val="none"/>
          <w:vertAlign w:val="superscript"/>
        </w:rPr>
        <w:t>+</w:t>
      </w:r>
      <w:r>
        <w:rPr>
          <w:rFonts w:hint="eastAsia" w:ascii="宋体" w:hAnsi="宋体" w:eastAsia="宋体" w:cs="宋体"/>
          <w:color w:val="auto"/>
          <w:sz w:val="28"/>
          <w:szCs w:val="28"/>
          <w:highlight w:val="none"/>
        </w:rPr>
        <w:t>、Na</w:t>
      </w:r>
      <w:r>
        <w:rPr>
          <w:rFonts w:hint="eastAsia" w:ascii="宋体" w:hAnsi="宋体" w:eastAsia="宋体" w:cs="宋体"/>
          <w:color w:val="auto"/>
          <w:sz w:val="28"/>
          <w:szCs w:val="28"/>
          <w:highlight w:val="none"/>
          <w:vertAlign w:val="superscript"/>
        </w:rPr>
        <w:t>+</w:t>
      </w:r>
      <w:r>
        <w:rPr>
          <w:rFonts w:hint="eastAsia" w:ascii="宋体" w:hAnsi="宋体" w:eastAsia="宋体" w:cs="宋体"/>
          <w:color w:val="auto"/>
          <w:sz w:val="28"/>
          <w:szCs w:val="28"/>
          <w:highlight w:val="none"/>
        </w:rPr>
        <w:t>、Ca</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、Mg</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、NH</w:t>
      </w:r>
      <w:r>
        <w:rPr>
          <w:rFonts w:hint="eastAsia" w:ascii="宋体" w:hAnsi="宋体" w:eastAsia="宋体" w:cs="宋体"/>
          <w:color w:val="auto"/>
          <w:sz w:val="28"/>
          <w:szCs w:val="28"/>
          <w:highlight w:val="none"/>
          <w:vertAlign w:val="superscript"/>
        </w:rPr>
        <w:t>4+</w:t>
      </w:r>
      <w:r>
        <w:rPr>
          <w:rFonts w:hint="eastAsia" w:ascii="宋体" w:hAnsi="宋体" w:eastAsia="宋体" w:cs="宋体"/>
          <w:color w:val="auto"/>
          <w:sz w:val="28"/>
          <w:szCs w:val="28"/>
          <w:highlight w:val="none"/>
        </w:rPr>
        <w:t>、Mn</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、TFe、Al</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、Cu</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、As、Cr、Hg</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、Cd</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、Pb</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、Zn</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、Cl</w:t>
      </w:r>
      <w:r>
        <w:rPr>
          <w:rFonts w:hint="eastAsia" w:ascii="宋体" w:hAnsi="宋体" w:eastAsia="宋体" w:cs="宋体"/>
          <w:color w:val="auto"/>
          <w:sz w:val="28"/>
          <w:szCs w:val="28"/>
          <w:highlight w:val="none"/>
          <w:vertAlign w:val="superscript"/>
        </w:rPr>
        <w:t>-</w:t>
      </w:r>
      <w:r>
        <w:rPr>
          <w:rFonts w:hint="eastAsia" w:ascii="宋体" w:hAnsi="宋体" w:eastAsia="宋体" w:cs="宋体"/>
          <w:color w:val="auto"/>
          <w:sz w:val="28"/>
          <w:szCs w:val="28"/>
          <w:highlight w:val="none"/>
        </w:rPr>
        <w:t>、SO</w:t>
      </w:r>
      <w:r>
        <w:rPr>
          <w:rFonts w:hint="eastAsia" w:ascii="宋体" w:hAnsi="宋体" w:eastAsia="宋体" w:cs="宋体"/>
          <w:color w:val="auto"/>
          <w:sz w:val="28"/>
          <w:szCs w:val="28"/>
          <w:highlight w:val="none"/>
          <w:vertAlign w:val="subscript"/>
        </w:rPr>
        <w:t>4</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、HCO</w:t>
      </w:r>
      <w:r>
        <w:rPr>
          <w:rFonts w:hint="eastAsia" w:ascii="宋体" w:hAnsi="宋体" w:eastAsia="宋体" w:cs="宋体"/>
          <w:color w:val="auto"/>
          <w:sz w:val="28"/>
          <w:szCs w:val="28"/>
          <w:highlight w:val="none"/>
          <w:vertAlign w:val="subscript"/>
        </w:rPr>
        <w:t>3</w:t>
      </w:r>
      <w:r>
        <w:rPr>
          <w:rFonts w:hint="eastAsia" w:ascii="宋体" w:hAnsi="宋体" w:eastAsia="宋体" w:cs="宋体"/>
          <w:color w:val="auto"/>
          <w:sz w:val="28"/>
          <w:szCs w:val="28"/>
          <w:highlight w:val="none"/>
          <w:vertAlign w:val="superscript"/>
        </w:rPr>
        <w:t>-</w:t>
      </w:r>
      <w:r>
        <w:rPr>
          <w:rFonts w:hint="eastAsia" w:ascii="宋体" w:hAnsi="宋体" w:eastAsia="宋体" w:cs="宋体"/>
          <w:color w:val="auto"/>
          <w:sz w:val="28"/>
          <w:szCs w:val="28"/>
          <w:highlight w:val="none"/>
        </w:rPr>
        <w:t>、CO</w:t>
      </w:r>
      <w:r>
        <w:rPr>
          <w:rFonts w:hint="eastAsia" w:ascii="宋体" w:hAnsi="宋体" w:eastAsia="宋体" w:cs="宋体"/>
          <w:color w:val="auto"/>
          <w:sz w:val="28"/>
          <w:szCs w:val="28"/>
          <w:highlight w:val="none"/>
          <w:vertAlign w:val="subscript"/>
        </w:rPr>
        <w:t>3</w:t>
      </w:r>
      <w:r>
        <w:rPr>
          <w:rFonts w:hint="eastAsia" w:ascii="宋体" w:hAnsi="宋体" w:eastAsia="宋体" w:cs="宋体"/>
          <w:color w:val="auto"/>
          <w:sz w:val="28"/>
          <w:szCs w:val="28"/>
          <w:highlight w:val="none"/>
          <w:vertAlign w:val="superscript"/>
        </w:rPr>
        <w:t>2-</w:t>
      </w:r>
      <w:r>
        <w:rPr>
          <w:rFonts w:hint="eastAsia" w:ascii="宋体" w:hAnsi="宋体" w:eastAsia="宋体" w:cs="宋体"/>
          <w:color w:val="auto"/>
          <w:sz w:val="28"/>
          <w:szCs w:val="28"/>
          <w:highlight w:val="none"/>
        </w:rPr>
        <w:t>、OH</w:t>
      </w:r>
      <w:r>
        <w:rPr>
          <w:rFonts w:hint="eastAsia" w:ascii="宋体" w:hAnsi="宋体" w:eastAsia="宋体" w:cs="宋体"/>
          <w:color w:val="auto"/>
          <w:sz w:val="28"/>
          <w:szCs w:val="28"/>
          <w:highlight w:val="none"/>
          <w:vertAlign w:val="superscript"/>
        </w:rPr>
        <w:t>-</w:t>
      </w:r>
      <w:r>
        <w:rPr>
          <w:rFonts w:hint="eastAsia" w:ascii="宋体" w:hAnsi="宋体" w:eastAsia="宋体" w:cs="宋体"/>
          <w:color w:val="auto"/>
          <w:sz w:val="28"/>
          <w:szCs w:val="28"/>
          <w:highlight w:val="none"/>
        </w:rPr>
        <w:t>、NO</w:t>
      </w:r>
      <w:r>
        <w:rPr>
          <w:rFonts w:hint="eastAsia" w:ascii="宋体" w:hAnsi="宋体" w:eastAsia="宋体" w:cs="宋体"/>
          <w:color w:val="auto"/>
          <w:sz w:val="28"/>
          <w:szCs w:val="28"/>
          <w:highlight w:val="none"/>
          <w:vertAlign w:val="subscript"/>
        </w:rPr>
        <w:t>2</w:t>
      </w:r>
      <w:r>
        <w:rPr>
          <w:rFonts w:hint="eastAsia" w:ascii="宋体" w:hAnsi="宋体" w:eastAsia="宋体" w:cs="宋体"/>
          <w:color w:val="auto"/>
          <w:sz w:val="28"/>
          <w:szCs w:val="28"/>
          <w:highlight w:val="none"/>
          <w:vertAlign w:val="superscript"/>
        </w:rPr>
        <w:t>-</w:t>
      </w:r>
      <w:r>
        <w:rPr>
          <w:rFonts w:hint="eastAsia" w:ascii="宋体" w:hAnsi="宋体" w:eastAsia="宋体" w:cs="宋体"/>
          <w:color w:val="auto"/>
          <w:sz w:val="28"/>
          <w:szCs w:val="28"/>
          <w:highlight w:val="none"/>
        </w:rPr>
        <w:t>、NO</w:t>
      </w:r>
      <w:r>
        <w:rPr>
          <w:rFonts w:hint="eastAsia" w:ascii="宋体" w:hAnsi="宋体" w:eastAsia="宋体" w:cs="宋体"/>
          <w:color w:val="auto"/>
          <w:sz w:val="28"/>
          <w:szCs w:val="28"/>
          <w:highlight w:val="none"/>
          <w:vertAlign w:val="subscript"/>
        </w:rPr>
        <w:t>3</w:t>
      </w:r>
      <w:r>
        <w:rPr>
          <w:rFonts w:hint="eastAsia" w:ascii="宋体" w:hAnsi="宋体" w:eastAsia="宋体" w:cs="宋体"/>
          <w:color w:val="auto"/>
          <w:sz w:val="28"/>
          <w:szCs w:val="28"/>
          <w:highlight w:val="none"/>
          <w:vertAlign w:val="superscript"/>
        </w:rPr>
        <w:t>-</w:t>
      </w:r>
      <w:r>
        <w:rPr>
          <w:rFonts w:hint="eastAsia" w:ascii="宋体" w:hAnsi="宋体" w:eastAsia="宋体" w:cs="宋体"/>
          <w:color w:val="auto"/>
          <w:sz w:val="28"/>
          <w:szCs w:val="28"/>
          <w:highlight w:val="none"/>
        </w:rPr>
        <w:t>、F</w:t>
      </w:r>
      <w:r>
        <w:rPr>
          <w:rFonts w:hint="eastAsia" w:ascii="宋体" w:hAnsi="宋体" w:eastAsia="宋体" w:cs="宋体"/>
          <w:color w:val="auto"/>
          <w:sz w:val="28"/>
          <w:szCs w:val="28"/>
          <w:highlight w:val="none"/>
          <w:vertAlign w:val="superscript"/>
        </w:rPr>
        <w:t>-</w:t>
      </w:r>
      <w:r>
        <w:rPr>
          <w:rFonts w:hint="eastAsia" w:ascii="宋体" w:hAnsi="宋体" w:eastAsia="宋体" w:cs="宋体"/>
          <w:color w:val="auto"/>
          <w:sz w:val="28"/>
          <w:szCs w:val="28"/>
          <w:highlight w:val="none"/>
        </w:rPr>
        <w:t>、全硬度、永久硬度、暂时硬度、负硬度、总碱度、总酸度、游离CO</w:t>
      </w:r>
      <w:r>
        <w:rPr>
          <w:rFonts w:hint="eastAsia" w:ascii="宋体" w:hAnsi="宋体" w:eastAsia="宋体" w:cs="宋体"/>
          <w:color w:val="auto"/>
          <w:sz w:val="28"/>
          <w:szCs w:val="28"/>
          <w:highlight w:val="none"/>
          <w:vertAlign w:val="subscript"/>
        </w:rPr>
        <w:t>2</w:t>
      </w:r>
      <w:r>
        <w:rPr>
          <w:rFonts w:hint="eastAsia" w:ascii="宋体" w:hAnsi="宋体" w:eastAsia="宋体" w:cs="宋体"/>
          <w:color w:val="auto"/>
          <w:sz w:val="28"/>
          <w:szCs w:val="28"/>
          <w:highlight w:val="none"/>
        </w:rPr>
        <w:t>、侵蚀CO</w:t>
      </w:r>
      <w:r>
        <w:rPr>
          <w:rFonts w:hint="eastAsia" w:ascii="宋体" w:hAnsi="宋体" w:eastAsia="宋体" w:cs="宋体"/>
          <w:color w:val="auto"/>
          <w:sz w:val="28"/>
          <w:szCs w:val="28"/>
          <w:highlight w:val="none"/>
          <w:vertAlign w:val="subscript"/>
        </w:rPr>
        <w:t>2</w:t>
      </w:r>
      <w:r>
        <w:rPr>
          <w:rFonts w:hint="eastAsia" w:ascii="宋体" w:hAnsi="宋体" w:eastAsia="宋体" w:cs="宋体"/>
          <w:color w:val="auto"/>
          <w:sz w:val="28"/>
          <w:szCs w:val="28"/>
          <w:highlight w:val="none"/>
        </w:rPr>
        <w:t>、可溶硅酸、偏硅酸、化学需氧量、pH值、矿化度等。</w:t>
      </w:r>
    </w:p>
    <w:p w14:paraId="215D2452">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地表水环境质量标准》（GB3838-2002）限值的规定进行对比划分，地表水水质所检项目均达到地表水Ⅰ类标准，地表水水质良好。根据《地下水质量标准》（GB/T14848-2017）进行对比划分，所检测项目达到地下水Ⅲ类标准，地下水水质较好。</w:t>
      </w:r>
    </w:p>
    <w:p w14:paraId="112FF408">
      <w:pPr>
        <w:pageBreakBefore w:val="0"/>
        <w:widowControl w:val="0"/>
        <w:kinsoku/>
        <w:wordWrap/>
        <w:overflowPunct/>
        <w:topLinePunct w:val="0"/>
        <w:autoSpaceDE/>
        <w:autoSpaceDN/>
        <w:bidi w:val="0"/>
        <w:adjustRightInd w:val="0"/>
        <w:snapToGrid w:val="0"/>
        <w:spacing w:line="360" w:lineRule="auto"/>
        <w:ind w:firstLine="570" w:firstLineChars="200"/>
        <w:jc w:val="left"/>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3、放射性强度测试评价</w:t>
      </w:r>
    </w:p>
    <w:p w14:paraId="0DE09E51">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为了对矿区的放射性强度做出评价，本次放射性γ路线顺检选择6线剖面地表进行放射性检测，完成工作量361.15m，钻孔岩芯放射性γ编录选取钻孔ZK601、KZK601、ZK602、ZK603岩芯进行放射性检测，完成工作量531.74m，硐探放射性γ编录选取PD390CM1、PD390CM2进行放射性检测，完成工作量232.30m，剖面检测点间距一般为5m，不足5m的分层以及特殊孔段加密检测，硐探和钻孔岩芯检测点间距一般为2m，不足2m的分层以及特殊孔段加密检测，全区合计完成放射性检测1125.19m，完成检测点数525个。矿区内天然γ辐射吸收率0.000～0.240μsv•h-1之间变化。</w:t>
      </w:r>
    </w:p>
    <w:p w14:paraId="7EBE010D">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γ辐射吸收剂量=γ辐射吸收率×时间；一年中，矿区内天然γ辐射吸收剂量为0.000～0.480msv，低于公众剂量限值1mSv；该矿区地表、钻孔和探硐中γ辐射吸收率属正常范围，不会对人体、环境和地下开采产生不良影响。</w:t>
      </w:r>
    </w:p>
    <w:p w14:paraId="51405D7D">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4、临时弃土废渣堆放场</w:t>
      </w:r>
    </w:p>
    <w:p w14:paraId="649E8DB8">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矿山在爆破器材库西侧设置了一座临时排土场，排土场有效容量约0.4万m³，调查时未堆放废石，目前矿山废石已进行综合利用，用于矿山建设、修路铺路等。</w:t>
      </w:r>
    </w:p>
    <w:p w14:paraId="7C2553E9">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5、自然环境现状</w:t>
      </w:r>
    </w:p>
    <w:p w14:paraId="492CABCB">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kern w:val="21"/>
          <w:sz w:val="28"/>
          <w:szCs w:val="28"/>
          <w:highlight w:val="none"/>
        </w:rPr>
        <w:t>本区年平均气温18.6℃，</w:t>
      </w:r>
      <w:r>
        <w:rPr>
          <w:rFonts w:hint="eastAsia" w:ascii="宋体" w:hAnsi="宋体" w:eastAsia="宋体" w:cs="宋体"/>
          <w:color w:val="auto"/>
          <w:sz w:val="28"/>
          <w:szCs w:val="28"/>
          <w:highlight w:val="none"/>
        </w:rPr>
        <w:t xml:space="preserve"> 在+390m中段</w:t>
      </w:r>
      <w:r>
        <w:rPr>
          <w:rFonts w:hint="eastAsia" w:ascii="宋体" w:hAnsi="宋体" w:eastAsia="宋体" w:cs="宋体"/>
          <w:color w:val="auto"/>
          <w:kern w:val="21"/>
          <w:sz w:val="28"/>
          <w:szCs w:val="28"/>
          <w:highlight w:val="none"/>
        </w:rPr>
        <w:t>，观测气温为20.0℃，地温梯度为0.3℃/100m，属地温正常区；预测最低开采标高（+230m）的气温为21.6℃，未达到热害（一级热害矿井：28～30℃）。</w:t>
      </w:r>
      <w:r>
        <w:rPr>
          <w:rFonts w:hint="eastAsia" w:ascii="宋体" w:hAnsi="宋体" w:eastAsia="宋体" w:cs="宋体"/>
          <w:color w:val="auto"/>
          <w:sz w:val="28"/>
          <w:szCs w:val="28"/>
          <w:highlight w:val="none"/>
        </w:rPr>
        <w:t>矿区内岩(土)层化学成分较稳定，不易分解出有害成分；天然状态边坡稳定性较好，未发现滑坡、崩塌及泥石流等不良地质灾害现象。在地表见2个小面积采空区岩溶塌陷（7线上方采空区岩溶塌陷区）和1条地表裂缝。在自然状态下，地质环境质量中等。</w:t>
      </w:r>
    </w:p>
    <w:p w14:paraId="4BC24E89">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140" w:name="_Toc213849362"/>
      <w:bookmarkStart w:id="141" w:name="_Toc206756193"/>
      <w:bookmarkStart w:id="142" w:name="_Toc206403643"/>
      <w:bookmarkStart w:id="143" w:name="_Toc207979724"/>
      <w:bookmarkStart w:id="144" w:name="_Toc226471401"/>
      <w:r>
        <w:rPr>
          <w:rFonts w:hint="eastAsia" w:ascii="宋体" w:hAnsi="宋体" w:eastAsia="宋体" w:cs="宋体"/>
          <w:b/>
          <w:bCs/>
          <w:color w:val="auto"/>
          <w:sz w:val="28"/>
          <w:szCs w:val="28"/>
          <w:highlight w:val="none"/>
          <w:lang w:val="en-US" w:eastAsia="zh-CN"/>
        </w:rPr>
        <w:t>三、矿山开采对地质环境的影响</w:t>
      </w:r>
      <w:bookmarkEnd w:id="140"/>
      <w:bookmarkEnd w:id="141"/>
      <w:bookmarkEnd w:id="142"/>
      <w:bookmarkEnd w:id="143"/>
      <w:bookmarkEnd w:id="144"/>
    </w:p>
    <w:p w14:paraId="651B67FA">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kern w:val="21"/>
          <w:sz w:val="28"/>
          <w:szCs w:val="28"/>
          <w:highlight w:val="none"/>
        </w:rPr>
      </w:pPr>
      <w:r>
        <w:rPr>
          <w:rFonts w:hint="eastAsia" w:ascii="宋体" w:hAnsi="宋体" w:eastAsia="宋体" w:cs="宋体"/>
          <w:color w:val="auto"/>
          <w:kern w:val="21"/>
          <w:sz w:val="28"/>
          <w:szCs w:val="28"/>
          <w:highlight w:val="none"/>
        </w:rPr>
        <w:t>根据野外环境地质调查，矿区范围内自然山坡稳定性良好，植被发育，地表水水质良好，地下水水质较好。结合今后矿山开采生产状况，采用工程类比法，预测矿山建设可能引起的环境地质问题为弃土废石无序堆放、采空区岩溶塌陷造成地表变形。</w:t>
      </w:r>
    </w:p>
    <w:p w14:paraId="7ED78104">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kern w:val="21"/>
          <w:sz w:val="28"/>
          <w:szCs w:val="28"/>
          <w:highlight w:val="none"/>
        </w:rPr>
      </w:pPr>
      <w:r>
        <w:rPr>
          <w:rFonts w:hint="eastAsia" w:ascii="宋体" w:hAnsi="宋体" w:eastAsia="宋体" w:cs="宋体"/>
          <w:color w:val="auto"/>
          <w:kern w:val="21"/>
          <w:sz w:val="28"/>
          <w:szCs w:val="28"/>
          <w:highlight w:val="none"/>
        </w:rPr>
        <w:t>1、弃土废石无序堆放</w:t>
      </w:r>
    </w:p>
    <w:p w14:paraId="7EB9EB6B">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kern w:val="21"/>
          <w:sz w:val="28"/>
          <w:szCs w:val="28"/>
          <w:highlight w:val="none"/>
        </w:rPr>
      </w:pPr>
      <w:r>
        <w:rPr>
          <w:rFonts w:hint="eastAsia" w:ascii="宋体" w:hAnsi="宋体" w:eastAsia="宋体" w:cs="宋体"/>
          <w:color w:val="auto"/>
          <w:kern w:val="21"/>
          <w:sz w:val="28"/>
          <w:szCs w:val="28"/>
          <w:highlight w:val="none"/>
        </w:rPr>
        <w:t>目前</w:t>
      </w:r>
      <w:r>
        <w:rPr>
          <w:rFonts w:hint="eastAsia" w:ascii="宋体" w:hAnsi="宋体" w:eastAsia="宋体" w:cs="宋体"/>
          <w:color w:val="auto"/>
          <w:kern w:val="21"/>
          <w:sz w:val="28"/>
          <w:szCs w:val="28"/>
          <w:highlight w:val="none"/>
          <w:lang w:eastAsia="zh-CN"/>
        </w:rPr>
        <w:t>矿山</w:t>
      </w:r>
      <w:r>
        <w:rPr>
          <w:rFonts w:hint="eastAsia" w:ascii="宋体" w:hAnsi="宋体" w:eastAsia="宋体" w:cs="宋体"/>
          <w:color w:val="auto"/>
          <w:kern w:val="21"/>
          <w:sz w:val="28"/>
          <w:szCs w:val="28"/>
          <w:highlight w:val="none"/>
        </w:rPr>
        <w:t>在爆破器材库西侧设置了一座临时排土场，矿山开采时的弃土废石堆放场是重点防护区，应在弃土废石堆放场下方低处修建拦渣挡土的防护挡土墙，在临时弃土废石堆放场下方设置沉淀池，应在挡土墙下部设置排水管，在四周设置排水沟，做好纵横向的排水，防止泥石流等次生灾害的发生；并应在弃土废渣堆放场加强绿化工作，种植树木，保护环境。若未采取预防措施，将影响矿山及周围的生态环境质量。</w:t>
      </w:r>
    </w:p>
    <w:p w14:paraId="3F923A54">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kern w:val="21"/>
          <w:sz w:val="28"/>
          <w:szCs w:val="28"/>
          <w:highlight w:val="none"/>
        </w:rPr>
      </w:pPr>
      <w:r>
        <w:rPr>
          <w:rFonts w:hint="eastAsia" w:ascii="宋体" w:hAnsi="宋体" w:eastAsia="宋体" w:cs="宋体"/>
          <w:color w:val="auto"/>
          <w:kern w:val="21"/>
          <w:sz w:val="28"/>
          <w:szCs w:val="28"/>
          <w:highlight w:val="none"/>
        </w:rPr>
        <w:t>2、采空区岩溶塌陷造成地表变形</w:t>
      </w:r>
    </w:p>
    <w:p w14:paraId="612A520F">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kern w:val="21"/>
          <w:sz w:val="28"/>
          <w:szCs w:val="28"/>
          <w:highlight w:val="none"/>
        </w:rPr>
      </w:pPr>
      <w:r>
        <w:rPr>
          <w:rFonts w:hint="eastAsia" w:ascii="宋体" w:hAnsi="宋体" w:eastAsia="宋体" w:cs="宋体"/>
          <w:color w:val="auto"/>
          <w:kern w:val="21"/>
          <w:sz w:val="28"/>
          <w:szCs w:val="28"/>
          <w:highlight w:val="none"/>
        </w:rPr>
        <w:t>矿山近地表差异风化，风化带厚度不均一变化较大，巷道局部地段可能发生顶板冒落，个别危及地表形成2个小面积采空区岩溶塌陷（7线上方采空区岩溶塌陷区，呈近倒圆锥形，开口直径分别为5.5m、3.5m，深度分别为4m、2m，两处相隔1mm，塌陷面积分别为23.75㎡、9.62㎡，体积分别为95m³、19m³）。向北3m处见东西走向长15m宽30cm的地表裂缝。未来开采可能会继续扩大发展，会引发山体失稳等地质灾害。建议采用回填、夯实等措施，使用黏土、废石等材料将7线上方采空区岩溶塌陷区填平并夯实，恢复地表地形地貌；对于地裂缝，可采用砂土混合料回填，顶部浇筑混凝土盖板，防止地表水渗入，必要时可采用钢板桩等对地裂缝两侧进行加固。</w:t>
      </w:r>
    </w:p>
    <w:p w14:paraId="70F28F9C">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kern w:val="21"/>
          <w:sz w:val="28"/>
          <w:szCs w:val="28"/>
          <w:highlight w:val="none"/>
        </w:rPr>
      </w:pPr>
      <w:r>
        <w:rPr>
          <w:rFonts w:hint="eastAsia" w:ascii="宋体" w:hAnsi="宋体" w:eastAsia="宋体" w:cs="宋体"/>
          <w:color w:val="auto"/>
          <w:kern w:val="21"/>
          <w:sz w:val="28"/>
          <w:szCs w:val="28"/>
          <w:highlight w:val="none"/>
        </w:rPr>
        <w:t>矿山在今后的生产过</w:t>
      </w:r>
      <w:r>
        <w:rPr>
          <w:rFonts w:hint="eastAsia" w:ascii="宋体" w:hAnsi="宋体" w:eastAsia="宋体" w:cs="宋体"/>
          <w:color w:val="auto"/>
          <w:kern w:val="21"/>
          <w:sz w:val="28"/>
          <w:szCs w:val="28"/>
          <w:highlight w:val="none"/>
          <w:lang w:eastAsia="zh-CN"/>
        </w:rPr>
        <w:t>程中</w:t>
      </w:r>
      <w:r>
        <w:rPr>
          <w:rFonts w:hint="eastAsia" w:ascii="宋体" w:hAnsi="宋体" w:eastAsia="宋体" w:cs="宋体"/>
          <w:color w:val="auto"/>
          <w:kern w:val="21"/>
          <w:sz w:val="28"/>
          <w:szCs w:val="28"/>
          <w:highlight w:val="none"/>
        </w:rPr>
        <w:t>应优化开采工艺，以</w:t>
      </w:r>
      <w:r>
        <w:rPr>
          <w:rFonts w:hint="eastAsia" w:ascii="宋体" w:hAnsi="宋体" w:eastAsia="宋体" w:cs="宋体"/>
          <w:color w:val="auto"/>
          <w:kern w:val="21"/>
          <w:sz w:val="28"/>
          <w:szCs w:val="28"/>
          <w:highlight w:val="none"/>
          <w:lang w:eastAsia="zh-CN"/>
        </w:rPr>
        <w:t>减少</w:t>
      </w:r>
      <w:r>
        <w:rPr>
          <w:rFonts w:hint="eastAsia" w:ascii="宋体" w:hAnsi="宋体" w:eastAsia="宋体" w:cs="宋体"/>
          <w:color w:val="auto"/>
          <w:kern w:val="21"/>
          <w:sz w:val="28"/>
          <w:szCs w:val="28"/>
          <w:highlight w:val="none"/>
        </w:rPr>
        <w:t>地表沉陷。发生冒顶垮塌的老采区应进行隔离封闭管理，地表可能发生地面变形区域应加强巡查，塌陷坑及地面裂缝应及时填平、堵塞，四周应及时设置警示牌，完善截排水设施；地面塌陷区地表经过一定时间下沉压密稳定后应及时进行生态恢复。</w:t>
      </w:r>
    </w:p>
    <w:p w14:paraId="0CFB29A9">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145" w:name="_Toc206403644"/>
      <w:bookmarkStart w:id="146" w:name="_Toc213849363"/>
      <w:bookmarkStart w:id="147" w:name="_Toc226471402"/>
      <w:bookmarkStart w:id="148" w:name="_Toc206756194"/>
      <w:bookmarkStart w:id="149" w:name="_Toc207979725"/>
      <w:r>
        <w:rPr>
          <w:rFonts w:hint="eastAsia" w:ascii="宋体" w:hAnsi="宋体" w:eastAsia="宋体" w:cs="宋体"/>
          <w:b/>
          <w:bCs/>
          <w:color w:val="auto"/>
          <w:sz w:val="28"/>
          <w:szCs w:val="28"/>
          <w:highlight w:val="none"/>
          <w:lang w:val="en-US" w:eastAsia="zh-CN"/>
        </w:rPr>
        <w:t>四、地质环境质量</w:t>
      </w:r>
      <w:bookmarkEnd w:id="145"/>
      <w:bookmarkEnd w:id="146"/>
      <w:bookmarkEnd w:id="147"/>
      <w:bookmarkEnd w:id="148"/>
      <w:bookmarkEnd w:id="149"/>
    </w:p>
    <w:p w14:paraId="06B1A0F3">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地质环境质量中等，采矿可产生局部地表变形，但对地质环境破坏不大；区内无重大的污染源，地温无异常，地表水水质良好（Ⅰ类），地下水水质较好（Ⅲ类），矿石和废石化学成分基本稳定，无其他环境地质隐患。矿区地质环境质量为中等类型。</w:t>
      </w:r>
    </w:p>
    <w:p w14:paraId="290281E4">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2.2.4结论</w:t>
      </w:r>
    </w:p>
    <w:p w14:paraId="3A6326BF">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bookmarkStart w:id="150" w:name="_Toc226471404"/>
      <w:bookmarkStart w:id="151" w:name="_Toc206756196"/>
      <w:bookmarkStart w:id="152" w:name="_Toc213849365"/>
      <w:bookmarkStart w:id="153" w:name="_Toc206403646"/>
      <w:bookmarkStart w:id="154" w:name="_Toc207979727"/>
      <w:r>
        <w:rPr>
          <w:rFonts w:hint="eastAsia" w:ascii="宋体" w:hAnsi="宋体" w:eastAsia="宋体" w:cs="宋体"/>
          <w:b/>
          <w:bCs/>
          <w:color w:val="auto"/>
          <w:sz w:val="28"/>
          <w:szCs w:val="28"/>
          <w:highlight w:val="none"/>
          <w:lang w:val="en-US" w:eastAsia="zh-CN"/>
        </w:rPr>
        <w:t>一、矿床开采技术条件勘查类型</w:t>
      </w:r>
      <w:bookmarkEnd w:id="150"/>
      <w:bookmarkEnd w:id="151"/>
      <w:bookmarkEnd w:id="152"/>
      <w:bookmarkEnd w:id="153"/>
      <w:bookmarkEnd w:id="154"/>
    </w:p>
    <w:p w14:paraId="22D74E3E">
      <w:pPr>
        <w:pageBreakBefore w:val="0"/>
        <w:widowControl w:val="0"/>
        <w:kinsoku/>
        <w:wordWrap/>
        <w:overflowPunct/>
        <w:topLinePunct w:val="0"/>
        <w:autoSpaceDE/>
        <w:autoSpaceDN/>
        <w:bidi w:val="0"/>
        <w:adjustRightInd w:val="0"/>
        <w:snapToGrid w:val="0"/>
        <w:spacing w:line="360" w:lineRule="auto"/>
        <w:ind w:firstLine="570" w:firstLineChars="200"/>
        <w:jc w:val="left"/>
        <w:textAlignment w:val="baseline"/>
        <w:rPr>
          <w:rFonts w:hint="eastAsia" w:ascii="宋体" w:hAnsi="宋体" w:eastAsia="宋体" w:cs="宋体"/>
          <w:color w:val="auto"/>
          <w:sz w:val="28"/>
          <w:szCs w:val="28"/>
          <w:highlight w:val="none"/>
        </w:rPr>
      </w:pPr>
      <w:bookmarkStart w:id="155" w:name="_Hlk206847969"/>
      <w:r>
        <w:rPr>
          <w:rFonts w:hint="eastAsia" w:ascii="宋体" w:hAnsi="宋体" w:eastAsia="宋体" w:cs="宋体"/>
          <w:color w:val="auto"/>
          <w:sz w:val="28"/>
          <w:szCs w:val="28"/>
          <w:highlight w:val="none"/>
        </w:rPr>
        <w:t>1、水文地质勘查类型</w:t>
      </w:r>
    </w:p>
    <w:p w14:paraId="47AB4D5A">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大部分矿体位于当地侵蚀基准面以下，但地表水不构成矿床的主要充水因素，水文地质边界条件简单，矿区主要含水层的富水性弱～中等，且分布不均匀，地下水补给条件一般，存在一处老空水（LD1），积水量清楚。因此，矿区水文地质勘查类型属以溶蚀裂隙为主的岩溶充水的水文地质条件中等的矿床。</w:t>
      </w:r>
    </w:p>
    <w:p w14:paraId="1726D866">
      <w:pPr>
        <w:pageBreakBefore w:val="0"/>
        <w:widowControl w:val="0"/>
        <w:kinsoku/>
        <w:wordWrap/>
        <w:overflowPunct/>
        <w:topLinePunct w:val="0"/>
        <w:autoSpaceDE/>
        <w:autoSpaceDN/>
        <w:bidi w:val="0"/>
        <w:adjustRightInd w:val="0"/>
        <w:snapToGrid w:val="0"/>
        <w:spacing w:line="360" w:lineRule="auto"/>
        <w:ind w:firstLine="570" w:firstLineChars="200"/>
        <w:jc w:val="left"/>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2、工程地质勘查类型</w:t>
      </w:r>
    </w:p>
    <w:p w14:paraId="4C22BF00">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矿区内地形地貌较简单，地层岩性较简单，地质构造较发育，矿体和顶底板围岩以碳酸盐岩类为主，岩体质量良～优</w:t>
      </w:r>
      <w:r>
        <w:rPr>
          <w:rFonts w:hint="eastAsia" w:ascii="宋体" w:hAnsi="宋体" w:eastAsia="宋体" w:cs="宋体"/>
          <w:bCs/>
          <w:color w:val="auto"/>
          <w:sz w:val="28"/>
          <w:szCs w:val="28"/>
          <w:highlight w:val="none"/>
        </w:rPr>
        <w:t>，稳定性中等～好</w:t>
      </w:r>
      <w:r>
        <w:rPr>
          <w:rFonts w:hint="eastAsia" w:ascii="宋体" w:hAnsi="宋体" w:eastAsia="宋体" w:cs="宋体"/>
          <w:color w:val="auto"/>
          <w:sz w:val="28"/>
          <w:szCs w:val="28"/>
          <w:highlight w:val="none"/>
        </w:rPr>
        <w:t>，局部地段受风化、构造、岩溶作用影响，</w:t>
      </w:r>
      <w:r>
        <w:rPr>
          <w:rFonts w:hint="eastAsia" w:ascii="宋体" w:hAnsi="宋体" w:eastAsia="宋体" w:cs="宋体"/>
          <w:bCs/>
          <w:color w:val="auto"/>
          <w:sz w:val="28"/>
          <w:szCs w:val="28"/>
          <w:highlight w:val="none"/>
        </w:rPr>
        <w:t>工程地质性能差，稳固性差，易发生巷道冒顶、片帮等不良工程地质现象</w:t>
      </w:r>
      <w:r>
        <w:rPr>
          <w:rFonts w:hint="eastAsia" w:ascii="宋体" w:hAnsi="宋体" w:eastAsia="宋体" w:cs="宋体"/>
          <w:color w:val="auto"/>
          <w:sz w:val="28"/>
          <w:szCs w:val="28"/>
          <w:highlight w:val="none"/>
        </w:rPr>
        <w:t>。矿区工程地质勘查类型属以碳酸盐岩类为主的工程地质条件中等类型。</w:t>
      </w:r>
    </w:p>
    <w:p w14:paraId="18C0455F">
      <w:pPr>
        <w:pageBreakBefore w:val="0"/>
        <w:widowControl w:val="0"/>
        <w:kinsoku/>
        <w:wordWrap/>
        <w:overflowPunct/>
        <w:topLinePunct w:val="0"/>
        <w:autoSpaceDE/>
        <w:autoSpaceDN/>
        <w:bidi w:val="0"/>
        <w:adjustRightInd w:val="0"/>
        <w:snapToGrid w:val="0"/>
        <w:spacing w:line="360" w:lineRule="auto"/>
        <w:ind w:firstLine="570" w:firstLineChars="200"/>
        <w:jc w:val="left"/>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3、地质环境质量</w:t>
      </w:r>
    </w:p>
    <w:p w14:paraId="5BD1FFCF">
      <w:pPr>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区地质环境质量中等，采矿可产生局部地表变形，但对地质环境破坏不大；区内无重大的污染源，地温无异常，地表水水质良好（Ⅰ类），地下水水质较好（Ⅲ类），矿石和废石化学成分基本稳定，无其他环境地质隐患。矿区地质环境质量为中等类型。</w:t>
      </w:r>
    </w:p>
    <w:p w14:paraId="4AE1187F">
      <w:pPr>
        <w:pageBreakBefore w:val="0"/>
        <w:widowControl w:val="0"/>
        <w:kinsoku/>
        <w:wordWrap/>
        <w:overflowPunct/>
        <w:topLinePunct w:val="0"/>
        <w:autoSpaceDE/>
        <w:autoSpaceDN/>
        <w:bidi w:val="0"/>
        <w:adjustRightInd w:val="0"/>
        <w:snapToGrid w:val="0"/>
        <w:spacing w:line="360" w:lineRule="auto"/>
        <w:ind w:firstLine="570" w:firstLineChars="200"/>
        <w:jc w:val="left"/>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综上所述，矿床开采技术条件属以水文地质工程地质环境地质复合问题的中等类型(Ⅱ-4)的矿床</w:t>
      </w:r>
      <w:bookmarkEnd w:id="155"/>
      <w:r>
        <w:rPr>
          <w:rFonts w:hint="eastAsia" w:ascii="宋体" w:hAnsi="宋体" w:eastAsia="宋体" w:cs="宋体"/>
          <w:color w:val="auto"/>
          <w:sz w:val="28"/>
          <w:szCs w:val="28"/>
          <w:highlight w:val="none"/>
        </w:rPr>
        <w:t>。</w:t>
      </w:r>
    </w:p>
    <w:p w14:paraId="711C11F6">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56" w:name="_Toc11039"/>
      <w:r>
        <w:rPr>
          <w:rFonts w:hint="eastAsia" w:ascii="宋体" w:hAnsi="宋体" w:eastAsia="宋体" w:cs="宋体"/>
          <w:b/>
          <w:bCs w:val="0"/>
          <w:snapToGrid w:val="0"/>
          <w:color w:val="auto"/>
          <w:kern w:val="0"/>
          <w:sz w:val="30"/>
          <w:szCs w:val="30"/>
          <w:highlight w:val="none"/>
          <w:lang w:val="en-US" w:eastAsia="zh-CN"/>
        </w:rPr>
        <w:t>2.3矿产资源储量情况</w:t>
      </w:r>
      <w:bookmarkEnd w:id="156"/>
    </w:p>
    <w:p w14:paraId="3AC68AC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根据</w:t>
      </w:r>
      <w:r>
        <w:rPr>
          <w:rFonts w:hint="eastAsia" w:ascii="宋体" w:hAnsi="宋体" w:eastAsia="宋体" w:cs="宋体"/>
          <w:color w:val="auto"/>
          <w:sz w:val="28"/>
          <w:szCs w:val="28"/>
          <w:highlight w:val="none"/>
        </w:rPr>
        <w:t>中化地质矿山总局福建地质勘查院于2025年8月提交的《福建省明溪县上龙坑矿区方解石矿资源储量核实暨深部</w:t>
      </w:r>
      <w:r>
        <w:rPr>
          <w:rFonts w:hint="eastAsia" w:ascii="宋体" w:hAnsi="宋体" w:eastAsia="宋体" w:cs="宋体"/>
          <w:color w:val="auto"/>
          <w:sz w:val="28"/>
          <w:szCs w:val="28"/>
          <w:highlight w:val="none"/>
          <w:lang w:eastAsia="zh-CN"/>
        </w:rPr>
        <w:t>勘探</w:t>
      </w:r>
      <w:r>
        <w:rPr>
          <w:rFonts w:hint="eastAsia" w:ascii="宋体" w:hAnsi="宋体" w:eastAsia="宋体" w:cs="宋体"/>
          <w:color w:val="auto"/>
          <w:sz w:val="28"/>
          <w:szCs w:val="28"/>
          <w:highlight w:val="none"/>
        </w:rPr>
        <w:t>地质报告（2025年）》</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详查查明了矿区范围内的地层、构造和矿床地质特征，详查查明了</w:t>
      </w:r>
      <w:r>
        <w:rPr>
          <w:rFonts w:hint="eastAsia" w:ascii="宋体" w:hAnsi="宋体" w:eastAsia="宋体" w:cs="宋体"/>
          <w:color w:val="auto"/>
          <w:sz w:val="28"/>
          <w:szCs w:val="28"/>
          <w:highlight w:val="none"/>
        </w:rPr>
        <w:t>矿床开采技术条件属以水文地质工程地质环境地质复合问题的中等类型(Ⅱ-4)的矿床</w:t>
      </w:r>
      <w:r>
        <w:rPr>
          <w:rFonts w:hint="eastAsia" w:ascii="宋体" w:hAnsi="宋体" w:eastAsia="宋体" w:cs="宋体"/>
          <w:color w:val="auto"/>
          <w:sz w:val="28"/>
          <w:szCs w:val="28"/>
          <w:highlight w:val="none"/>
          <w:lang w:val="en-US" w:eastAsia="zh-CN"/>
        </w:rPr>
        <w:t>，开采技术条件已达到勘探阶段；</w:t>
      </w:r>
      <w:r>
        <w:rPr>
          <w:rFonts w:hint="eastAsia" w:ascii="宋体" w:hAnsi="宋体" w:eastAsia="宋体" w:cs="宋体"/>
          <w:color w:val="auto"/>
          <w:sz w:val="28"/>
          <w:szCs w:val="28"/>
          <w:highlight w:val="none"/>
          <w:lang w:eastAsia="zh-CN"/>
        </w:rPr>
        <w:t>查明截至2025年4月30日，拟申请矿区范围内（+480～+2</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lang w:eastAsia="zh-CN"/>
        </w:rPr>
        <w:t>0m）保有方解石矿、白云石方解石矿总矿石资源量为</w:t>
      </w:r>
      <w:r>
        <w:rPr>
          <w:rFonts w:hint="eastAsia" w:ascii="宋体" w:hAnsi="宋体" w:eastAsia="宋体" w:cs="宋体"/>
          <w:color w:val="auto"/>
          <w:spacing w:val="-2"/>
          <w:sz w:val="28"/>
          <w:szCs w:val="28"/>
          <w:highlight w:val="none"/>
        </w:rPr>
        <w:t>1721.56万吨，其中探明资源量为258.80万吨，控制资源量为538.05万吨，推断资源量为924.71万吨，保</w:t>
      </w:r>
      <w:r>
        <w:rPr>
          <w:rFonts w:hint="eastAsia" w:ascii="宋体" w:hAnsi="宋体" w:eastAsia="宋体" w:cs="宋体"/>
          <w:color w:val="auto"/>
          <w:sz w:val="28"/>
          <w:szCs w:val="28"/>
          <w:highlight w:val="none"/>
        </w:rPr>
        <w:t>有储量（证实+可信）312.64万吨，其中证实储量52.34万吨，可信储量260.30万吨。</w:t>
      </w:r>
      <w:r>
        <w:rPr>
          <w:rFonts w:hint="eastAsia" w:ascii="宋体" w:hAnsi="宋体" w:eastAsia="宋体" w:cs="宋体"/>
          <w:color w:val="auto"/>
          <w:sz w:val="28"/>
          <w:szCs w:val="28"/>
          <w:highlight w:val="none"/>
          <w:lang w:eastAsia="zh-CN"/>
        </w:rPr>
        <w:t>其中</w:t>
      </w:r>
      <w:r>
        <w:rPr>
          <w:rFonts w:hint="eastAsia" w:ascii="宋体" w:hAnsi="宋体" w:eastAsia="宋体" w:cs="宋体"/>
          <w:color w:val="auto"/>
          <w:spacing w:val="-2"/>
          <w:sz w:val="28"/>
          <w:szCs w:val="28"/>
          <w:highlight w:val="none"/>
        </w:rPr>
        <w:t>保有方解石矿（探明+控制+推断）矿石资源量为1047.29万吨，平均品位CaO: 54.55%， MgO: 0.94%，白度：88.20%。其中，探明资源量为181.44万吨；控制资源量为427.72万吨；推断资源量为438.13万吨，保</w:t>
      </w:r>
      <w:r>
        <w:rPr>
          <w:rFonts w:hint="eastAsia" w:ascii="宋体" w:hAnsi="宋体" w:eastAsia="宋体" w:cs="宋体"/>
          <w:color w:val="auto"/>
          <w:sz w:val="28"/>
          <w:szCs w:val="28"/>
          <w:highlight w:val="none"/>
        </w:rPr>
        <w:t>有储量（证实+可信）262.46万吨，其中证实储量35.53万吨，可信储量226.93万吨。</w:t>
      </w:r>
      <w:r>
        <w:rPr>
          <w:rFonts w:hint="eastAsia" w:ascii="宋体" w:hAnsi="宋体" w:eastAsia="宋体" w:cs="宋体"/>
          <w:color w:val="auto"/>
          <w:spacing w:val="-2"/>
          <w:sz w:val="28"/>
          <w:szCs w:val="28"/>
          <w:highlight w:val="none"/>
        </w:rPr>
        <w:t>保有白云石方解石矿（探明+控制+推断）矿石资源量为674.27万吨，平均品位MgO:13.80%，CaO+MgO:52.91%，白度：86.57%。其中，探明资源量为77.36万吨；控制资源量为110.33万吨；推断资源量为486.58吨，保</w:t>
      </w:r>
      <w:r>
        <w:rPr>
          <w:rFonts w:hint="eastAsia" w:ascii="宋体" w:hAnsi="宋体" w:eastAsia="宋体" w:cs="宋体"/>
          <w:color w:val="auto"/>
          <w:sz w:val="28"/>
          <w:szCs w:val="28"/>
          <w:highlight w:val="none"/>
        </w:rPr>
        <w:t>有储量（证实+可信）50.18万吨，其中证实储量16.81万吨，可信储量33.37万吨</w:t>
      </w:r>
      <w:r>
        <w:rPr>
          <w:rFonts w:hint="eastAsia" w:ascii="宋体" w:hAnsi="宋体" w:eastAsia="宋体" w:cs="宋体"/>
          <w:color w:val="auto"/>
          <w:spacing w:val="-2"/>
          <w:sz w:val="28"/>
          <w:szCs w:val="28"/>
          <w:highlight w:val="none"/>
        </w:rPr>
        <w:t>。</w:t>
      </w:r>
      <w:r>
        <w:rPr>
          <w:rFonts w:hint="eastAsia" w:ascii="宋体" w:hAnsi="宋体" w:eastAsia="宋体" w:cs="宋体"/>
          <w:color w:val="auto"/>
          <w:sz w:val="28"/>
          <w:szCs w:val="28"/>
          <w:highlight w:val="none"/>
          <w:lang w:eastAsia="zh-CN"/>
        </w:rPr>
        <w:t>并于</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rPr>
        <w:t>日</w:t>
      </w:r>
      <w:r>
        <w:rPr>
          <w:rFonts w:hint="eastAsia" w:ascii="宋体" w:hAnsi="宋体" w:eastAsia="宋体" w:cs="宋体"/>
          <w:color w:val="auto"/>
          <w:sz w:val="28"/>
          <w:szCs w:val="28"/>
          <w:highlight w:val="none"/>
          <w:lang w:eastAsia="zh-CN"/>
        </w:rPr>
        <w:t>经</w:t>
      </w:r>
      <w:r>
        <w:rPr>
          <w:rFonts w:hint="eastAsia" w:ascii="宋体" w:hAnsi="宋体" w:eastAsia="宋体" w:cs="宋体"/>
          <w:color w:val="auto"/>
          <w:sz w:val="28"/>
          <w:szCs w:val="28"/>
          <w:highlight w:val="none"/>
        </w:rPr>
        <w:t>福建省自然资源评审中心</w:t>
      </w:r>
      <w:r>
        <w:rPr>
          <w:rFonts w:hint="eastAsia" w:ascii="宋体" w:hAnsi="宋体" w:eastAsia="宋体" w:cs="宋体"/>
          <w:color w:val="auto"/>
          <w:sz w:val="28"/>
          <w:szCs w:val="28"/>
          <w:highlight w:val="none"/>
          <w:lang w:eastAsia="zh-CN"/>
        </w:rPr>
        <w:t>以“</w:t>
      </w:r>
      <w:r>
        <w:rPr>
          <w:rFonts w:hint="eastAsia" w:ascii="宋体" w:hAnsi="宋体" w:eastAsia="宋体" w:cs="宋体"/>
          <w:color w:val="auto"/>
          <w:sz w:val="28"/>
          <w:szCs w:val="28"/>
          <w:highlight w:val="none"/>
        </w:rPr>
        <w:t>闽自然资储评字〔202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14</w:t>
      </w:r>
      <w:r>
        <w:rPr>
          <w:rFonts w:hint="eastAsia" w:ascii="宋体" w:hAnsi="宋体" w:eastAsia="宋体" w:cs="宋体"/>
          <w:color w:val="auto"/>
          <w:sz w:val="28"/>
          <w:szCs w:val="28"/>
          <w:highlight w:val="none"/>
        </w:rPr>
        <w:t>号</w:t>
      </w:r>
      <w:r>
        <w:rPr>
          <w:rFonts w:hint="eastAsia" w:ascii="宋体" w:hAnsi="宋体" w:eastAsia="宋体" w:cs="宋体"/>
          <w:color w:val="auto"/>
          <w:sz w:val="28"/>
          <w:szCs w:val="28"/>
          <w:highlight w:val="none"/>
          <w:lang w:eastAsia="zh-CN"/>
        </w:rPr>
        <w:t>文”评审确认。</w:t>
      </w:r>
      <w:r>
        <w:rPr>
          <w:rFonts w:hint="eastAsia" w:ascii="宋体" w:hAnsi="宋体" w:eastAsia="宋体" w:cs="宋体"/>
          <w:color w:val="auto"/>
          <w:sz w:val="28"/>
          <w:szCs w:val="28"/>
          <w:highlight w:val="none"/>
          <w:lang w:val="en-US" w:eastAsia="zh-CN"/>
        </w:rPr>
        <w:t>因此，该报告所提供的内容能满足编制矿产资源开采方案及今后编制安全设施设计的依据要求。</w:t>
      </w:r>
    </w:p>
    <w:p w14:paraId="3DDCFA8B">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321F8AC9">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38505CF0">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3553DC04">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6568CB5D">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3A9C1370">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3088F851">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7F0A91D5">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2275DF8A">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79AE5182">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24472BC9">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091672C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6755C994">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p>
    <w:p w14:paraId="36814003">
      <w:pPr>
        <w:pStyle w:val="2"/>
        <w:keepNext/>
        <w:keepLines/>
        <w:pageBreakBefore w:val="0"/>
        <w:widowControl/>
        <w:kinsoku w:val="0"/>
        <w:wordWrap/>
        <w:overflowPunct/>
        <w:topLinePunct w:val="0"/>
        <w:autoSpaceDE w:val="0"/>
        <w:autoSpaceDN w:val="0"/>
        <w:bidi w:val="0"/>
        <w:adjustRightInd w:val="0"/>
        <w:snapToGrid w:val="0"/>
        <w:spacing w:before="100" w:beforeAutospacing="1" w:after="100" w:afterAutospacing="1" w:line="240" w:lineRule="auto"/>
        <w:ind w:firstLine="0" w:firstLineChars="0"/>
        <w:jc w:val="center"/>
        <w:textAlignment w:val="baseline"/>
        <w:rPr>
          <w:rFonts w:hint="eastAsia" w:ascii="黑体" w:hAnsi="黑体" w:eastAsia="黑体" w:cs="黑体"/>
          <w:bCs/>
          <w:snapToGrid w:val="0"/>
          <w:color w:val="auto"/>
          <w:sz w:val="32"/>
          <w:szCs w:val="32"/>
          <w:highlight w:val="none"/>
          <w:lang w:eastAsia="zh-CN" w:bidi="ar"/>
        </w:rPr>
        <w:sectPr>
          <w:pgSz w:w="11905" w:h="16838"/>
          <w:pgMar w:top="1417" w:right="1417" w:bottom="1417" w:left="1417" w:header="851" w:footer="992" w:gutter="0"/>
          <w:pgBorders>
            <w:top w:val="none" w:sz="0" w:space="0"/>
            <w:left w:val="none" w:sz="0" w:space="0"/>
            <w:bottom w:val="none" w:sz="0" w:space="0"/>
            <w:right w:val="none" w:sz="0" w:space="0"/>
          </w:pgBorders>
          <w:pgNumType w:fmt="decimal"/>
          <w:cols w:space="720" w:num="1"/>
          <w:docGrid w:type="linesAndChars" w:linePitch="312" w:charSpace="1223"/>
        </w:sectPr>
      </w:pPr>
    </w:p>
    <w:p w14:paraId="4D7693C0">
      <w:pPr>
        <w:pStyle w:val="2"/>
        <w:keepNext/>
        <w:keepLines/>
        <w:pageBreakBefore w:val="0"/>
        <w:widowControl/>
        <w:kinsoku w:val="0"/>
        <w:wordWrap/>
        <w:overflowPunct/>
        <w:topLinePunct w:val="0"/>
        <w:autoSpaceDE w:val="0"/>
        <w:autoSpaceDN w:val="0"/>
        <w:bidi w:val="0"/>
        <w:adjustRightInd w:val="0"/>
        <w:snapToGrid w:val="0"/>
        <w:spacing w:before="100" w:beforeAutospacing="1" w:after="100" w:afterAutospacing="1" w:line="240" w:lineRule="auto"/>
        <w:ind w:firstLine="0" w:firstLineChars="0"/>
        <w:jc w:val="center"/>
        <w:textAlignment w:val="baseline"/>
        <w:rPr>
          <w:rFonts w:hint="eastAsia" w:ascii="黑体" w:hAnsi="黑体" w:eastAsia="黑体" w:cs="黑体"/>
          <w:bCs/>
          <w:snapToGrid w:val="0"/>
          <w:color w:val="auto"/>
          <w:sz w:val="32"/>
          <w:szCs w:val="32"/>
          <w:highlight w:val="none"/>
          <w:lang w:val="en-US" w:eastAsia="zh-CN" w:bidi="ar"/>
        </w:rPr>
      </w:pPr>
      <w:bookmarkStart w:id="157" w:name="_Toc18300"/>
      <w:r>
        <w:rPr>
          <w:rFonts w:hint="eastAsia" w:ascii="黑体" w:hAnsi="黑体" w:eastAsia="黑体" w:cs="黑体"/>
          <w:bCs/>
          <w:snapToGrid w:val="0"/>
          <w:color w:val="auto"/>
          <w:sz w:val="32"/>
          <w:szCs w:val="32"/>
          <w:highlight w:val="none"/>
          <w:lang w:eastAsia="zh-CN" w:bidi="ar"/>
        </w:rPr>
        <w:t>第三章 开采区域</w:t>
      </w:r>
      <w:bookmarkEnd w:id="157"/>
    </w:p>
    <w:p w14:paraId="47A5411D">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58" w:name="_Toc23254"/>
      <w:r>
        <w:rPr>
          <w:rFonts w:hint="eastAsia" w:ascii="宋体" w:hAnsi="宋体" w:eastAsia="宋体" w:cs="宋体"/>
          <w:b/>
          <w:bCs w:val="0"/>
          <w:snapToGrid w:val="0"/>
          <w:color w:val="auto"/>
          <w:kern w:val="0"/>
          <w:sz w:val="30"/>
          <w:szCs w:val="30"/>
          <w:highlight w:val="none"/>
          <w:lang w:val="en-US" w:eastAsia="zh-CN"/>
        </w:rPr>
        <w:t>3.1符合矿产资源规划情况</w:t>
      </w:r>
      <w:bookmarkEnd w:id="158"/>
    </w:p>
    <w:p w14:paraId="601FE228">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本项目为</w:t>
      </w:r>
      <w:r>
        <w:rPr>
          <w:rFonts w:hint="eastAsia" w:ascii="宋体" w:hAnsi="宋体" w:eastAsia="宋体" w:cs="宋体"/>
          <w:color w:val="auto"/>
          <w:sz w:val="28"/>
          <w:szCs w:val="28"/>
          <w:highlight w:val="none"/>
          <w:lang w:eastAsia="zh-CN"/>
        </w:rPr>
        <w:t>明溪县</w:t>
      </w:r>
      <w:r>
        <w:rPr>
          <w:rFonts w:hint="eastAsia" w:ascii="宋体" w:hAnsi="宋体" w:eastAsia="宋体" w:cs="宋体"/>
          <w:color w:val="auto"/>
          <w:sz w:val="28"/>
          <w:szCs w:val="28"/>
          <w:highlight w:val="none"/>
        </w:rPr>
        <w:t>自然资源局拟按有关国家政策将采矿权</w:t>
      </w:r>
      <w:r>
        <w:rPr>
          <w:rFonts w:hint="eastAsia" w:ascii="宋体" w:hAnsi="宋体" w:eastAsia="宋体" w:cs="宋体"/>
          <w:color w:val="auto"/>
          <w:sz w:val="28"/>
          <w:szCs w:val="28"/>
          <w:highlight w:val="none"/>
          <w:lang w:eastAsia="zh-CN"/>
        </w:rPr>
        <w:t>变更矿区范围（扩大开采标高）</w:t>
      </w:r>
      <w:r>
        <w:rPr>
          <w:rFonts w:hint="eastAsia" w:ascii="宋体" w:hAnsi="宋体" w:eastAsia="宋体" w:cs="宋体"/>
          <w:color w:val="auto"/>
          <w:sz w:val="28"/>
          <w:szCs w:val="28"/>
          <w:highlight w:val="none"/>
        </w:rPr>
        <w:t>的矿山。该矿山属于《福建省</w:t>
      </w:r>
      <w:r>
        <w:rPr>
          <w:rFonts w:hint="eastAsia" w:ascii="宋体" w:hAnsi="宋体" w:eastAsia="宋体" w:cs="宋体"/>
          <w:color w:val="auto"/>
          <w:sz w:val="28"/>
          <w:szCs w:val="28"/>
          <w:highlight w:val="none"/>
          <w:lang w:eastAsia="zh-CN"/>
        </w:rPr>
        <w:t>明溪</w:t>
      </w:r>
      <w:r>
        <w:rPr>
          <w:rFonts w:hint="eastAsia" w:ascii="宋体" w:hAnsi="宋体" w:eastAsia="宋体" w:cs="宋体"/>
          <w:color w:val="auto"/>
          <w:sz w:val="28"/>
          <w:szCs w:val="28"/>
          <w:highlight w:val="none"/>
        </w:rPr>
        <w:t>县矿产资源总体规划(2021-2025</w:t>
      </w:r>
      <w:r>
        <w:rPr>
          <w:rFonts w:hint="eastAsia" w:ascii="宋体" w:hAnsi="宋体" w:eastAsia="宋体" w:cs="宋体"/>
          <w:color w:val="auto"/>
          <w:sz w:val="28"/>
          <w:szCs w:val="28"/>
          <w:highlight w:val="none"/>
          <w:lang w:eastAsia="zh-CN"/>
        </w:rPr>
        <w:t>年</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中的</w:t>
      </w:r>
      <w:r>
        <w:rPr>
          <w:rFonts w:hint="eastAsia" w:ascii="宋体" w:hAnsi="宋体" w:eastAsia="宋体" w:cs="宋体"/>
          <w:color w:val="auto"/>
          <w:sz w:val="28"/>
          <w:szCs w:val="28"/>
          <w:highlight w:val="none"/>
        </w:rPr>
        <w:t>开采规划区块。</w:t>
      </w:r>
      <w:r>
        <w:rPr>
          <w:rFonts w:hint="eastAsia" w:ascii="宋体" w:hAnsi="宋体" w:eastAsia="宋体" w:cs="宋体"/>
          <w:color w:val="auto"/>
          <w:sz w:val="28"/>
          <w:szCs w:val="28"/>
          <w:highlight w:val="none"/>
          <w:lang w:eastAsia="zh-CN"/>
        </w:rPr>
        <w:t>该规划于</w:t>
      </w:r>
      <w:r>
        <w:rPr>
          <w:rFonts w:hint="eastAsia" w:ascii="宋体" w:hAnsi="宋体" w:eastAsia="宋体" w:cs="宋体"/>
          <w:color w:val="auto"/>
          <w:sz w:val="28"/>
          <w:szCs w:val="28"/>
          <w:highlight w:val="none"/>
          <w:lang w:val="en-US" w:eastAsia="zh-CN"/>
        </w:rPr>
        <w:t>2023年4月27日经三明市自然资源局以“明自然资发〔2023〕14号文”批复同意。</w:t>
      </w:r>
    </w:p>
    <w:p w14:paraId="6F5BDC31">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59" w:name="_Toc24166"/>
      <w:r>
        <w:rPr>
          <w:rFonts w:hint="eastAsia" w:ascii="宋体" w:hAnsi="宋体" w:eastAsia="宋体" w:cs="宋体"/>
          <w:b/>
          <w:bCs w:val="0"/>
          <w:snapToGrid w:val="0"/>
          <w:color w:val="auto"/>
          <w:kern w:val="0"/>
          <w:sz w:val="30"/>
          <w:szCs w:val="30"/>
          <w:highlight w:val="none"/>
          <w:lang w:val="en-US" w:eastAsia="zh-CN"/>
        </w:rPr>
        <w:t>3.2可供开采矿产资源的范围</w:t>
      </w:r>
      <w:bookmarkEnd w:id="159"/>
    </w:p>
    <w:p w14:paraId="789D81D8">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（一）矿区资源量估算范围</w:t>
      </w:r>
    </w:p>
    <w:p w14:paraId="47158F05">
      <w:pPr>
        <w:keepNext w:val="0"/>
        <w:keepLines w:val="0"/>
        <w:pageBreakBefore w:val="0"/>
        <w:widowControl w:val="0"/>
        <w:kinsoku/>
        <w:wordWrap/>
        <w:overflowPunct/>
        <w:topLinePunct w:val="0"/>
        <w:autoSpaceDE/>
        <w:autoSpaceDN/>
        <w:bidi w:val="0"/>
        <w:snapToGrid w:val="0"/>
        <w:spacing w:line="360" w:lineRule="auto"/>
        <w:ind w:firstLine="570" w:firstLineChars="200"/>
        <w:rPr>
          <w:rFonts w:hint="eastAsia" w:ascii="宋体" w:hAnsi="宋体" w:eastAsia="宋体" w:cs="宋体"/>
          <w:color w:val="auto"/>
          <w:spacing w:val="0"/>
          <w:kern w:val="2"/>
          <w:sz w:val="28"/>
          <w:szCs w:val="28"/>
          <w:highlight w:val="none"/>
          <w:lang w:val="en-US" w:eastAsia="zh-CN" w:bidi="ar-SA"/>
        </w:rPr>
      </w:pPr>
      <w:r>
        <w:rPr>
          <w:rFonts w:hint="eastAsia" w:ascii="宋体" w:hAnsi="宋体" w:eastAsia="宋体" w:cs="宋体"/>
          <w:color w:val="auto"/>
          <w:sz w:val="28"/>
          <w:szCs w:val="28"/>
          <w:highlight w:val="none"/>
          <w:lang w:eastAsia="zh-CN"/>
        </w:rPr>
        <w:t>根据</w:t>
      </w:r>
      <w:r>
        <w:rPr>
          <w:rFonts w:hint="eastAsia" w:ascii="宋体" w:hAnsi="宋体" w:eastAsia="宋体" w:cs="宋体"/>
          <w:color w:val="auto"/>
          <w:sz w:val="28"/>
          <w:szCs w:val="28"/>
          <w:highlight w:val="none"/>
        </w:rPr>
        <w:t>中化地质矿山总局福建地质勘查院于2025年8月提交的《福建省明溪县上龙坑矿区方解石矿资源储量核实暨深部</w:t>
      </w:r>
      <w:r>
        <w:rPr>
          <w:rFonts w:hint="eastAsia" w:ascii="宋体" w:hAnsi="宋体" w:eastAsia="宋体" w:cs="宋体"/>
          <w:color w:val="auto"/>
          <w:sz w:val="28"/>
          <w:szCs w:val="28"/>
          <w:highlight w:val="none"/>
          <w:lang w:eastAsia="zh-CN"/>
        </w:rPr>
        <w:t>勘探</w:t>
      </w:r>
      <w:r>
        <w:rPr>
          <w:rFonts w:hint="eastAsia" w:ascii="宋体" w:hAnsi="宋体" w:eastAsia="宋体" w:cs="宋体"/>
          <w:color w:val="auto"/>
          <w:sz w:val="28"/>
          <w:szCs w:val="28"/>
          <w:highlight w:val="none"/>
        </w:rPr>
        <w:t>地质报告（2025年）》</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pacing w:val="0"/>
          <w:kern w:val="2"/>
          <w:sz w:val="28"/>
          <w:szCs w:val="28"/>
          <w:highlight w:val="none"/>
          <w:lang w:val="en-US" w:eastAsia="zh-CN" w:bidi="ar-SA"/>
        </w:rPr>
        <w:t>矿区资源量估算平面范围由13个拐点坐标圈定，估算面积0.1018km</w:t>
      </w:r>
      <w:r>
        <w:rPr>
          <w:rFonts w:hint="eastAsia" w:ascii="宋体" w:hAnsi="宋体" w:eastAsia="宋体" w:cs="宋体"/>
          <w:color w:val="auto"/>
          <w:spacing w:val="0"/>
          <w:kern w:val="2"/>
          <w:sz w:val="28"/>
          <w:szCs w:val="28"/>
          <w:highlight w:val="none"/>
          <w:vertAlign w:val="superscript"/>
          <w:lang w:val="en-US" w:eastAsia="zh-CN" w:bidi="ar-SA"/>
        </w:rPr>
        <w:t>2</w:t>
      </w:r>
      <w:r>
        <w:rPr>
          <w:rFonts w:hint="eastAsia" w:ascii="宋体" w:hAnsi="宋体" w:eastAsia="宋体" w:cs="宋体"/>
          <w:color w:val="auto"/>
          <w:spacing w:val="0"/>
          <w:kern w:val="2"/>
          <w:sz w:val="28"/>
          <w:szCs w:val="28"/>
          <w:highlight w:val="none"/>
          <w:lang w:val="en-US" w:eastAsia="zh-CN" w:bidi="ar-SA"/>
        </w:rPr>
        <w:t>，估算标高：+480～+240m，矿区资源量估算平面范围拐点坐标见表3-1。</w:t>
      </w:r>
    </w:p>
    <w:p w14:paraId="4C7127FB">
      <w:pPr>
        <w:adjustRightInd w:val="0"/>
        <w:snapToGrid w:val="0"/>
        <w:ind w:firstLine="0" w:firstLineChars="0"/>
        <w:jc w:val="center"/>
        <w:rPr>
          <w:rFonts w:eastAsia="宋体"/>
          <w:b/>
          <w:bCs/>
          <w:color w:val="auto"/>
          <w:sz w:val="28"/>
          <w:szCs w:val="28"/>
          <w:highlight w:val="none"/>
        </w:rPr>
      </w:pPr>
      <w:r>
        <w:rPr>
          <w:rFonts w:eastAsia="宋体"/>
          <w:b/>
          <w:bCs/>
          <w:color w:val="auto"/>
          <w:sz w:val="28"/>
          <w:szCs w:val="28"/>
          <w:highlight w:val="none"/>
        </w:rPr>
        <w:t xml:space="preserve">表3-1   </w:t>
      </w:r>
      <w:r>
        <w:rPr>
          <w:rFonts w:hint="eastAsia" w:eastAsia="宋体"/>
          <w:b/>
          <w:bCs/>
          <w:color w:val="auto"/>
          <w:sz w:val="28"/>
          <w:szCs w:val="28"/>
          <w:highlight w:val="none"/>
        </w:rPr>
        <w:t>矿区资源量估算范围坐标</w:t>
      </w:r>
      <w:r>
        <w:rPr>
          <w:rFonts w:eastAsia="宋体"/>
          <w:b/>
          <w:bCs/>
          <w:color w:val="auto"/>
          <w:sz w:val="28"/>
          <w:szCs w:val="28"/>
          <w:highlight w:val="none"/>
        </w:rPr>
        <w:t>一览表</w:t>
      </w:r>
    </w:p>
    <w:tbl>
      <w:tblPr>
        <w:tblStyle w:val="18"/>
        <w:tblW w:w="89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11"/>
        <w:gridCol w:w="1867"/>
        <w:gridCol w:w="1698"/>
        <w:gridCol w:w="907"/>
        <w:gridCol w:w="1867"/>
        <w:gridCol w:w="1703"/>
      </w:tblGrid>
      <w:tr w14:paraId="54C8A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92" w:hRule="atLeast"/>
        </w:trPr>
        <w:tc>
          <w:tcPr>
            <w:tcW w:w="911" w:type="dxa"/>
            <w:noWrap w:val="0"/>
            <w:vAlign w:val="center"/>
          </w:tcPr>
          <w:p w14:paraId="315EDC60">
            <w:pPr>
              <w:pStyle w:val="28"/>
              <w:spacing w:line="239" w:lineRule="auto"/>
              <w:jc w:val="center"/>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序号</w:t>
            </w:r>
          </w:p>
        </w:tc>
        <w:tc>
          <w:tcPr>
            <w:tcW w:w="1867" w:type="dxa"/>
            <w:noWrap w:val="0"/>
            <w:vAlign w:val="center"/>
          </w:tcPr>
          <w:p w14:paraId="0E243A22">
            <w:pPr>
              <w:pStyle w:val="28"/>
              <w:spacing w:line="239" w:lineRule="auto"/>
              <w:jc w:val="center"/>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X</w:t>
            </w:r>
          </w:p>
        </w:tc>
        <w:tc>
          <w:tcPr>
            <w:tcW w:w="1698" w:type="dxa"/>
            <w:noWrap w:val="0"/>
            <w:vAlign w:val="center"/>
          </w:tcPr>
          <w:p w14:paraId="1063F6D2">
            <w:pPr>
              <w:pStyle w:val="28"/>
              <w:spacing w:line="239" w:lineRule="auto"/>
              <w:jc w:val="center"/>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Y</w:t>
            </w:r>
          </w:p>
        </w:tc>
        <w:tc>
          <w:tcPr>
            <w:tcW w:w="907" w:type="dxa"/>
            <w:noWrap w:val="0"/>
            <w:vAlign w:val="center"/>
          </w:tcPr>
          <w:p w14:paraId="4EC521CB">
            <w:pPr>
              <w:pStyle w:val="28"/>
              <w:spacing w:line="239" w:lineRule="auto"/>
              <w:jc w:val="center"/>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序号</w:t>
            </w:r>
          </w:p>
        </w:tc>
        <w:tc>
          <w:tcPr>
            <w:tcW w:w="1867" w:type="dxa"/>
            <w:noWrap w:val="0"/>
            <w:vAlign w:val="center"/>
          </w:tcPr>
          <w:p w14:paraId="7B410B53">
            <w:pPr>
              <w:pStyle w:val="28"/>
              <w:spacing w:line="239" w:lineRule="auto"/>
              <w:jc w:val="center"/>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X</w:t>
            </w:r>
          </w:p>
        </w:tc>
        <w:tc>
          <w:tcPr>
            <w:tcW w:w="1703" w:type="dxa"/>
            <w:noWrap w:val="0"/>
            <w:vAlign w:val="center"/>
          </w:tcPr>
          <w:p w14:paraId="0AE80EB0">
            <w:pPr>
              <w:pStyle w:val="28"/>
              <w:spacing w:line="239" w:lineRule="auto"/>
              <w:jc w:val="center"/>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Y</w:t>
            </w:r>
          </w:p>
        </w:tc>
      </w:tr>
      <w:tr w14:paraId="528FA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90" w:hRule="atLeast"/>
        </w:trPr>
        <w:tc>
          <w:tcPr>
            <w:tcW w:w="911" w:type="dxa"/>
            <w:noWrap w:val="0"/>
            <w:vAlign w:val="center"/>
          </w:tcPr>
          <w:p w14:paraId="4C8C3837">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A</w:t>
            </w:r>
          </w:p>
        </w:tc>
        <w:tc>
          <w:tcPr>
            <w:tcW w:w="1867" w:type="dxa"/>
            <w:noWrap w:val="0"/>
            <w:vAlign w:val="center"/>
          </w:tcPr>
          <w:p w14:paraId="38F1F68D">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2923912.51 </w:t>
            </w:r>
          </w:p>
        </w:tc>
        <w:tc>
          <w:tcPr>
            <w:tcW w:w="1698" w:type="dxa"/>
            <w:noWrap w:val="0"/>
            <w:vAlign w:val="center"/>
          </w:tcPr>
          <w:p w14:paraId="2B8DE02D">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39524319.51 </w:t>
            </w:r>
          </w:p>
        </w:tc>
        <w:tc>
          <w:tcPr>
            <w:tcW w:w="907" w:type="dxa"/>
            <w:noWrap w:val="0"/>
            <w:vAlign w:val="center"/>
          </w:tcPr>
          <w:p w14:paraId="3564F9B1">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H</w:t>
            </w:r>
          </w:p>
        </w:tc>
        <w:tc>
          <w:tcPr>
            <w:tcW w:w="1867" w:type="dxa"/>
            <w:noWrap w:val="0"/>
            <w:vAlign w:val="center"/>
          </w:tcPr>
          <w:p w14:paraId="7E202C1A">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2924103.98 </w:t>
            </w:r>
          </w:p>
        </w:tc>
        <w:tc>
          <w:tcPr>
            <w:tcW w:w="1703" w:type="dxa"/>
            <w:noWrap w:val="0"/>
            <w:vAlign w:val="center"/>
          </w:tcPr>
          <w:p w14:paraId="51A70B8E">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39524993.16 </w:t>
            </w:r>
          </w:p>
        </w:tc>
      </w:tr>
      <w:tr w14:paraId="44E03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7" w:hRule="atLeast"/>
        </w:trPr>
        <w:tc>
          <w:tcPr>
            <w:tcW w:w="911" w:type="dxa"/>
            <w:noWrap w:val="0"/>
            <w:vAlign w:val="center"/>
          </w:tcPr>
          <w:p w14:paraId="1758F60B">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B</w:t>
            </w:r>
          </w:p>
        </w:tc>
        <w:tc>
          <w:tcPr>
            <w:tcW w:w="1867" w:type="dxa"/>
            <w:noWrap w:val="0"/>
            <w:vAlign w:val="center"/>
          </w:tcPr>
          <w:p w14:paraId="460C24E2">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2923958.28 </w:t>
            </w:r>
          </w:p>
        </w:tc>
        <w:tc>
          <w:tcPr>
            <w:tcW w:w="1698" w:type="dxa"/>
            <w:noWrap w:val="0"/>
            <w:vAlign w:val="center"/>
          </w:tcPr>
          <w:p w14:paraId="6904EEDA">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39524371.40 </w:t>
            </w:r>
          </w:p>
        </w:tc>
        <w:tc>
          <w:tcPr>
            <w:tcW w:w="907" w:type="dxa"/>
            <w:noWrap w:val="0"/>
            <w:vAlign w:val="center"/>
          </w:tcPr>
          <w:p w14:paraId="38AE0907">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I</w:t>
            </w:r>
          </w:p>
        </w:tc>
        <w:tc>
          <w:tcPr>
            <w:tcW w:w="1867" w:type="dxa"/>
            <w:noWrap w:val="0"/>
            <w:vAlign w:val="center"/>
          </w:tcPr>
          <w:p w14:paraId="684AEAB6">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2924002.67 </w:t>
            </w:r>
          </w:p>
        </w:tc>
        <w:tc>
          <w:tcPr>
            <w:tcW w:w="1703" w:type="dxa"/>
            <w:noWrap w:val="0"/>
            <w:vAlign w:val="center"/>
          </w:tcPr>
          <w:p w14:paraId="55082E1C">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39524927.02 </w:t>
            </w:r>
          </w:p>
        </w:tc>
      </w:tr>
      <w:tr w14:paraId="01F42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90" w:hRule="atLeast"/>
        </w:trPr>
        <w:tc>
          <w:tcPr>
            <w:tcW w:w="911" w:type="dxa"/>
            <w:noWrap w:val="0"/>
            <w:vAlign w:val="center"/>
          </w:tcPr>
          <w:p w14:paraId="6664543A">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C</w:t>
            </w:r>
          </w:p>
        </w:tc>
        <w:tc>
          <w:tcPr>
            <w:tcW w:w="1867" w:type="dxa"/>
            <w:noWrap w:val="0"/>
            <w:vAlign w:val="center"/>
          </w:tcPr>
          <w:p w14:paraId="08FE355E">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2924017.46 </w:t>
            </w:r>
          </w:p>
        </w:tc>
        <w:tc>
          <w:tcPr>
            <w:tcW w:w="1698" w:type="dxa"/>
            <w:noWrap w:val="0"/>
            <w:vAlign w:val="center"/>
          </w:tcPr>
          <w:p w14:paraId="6ACDBD0F">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39524571.61 </w:t>
            </w:r>
          </w:p>
        </w:tc>
        <w:tc>
          <w:tcPr>
            <w:tcW w:w="907" w:type="dxa"/>
            <w:noWrap w:val="0"/>
            <w:vAlign w:val="center"/>
          </w:tcPr>
          <w:p w14:paraId="3B36B02D">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J</w:t>
            </w:r>
          </w:p>
        </w:tc>
        <w:tc>
          <w:tcPr>
            <w:tcW w:w="1867" w:type="dxa"/>
            <w:noWrap w:val="0"/>
            <w:vAlign w:val="center"/>
          </w:tcPr>
          <w:p w14:paraId="6DD369B7">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2923944.21 </w:t>
            </w:r>
          </w:p>
        </w:tc>
        <w:tc>
          <w:tcPr>
            <w:tcW w:w="1703" w:type="dxa"/>
            <w:noWrap w:val="0"/>
            <w:vAlign w:val="center"/>
          </w:tcPr>
          <w:p w14:paraId="2F8DA128">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39524796.29 </w:t>
            </w:r>
          </w:p>
        </w:tc>
      </w:tr>
      <w:tr w14:paraId="75167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7" w:hRule="atLeast"/>
        </w:trPr>
        <w:tc>
          <w:tcPr>
            <w:tcW w:w="911" w:type="dxa"/>
            <w:noWrap w:val="0"/>
            <w:vAlign w:val="center"/>
          </w:tcPr>
          <w:p w14:paraId="1E94FE58">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D</w:t>
            </w:r>
          </w:p>
        </w:tc>
        <w:tc>
          <w:tcPr>
            <w:tcW w:w="1867" w:type="dxa"/>
            <w:noWrap w:val="0"/>
            <w:vAlign w:val="center"/>
          </w:tcPr>
          <w:p w14:paraId="4AFACF4A">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2924040.18 </w:t>
            </w:r>
          </w:p>
        </w:tc>
        <w:tc>
          <w:tcPr>
            <w:tcW w:w="1698" w:type="dxa"/>
            <w:noWrap w:val="0"/>
            <w:vAlign w:val="center"/>
          </w:tcPr>
          <w:p w14:paraId="1FC5F00C">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39524668.82 </w:t>
            </w:r>
          </w:p>
        </w:tc>
        <w:tc>
          <w:tcPr>
            <w:tcW w:w="907" w:type="dxa"/>
            <w:noWrap w:val="0"/>
            <w:vAlign w:val="center"/>
          </w:tcPr>
          <w:p w14:paraId="331C0940">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K</w:t>
            </w:r>
          </w:p>
        </w:tc>
        <w:tc>
          <w:tcPr>
            <w:tcW w:w="1867" w:type="dxa"/>
            <w:noWrap w:val="0"/>
            <w:vAlign w:val="center"/>
          </w:tcPr>
          <w:p w14:paraId="022D80C2">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2923912.80 </w:t>
            </w:r>
          </w:p>
        </w:tc>
        <w:tc>
          <w:tcPr>
            <w:tcW w:w="1703" w:type="dxa"/>
            <w:noWrap w:val="0"/>
            <w:vAlign w:val="center"/>
          </w:tcPr>
          <w:p w14:paraId="020602AC">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39524686.43 </w:t>
            </w:r>
          </w:p>
        </w:tc>
      </w:tr>
      <w:tr w14:paraId="150AE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90" w:hRule="atLeast"/>
        </w:trPr>
        <w:tc>
          <w:tcPr>
            <w:tcW w:w="911" w:type="dxa"/>
            <w:noWrap w:val="0"/>
            <w:vAlign w:val="center"/>
          </w:tcPr>
          <w:p w14:paraId="3B90C40F">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E</w:t>
            </w:r>
          </w:p>
        </w:tc>
        <w:tc>
          <w:tcPr>
            <w:tcW w:w="1867" w:type="dxa"/>
            <w:noWrap w:val="0"/>
            <w:vAlign w:val="center"/>
          </w:tcPr>
          <w:p w14:paraId="1C0FA5FD">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2924143.82 </w:t>
            </w:r>
          </w:p>
        </w:tc>
        <w:tc>
          <w:tcPr>
            <w:tcW w:w="1698" w:type="dxa"/>
            <w:noWrap w:val="0"/>
            <w:vAlign w:val="center"/>
          </w:tcPr>
          <w:p w14:paraId="69CE1F26">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39524750.09 </w:t>
            </w:r>
          </w:p>
        </w:tc>
        <w:tc>
          <w:tcPr>
            <w:tcW w:w="907" w:type="dxa"/>
            <w:noWrap w:val="0"/>
            <w:vAlign w:val="center"/>
          </w:tcPr>
          <w:p w14:paraId="2636E88D">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L</w:t>
            </w:r>
          </w:p>
        </w:tc>
        <w:tc>
          <w:tcPr>
            <w:tcW w:w="1867" w:type="dxa"/>
            <w:noWrap w:val="0"/>
            <w:vAlign w:val="center"/>
          </w:tcPr>
          <w:p w14:paraId="1931F7D2">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2923842.60 </w:t>
            </w:r>
          </w:p>
        </w:tc>
        <w:tc>
          <w:tcPr>
            <w:tcW w:w="1703" w:type="dxa"/>
            <w:noWrap w:val="0"/>
            <w:vAlign w:val="center"/>
          </w:tcPr>
          <w:p w14:paraId="22CAE8B6">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39524394.84 </w:t>
            </w:r>
          </w:p>
        </w:tc>
      </w:tr>
      <w:tr w14:paraId="6E695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8" w:hRule="atLeast"/>
        </w:trPr>
        <w:tc>
          <w:tcPr>
            <w:tcW w:w="911" w:type="dxa"/>
            <w:noWrap w:val="0"/>
            <w:vAlign w:val="center"/>
          </w:tcPr>
          <w:p w14:paraId="450F150F">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F</w:t>
            </w:r>
          </w:p>
        </w:tc>
        <w:tc>
          <w:tcPr>
            <w:tcW w:w="1867" w:type="dxa"/>
            <w:noWrap w:val="0"/>
            <w:vAlign w:val="center"/>
          </w:tcPr>
          <w:p w14:paraId="691ED657">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2924190.71 </w:t>
            </w:r>
          </w:p>
        </w:tc>
        <w:tc>
          <w:tcPr>
            <w:tcW w:w="1698" w:type="dxa"/>
            <w:noWrap w:val="0"/>
            <w:vAlign w:val="center"/>
          </w:tcPr>
          <w:p w14:paraId="7410C650">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39524842.70 </w:t>
            </w:r>
          </w:p>
        </w:tc>
        <w:tc>
          <w:tcPr>
            <w:tcW w:w="907" w:type="dxa"/>
            <w:noWrap w:val="0"/>
            <w:vAlign w:val="center"/>
          </w:tcPr>
          <w:p w14:paraId="768CDFFC">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M</w:t>
            </w:r>
          </w:p>
        </w:tc>
        <w:tc>
          <w:tcPr>
            <w:tcW w:w="1867" w:type="dxa"/>
            <w:noWrap w:val="0"/>
            <w:vAlign w:val="center"/>
          </w:tcPr>
          <w:p w14:paraId="400A7098">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2923867.33 </w:t>
            </w:r>
          </w:p>
        </w:tc>
        <w:tc>
          <w:tcPr>
            <w:tcW w:w="1703" w:type="dxa"/>
            <w:noWrap w:val="0"/>
            <w:vAlign w:val="center"/>
          </w:tcPr>
          <w:p w14:paraId="5890426C">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39524327.45 </w:t>
            </w:r>
          </w:p>
        </w:tc>
      </w:tr>
      <w:tr w14:paraId="446FB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90" w:hRule="atLeast"/>
        </w:trPr>
        <w:tc>
          <w:tcPr>
            <w:tcW w:w="911" w:type="dxa"/>
            <w:noWrap w:val="0"/>
            <w:vAlign w:val="center"/>
          </w:tcPr>
          <w:p w14:paraId="23F124DB">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G</w:t>
            </w:r>
          </w:p>
        </w:tc>
        <w:tc>
          <w:tcPr>
            <w:tcW w:w="1867" w:type="dxa"/>
            <w:noWrap w:val="0"/>
            <w:vAlign w:val="center"/>
          </w:tcPr>
          <w:p w14:paraId="148A9469">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2924187.61 </w:t>
            </w:r>
          </w:p>
        </w:tc>
        <w:tc>
          <w:tcPr>
            <w:tcW w:w="1698" w:type="dxa"/>
            <w:noWrap w:val="0"/>
            <w:vAlign w:val="center"/>
          </w:tcPr>
          <w:p w14:paraId="061BEBE2">
            <w:pPr>
              <w:widowControl/>
              <w:jc w:val="center"/>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 xml:space="preserve">39524976.17 </w:t>
            </w:r>
          </w:p>
        </w:tc>
        <w:tc>
          <w:tcPr>
            <w:tcW w:w="907" w:type="dxa"/>
            <w:noWrap w:val="0"/>
            <w:vAlign w:val="center"/>
          </w:tcPr>
          <w:p w14:paraId="0D30A748">
            <w:pPr>
              <w:jc w:val="center"/>
              <w:rPr>
                <w:rFonts w:hint="eastAsia" w:ascii="宋体" w:hAnsi="宋体" w:eastAsia="宋体" w:cs="宋体"/>
                <w:color w:val="auto"/>
                <w:spacing w:val="-1"/>
                <w:kern w:val="2"/>
                <w:sz w:val="24"/>
                <w:szCs w:val="24"/>
                <w:highlight w:val="none"/>
                <w:lang w:val="en-US" w:eastAsia="zh-CN" w:bidi="ar-SA"/>
              </w:rPr>
            </w:pPr>
          </w:p>
        </w:tc>
        <w:tc>
          <w:tcPr>
            <w:tcW w:w="1867" w:type="dxa"/>
            <w:noWrap w:val="0"/>
            <w:vAlign w:val="center"/>
          </w:tcPr>
          <w:p w14:paraId="233CAB19">
            <w:pPr>
              <w:jc w:val="center"/>
              <w:rPr>
                <w:rFonts w:hint="eastAsia" w:ascii="宋体" w:hAnsi="宋体" w:eastAsia="宋体" w:cs="宋体"/>
                <w:color w:val="auto"/>
                <w:spacing w:val="-1"/>
                <w:kern w:val="2"/>
                <w:sz w:val="24"/>
                <w:szCs w:val="24"/>
                <w:highlight w:val="none"/>
                <w:lang w:val="en-US" w:eastAsia="zh-CN" w:bidi="ar-SA"/>
              </w:rPr>
            </w:pPr>
          </w:p>
        </w:tc>
        <w:tc>
          <w:tcPr>
            <w:tcW w:w="1703" w:type="dxa"/>
            <w:noWrap w:val="0"/>
            <w:vAlign w:val="center"/>
          </w:tcPr>
          <w:p w14:paraId="0A81B9FF">
            <w:pPr>
              <w:jc w:val="center"/>
              <w:rPr>
                <w:rFonts w:hint="eastAsia" w:ascii="宋体" w:hAnsi="宋体" w:eastAsia="宋体" w:cs="宋体"/>
                <w:color w:val="auto"/>
                <w:spacing w:val="-1"/>
                <w:kern w:val="2"/>
                <w:sz w:val="24"/>
                <w:szCs w:val="24"/>
                <w:highlight w:val="none"/>
                <w:lang w:val="en-US" w:eastAsia="zh-CN" w:bidi="ar-SA"/>
              </w:rPr>
            </w:pPr>
          </w:p>
        </w:tc>
      </w:tr>
      <w:tr w14:paraId="780B2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95" w:hRule="atLeast"/>
        </w:trPr>
        <w:tc>
          <w:tcPr>
            <w:tcW w:w="8953" w:type="dxa"/>
            <w:gridSpan w:val="6"/>
            <w:noWrap w:val="0"/>
            <w:vAlign w:val="center"/>
          </w:tcPr>
          <w:p w14:paraId="0E7CEA89">
            <w:pPr>
              <w:pStyle w:val="28"/>
              <w:spacing w:line="239"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估算标高：</w:t>
            </w:r>
            <w:r>
              <w:rPr>
                <w:rFonts w:hint="eastAsia" w:ascii="宋体" w:hAnsi="宋体" w:eastAsia="宋体" w:cs="宋体"/>
                <w:color w:val="auto"/>
                <w:spacing w:val="-1"/>
                <w:sz w:val="24"/>
                <w:szCs w:val="24"/>
                <w:highlight w:val="none"/>
                <w:lang w:val="en-US" w:eastAsia="zh-CN"/>
              </w:rPr>
              <w:t>480</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240</w:t>
            </w:r>
            <w:r>
              <w:rPr>
                <w:rFonts w:hint="eastAsia" w:ascii="宋体" w:hAnsi="宋体" w:eastAsia="宋体" w:cs="宋体"/>
                <w:color w:val="auto"/>
                <w:spacing w:val="-1"/>
                <w:sz w:val="24"/>
                <w:szCs w:val="24"/>
                <w:highlight w:val="none"/>
                <w:lang w:eastAsia="zh-CN"/>
              </w:rPr>
              <w:t>m，面积</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0.</w:t>
            </w:r>
            <w:r>
              <w:rPr>
                <w:rFonts w:hint="eastAsia" w:ascii="宋体" w:hAnsi="宋体" w:eastAsia="宋体" w:cs="宋体"/>
                <w:color w:val="auto"/>
                <w:spacing w:val="-1"/>
                <w:sz w:val="24"/>
                <w:szCs w:val="24"/>
                <w:highlight w:val="none"/>
                <w:lang w:val="en-US" w:eastAsia="zh-CN"/>
              </w:rPr>
              <w:t>1018</w:t>
            </w:r>
            <w:r>
              <w:rPr>
                <w:rFonts w:hint="eastAsia" w:ascii="宋体" w:hAnsi="宋体" w:eastAsia="宋体" w:cs="宋体"/>
                <w:color w:val="auto"/>
                <w:spacing w:val="-1"/>
                <w:sz w:val="24"/>
                <w:szCs w:val="24"/>
                <w:highlight w:val="none"/>
                <w:lang w:eastAsia="zh-CN"/>
              </w:rPr>
              <w:t>km</w:t>
            </w:r>
            <w:r>
              <w:rPr>
                <w:rFonts w:hint="eastAsia" w:ascii="宋体" w:hAnsi="宋体" w:eastAsia="宋体" w:cs="宋体"/>
                <w:color w:val="auto"/>
                <w:spacing w:val="-1"/>
                <w:sz w:val="24"/>
                <w:szCs w:val="24"/>
                <w:highlight w:val="none"/>
                <w:vertAlign w:val="superscript"/>
                <w:lang w:eastAsia="zh-CN"/>
              </w:rPr>
              <w:t>2</w:t>
            </w:r>
            <w:r>
              <w:rPr>
                <w:rFonts w:hint="eastAsia" w:ascii="宋体" w:hAnsi="宋体" w:eastAsia="宋体" w:cs="宋体"/>
                <w:color w:val="auto"/>
                <w:spacing w:val="-1"/>
                <w:sz w:val="24"/>
                <w:szCs w:val="24"/>
                <w:highlight w:val="none"/>
                <w:lang w:eastAsia="zh-CN"/>
              </w:rPr>
              <w:t>（2000国家大地坐标系）</w:t>
            </w:r>
          </w:p>
        </w:tc>
      </w:tr>
    </w:tbl>
    <w:p w14:paraId="48DA9A70">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（二）设计开采范围</w:t>
      </w:r>
    </w:p>
    <w:p w14:paraId="7618B913">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本次设计开采对象为矿区范围内的方解石矿体和</w:t>
      </w:r>
      <w:r>
        <w:rPr>
          <w:rFonts w:hint="eastAsia" w:ascii="宋体" w:hAnsi="宋体" w:eastAsia="宋体" w:cs="宋体"/>
          <w:color w:val="auto"/>
          <w:spacing w:val="-2"/>
          <w:sz w:val="28"/>
          <w:szCs w:val="28"/>
          <w:highlight w:val="none"/>
        </w:rPr>
        <w:t>白云石方解石矿</w:t>
      </w:r>
      <w:r>
        <w:rPr>
          <w:rFonts w:hint="eastAsia" w:ascii="宋体" w:hAnsi="宋体" w:eastAsia="宋体" w:cs="宋体"/>
          <w:color w:val="auto"/>
          <w:sz w:val="28"/>
          <w:szCs w:val="28"/>
          <w:highlight w:val="none"/>
        </w:rPr>
        <w:t>体</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其中410m中段以上可采</w:t>
      </w:r>
      <w:r>
        <w:rPr>
          <w:rFonts w:hint="eastAsia" w:ascii="宋体" w:hAnsi="宋体" w:eastAsia="宋体" w:cs="宋体"/>
          <w:color w:val="auto"/>
          <w:sz w:val="28"/>
          <w:szCs w:val="28"/>
          <w:highlight w:val="none"/>
          <w:lang w:eastAsia="zh-CN"/>
        </w:rPr>
        <w:t>储</w:t>
      </w:r>
      <w:r>
        <w:rPr>
          <w:rFonts w:hint="eastAsia" w:ascii="宋体" w:hAnsi="宋体" w:eastAsia="宋体" w:cs="宋体"/>
          <w:color w:val="auto"/>
          <w:sz w:val="28"/>
          <w:szCs w:val="28"/>
          <w:highlight w:val="none"/>
        </w:rPr>
        <w:t>量已</w:t>
      </w:r>
      <w:r>
        <w:rPr>
          <w:rFonts w:hint="eastAsia" w:ascii="宋体" w:hAnsi="宋体" w:eastAsia="宋体" w:cs="宋体"/>
          <w:color w:val="auto"/>
          <w:sz w:val="28"/>
          <w:szCs w:val="28"/>
          <w:highlight w:val="none"/>
          <w:lang w:eastAsia="zh-CN"/>
        </w:rPr>
        <w:t>基本</w:t>
      </w:r>
      <w:r>
        <w:rPr>
          <w:rFonts w:hint="eastAsia" w:ascii="宋体" w:hAnsi="宋体" w:eastAsia="宋体" w:cs="宋体"/>
          <w:color w:val="auto"/>
          <w:sz w:val="28"/>
          <w:szCs w:val="28"/>
          <w:highlight w:val="none"/>
        </w:rPr>
        <w:t>采空，剩余的矿体为地表保护层及矿柱无法开采，本次作为设计损失不予利用</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为了确保</w:t>
      </w:r>
      <w:r>
        <w:rPr>
          <w:rFonts w:hint="eastAsia" w:ascii="宋体" w:hAnsi="宋体" w:eastAsia="宋体" w:cs="宋体"/>
          <w:color w:val="auto"/>
          <w:sz w:val="28"/>
          <w:szCs w:val="28"/>
          <w:highlight w:val="none"/>
          <w:lang w:eastAsia="zh-CN"/>
        </w:rPr>
        <w:t>办公生活区〔拟建办公楼（原炸药库）</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生活区、</w:t>
      </w:r>
      <w:r>
        <w:rPr>
          <w:rFonts w:hint="eastAsia" w:ascii="宋体" w:hAnsi="宋体" w:eastAsia="宋体" w:cs="宋体"/>
          <w:color w:val="auto"/>
          <w:sz w:val="28"/>
          <w:szCs w:val="28"/>
          <w:highlight w:val="none"/>
        </w:rPr>
        <w:t>监控室</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、矿山通风和斜坡道运输的安全，并预防上龙坑溪水灌入采空区，本次设计在</w:t>
      </w:r>
      <w:r>
        <w:rPr>
          <w:rFonts w:hint="eastAsia" w:ascii="宋体" w:hAnsi="宋体" w:eastAsia="宋体" w:cs="宋体"/>
          <w:color w:val="auto"/>
          <w:sz w:val="28"/>
          <w:szCs w:val="28"/>
          <w:highlight w:val="none"/>
          <w:lang w:eastAsia="zh-CN"/>
        </w:rPr>
        <w:t>办公生活区</w:t>
      </w:r>
      <w:r>
        <w:rPr>
          <w:rFonts w:hint="eastAsia" w:ascii="宋体" w:hAnsi="宋体" w:eastAsia="宋体" w:cs="宋体"/>
          <w:color w:val="auto"/>
          <w:sz w:val="28"/>
          <w:szCs w:val="28"/>
          <w:highlight w:val="none"/>
        </w:rPr>
        <w:t>周边、回风</w:t>
      </w:r>
      <w:r>
        <w:rPr>
          <w:rFonts w:hint="eastAsia" w:ascii="宋体" w:hAnsi="宋体" w:eastAsia="宋体" w:cs="宋体"/>
          <w:color w:val="auto"/>
          <w:sz w:val="28"/>
          <w:szCs w:val="28"/>
          <w:highlight w:val="none"/>
          <w:lang w:eastAsia="zh-CN"/>
        </w:rPr>
        <w:t>斜井</w:t>
      </w:r>
      <w:r>
        <w:rPr>
          <w:rFonts w:hint="eastAsia" w:ascii="宋体" w:hAnsi="宋体" w:eastAsia="宋体" w:cs="宋体"/>
          <w:color w:val="auto"/>
          <w:sz w:val="28"/>
          <w:szCs w:val="28"/>
          <w:highlight w:val="none"/>
          <w:lang w:val="en-US" w:eastAsia="zh-CN"/>
        </w:rPr>
        <w:t>XJ472</w:t>
      </w:r>
      <w:r>
        <w:rPr>
          <w:rFonts w:hint="eastAsia" w:ascii="宋体" w:hAnsi="宋体" w:eastAsia="宋体" w:cs="宋体"/>
          <w:color w:val="auto"/>
          <w:sz w:val="28"/>
          <w:szCs w:val="28"/>
          <w:highlight w:val="none"/>
        </w:rPr>
        <w:t>周边和主</w:t>
      </w:r>
      <w:r>
        <w:rPr>
          <w:rFonts w:hint="eastAsia" w:ascii="宋体" w:hAnsi="宋体" w:eastAsia="宋体" w:cs="宋体"/>
          <w:color w:val="auto"/>
          <w:sz w:val="28"/>
          <w:szCs w:val="28"/>
          <w:highlight w:val="none"/>
          <w:lang w:eastAsia="zh-CN"/>
        </w:rPr>
        <w:t>平硐</w:t>
      </w:r>
      <w:r>
        <w:rPr>
          <w:rFonts w:hint="eastAsia" w:ascii="宋体" w:hAnsi="宋体" w:eastAsia="宋体" w:cs="宋体"/>
          <w:color w:val="auto"/>
          <w:sz w:val="28"/>
          <w:szCs w:val="28"/>
          <w:highlight w:val="none"/>
          <w:lang w:val="en-US" w:eastAsia="zh-CN"/>
        </w:rPr>
        <w:t>PD443</w:t>
      </w:r>
      <w:r>
        <w:rPr>
          <w:rFonts w:hint="eastAsia" w:ascii="宋体" w:hAnsi="宋体" w:eastAsia="宋体" w:cs="宋体"/>
          <w:color w:val="auto"/>
          <w:sz w:val="28"/>
          <w:szCs w:val="28"/>
          <w:highlight w:val="none"/>
        </w:rPr>
        <w:t>两侧均留设20m保安矿柱</w:t>
      </w:r>
      <w:r>
        <w:rPr>
          <w:rFonts w:hint="eastAsia" w:ascii="宋体" w:hAnsi="宋体" w:eastAsia="宋体" w:cs="宋体"/>
          <w:color w:val="auto"/>
          <w:sz w:val="28"/>
          <w:szCs w:val="28"/>
          <w:highlight w:val="none"/>
          <w:lang w:eastAsia="zh-CN"/>
        </w:rPr>
        <w:t>，在矿山公路南侧、北侧</w:t>
      </w:r>
      <w:r>
        <w:rPr>
          <w:rFonts w:hint="eastAsia" w:ascii="宋体" w:hAnsi="宋体" w:eastAsia="宋体" w:cs="宋体"/>
          <w:color w:val="auto"/>
          <w:sz w:val="28"/>
          <w:szCs w:val="28"/>
          <w:highlight w:val="none"/>
          <w:lang w:val="en-US" w:eastAsia="zh-CN"/>
        </w:rPr>
        <w:t>10m范围内</w:t>
      </w:r>
      <w:r>
        <w:rPr>
          <w:rFonts w:hint="eastAsia" w:ascii="宋体" w:hAnsi="宋体" w:eastAsia="宋体" w:cs="宋体"/>
          <w:color w:val="auto"/>
          <w:sz w:val="28"/>
          <w:szCs w:val="28"/>
          <w:highlight w:val="none"/>
          <w:lang w:eastAsia="zh-CN"/>
        </w:rPr>
        <w:t>也留设为矿山公路保安矿柱，且</w:t>
      </w:r>
      <w:r>
        <w:rPr>
          <w:rFonts w:hint="eastAsia" w:ascii="宋体" w:hAnsi="宋体" w:eastAsia="宋体" w:cs="宋体"/>
          <w:color w:val="auto"/>
          <w:sz w:val="28"/>
          <w:szCs w:val="28"/>
          <w:highlight w:val="none"/>
          <w:lang w:val="en-US" w:eastAsia="zh-CN"/>
        </w:rPr>
        <w:t>290m标高以下的矿体已基本被保安矿柱压覆。故本次设计开采范围</w:t>
      </w:r>
      <w:r>
        <w:rPr>
          <w:rFonts w:hint="eastAsia" w:ascii="宋体" w:hAnsi="宋体" w:eastAsia="宋体" w:cs="宋体"/>
          <w:color w:val="auto"/>
          <w:sz w:val="28"/>
          <w:szCs w:val="28"/>
          <w:highlight w:val="none"/>
        </w:rPr>
        <w:t>为</w:t>
      </w:r>
      <w:r>
        <w:rPr>
          <w:rFonts w:hint="eastAsia" w:ascii="宋体" w:hAnsi="宋体" w:eastAsia="宋体" w:cs="宋体"/>
          <w:color w:val="auto"/>
          <w:sz w:val="28"/>
          <w:szCs w:val="28"/>
          <w:highlight w:val="none"/>
          <w:lang w:eastAsia="zh-CN"/>
        </w:rPr>
        <w:t>矿区范围内的</w:t>
      </w:r>
      <w:r>
        <w:rPr>
          <w:rFonts w:hint="eastAsia" w:ascii="宋体" w:hAnsi="宋体" w:eastAsia="宋体" w:cs="宋体"/>
          <w:color w:val="auto"/>
          <w:sz w:val="28"/>
          <w:szCs w:val="28"/>
          <w:highlight w:val="none"/>
        </w:rPr>
        <w:t>方解石矿体和</w:t>
      </w:r>
      <w:r>
        <w:rPr>
          <w:rFonts w:hint="eastAsia" w:ascii="宋体" w:hAnsi="宋体" w:eastAsia="宋体" w:cs="宋体"/>
          <w:color w:val="auto"/>
          <w:spacing w:val="-2"/>
          <w:sz w:val="28"/>
          <w:szCs w:val="28"/>
          <w:highlight w:val="none"/>
        </w:rPr>
        <w:t>白云石方解石矿</w:t>
      </w:r>
      <w:r>
        <w:rPr>
          <w:rFonts w:hint="eastAsia" w:ascii="宋体" w:hAnsi="宋体" w:eastAsia="宋体" w:cs="宋体"/>
          <w:color w:val="auto"/>
          <w:sz w:val="28"/>
          <w:szCs w:val="28"/>
          <w:highlight w:val="none"/>
        </w:rPr>
        <w:t>体</w:t>
      </w:r>
      <w:r>
        <w:rPr>
          <w:rFonts w:hint="eastAsia" w:ascii="宋体" w:hAnsi="宋体" w:eastAsia="宋体" w:cs="宋体"/>
          <w:color w:val="auto"/>
          <w:sz w:val="28"/>
          <w:szCs w:val="28"/>
          <w:highlight w:val="none"/>
          <w:lang w:eastAsia="zh-CN"/>
        </w:rPr>
        <w:t>，扣除以上保安矿柱，设计开采标高</w:t>
      </w:r>
      <w:r>
        <w:rPr>
          <w:rFonts w:hint="eastAsia" w:ascii="宋体" w:hAnsi="宋体" w:eastAsia="宋体" w:cs="宋体"/>
          <w:color w:val="auto"/>
          <w:sz w:val="28"/>
          <w:szCs w:val="28"/>
          <w:highlight w:val="none"/>
        </w:rPr>
        <w:t>+4</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0m－+</w:t>
      </w:r>
      <w:r>
        <w:rPr>
          <w:rFonts w:hint="eastAsia" w:ascii="宋体" w:hAnsi="宋体" w:eastAsia="宋体" w:cs="宋体"/>
          <w:color w:val="auto"/>
          <w:sz w:val="28"/>
          <w:szCs w:val="28"/>
          <w:highlight w:val="none"/>
          <w:lang w:val="en-US" w:eastAsia="zh-CN"/>
        </w:rPr>
        <w:t>290</w:t>
      </w:r>
      <w:r>
        <w:rPr>
          <w:rFonts w:hint="eastAsia" w:ascii="宋体" w:hAnsi="宋体" w:eastAsia="宋体" w:cs="宋体"/>
          <w:color w:val="auto"/>
          <w:sz w:val="28"/>
          <w:szCs w:val="28"/>
          <w:highlight w:val="none"/>
        </w:rPr>
        <w:t>m</w:t>
      </w:r>
      <w:r>
        <w:rPr>
          <w:rFonts w:hint="eastAsia" w:ascii="宋体" w:hAnsi="宋体" w:eastAsia="宋体" w:cs="宋体"/>
          <w:color w:val="auto"/>
          <w:sz w:val="28"/>
          <w:szCs w:val="28"/>
          <w:highlight w:val="none"/>
          <w:lang w:eastAsia="zh-CN"/>
        </w:rPr>
        <w:t>。</w:t>
      </w:r>
    </w:p>
    <w:p w14:paraId="71F7C248">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60" w:name="_Toc30224"/>
      <w:r>
        <w:rPr>
          <w:rFonts w:hint="eastAsia" w:ascii="宋体" w:hAnsi="宋体" w:eastAsia="宋体" w:cs="宋体"/>
          <w:b/>
          <w:bCs w:val="0"/>
          <w:snapToGrid w:val="0"/>
          <w:color w:val="auto"/>
          <w:kern w:val="0"/>
          <w:sz w:val="30"/>
          <w:szCs w:val="30"/>
          <w:highlight w:val="none"/>
          <w:lang w:val="en-US" w:eastAsia="zh-CN"/>
        </w:rPr>
        <w:t>3.3井巷工程设施分布范围</w:t>
      </w:r>
      <w:bookmarkEnd w:id="160"/>
    </w:p>
    <w:p w14:paraId="082D80CA">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3.3.1井巷工程设施分布范围的合规性说明</w:t>
      </w:r>
    </w:p>
    <w:p w14:paraId="6CD29E68">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本次设计井巷工程设施分布范围均位于拟申请开采区域内，拟申请开采区域位于《福建省明溪县矿产资源总体规划（2021-2025年）》中确定的矿产资源开采规划区块内，方案编制符合相关法规、规范及技术标准，合规性满足要求。设计井巷工程设施分布范围拐点坐标、标高及面积详见表</w:t>
      </w:r>
      <w:r>
        <w:rPr>
          <w:rFonts w:hint="eastAsia" w:ascii="宋体" w:hAnsi="宋体" w:eastAsia="宋体" w:cs="宋体"/>
          <w:color w:val="auto"/>
          <w:sz w:val="28"/>
          <w:szCs w:val="28"/>
          <w:highlight w:val="none"/>
          <w:lang w:val="en-US" w:eastAsia="zh-CN"/>
        </w:rPr>
        <w:t>3-2</w:t>
      </w:r>
    </w:p>
    <w:p w14:paraId="1640D32B">
      <w:pPr>
        <w:keepNext w:val="0"/>
        <w:keepLines w:val="0"/>
        <w:pageBreakBefore w:val="0"/>
        <w:widowControl w:val="0"/>
        <w:kinsoku/>
        <w:wordWrap/>
        <w:overflowPunct/>
        <w:topLinePunct w:val="0"/>
        <w:autoSpaceDE/>
        <w:autoSpaceDN/>
        <w:bidi w:val="0"/>
        <w:adjustRightInd w:val="0"/>
        <w:snapToGrid w:val="0"/>
        <w:spacing w:line="240" w:lineRule="auto"/>
        <w:jc w:val="right"/>
        <w:textAlignment w:val="baseline"/>
        <w:rPr>
          <w:rFonts w:hint="eastAsia" w:ascii="Times New Roman" w:hAnsi="Times New Roman" w:eastAsia="宋体"/>
          <w:b w:val="0"/>
          <w:bCs w:val="0"/>
          <w:color w:val="auto"/>
          <w:sz w:val="28"/>
          <w:szCs w:val="28"/>
          <w:highlight w:val="none"/>
          <w:lang w:val="en-US" w:eastAsia="zh-CN"/>
        </w:rPr>
      </w:pPr>
      <w:r>
        <w:rPr>
          <w:rFonts w:hint="eastAsia" w:ascii="Times New Roman" w:hAnsi="Times New Roman" w:eastAsia="宋体"/>
          <w:color w:val="auto"/>
          <w:sz w:val="28"/>
          <w:szCs w:val="28"/>
          <w:highlight w:val="none"/>
          <w:lang w:val="en-US" w:eastAsia="zh-CN"/>
        </w:rPr>
        <w:t xml:space="preserve"> 设计井巷工程分布范围拐点坐</w:t>
      </w:r>
      <w:r>
        <w:rPr>
          <w:rFonts w:hint="eastAsia" w:ascii="Times New Roman" w:hAnsi="Times New Roman" w:eastAsia="宋体"/>
          <w:color w:val="auto"/>
          <w:sz w:val="28"/>
          <w:szCs w:val="28"/>
          <w:highlight w:val="none"/>
        </w:rPr>
        <w:t>标表（</w:t>
      </w:r>
      <w:r>
        <w:rPr>
          <w:rFonts w:ascii="Times New Roman" w:hAnsi="Times New Roman" w:eastAsia="宋体"/>
          <w:color w:val="auto"/>
          <w:sz w:val="28"/>
          <w:szCs w:val="28"/>
          <w:highlight w:val="none"/>
        </w:rPr>
        <w:t>2000</w:t>
      </w:r>
      <w:r>
        <w:rPr>
          <w:rFonts w:hint="eastAsia" w:ascii="Times New Roman" w:hAnsi="Times New Roman" w:eastAsia="宋体"/>
          <w:color w:val="auto"/>
          <w:sz w:val="28"/>
          <w:szCs w:val="28"/>
          <w:highlight w:val="none"/>
        </w:rPr>
        <w:t>国家大地坐标系）</w:t>
      </w:r>
      <w:r>
        <w:rPr>
          <w:rFonts w:hint="eastAsia" w:ascii="Times New Roman" w:hAnsi="Times New Roman" w:eastAsia="宋体"/>
          <w:b w:val="0"/>
          <w:bCs w:val="0"/>
          <w:color w:val="auto"/>
          <w:sz w:val="28"/>
          <w:szCs w:val="28"/>
          <w:highlight w:val="none"/>
          <w:lang w:val="en-US" w:eastAsia="zh-CN"/>
        </w:rPr>
        <w:t xml:space="preserve"> 表3-2</w:t>
      </w:r>
    </w:p>
    <w:tbl>
      <w:tblPr>
        <w:tblStyle w:val="18"/>
        <w:tblW w:w="9048" w:type="dxa"/>
        <w:jc w:val="center"/>
        <w:tblLayout w:type="fixed"/>
        <w:tblCellMar>
          <w:top w:w="15" w:type="dxa"/>
          <w:left w:w="15" w:type="dxa"/>
          <w:bottom w:w="15" w:type="dxa"/>
          <w:right w:w="15" w:type="dxa"/>
        </w:tblCellMar>
      </w:tblPr>
      <w:tblGrid>
        <w:gridCol w:w="886"/>
        <w:gridCol w:w="1764"/>
        <w:gridCol w:w="1823"/>
        <w:gridCol w:w="891"/>
        <w:gridCol w:w="1713"/>
        <w:gridCol w:w="1971"/>
      </w:tblGrid>
      <w:tr w14:paraId="69650CA9">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9E62BEE">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拐点号</w:t>
            </w:r>
          </w:p>
        </w:tc>
        <w:tc>
          <w:tcPr>
            <w:tcW w:w="1764" w:type="dxa"/>
            <w:tcBorders>
              <w:top w:val="single" w:color="000000" w:sz="4" w:space="0"/>
              <w:left w:val="single" w:color="000000" w:sz="4" w:space="0"/>
              <w:bottom w:val="single" w:color="000000" w:sz="4" w:space="0"/>
              <w:right w:val="single" w:color="000000" w:sz="4" w:space="0"/>
            </w:tcBorders>
            <w:noWrap w:val="0"/>
            <w:vAlign w:val="center"/>
          </w:tcPr>
          <w:p w14:paraId="39BCEEB1">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X坐标</w:t>
            </w:r>
          </w:p>
        </w:tc>
        <w:tc>
          <w:tcPr>
            <w:tcW w:w="1823" w:type="dxa"/>
            <w:tcBorders>
              <w:top w:val="single" w:color="000000" w:sz="4" w:space="0"/>
              <w:left w:val="single" w:color="000000" w:sz="4" w:space="0"/>
              <w:bottom w:val="single" w:color="000000" w:sz="4" w:space="0"/>
              <w:right w:val="single" w:color="000000" w:sz="4" w:space="0"/>
            </w:tcBorders>
            <w:noWrap w:val="0"/>
            <w:vAlign w:val="center"/>
          </w:tcPr>
          <w:p w14:paraId="44CF3856">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Y坐标</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14C94EBF">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拐点号</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14:paraId="78F26CDF">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X坐标</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260D479A">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Y坐标</w:t>
            </w:r>
          </w:p>
        </w:tc>
      </w:tr>
      <w:tr w14:paraId="3ED97DE7">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AA31C8E">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J1</w:t>
            </w:r>
          </w:p>
        </w:tc>
        <w:tc>
          <w:tcPr>
            <w:tcW w:w="1764" w:type="dxa"/>
            <w:tcBorders>
              <w:top w:val="single" w:color="000000" w:sz="4" w:space="0"/>
              <w:left w:val="single" w:color="000000" w:sz="4" w:space="0"/>
              <w:bottom w:val="single" w:color="000000" w:sz="4" w:space="0"/>
              <w:right w:val="single" w:color="000000" w:sz="4" w:space="0"/>
            </w:tcBorders>
            <w:noWrap w:val="0"/>
            <w:vAlign w:val="center"/>
          </w:tcPr>
          <w:p w14:paraId="24E9D452">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2923934.34</w:t>
            </w:r>
          </w:p>
        </w:tc>
        <w:tc>
          <w:tcPr>
            <w:tcW w:w="1823" w:type="dxa"/>
            <w:tcBorders>
              <w:top w:val="single" w:color="000000" w:sz="4" w:space="0"/>
              <w:left w:val="single" w:color="000000" w:sz="4" w:space="0"/>
              <w:bottom w:val="single" w:color="000000" w:sz="4" w:space="0"/>
              <w:right w:val="single" w:color="000000" w:sz="4" w:space="0"/>
            </w:tcBorders>
            <w:noWrap w:val="0"/>
            <w:vAlign w:val="center"/>
          </w:tcPr>
          <w:p w14:paraId="6DC08CC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39524338.83</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3C00A19A">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J14</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14:paraId="1F7269C2">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2923984.40</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51902F07">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39524919.41</w:t>
            </w:r>
          </w:p>
        </w:tc>
      </w:tr>
      <w:tr w14:paraId="7D81AABD">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6EA460A9">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J2</w:t>
            </w:r>
          </w:p>
        </w:tc>
        <w:tc>
          <w:tcPr>
            <w:tcW w:w="1764" w:type="dxa"/>
            <w:tcBorders>
              <w:top w:val="single" w:color="000000" w:sz="4" w:space="0"/>
              <w:left w:val="single" w:color="000000" w:sz="4" w:space="0"/>
              <w:bottom w:val="single" w:color="000000" w:sz="4" w:space="0"/>
              <w:right w:val="single" w:color="000000" w:sz="4" w:space="0"/>
            </w:tcBorders>
            <w:noWrap w:val="0"/>
            <w:vAlign w:val="center"/>
          </w:tcPr>
          <w:p w14:paraId="4BE3C0B7">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2924112.26</w:t>
            </w:r>
          </w:p>
        </w:tc>
        <w:tc>
          <w:tcPr>
            <w:tcW w:w="1823" w:type="dxa"/>
            <w:tcBorders>
              <w:top w:val="single" w:color="000000" w:sz="4" w:space="0"/>
              <w:left w:val="single" w:color="000000" w:sz="4" w:space="0"/>
              <w:bottom w:val="single" w:color="000000" w:sz="4" w:space="0"/>
              <w:right w:val="single" w:color="000000" w:sz="4" w:space="0"/>
            </w:tcBorders>
            <w:noWrap w:val="0"/>
            <w:vAlign w:val="center"/>
          </w:tcPr>
          <w:p w14:paraId="05EBDC11">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39524712.07</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391B9CEE">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J15</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14:paraId="1EB6529B">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2923975.12</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31CB31E5">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39524886.53</w:t>
            </w:r>
          </w:p>
        </w:tc>
      </w:tr>
      <w:tr w14:paraId="16E3AF1E">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72800F37">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J3</w:t>
            </w:r>
          </w:p>
        </w:tc>
        <w:tc>
          <w:tcPr>
            <w:tcW w:w="1764" w:type="dxa"/>
            <w:tcBorders>
              <w:top w:val="single" w:color="000000" w:sz="4" w:space="0"/>
              <w:left w:val="single" w:color="000000" w:sz="4" w:space="0"/>
              <w:bottom w:val="single" w:color="000000" w:sz="4" w:space="0"/>
              <w:right w:val="single" w:color="000000" w:sz="4" w:space="0"/>
            </w:tcBorders>
            <w:noWrap w:val="0"/>
            <w:vAlign w:val="center"/>
          </w:tcPr>
          <w:p w14:paraId="47464CBA">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2924216.45</w:t>
            </w:r>
          </w:p>
        </w:tc>
        <w:tc>
          <w:tcPr>
            <w:tcW w:w="1823" w:type="dxa"/>
            <w:tcBorders>
              <w:top w:val="single" w:color="000000" w:sz="4" w:space="0"/>
              <w:left w:val="single" w:color="000000" w:sz="4" w:space="0"/>
              <w:bottom w:val="single" w:color="000000" w:sz="4" w:space="0"/>
              <w:right w:val="single" w:color="000000" w:sz="4" w:space="0"/>
            </w:tcBorders>
            <w:noWrap w:val="0"/>
            <w:vAlign w:val="center"/>
          </w:tcPr>
          <w:p w14:paraId="015E42A8">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39524712.77</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01858751">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J16</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14:paraId="4722AEA7">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2923987.16</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04314B52">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39524852.80</w:t>
            </w:r>
          </w:p>
        </w:tc>
      </w:tr>
      <w:tr w14:paraId="34EDBDD0">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15F33724">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J4</w:t>
            </w:r>
          </w:p>
        </w:tc>
        <w:tc>
          <w:tcPr>
            <w:tcW w:w="1764" w:type="dxa"/>
            <w:tcBorders>
              <w:top w:val="single" w:color="000000" w:sz="4" w:space="0"/>
              <w:left w:val="single" w:color="000000" w:sz="4" w:space="0"/>
              <w:bottom w:val="single" w:color="000000" w:sz="4" w:space="0"/>
              <w:right w:val="single" w:color="000000" w:sz="4" w:space="0"/>
            </w:tcBorders>
            <w:noWrap w:val="0"/>
            <w:vAlign w:val="center"/>
          </w:tcPr>
          <w:p w14:paraId="14EF40F7">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2924274.87</w:t>
            </w:r>
          </w:p>
        </w:tc>
        <w:tc>
          <w:tcPr>
            <w:tcW w:w="1823" w:type="dxa"/>
            <w:tcBorders>
              <w:top w:val="single" w:color="000000" w:sz="4" w:space="0"/>
              <w:left w:val="single" w:color="000000" w:sz="4" w:space="0"/>
              <w:bottom w:val="single" w:color="000000" w:sz="4" w:space="0"/>
              <w:right w:val="single" w:color="000000" w:sz="4" w:space="0"/>
            </w:tcBorders>
            <w:noWrap w:val="0"/>
            <w:vAlign w:val="center"/>
          </w:tcPr>
          <w:p w14:paraId="15A52C8C">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39524913.78</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0001B4F0">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J17</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14:paraId="5D37A4FE">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2923981.95</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26B65A0B">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39524836.93</w:t>
            </w:r>
          </w:p>
        </w:tc>
      </w:tr>
      <w:tr w14:paraId="5806051E">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1616C48A">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J5</w:t>
            </w:r>
          </w:p>
        </w:tc>
        <w:tc>
          <w:tcPr>
            <w:tcW w:w="1764" w:type="dxa"/>
            <w:tcBorders>
              <w:top w:val="single" w:color="000000" w:sz="4" w:space="0"/>
              <w:left w:val="single" w:color="000000" w:sz="4" w:space="0"/>
              <w:bottom w:val="single" w:color="000000" w:sz="4" w:space="0"/>
              <w:right w:val="single" w:color="000000" w:sz="4" w:space="0"/>
            </w:tcBorders>
            <w:noWrap w:val="0"/>
            <w:vAlign w:val="center"/>
          </w:tcPr>
          <w:p w14:paraId="4CA84678">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2924232.20</w:t>
            </w:r>
          </w:p>
        </w:tc>
        <w:tc>
          <w:tcPr>
            <w:tcW w:w="1823" w:type="dxa"/>
            <w:tcBorders>
              <w:top w:val="single" w:color="000000" w:sz="4" w:space="0"/>
              <w:left w:val="single" w:color="000000" w:sz="4" w:space="0"/>
              <w:bottom w:val="single" w:color="000000" w:sz="4" w:space="0"/>
              <w:right w:val="single" w:color="000000" w:sz="4" w:space="0"/>
            </w:tcBorders>
            <w:noWrap w:val="0"/>
            <w:vAlign w:val="center"/>
          </w:tcPr>
          <w:p w14:paraId="2C47085C">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39524926.35</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72228A54">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J18</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14:paraId="56132E4B">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2923976.49</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318653E1">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39524804.24</w:t>
            </w:r>
          </w:p>
        </w:tc>
      </w:tr>
      <w:tr w14:paraId="3C4CBDAE">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59D6293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J6</w:t>
            </w:r>
          </w:p>
        </w:tc>
        <w:tc>
          <w:tcPr>
            <w:tcW w:w="1764" w:type="dxa"/>
            <w:tcBorders>
              <w:top w:val="single" w:color="000000" w:sz="4" w:space="0"/>
              <w:left w:val="single" w:color="000000" w:sz="4" w:space="0"/>
              <w:bottom w:val="single" w:color="000000" w:sz="4" w:space="0"/>
              <w:right w:val="single" w:color="000000" w:sz="4" w:space="0"/>
            </w:tcBorders>
            <w:noWrap w:val="0"/>
            <w:vAlign w:val="center"/>
          </w:tcPr>
          <w:p w14:paraId="257BBFDE">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2924137.85</w:t>
            </w:r>
          </w:p>
        </w:tc>
        <w:tc>
          <w:tcPr>
            <w:tcW w:w="1823" w:type="dxa"/>
            <w:tcBorders>
              <w:top w:val="single" w:color="000000" w:sz="4" w:space="0"/>
              <w:left w:val="single" w:color="000000" w:sz="4" w:space="0"/>
              <w:bottom w:val="single" w:color="000000" w:sz="4" w:space="0"/>
              <w:right w:val="single" w:color="000000" w:sz="4" w:space="0"/>
            </w:tcBorders>
            <w:noWrap w:val="0"/>
            <w:vAlign w:val="center"/>
          </w:tcPr>
          <w:p w14:paraId="234C3575">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39524978.42</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7FDBD1F9">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J19</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14:paraId="148671B4">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2923953.32</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0E4C1358">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39524738.78</w:t>
            </w:r>
          </w:p>
        </w:tc>
      </w:tr>
      <w:tr w14:paraId="34024E79">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auto" w:sz="4" w:space="0"/>
              <w:right w:val="single" w:color="000000" w:sz="4" w:space="0"/>
            </w:tcBorders>
            <w:noWrap w:val="0"/>
            <w:vAlign w:val="center"/>
          </w:tcPr>
          <w:p w14:paraId="611D3CB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J7</w:t>
            </w:r>
          </w:p>
        </w:tc>
        <w:tc>
          <w:tcPr>
            <w:tcW w:w="1764" w:type="dxa"/>
            <w:tcBorders>
              <w:top w:val="single" w:color="000000" w:sz="4" w:space="0"/>
              <w:left w:val="single" w:color="000000" w:sz="4" w:space="0"/>
              <w:bottom w:val="single" w:color="auto" w:sz="4" w:space="0"/>
              <w:right w:val="single" w:color="000000" w:sz="4" w:space="0"/>
            </w:tcBorders>
            <w:noWrap w:val="0"/>
            <w:vAlign w:val="center"/>
          </w:tcPr>
          <w:p w14:paraId="300E2C22">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2924097.95</w:t>
            </w:r>
          </w:p>
        </w:tc>
        <w:tc>
          <w:tcPr>
            <w:tcW w:w="1823" w:type="dxa"/>
            <w:tcBorders>
              <w:top w:val="single" w:color="000000" w:sz="4" w:space="0"/>
              <w:left w:val="single" w:color="000000" w:sz="4" w:space="0"/>
              <w:bottom w:val="single" w:color="auto" w:sz="4" w:space="0"/>
              <w:right w:val="single" w:color="000000" w:sz="4" w:space="0"/>
            </w:tcBorders>
            <w:noWrap w:val="0"/>
            <w:vAlign w:val="center"/>
          </w:tcPr>
          <w:p w14:paraId="4E7DA5A2">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39524967.40</w:t>
            </w:r>
          </w:p>
        </w:tc>
        <w:tc>
          <w:tcPr>
            <w:tcW w:w="891" w:type="dxa"/>
            <w:tcBorders>
              <w:top w:val="single" w:color="000000" w:sz="4" w:space="0"/>
              <w:left w:val="single" w:color="000000" w:sz="4" w:space="0"/>
              <w:bottom w:val="single" w:color="auto" w:sz="4" w:space="0"/>
              <w:right w:val="single" w:color="000000" w:sz="4" w:space="0"/>
            </w:tcBorders>
            <w:noWrap w:val="0"/>
            <w:vAlign w:val="center"/>
          </w:tcPr>
          <w:p w14:paraId="6DB8C2D8">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J20</w:t>
            </w:r>
          </w:p>
        </w:tc>
        <w:tc>
          <w:tcPr>
            <w:tcW w:w="1713" w:type="dxa"/>
            <w:tcBorders>
              <w:top w:val="single" w:color="000000" w:sz="4" w:space="0"/>
              <w:left w:val="single" w:color="000000" w:sz="4" w:space="0"/>
              <w:bottom w:val="single" w:color="auto" w:sz="4" w:space="0"/>
              <w:right w:val="single" w:color="000000" w:sz="4" w:space="0"/>
            </w:tcBorders>
            <w:noWrap w:val="0"/>
            <w:vAlign w:val="center"/>
          </w:tcPr>
          <w:p w14:paraId="187EE495">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2923973.85</w:t>
            </w:r>
          </w:p>
        </w:tc>
        <w:tc>
          <w:tcPr>
            <w:tcW w:w="1971" w:type="dxa"/>
            <w:tcBorders>
              <w:top w:val="single" w:color="000000" w:sz="4" w:space="0"/>
              <w:left w:val="single" w:color="000000" w:sz="4" w:space="0"/>
              <w:bottom w:val="single" w:color="auto" w:sz="4" w:space="0"/>
              <w:right w:val="single" w:color="000000" w:sz="4" w:space="0"/>
            </w:tcBorders>
            <w:noWrap w:val="0"/>
            <w:vAlign w:val="center"/>
          </w:tcPr>
          <w:p w14:paraId="1B7C15A7">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39524718.40</w:t>
            </w:r>
          </w:p>
        </w:tc>
      </w:tr>
      <w:tr w14:paraId="64770A41">
        <w:tblPrEx>
          <w:tblCellMar>
            <w:top w:w="15" w:type="dxa"/>
            <w:left w:w="15" w:type="dxa"/>
            <w:bottom w:w="15" w:type="dxa"/>
            <w:right w:w="15" w:type="dxa"/>
          </w:tblCellMar>
        </w:tblPrEx>
        <w:trPr>
          <w:trHeight w:val="306"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0D53782B">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J8</w:t>
            </w:r>
          </w:p>
        </w:tc>
        <w:tc>
          <w:tcPr>
            <w:tcW w:w="1764" w:type="dxa"/>
            <w:tcBorders>
              <w:top w:val="single" w:color="auto" w:sz="4" w:space="0"/>
              <w:left w:val="single" w:color="000000" w:sz="4" w:space="0"/>
              <w:bottom w:val="single" w:color="auto" w:sz="4" w:space="0"/>
              <w:right w:val="single" w:color="000000" w:sz="4" w:space="0"/>
            </w:tcBorders>
            <w:noWrap w:val="0"/>
            <w:vAlign w:val="center"/>
          </w:tcPr>
          <w:p w14:paraId="5E75F7D2">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2924085.71</w:t>
            </w:r>
          </w:p>
        </w:tc>
        <w:tc>
          <w:tcPr>
            <w:tcW w:w="1823" w:type="dxa"/>
            <w:tcBorders>
              <w:top w:val="single" w:color="auto" w:sz="4" w:space="0"/>
              <w:left w:val="single" w:color="000000" w:sz="4" w:space="0"/>
              <w:bottom w:val="single" w:color="auto" w:sz="4" w:space="0"/>
              <w:right w:val="single" w:color="000000" w:sz="4" w:space="0"/>
            </w:tcBorders>
            <w:noWrap w:val="0"/>
            <w:vAlign w:val="center"/>
          </w:tcPr>
          <w:p w14:paraId="361225B9">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39524928.86</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74F155DA">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J21</w:t>
            </w:r>
          </w:p>
        </w:tc>
        <w:tc>
          <w:tcPr>
            <w:tcW w:w="1713" w:type="dxa"/>
            <w:tcBorders>
              <w:top w:val="single" w:color="auto" w:sz="4" w:space="0"/>
              <w:left w:val="single" w:color="000000" w:sz="4" w:space="0"/>
              <w:bottom w:val="single" w:color="auto" w:sz="4" w:space="0"/>
              <w:right w:val="single" w:color="000000" w:sz="4" w:space="0"/>
            </w:tcBorders>
            <w:noWrap w:val="0"/>
            <w:vAlign w:val="center"/>
          </w:tcPr>
          <w:p w14:paraId="7D94AD6E">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2923958.00</w:t>
            </w:r>
          </w:p>
        </w:tc>
        <w:tc>
          <w:tcPr>
            <w:tcW w:w="1971" w:type="dxa"/>
            <w:tcBorders>
              <w:top w:val="single" w:color="auto" w:sz="4" w:space="0"/>
              <w:left w:val="single" w:color="000000" w:sz="4" w:space="0"/>
              <w:bottom w:val="single" w:color="auto" w:sz="4" w:space="0"/>
              <w:right w:val="single" w:color="000000" w:sz="4" w:space="0"/>
            </w:tcBorders>
            <w:noWrap w:val="0"/>
            <w:vAlign w:val="center"/>
          </w:tcPr>
          <w:p w14:paraId="6457E48E">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39524685.66</w:t>
            </w:r>
          </w:p>
        </w:tc>
      </w:tr>
      <w:tr w14:paraId="26BA95EE">
        <w:tblPrEx>
          <w:tblCellMar>
            <w:top w:w="15" w:type="dxa"/>
            <w:left w:w="15" w:type="dxa"/>
            <w:bottom w:w="15" w:type="dxa"/>
            <w:right w:w="15" w:type="dxa"/>
          </w:tblCellMar>
        </w:tblPrEx>
        <w:trPr>
          <w:trHeight w:val="306"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6EB3ED35">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J9</w:t>
            </w:r>
          </w:p>
        </w:tc>
        <w:tc>
          <w:tcPr>
            <w:tcW w:w="1764" w:type="dxa"/>
            <w:tcBorders>
              <w:top w:val="single" w:color="auto" w:sz="4" w:space="0"/>
              <w:left w:val="single" w:color="000000" w:sz="4" w:space="0"/>
              <w:bottom w:val="single" w:color="auto" w:sz="4" w:space="0"/>
              <w:right w:val="single" w:color="000000" w:sz="4" w:space="0"/>
            </w:tcBorders>
            <w:noWrap w:val="0"/>
            <w:vAlign w:val="center"/>
          </w:tcPr>
          <w:p w14:paraId="3AB58CDC">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2924057.62</w:t>
            </w:r>
          </w:p>
        </w:tc>
        <w:tc>
          <w:tcPr>
            <w:tcW w:w="1823" w:type="dxa"/>
            <w:tcBorders>
              <w:top w:val="single" w:color="auto" w:sz="4" w:space="0"/>
              <w:left w:val="single" w:color="000000" w:sz="4" w:space="0"/>
              <w:bottom w:val="single" w:color="auto" w:sz="4" w:space="0"/>
              <w:right w:val="single" w:color="000000" w:sz="4" w:space="0"/>
            </w:tcBorders>
            <w:noWrap w:val="0"/>
            <w:vAlign w:val="center"/>
          </w:tcPr>
          <w:p w14:paraId="49E350A4">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39524934.37</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0FD9497E">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J22</w:t>
            </w:r>
          </w:p>
        </w:tc>
        <w:tc>
          <w:tcPr>
            <w:tcW w:w="1713" w:type="dxa"/>
            <w:tcBorders>
              <w:top w:val="single" w:color="auto" w:sz="4" w:space="0"/>
              <w:left w:val="single" w:color="000000" w:sz="4" w:space="0"/>
              <w:bottom w:val="single" w:color="auto" w:sz="4" w:space="0"/>
              <w:right w:val="single" w:color="000000" w:sz="4" w:space="0"/>
            </w:tcBorders>
            <w:noWrap w:val="0"/>
            <w:vAlign w:val="center"/>
          </w:tcPr>
          <w:p w14:paraId="7A699C8B">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2923948.39</w:t>
            </w:r>
          </w:p>
        </w:tc>
        <w:tc>
          <w:tcPr>
            <w:tcW w:w="1971" w:type="dxa"/>
            <w:tcBorders>
              <w:top w:val="single" w:color="auto" w:sz="4" w:space="0"/>
              <w:left w:val="single" w:color="000000" w:sz="4" w:space="0"/>
              <w:bottom w:val="single" w:color="auto" w:sz="4" w:space="0"/>
              <w:right w:val="single" w:color="000000" w:sz="4" w:space="0"/>
            </w:tcBorders>
            <w:noWrap w:val="0"/>
            <w:vAlign w:val="center"/>
          </w:tcPr>
          <w:p w14:paraId="696DE864">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39524585.60</w:t>
            </w:r>
          </w:p>
        </w:tc>
      </w:tr>
      <w:tr w14:paraId="439791B5">
        <w:tblPrEx>
          <w:tblCellMar>
            <w:top w:w="15" w:type="dxa"/>
            <w:left w:w="15" w:type="dxa"/>
            <w:bottom w:w="15" w:type="dxa"/>
            <w:right w:w="15" w:type="dxa"/>
          </w:tblCellMar>
        </w:tblPrEx>
        <w:trPr>
          <w:trHeight w:val="306"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166A8B40">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J10</w:t>
            </w:r>
          </w:p>
        </w:tc>
        <w:tc>
          <w:tcPr>
            <w:tcW w:w="1764" w:type="dxa"/>
            <w:tcBorders>
              <w:top w:val="single" w:color="auto" w:sz="4" w:space="0"/>
              <w:left w:val="single" w:color="000000" w:sz="4" w:space="0"/>
              <w:bottom w:val="single" w:color="auto" w:sz="4" w:space="0"/>
              <w:right w:val="single" w:color="000000" w:sz="4" w:space="0"/>
            </w:tcBorders>
            <w:noWrap w:val="0"/>
            <w:vAlign w:val="center"/>
          </w:tcPr>
          <w:p w14:paraId="068CD4C8">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2924049.12</w:t>
            </w:r>
          </w:p>
        </w:tc>
        <w:tc>
          <w:tcPr>
            <w:tcW w:w="1823" w:type="dxa"/>
            <w:tcBorders>
              <w:top w:val="single" w:color="auto" w:sz="4" w:space="0"/>
              <w:left w:val="single" w:color="000000" w:sz="4" w:space="0"/>
              <w:bottom w:val="single" w:color="auto" w:sz="4" w:space="0"/>
              <w:right w:val="single" w:color="000000" w:sz="4" w:space="0"/>
            </w:tcBorders>
            <w:noWrap w:val="0"/>
            <w:vAlign w:val="center"/>
          </w:tcPr>
          <w:p w14:paraId="6F582A53">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39524949.54</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27C7EC91">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J23</w:t>
            </w:r>
          </w:p>
        </w:tc>
        <w:tc>
          <w:tcPr>
            <w:tcW w:w="1713" w:type="dxa"/>
            <w:tcBorders>
              <w:top w:val="single" w:color="auto" w:sz="4" w:space="0"/>
              <w:left w:val="single" w:color="000000" w:sz="4" w:space="0"/>
              <w:bottom w:val="single" w:color="auto" w:sz="4" w:space="0"/>
              <w:right w:val="single" w:color="000000" w:sz="4" w:space="0"/>
            </w:tcBorders>
            <w:noWrap w:val="0"/>
            <w:vAlign w:val="center"/>
          </w:tcPr>
          <w:p w14:paraId="5D28050F">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2923958.31</w:t>
            </w:r>
          </w:p>
        </w:tc>
        <w:tc>
          <w:tcPr>
            <w:tcW w:w="1971" w:type="dxa"/>
            <w:tcBorders>
              <w:top w:val="single" w:color="auto" w:sz="4" w:space="0"/>
              <w:left w:val="single" w:color="000000" w:sz="4" w:space="0"/>
              <w:bottom w:val="single" w:color="auto" w:sz="4" w:space="0"/>
              <w:right w:val="single" w:color="000000" w:sz="4" w:space="0"/>
            </w:tcBorders>
            <w:noWrap w:val="0"/>
            <w:vAlign w:val="center"/>
          </w:tcPr>
          <w:p w14:paraId="316F9FF0">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39524496.56</w:t>
            </w:r>
          </w:p>
        </w:tc>
      </w:tr>
      <w:tr w14:paraId="158D7ECD">
        <w:tblPrEx>
          <w:tblCellMar>
            <w:top w:w="15" w:type="dxa"/>
            <w:left w:w="15" w:type="dxa"/>
            <w:bottom w:w="15" w:type="dxa"/>
            <w:right w:w="15" w:type="dxa"/>
          </w:tblCellMar>
        </w:tblPrEx>
        <w:trPr>
          <w:trHeight w:val="306"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3198F0D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J11</w:t>
            </w:r>
          </w:p>
        </w:tc>
        <w:tc>
          <w:tcPr>
            <w:tcW w:w="1764" w:type="dxa"/>
            <w:tcBorders>
              <w:top w:val="single" w:color="auto" w:sz="4" w:space="0"/>
              <w:left w:val="single" w:color="000000" w:sz="4" w:space="0"/>
              <w:bottom w:val="single" w:color="auto" w:sz="4" w:space="0"/>
              <w:right w:val="single" w:color="000000" w:sz="4" w:space="0"/>
            </w:tcBorders>
            <w:noWrap w:val="0"/>
            <w:vAlign w:val="center"/>
          </w:tcPr>
          <w:p w14:paraId="2571081E">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2924021.00</w:t>
            </w:r>
          </w:p>
        </w:tc>
        <w:tc>
          <w:tcPr>
            <w:tcW w:w="1823" w:type="dxa"/>
            <w:tcBorders>
              <w:top w:val="single" w:color="auto" w:sz="4" w:space="0"/>
              <w:left w:val="single" w:color="000000" w:sz="4" w:space="0"/>
              <w:bottom w:val="single" w:color="auto" w:sz="4" w:space="0"/>
              <w:right w:val="single" w:color="000000" w:sz="4" w:space="0"/>
            </w:tcBorders>
            <w:noWrap w:val="0"/>
            <w:vAlign w:val="center"/>
          </w:tcPr>
          <w:p w14:paraId="4B0CDEBA">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39524945.35</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48101CB3">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J24</w:t>
            </w:r>
          </w:p>
        </w:tc>
        <w:tc>
          <w:tcPr>
            <w:tcW w:w="1713" w:type="dxa"/>
            <w:tcBorders>
              <w:top w:val="single" w:color="auto" w:sz="4" w:space="0"/>
              <w:left w:val="single" w:color="000000" w:sz="4" w:space="0"/>
              <w:bottom w:val="single" w:color="auto" w:sz="4" w:space="0"/>
              <w:right w:val="single" w:color="000000" w:sz="4" w:space="0"/>
            </w:tcBorders>
            <w:noWrap w:val="0"/>
            <w:vAlign w:val="center"/>
          </w:tcPr>
          <w:p w14:paraId="62FC3582">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2923926.54</w:t>
            </w:r>
          </w:p>
        </w:tc>
        <w:tc>
          <w:tcPr>
            <w:tcW w:w="1971" w:type="dxa"/>
            <w:tcBorders>
              <w:top w:val="single" w:color="auto" w:sz="4" w:space="0"/>
              <w:left w:val="single" w:color="000000" w:sz="4" w:space="0"/>
              <w:bottom w:val="single" w:color="auto" w:sz="4" w:space="0"/>
              <w:right w:val="single" w:color="000000" w:sz="4" w:space="0"/>
            </w:tcBorders>
            <w:noWrap w:val="0"/>
            <w:vAlign w:val="center"/>
          </w:tcPr>
          <w:p w14:paraId="1E1F6D0A">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39524428.38</w:t>
            </w:r>
          </w:p>
        </w:tc>
      </w:tr>
      <w:tr w14:paraId="4FCCB721">
        <w:tblPrEx>
          <w:tblCellMar>
            <w:top w:w="15" w:type="dxa"/>
            <w:left w:w="15" w:type="dxa"/>
            <w:bottom w:w="15" w:type="dxa"/>
            <w:right w:w="15" w:type="dxa"/>
          </w:tblCellMar>
        </w:tblPrEx>
        <w:trPr>
          <w:trHeight w:val="306"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1F61714D">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J12</w:t>
            </w:r>
          </w:p>
        </w:tc>
        <w:tc>
          <w:tcPr>
            <w:tcW w:w="1764" w:type="dxa"/>
            <w:tcBorders>
              <w:top w:val="single" w:color="auto" w:sz="4" w:space="0"/>
              <w:left w:val="single" w:color="000000" w:sz="4" w:space="0"/>
              <w:bottom w:val="single" w:color="auto" w:sz="4" w:space="0"/>
              <w:right w:val="single" w:color="000000" w:sz="4" w:space="0"/>
            </w:tcBorders>
            <w:noWrap w:val="0"/>
            <w:vAlign w:val="center"/>
          </w:tcPr>
          <w:p w14:paraId="016E3789">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2924010.18</w:t>
            </w:r>
          </w:p>
        </w:tc>
        <w:tc>
          <w:tcPr>
            <w:tcW w:w="1823" w:type="dxa"/>
            <w:tcBorders>
              <w:top w:val="single" w:color="auto" w:sz="4" w:space="0"/>
              <w:left w:val="single" w:color="000000" w:sz="4" w:space="0"/>
              <w:bottom w:val="single" w:color="auto" w:sz="4" w:space="0"/>
              <w:right w:val="single" w:color="000000" w:sz="4" w:space="0"/>
            </w:tcBorders>
            <w:noWrap w:val="0"/>
            <w:vAlign w:val="center"/>
          </w:tcPr>
          <w:p w14:paraId="607E7B4E">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39524926.69</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44BF9066">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J25</w:t>
            </w:r>
          </w:p>
        </w:tc>
        <w:tc>
          <w:tcPr>
            <w:tcW w:w="1713" w:type="dxa"/>
            <w:tcBorders>
              <w:top w:val="single" w:color="auto" w:sz="4" w:space="0"/>
              <w:left w:val="single" w:color="000000" w:sz="4" w:space="0"/>
              <w:bottom w:val="single" w:color="auto" w:sz="4" w:space="0"/>
              <w:right w:val="single" w:color="000000" w:sz="4" w:space="0"/>
            </w:tcBorders>
            <w:noWrap w:val="0"/>
            <w:vAlign w:val="center"/>
          </w:tcPr>
          <w:p w14:paraId="1534C8B7">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2923878.84</w:t>
            </w:r>
          </w:p>
        </w:tc>
        <w:tc>
          <w:tcPr>
            <w:tcW w:w="1971" w:type="dxa"/>
            <w:tcBorders>
              <w:top w:val="single" w:color="auto" w:sz="4" w:space="0"/>
              <w:left w:val="single" w:color="000000" w:sz="4" w:space="0"/>
              <w:bottom w:val="single" w:color="auto" w:sz="4" w:space="0"/>
              <w:right w:val="single" w:color="000000" w:sz="4" w:space="0"/>
            </w:tcBorders>
            <w:noWrap w:val="0"/>
            <w:vAlign w:val="center"/>
          </w:tcPr>
          <w:p w14:paraId="665C0ED5">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39524373.44</w:t>
            </w:r>
          </w:p>
        </w:tc>
      </w:tr>
      <w:tr w14:paraId="6332CC79">
        <w:tblPrEx>
          <w:tblCellMar>
            <w:top w:w="15" w:type="dxa"/>
            <w:left w:w="15" w:type="dxa"/>
            <w:bottom w:w="15" w:type="dxa"/>
            <w:right w:w="15" w:type="dxa"/>
          </w:tblCellMar>
        </w:tblPrEx>
        <w:trPr>
          <w:trHeight w:val="306"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0A20D9A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J13</w:t>
            </w:r>
          </w:p>
        </w:tc>
        <w:tc>
          <w:tcPr>
            <w:tcW w:w="1764" w:type="dxa"/>
            <w:tcBorders>
              <w:top w:val="single" w:color="auto" w:sz="4" w:space="0"/>
              <w:left w:val="single" w:color="000000" w:sz="4" w:space="0"/>
              <w:bottom w:val="single" w:color="auto" w:sz="4" w:space="0"/>
              <w:right w:val="single" w:color="000000" w:sz="4" w:space="0"/>
            </w:tcBorders>
            <w:noWrap w:val="0"/>
            <w:vAlign w:val="center"/>
          </w:tcPr>
          <w:p w14:paraId="78414073">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2923997.09</w:t>
            </w:r>
          </w:p>
        </w:tc>
        <w:tc>
          <w:tcPr>
            <w:tcW w:w="1823" w:type="dxa"/>
            <w:tcBorders>
              <w:top w:val="single" w:color="auto" w:sz="4" w:space="0"/>
              <w:left w:val="single" w:color="000000" w:sz="4" w:space="0"/>
              <w:bottom w:val="single" w:color="auto" w:sz="4" w:space="0"/>
              <w:right w:val="single" w:color="000000" w:sz="4" w:space="0"/>
            </w:tcBorders>
            <w:noWrap w:val="0"/>
            <w:vAlign w:val="center"/>
          </w:tcPr>
          <w:p w14:paraId="551347E2">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39524927.53</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3F3D3B87">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p>
        </w:tc>
        <w:tc>
          <w:tcPr>
            <w:tcW w:w="1713" w:type="dxa"/>
            <w:tcBorders>
              <w:top w:val="single" w:color="auto" w:sz="4" w:space="0"/>
              <w:left w:val="single" w:color="000000" w:sz="4" w:space="0"/>
              <w:bottom w:val="single" w:color="auto" w:sz="4" w:space="0"/>
              <w:right w:val="single" w:color="000000" w:sz="4" w:space="0"/>
            </w:tcBorders>
            <w:noWrap w:val="0"/>
            <w:vAlign w:val="center"/>
          </w:tcPr>
          <w:p w14:paraId="0EAC419F">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p>
        </w:tc>
        <w:tc>
          <w:tcPr>
            <w:tcW w:w="1971" w:type="dxa"/>
            <w:tcBorders>
              <w:top w:val="single" w:color="auto" w:sz="4" w:space="0"/>
              <w:left w:val="single" w:color="000000" w:sz="4" w:space="0"/>
              <w:bottom w:val="single" w:color="auto" w:sz="4" w:space="0"/>
              <w:right w:val="single" w:color="000000" w:sz="4" w:space="0"/>
            </w:tcBorders>
            <w:noWrap w:val="0"/>
            <w:vAlign w:val="center"/>
          </w:tcPr>
          <w:p w14:paraId="3EFBF571">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p>
        </w:tc>
      </w:tr>
      <w:tr w14:paraId="1FA5B472">
        <w:tblPrEx>
          <w:tblCellMar>
            <w:top w:w="15" w:type="dxa"/>
            <w:left w:w="15" w:type="dxa"/>
            <w:bottom w:w="15" w:type="dxa"/>
            <w:right w:w="15" w:type="dxa"/>
          </w:tblCellMar>
        </w:tblPrEx>
        <w:trPr>
          <w:trHeight w:val="306" w:hRule="atLeast"/>
          <w:jc w:val="center"/>
        </w:trPr>
        <w:tc>
          <w:tcPr>
            <w:tcW w:w="9048" w:type="dxa"/>
            <w:gridSpan w:val="6"/>
            <w:tcBorders>
              <w:top w:val="single" w:color="auto" w:sz="4" w:space="0"/>
              <w:left w:val="single" w:color="000000" w:sz="4" w:space="0"/>
              <w:bottom w:val="single" w:color="auto" w:sz="4" w:space="0"/>
              <w:right w:val="single" w:color="000000" w:sz="4" w:space="0"/>
            </w:tcBorders>
            <w:noWrap w:val="0"/>
            <w:vAlign w:val="center"/>
          </w:tcPr>
          <w:p w14:paraId="41E8F206">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井巷工程标高：+472～+290m，面积：</w:t>
            </w:r>
            <w:r>
              <w:rPr>
                <w:rFonts w:hint="eastAsia" w:ascii="宋体" w:hAnsi="宋体" w:eastAsia="宋体" w:cs="宋体"/>
                <w:color w:val="auto"/>
                <w:spacing w:val="-1"/>
                <w:sz w:val="24"/>
                <w:szCs w:val="24"/>
                <w:highlight w:val="none"/>
                <w:lang w:eastAsia="zh-CN"/>
              </w:rPr>
              <w:t>面积</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0.</w:t>
            </w:r>
            <w:r>
              <w:rPr>
                <w:rFonts w:hint="eastAsia" w:ascii="宋体" w:hAnsi="宋体" w:eastAsia="宋体" w:cs="宋体"/>
                <w:color w:val="auto"/>
                <w:spacing w:val="-1"/>
                <w:sz w:val="24"/>
                <w:szCs w:val="24"/>
                <w:highlight w:val="none"/>
                <w:lang w:val="en-US" w:eastAsia="zh-CN"/>
              </w:rPr>
              <w:t>0965</w:t>
            </w:r>
            <w:r>
              <w:rPr>
                <w:rFonts w:hint="eastAsia" w:ascii="宋体" w:hAnsi="宋体" w:eastAsia="宋体" w:cs="宋体"/>
                <w:color w:val="auto"/>
                <w:spacing w:val="-1"/>
                <w:sz w:val="24"/>
                <w:szCs w:val="24"/>
                <w:highlight w:val="none"/>
                <w:lang w:eastAsia="zh-CN"/>
              </w:rPr>
              <w:t>km</w:t>
            </w:r>
            <w:r>
              <w:rPr>
                <w:rFonts w:hint="eastAsia" w:ascii="宋体" w:hAnsi="宋体" w:eastAsia="宋体" w:cs="宋体"/>
                <w:color w:val="auto"/>
                <w:spacing w:val="-1"/>
                <w:sz w:val="24"/>
                <w:szCs w:val="24"/>
                <w:highlight w:val="none"/>
                <w:vertAlign w:val="superscript"/>
                <w:lang w:eastAsia="zh-CN"/>
              </w:rPr>
              <w:t>2</w:t>
            </w:r>
          </w:p>
        </w:tc>
      </w:tr>
    </w:tbl>
    <w:p w14:paraId="74D925C9">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3.3.2井巷工程设施分布范围的科学合理性技术论证</w:t>
      </w:r>
    </w:p>
    <w:p w14:paraId="02E0D591">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本矿采用地下开采，拟申请开采区域完全包含资源量估算范围及井巷工程设施分布范围，且全部位于《福建省明溪县矿产资源总体规划（2021-2025年）》中确定的矿产资源开采规划区块内；本次设计的井巷工程设施分布范围、中段高度和采矿方法符合本矿山实际，符合有关技术要求，设计的井巷工程设施分布范围科学合理。拟申请开采区域、</w:t>
      </w:r>
      <w:r>
        <w:rPr>
          <w:rFonts w:hint="eastAsia" w:ascii="宋体" w:hAnsi="宋体" w:eastAsia="宋体" w:cs="宋体"/>
          <w:color w:val="auto"/>
          <w:sz w:val="28"/>
          <w:szCs w:val="28"/>
          <w:highlight w:val="none"/>
        </w:rPr>
        <w:t>资源储量估算范围</w:t>
      </w:r>
      <w:r>
        <w:rPr>
          <w:rFonts w:hint="eastAsia" w:ascii="宋体" w:hAnsi="宋体" w:eastAsia="宋体" w:cs="宋体"/>
          <w:color w:val="auto"/>
          <w:sz w:val="28"/>
          <w:szCs w:val="28"/>
          <w:highlight w:val="none"/>
          <w:lang w:eastAsia="zh-CN"/>
        </w:rPr>
        <w:t>和设计</w:t>
      </w:r>
      <w:r>
        <w:rPr>
          <w:rFonts w:hint="eastAsia" w:ascii="宋体" w:hAnsi="宋体" w:eastAsia="宋体" w:cs="宋体"/>
          <w:color w:val="auto"/>
          <w:sz w:val="28"/>
          <w:szCs w:val="28"/>
          <w:highlight w:val="none"/>
        </w:rPr>
        <w:t>井巷工程设施分布范围</w:t>
      </w:r>
      <w:r>
        <w:rPr>
          <w:rFonts w:hint="eastAsia" w:ascii="宋体" w:hAnsi="宋体" w:eastAsia="宋体" w:cs="宋体"/>
          <w:color w:val="auto"/>
          <w:sz w:val="28"/>
          <w:szCs w:val="28"/>
          <w:highlight w:val="none"/>
          <w:lang w:eastAsia="zh-CN"/>
        </w:rPr>
        <w:t>之间</w:t>
      </w:r>
      <w:r>
        <w:rPr>
          <w:rFonts w:hint="eastAsia" w:ascii="宋体" w:hAnsi="宋体" w:eastAsia="宋体" w:cs="宋体"/>
          <w:color w:val="auto"/>
          <w:sz w:val="28"/>
          <w:szCs w:val="28"/>
          <w:highlight w:val="none"/>
        </w:rPr>
        <w:t>空间位置关系</w:t>
      </w:r>
      <w:r>
        <w:rPr>
          <w:rFonts w:hint="eastAsia" w:ascii="宋体" w:hAnsi="宋体" w:eastAsia="宋体" w:cs="宋体"/>
          <w:color w:val="auto"/>
          <w:sz w:val="28"/>
          <w:szCs w:val="28"/>
          <w:highlight w:val="none"/>
          <w:lang w:eastAsia="zh-CN"/>
        </w:rPr>
        <w:t>详见</w:t>
      </w:r>
      <w:r>
        <w:rPr>
          <w:rFonts w:hint="eastAsia" w:ascii="宋体" w:hAnsi="宋体" w:eastAsia="宋体" w:cs="宋体"/>
          <w:color w:val="auto"/>
          <w:sz w:val="28"/>
          <w:szCs w:val="28"/>
          <w:highlight w:val="none"/>
        </w:rPr>
        <w:t>叠合图</w:t>
      </w:r>
      <w:r>
        <w:rPr>
          <w:rFonts w:hint="eastAsia" w:ascii="宋体" w:hAnsi="宋体" w:eastAsia="宋体" w:cs="宋体"/>
          <w:color w:val="auto"/>
          <w:sz w:val="28"/>
          <w:szCs w:val="28"/>
          <w:highlight w:val="none"/>
          <w:lang w:eastAsia="zh-CN"/>
        </w:rPr>
        <w:t>（附图</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p>
    <w:p w14:paraId="0B69A63A">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61" w:name="_Toc30327"/>
      <w:r>
        <w:rPr>
          <w:rFonts w:hint="eastAsia" w:ascii="宋体" w:hAnsi="宋体" w:eastAsia="宋体" w:cs="宋体"/>
          <w:b/>
          <w:bCs w:val="0"/>
          <w:snapToGrid w:val="0"/>
          <w:color w:val="auto"/>
          <w:kern w:val="0"/>
          <w:sz w:val="30"/>
          <w:szCs w:val="30"/>
          <w:highlight w:val="none"/>
          <w:lang w:val="en-US" w:eastAsia="zh-CN"/>
        </w:rPr>
        <w:t>3.4区域环境条件及对敏感目标的影响分析</w:t>
      </w:r>
      <w:bookmarkEnd w:id="161"/>
    </w:p>
    <w:p w14:paraId="76BA4CCE">
      <w:pPr>
        <w:pStyle w:val="23"/>
        <w:adjustRightInd w:val="0"/>
        <w:snapToGrid w:val="0"/>
        <w:spacing w:line="360" w:lineRule="auto"/>
        <w:ind w:firstLine="560"/>
        <w:rPr>
          <w:rFonts w:hint="eastAsia" w:ascii="Times New Roman" w:hAnsi="Times New Roman" w:eastAsia="宋体" w:cs="华文楷体"/>
          <w:color w:val="auto"/>
          <w:sz w:val="28"/>
          <w:szCs w:val="28"/>
          <w:highlight w:val="none"/>
        </w:rPr>
      </w:pPr>
      <w:bookmarkStart w:id="162" w:name="_Hlk496023209"/>
      <w:r>
        <w:rPr>
          <w:rFonts w:hint="eastAsia" w:ascii="Times New Roman" w:hAnsi="Times New Roman" w:eastAsia="宋体" w:cs="华文楷体"/>
          <w:color w:val="auto"/>
          <w:sz w:val="28"/>
          <w:szCs w:val="28"/>
          <w:highlight w:val="none"/>
        </w:rPr>
        <w:t>矿山开采在矿区范围内，矿山周围主要为</w:t>
      </w:r>
      <w:r>
        <w:rPr>
          <w:rFonts w:hint="eastAsia" w:ascii="Times New Roman" w:hAnsi="Times New Roman" w:eastAsia="宋体" w:cs="华文楷体"/>
          <w:color w:val="auto"/>
          <w:sz w:val="28"/>
          <w:szCs w:val="28"/>
          <w:highlight w:val="none"/>
          <w:lang w:eastAsia="zh-CN"/>
        </w:rPr>
        <w:t>水田、</w:t>
      </w:r>
      <w:r>
        <w:rPr>
          <w:rFonts w:hint="eastAsia" w:ascii="Times New Roman" w:hAnsi="Times New Roman" w:eastAsia="宋体" w:cs="华文楷体"/>
          <w:color w:val="auto"/>
          <w:sz w:val="28"/>
          <w:szCs w:val="28"/>
          <w:highlight w:val="none"/>
        </w:rPr>
        <w:t>乔木林地、其他林地</w:t>
      </w:r>
      <w:r>
        <w:rPr>
          <w:rFonts w:hint="eastAsia" w:ascii="Times New Roman" w:hAnsi="Times New Roman" w:eastAsia="宋体" w:cs="华文楷体"/>
          <w:color w:val="auto"/>
          <w:sz w:val="28"/>
          <w:szCs w:val="28"/>
          <w:highlight w:val="none"/>
          <w:lang w:eastAsia="zh-CN"/>
        </w:rPr>
        <w:t>、采矿用地</w:t>
      </w:r>
      <w:r>
        <w:rPr>
          <w:rFonts w:hint="eastAsia" w:ascii="Times New Roman" w:hAnsi="Times New Roman" w:eastAsia="宋体" w:cs="华文楷体"/>
          <w:color w:val="auto"/>
          <w:sz w:val="28"/>
          <w:szCs w:val="28"/>
          <w:highlight w:val="none"/>
        </w:rPr>
        <w:t>等，项目建设占地不涉及基本农田、生态公益林等</w:t>
      </w:r>
      <w:r>
        <w:rPr>
          <w:rFonts w:hint="eastAsia" w:ascii="Times New Roman" w:hAnsi="Times New Roman" w:eastAsia="宋体" w:cs="华文楷体"/>
          <w:color w:val="auto"/>
          <w:sz w:val="28"/>
          <w:szCs w:val="28"/>
          <w:highlight w:val="none"/>
          <w:lang w:eastAsia="zh-CN"/>
        </w:rPr>
        <w:t>生态保护红线</w:t>
      </w:r>
      <w:r>
        <w:rPr>
          <w:rFonts w:hint="eastAsia" w:ascii="Times New Roman" w:hAnsi="Times New Roman" w:eastAsia="宋体" w:cs="华文楷体"/>
          <w:color w:val="auto"/>
          <w:sz w:val="28"/>
          <w:szCs w:val="28"/>
          <w:highlight w:val="none"/>
        </w:rPr>
        <w:t>；矿区周边无各类风景保护区、人文景观和风景旅游区分布，矿山开采影响范围内无军事设施及高压电力设施等，矿山不在周边交通主干线的可视范围内</w:t>
      </w:r>
      <w:r>
        <w:rPr>
          <w:rFonts w:hint="eastAsia" w:eastAsia="宋体" w:cs="华文楷体"/>
          <w:color w:val="auto"/>
          <w:sz w:val="28"/>
          <w:szCs w:val="28"/>
          <w:highlight w:val="none"/>
          <w:lang w:eastAsia="zh-CN"/>
        </w:rPr>
        <w:t>，矿区范围内无居民点等构筑物，矿区南侧存在农林道路（已全面硬化）</w:t>
      </w:r>
      <w:r>
        <w:rPr>
          <w:rFonts w:hint="eastAsia" w:ascii="Times New Roman" w:hAnsi="Times New Roman" w:eastAsia="宋体" w:cs="华文楷体"/>
          <w:color w:val="auto"/>
          <w:sz w:val="28"/>
          <w:szCs w:val="28"/>
          <w:highlight w:val="none"/>
        </w:rPr>
        <w:t>；</w:t>
      </w:r>
    </w:p>
    <w:p w14:paraId="1B8A1ACE">
      <w:pPr>
        <w:pStyle w:val="23"/>
        <w:adjustRightInd w:val="0"/>
        <w:snapToGrid w:val="0"/>
        <w:spacing w:line="360" w:lineRule="auto"/>
        <w:ind w:firstLine="560"/>
        <w:rPr>
          <w:rFonts w:hint="default" w:eastAsia="宋体" w:cs="华文楷体"/>
          <w:color w:val="auto"/>
          <w:sz w:val="28"/>
          <w:szCs w:val="28"/>
          <w:highlight w:val="none"/>
          <w:lang w:val="en-US" w:eastAsia="zh-CN"/>
        </w:rPr>
      </w:pPr>
      <w:r>
        <w:rPr>
          <w:rFonts w:hint="eastAsia" w:ascii="Times New Roman" w:hAnsi="Times New Roman" w:eastAsia="宋体" w:cs="华文楷体"/>
          <w:color w:val="auto"/>
          <w:sz w:val="28"/>
          <w:szCs w:val="28"/>
          <w:highlight w:val="none"/>
        </w:rPr>
        <w:t>矿区</w:t>
      </w:r>
      <w:r>
        <w:rPr>
          <w:rFonts w:hint="eastAsia" w:eastAsia="宋体" w:cs="华文楷体"/>
          <w:color w:val="auto"/>
          <w:sz w:val="28"/>
          <w:szCs w:val="28"/>
          <w:highlight w:val="none"/>
          <w:lang w:eastAsia="zh-CN"/>
        </w:rPr>
        <w:t>外北侧</w:t>
      </w:r>
      <w:r>
        <w:rPr>
          <w:rFonts w:hint="eastAsia" w:eastAsia="宋体" w:cs="华文楷体"/>
          <w:color w:val="auto"/>
          <w:sz w:val="28"/>
          <w:szCs w:val="28"/>
          <w:highlight w:val="none"/>
          <w:lang w:val="en-US" w:eastAsia="zh-CN"/>
        </w:rPr>
        <w:t>1-2边界紧邻一处居民构筑物，矿区外西侧1-6边界与最近</w:t>
      </w:r>
      <w:r>
        <w:rPr>
          <w:rFonts w:hint="eastAsia" w:ascii="Times New Roman" w:hAnsi="Times New Roman" w:eastAsia="宋体" w:cs="华文楷体"/>
          <w:color w:val="auto"/>
          <w:sz w:val="28"/>
          <w:szCs w:val="28"/>
          <w:highlight w:val="none"/>
        </w:rPr>
        <w:t>居民点直距</w:t>
      </w:r>
      <w:r>
        <w:rPr>
          <w:rFonts w:hint="eastAsia" w:eastAsia="宋体" w:cs="华文楷体"/>
          <w:color w:val="auto"/>
          <w:sz w:val="28"/>
          <w:szCs w:val="28"/>
          <w:highlight w:val="none"/>
          <w:lang w:val="en-US" w:eastAsia="zh-CN"/>
        </w:rPr>
        <w:t>90</w:t>
      </w:r>
      <w:r>
        <w:rPr>
          <w:rFonts w:hint="eastAsia" w:ascii="Times New Roman" w:hAnsi="Times New Roman" w:eastAsia="宋体" w:cs="华文楷体"/>
          <w:color w:val="auto"/>
          <w:sz w:val="28"/>
          <w:szCs w:val="28"/>
          <w:highlight w:val="none"/>
        </w:rPr>
        <w:t>m</w:t>
      </w:r>
      <w:r>
        <w:rPr>
          <w:rFonts w:hint="eastAsia" w:eastAsia="宋体" w:cs="华文楷体"/>
          <w:color w:val="auto"/>
          <w:sz w:val="28"/>
          <w:szCs w:val="28"/>
          <w:highlight w:val="none"/>
          <w:lang w:eastAsia="zh-CN"/>
        </w:rPr>
        <w:t>、</w:t>
      </w:r>
      <w:r>
        <w:rPr>
          <w:rFonts w:hint="eastAsia" w:eastAsia="宋体" w:cs="华文楷体"/>
          <w:color w:val="auto"/>
          <w:sz w:val="28"/>
          <w:szCs w:val="28"/>
          <w:highlight w:val="none"/>
          <w:lang w:val="en-US" w:eastAsia="zh-CN"/>
        </w:rPr>
        <w:t>矿区外西侧6号拐点</w:t>
      </w:r>
      <w:r>
        <w:rPr>
          <w:rFonts w:hint="eastAsia" w:eastAsia="宋体" w:cs="华文楷体"/>
          <w:color w:val="auto"/>
          <w:sz w:val="28"/>
          <w:szCs w:val="28"/>
          <w:highlight w:val="none"/>
          <w:lang w:eastAsia="zh-CN"/>
        </w:rPr>
        <w:t>与上龙坑集中住宅点最近直距</w:t>
      </w:r>
      <w:r>
        <w:rPr>
          <w:rFonts w:hint="eastAsia" w:eastAsia="宋体" w:cs="华文楷体"/>
          <w:color w:val="auto"/>
          <w:sz w:val="28"/>
          <w:szCs w:val="28"/>
          <w:highlight w:val="none"/>
          <w:lang w:val="en-US" w:eastAsia="zh-CN"/>
        </w:rPr>
        <w:t>490m。以上构筑物不在开采圈定的错动影响范围，因</w:t>
      </w:r>
      <w:r>
        <w:rPr>
          <w:rFonts w:hint="eastAsia" w:ascii="Times New Roman" w:hAnsi="Times New Roman" w:eastAsia="宋体" w:cs="华文楷体"/>
          <w:color w:val="auto"/>
          <w:sz w:val="28"/>
          <w:szCs w:val="28"/>
          <w:highlight w:val="none"/>
        </w:rPr>
        <w:t>矿区</w:t>
      </w:r>
      <w:r>
        <w:rPr>
          <w:rFonts w:hint="eastAsia" w:eastAsia="宋体" w:cs="华文楷体"/>
          <w:color w:val="auto"/>
          <w:sz w:val="28"/>
          <w:szCs w:val="28"/>
          <w:highlight w:val="none"/>
          <w:lang w:eastAsia="zh-CN"/>
        </w:rPr>
        <w:t>外北侧</w:t>
      </w:r>
      <w:r>
        <w:rPr>
          <w:rFonts w:hint="eastAsia" w:eastAsia="宋体" w:cs="华文楷体"/>
          <w:color w:val="auto"/>
          <w:sz w:val="28"/>
          <w:szCs w:val="28"/>
          <w:highlight w:val="none"/>
          <w:lang w:val="en-US" w:eastAsia="zh-CN"/>
        </w:rPr>
        <w:t>1-2边界紧邻的居民构筑物距侧下方设计斜坡道高差达70m，且未进行采矿，故不存在地表沉降及垮塌的风险，只是在斜坡道掘进过程中爆破时对地表构筑物造成一定的震动。建议斜坡道掘进至</w:t>
      </w:r>
      <w:r>
        <w:rPr>
          <w:rFonts w:hint="eastAsia" w:ascii="Times New Roman" w:hAnsi="Times New Roman" w:eastAsia="宋体" w:cs="华文楷体"/>
          <w:color w:val="auto"/>
          <w:sz w:val="28"/>
          <w:szCs w:val="28"/>
          <w:highlight w:val="none"/>
          <w:lang w:eastAsia="zh-CN"/>
        </w:rPr>
        <w:t>该</w:t>
      </w:r>
      <w:r>
        <w:rPr>
          <w:rFonts w:hint="eastAsia" w:eastAsia="宋体" w:cs="华文楷体"/>
          <w:color w:val="auto"/>
          <w:sz w:val="28"/>
          <w:szCs w:val="28"/>
          <w:highlight w:val="none"/>
          <w:lang w:val="en-US" w:eastAsia="zh-CN"/>
        </w:rPr>
        <w:t>居民构筑物下方附近时，采用光面爆破，减少爆破装药量，尽量减轻爆破震动对地表居民构筑物的影响。</w:t>
      </w:r>
    </w:p>
    <w:p w14:paraId="408504E7">
      <w:pPr>
        <w:pStyle w:val="23"/>
        <w:adjustRightInd w:val="0"/>
        <w:snapToGrid w:val="0"/>
        <w:spacing w:line="360" w:lineRule="auto"/>
        <w:ind w:firstLine="560"/>
        <w:rPr>
          <w:rFonts w:hint="eastAsia" w:eastAsia="宋体" w:cs="华文楷体"/>
          <w:color w:val="auto"/>
          <w:sz w:val="28"/>
          <w:szCs w:val="28"/>
          <w:highlight w:val="none"/>
          <w:lang w:val="en-US" w:eastAsia="zh-CN"/>
        </w:rPr>
      </w:pPr>
      <w:r>
        <w:rPr>
          <w:rFonts w:hint="eastAsia" w:ascii="Times New Roman" w:hAnsi="Times New Roman" w:eastAsia="宋体" w:cs="华文楷体"/>
          <w:color w:val="auto"/>
          <w:sz w:val="28"/>
          <w:szCs w:val="28"/>
          <w:highlight w:val="none"/>
        </w:rPr>
        <w:t>矿区</w:t>
      </w:r>
      <w:r>
        <w:rPr>
          <w:rFonts w:hint="eastAsia" w:eastAsia="宋体" w:cs="华文楷体"/>
          <w:color w:val="auto"/>
          <w:sz w:val="28"/>
          <w:szCs w:val="28"/>
          <w:highlight w:val="none"/>
          <w:lang w:eastAsia="zh-CN"/>
        </w:rPr>
        <w:t>内存在连片水田，永久基本农田其中东南侧存在</w:t>
      </w:r>
      <w:r>
        <w:rPr>
          <w:rFonts w:hint="eastAsia" w:eastAsia="宋体" w:cs="华文楷体"/>
          <w:color w:val="auto"/>
          <w:sz w:val="28"/>
          <w:szCs w:val="28"/>
          <w:highlight w:val="none"/>
          <w:lang w:val="en-US" w:eastAsia="zh-CN"/>
        </w:rPr>
        <w:t>4个区块[</w:t>
      </w:r>
      <w:r>
        <w:rPr>
          <w:rFonts w:hint="eastAsia" w:eastAsia="宋体" w:cs="华文楷体"/>
          <w:color w:val="auto"/>
          <w:sz w:val="28"/>
          <w:szCs w:val="28"/>
          <w:highlight w:val="none"/>
          <w:lang w:eastAsia="zh-CN"/>
        </w:rPr>
        <w:t>①</w:t>
      </w:r>
      <w:r>
        <w:rPr>
          <w:rFonts w:hint="eastAsia" w:eastAsia="宋体" w:cs="华文楷体"/>
          <w:color w:val="auto"/>
          <w:sz w:val="28"/>
          <w:szCs w:val="28"/>
          <w:highlight w:val="none"/>
          <w:lang w:val="en-US" w:eastAsia="zh-CN"/>
        </w:rPr>
        <w:t>1448m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vertAlign w:val="baseline"/>
          <w:lang w:val="en-US" w:eastAsia="zh-CN"/>
        </w:rPr>
        <w:t>（矿区内5m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vertAlign w:val="baseline"/>
          <w:lang w:val="en-US" w:eastAsia="zh-CN"/>
        </w:rPr>
        <w:t>）</w:t>
      </w:r>
      <w:r>
        <w:rPr>
          <w:rFonts w:hint="eastAsia" w:eastAsia="宋体" w:cs="华文楷体"/>
          <w:color w:val="auto"/>
          <w:sz w:val="28"/>
          <w:szCs w:val="28"/>
          <w:highlight w:val="none"/>
          <w:lang w:val="en-US" w:eastAsia="zh-CN"/>
        </w:rPr>
        <w:t>、</w:t>
      </w:r>
      <w:r>
        <w:rPr>
          <w:rFonts w:hint="eastAsia" w:eastAsia="宋体" w:cs="华文楷体"/>
          <w:color w:val="auto"/>
          <w:sz w:val="28"/>
          <w:szCs w:val="28"/>
          <w:highlight w:val="none"/>
          <w:lang w:eastAsia="zh-CN"/>
        </w:rPr>
        <w:t>②</w:t>
      </w:r>
      <w:r>
        <w:rPr>
          <w:rFonts w:hint="eastAsia" w:eastAsia="宋体" w:cs="华文楷体"/>
          <w:color w:val="auto"/>
          <w:sz w:val="28"/>
          <w:szCs w:val="28"/>
          <w:highlight w:val="none"/>
          <w:lang w:val="en-US" w:eastAsia="zh-CN"/>
        </w:rPr>
        <w:t>3546m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vertAlign w:val="baseline"/>
          <w:lang w:val="en-US" w:eastAsia="zh-CN"/>
        </w:rPr>
        <w:t>（矿区内560m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vertAlign w:val="baseline"/>
          <w:lang w:val="en-US" w:eastAsia="zh-CN"/>
        </w:rPr>
        <w:t>）</w:t>
      </w:r>
      <w:r>
        <w:rPr>
          <w:rFonts w:hint="eastAsia" w:eastAsia="宋体" w:cs="华文楷体"/>
          <w:color w:val="auto"/>
          <w:sz w:val="28"/>
          <w:szCs w:val="28"/>
          <w:highlight w:val="none"/>
          <w:lang w:val="en-US" w:eastAsia="zh-CN"/>
        </w:rPr>
        <w:t>、③8016m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vertAlign w:val="baseline"/>
          <w:lang w:val="en-US" w:eastAsia="zh-CN"/>
        </w:rPr>
        <w:t>（矿区内5737m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vertAlign w:val="baseline"/>
          <w:lang w:val="en-US" w:eastAsia="zh-CN"/>
        </w:rPr>
        <w:t>）</w:t>
      </w:r>
      <w:r>
        <w:rPr>
          <w:rFonts w:hint="eastAsia" w:eastAsia="宋体" w:cs="华文楷体"/>
          <w:color w:val="auto"/>
          <w:sz w:val="28"/>
          <w:szCs w:val="28"/>
          <w:highlight w:val="none"/>
          <w:lang w:val="en-US" w:eastAsia="zh-CN"/>
        </w:rPr>
        <w:t>、④8626m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lang w:val="en-US" w:eastAsia="zh-CN"/>
        </w:rPr>
        <w:t>]</w:t>
      </w:r>
      <w:r>
        <w:rPr>
          <w:rFonts w:hint="eastAsia" w:eastAsia="宋体" w:cs="华文楷体"/>
          <w:color w:val="auto"/>
          <w:sz w:val="28"/>
          <w:szCs w:val="28"/>
          <w:highlight w:val="none"/>
          <w:lang w:eastAsia="zh-CN"/>
        </w:rPr>
        <w:t>，中部存在</w:t>
      </w:r>
      <w:r>
        <w:rPr>
          <w:rFonts w:hint="eastAsia" w:eastAsia="宋体" w:cs="华文楷体"/>
          <w:color w:val="auto"/>
          <w:sz w:val="28"/>
          <w:szCs w:val="28"/>
          <w:highlight w:val="none"/>
          <w:lang w:val="en-US" w:eastAsia="zh-CN"/>
        </w:rPr>
        <w:t>1个区块[</w:t>
      </w:r>
      <w:r>
        <w:rPr>
          <w:rFonts w:hint="eastAsia" w:eastAsia="宋体" w:cs="华文楷体"/>
          <w:color w:val="auto"/>
          <w:sz w:val="28"/>
          <w:szCs w:val="28"/>
          <w:highlight w:val="none"/>
          <w:lang w:eastAsia="zh-CN"/>
        </w:rPr>
        <w:t>⑤</w:t>
      </w:r>
      <w:r>
        <w:rPr>
          <w:rFonts w:hint="eastAsia" w:eastAsia="宋体" w:cs="华文楷体"/>
          <w:color w:val="auto"/>
          <w:sz w:val="28"/>
          <w:szCs w:val="28"/>
          <w:highlight w:val="none"/>
          <w:lang w:val="en-US" w:eastAsia="zh-CN"/>
        </w:rPr>
        <w:t>16726m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vertAlign w:val="baseline"/>
          <w:lang w:val="en-US" w:eastAsia="zh-CN"/>
        </w:rPr>
        <w:t>（矿区内14775m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vertAlign w:val="baseline"/>
          <w:lang w:val="en-US" w:eastAsia="zh-CN"/>
        </w:rPr>
        <w:t>）</w:t>
      </w:r>
      <w:r>
        <w:rPr>
          <w:rFonts w:hint="eastAsia" w:eastAsia="宋体" w:cs="华文楷体"/>
          <w:color w:val="auto"/>
          <w:sz w:val="28"/>
          <w:szCs w:val="28"/>
          <w:highlight w:val="none"/>
          <w:lang w:val="en-US" w:eastAsia="zh-CN"/>
        </w:rPr>
        <w:t>]</w:t>
      </w:r>
      <w:r>
        <w:rPr>
          <w:rFonts w:hint="eastAsia" w:eastAsia="宋体" w:cs="华文楷体"/>
          <w:color w:val="auto"/>
          <w:sz w:val="28"/>
          <w:szCs w:val="28"/>
          <w:highlight w:val="none"/>
          <w:lang w:eastAsia="zh-CN"/>
        </w:rPr>
        <w:t>，西南侧存在</w:t>
      </w:r>
      <w:r>
        <w:rPr>
          <w:rFonts w:hint="eastAsia" w:eastAsia="宋体" w:cs="华文楷体"/>
          <w:color w:val="auto"/>
          <w:sz w:val="28"/>
          <w:szCs w:val="28"/>
          <w:highlight w:val="none"/>
          <w:lang w:val="en-US" w:eastAsia="zh-CN"/>
        </w:rPr>
        <w:t>1个区块[</w:t>
      </w:r>
      <w:r>
        <w:rPr>
          <w:rFonts w:hint="eastAsia" w:eastAsia="宋体" w:cs="华文楷体"/>
          <w:color w:val="auto"/>
          <w:sz w:val="28"/>
          <w:szCs w:val="28"/>
          <w:highlight w:val="none"/>
          <w:lang w:eastAsia="zh-CN"/>
        </w:rPr>
        <w:t>⑥</w:t>
      </w:r>
      <w:r>
        <w:rPr>
          <w:rFonts w:hint="eastAsia" w:eastAsia="宋体" w:cs="华文楷体"/>
          <w:color w:val="auto"/>
          <w:sz w:val="28"/>
          <w:szCs w:val="28"/>
          <w:highlight w:val="none"/>
          <w:lang w:val="en-US" w:eastAsia="zh-CN"/>
        </w:rPr>
        <w:t>16700m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vertAlign w:val="baseline"/>
          <w:lang w:val="en-US" w:eastAsia="zh-CN"/>
        </w:rPr>
        <w:t>（矿区内5704m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vertAlign w:val="baseline"/>
          <w:lang w:val="en-US" w:eastAsia="zh-CN"/>
        </w:rPr>
        <w:t>）</w:t>
      </w:r>
      <w:r>
        <w:rPr>
          <w:rFonts w:hint="eastAsia" w:eastAsia="宋体" w:cs="华文楷体"/>
          <w:color w:val="auto"/>
          <w:sz w:val="28"/>
          <w:szCs w:val="28"/>
          <w:highlight w:val="none"/>
          <w:lang w:val="en-US" w:eastAsia="zh-CN"/>
        </w:rPr>
        <w:t>]</w:t>
      </w:r>
      <w:r>
        <w:rPr>
          <w:rFonts w:hint="eastAsia" w:eastAsia="宋体" w:cs="华文楷体"/>
          <w:color w:val="auto"/>
          <w:sz w:val="28"/>
          <w:szCs w:val="28"/>
          <w:highlight w:val="none"/>
          <w:lang w:eastAsia="zh-CN"/>
        </w:rPr>
        <w:t>；错动影响区内水田有</w:t>
      </w:r>
      <w:r>
        <w:rPr>
          <w:rFonts w:hint="eastAsia" w:eastAsia="宋体" w:cs="华文楷体"/>
          <w:color w:val="auto"/>
          <w:sz w:val="28"/>
          <w:szCs w:val="28"/>
          <w:highlight w:val="none"/>
          <w:lang w:val="en-US" w:eastAsia="zh-CN"/>
        </w:rPr>
        <w:t>3个区块[东部19557m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lang w:val="en-US" w:eastAsia="zh-CN"/>
        </w:rPr>
        <w:t>（其中永久基本农田11156m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lang w:val="en-US" w:eastAsia="zh-CN"/>
        </w:rPr>
        <w:t>，即⑤地块部分区域）、中部3511m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lang w:val="en-US" w:eastAsia="zh-CN"/>
        </w:rPr>
        <w:t>（⑦）、西部6746m</w:t>
      </w:r>
      <w:r>
        <w:rPr>
          <w:rFonts w:hint="eastAsia" w:eastAsia="宋体" w:cs="华文楷体"/>
          <w:color w:val="auto"/>
          <w:sz w:val="28"/>
          <w:szCs w:val="28"/>
          <w:highlight w:val="none"/>
          <w:vertAlign w:val="superscript"/>
          <w:lang w:val="en-US" w:eastAsia="zh-CN"/>
        </w:rPr>
        <w:t>2</w:t>
      </w:r>
      <w:r>
        <w:rPr>
          <w:rFonts w:hint="eastAsia" w:eastAsia="宋体" w:cs="华文楷体"/>
          <w:color w:val="auto"/>
          <w:sz w:val="28"/>
          <w:szCs w:val="28"/>
          <w:highlight w:val="none"/>
          <w:lang w:val="en-US" w:eastAsia="zh-CN"/>
        </w:rPr>
        <w:t>（⑧）]。</w:t>
      </w:r>
    </w:p>
    <w:p w14:paraId="38B8C2CF">
      <w:pPr>
        <w:pStyle w:val="23"/>
        <w:pageBreakBefore w:val="0"/>
        <w:widowControl w:val="0"/>
        <w:kinsoku/>
        <w:wordWrap/>
        <w:overflowPunct/>
        <w:topLinePunct w:val="0"/>
        <w:autoSpaceDE/>
        <w:autoSpaceDN/>
        <w:bidi w:val="0"/>
        <w:snapToGrid w:val="0"/>
        <w:spacing w:line="360" w:lineRule="auto"/>
        <w:ind w:firstLine="572"/>
        <w:rPr>
          <w:rFonts w:hint="eastAsia" w:eastAsia="宋体" w:cs="华文楷体"/>
          <w:color w:val="auto"/>
          <w:sz w:val="28"/>
          <w:szCs w:val="28"/>
          <w:highlight w:val="none"/>
          <w:lang w:eastAsia="zh-CN"/>
        </w:rPr>
      </w:pPr>
      <w:r>
        <w:rPr>
          <w:rFonts w:hint="eastAsia" w:ascii="宋体" w:hAnsi="宋体" w:eastAsia="宋体" w:cs="宋体"/>
          <w:color w:val="auto"/>
          <w:sz w:val="28"/>
          <w:highlight w:val="none"/>
          <w:lang w:eastAsia="zh-CN"/>
        </w:rPr>
        <w:t>本次设计的矿石中转场占用基本农田，拟将该块段基本农田调整为建设用地，目前已上报自然资源部审批，必须经自然资源部审批同意后，方可动用该矿石中转场。另外</w:t>
      </w:r>
      <w:r>
        <w:rPr>
          <w:rFonts w:hint="eastAsia" w:eastAsia="宋体" w:cs="华文楷体"/>
          <w:color w:val="auto"/>
          <w:sz w:val="28"/>
          <w:szCs w:val="28"/>
          <w:highlight w:val="none"/>
          <w:lang w:eastAsia="zh-CN"/>
        </w:rPr>
        <w:t>错动影响区内有</w:t>
      </w:r>
      <w:r>
        <w:rPr>
          <w:rFonts w:hint="eastAsia" w:eastAsia="宋体" w:cs="华文楷体"/>
          <w:color w:val="auto"/>
          <w:sz w:val="28"/>
          <w:szCs w:val="28"/>
          <w:highlight w:val="none"/>
          <w:lang w:val="en-US" w:eastAsia="zh-CN"/>
        </w:rPr>
        <w:t>3块基本农田</w:t>
      </w:r>
      <w:r>
        <w:rPr>
          <w:rFonts w:hint="eastAsia" w:eastAsia="宋体" w:cs="华文楷体"/>
          <w:color w:val="auto"/>
          <w:sz w:val="28"/>
          <w:szCs w:val="28"/>
          <w:highlight w:val="none"/>
          <w:lang w:eastAsia="zh-CN"/>
        </w:rPr>
        <w:t>，基本农田底部为黏土，为隔水层。基本农田灌溉水主要来自大气降水及矿区南部的溪沟水，不受矿山开采影响。未来矿山只要严格按设计开采，将不会对基本农田产生压占、挖损。</w:t>
      </w:r>
    </w:p>
    <w:p w14:paraId="13C4ABE6">
      <w:pPr>
        <w:pStyle w:val="23"/>
        <w:adjustRightInd w:val="0"/>
        <w:snapToGrid w:val="0"/>
        <w:spacing w:line="360" w:lineRule="auto"/>
        <w:ind w:firstLine="560"/>
        <w:rPr>
          <w:rFonts w:hint="eastAsia" w:eastAsia="宋体" w:cs="华文楷体"/>
          <w:color w:val="auto"/>
          <w:sz w:val="28"/>
          <w:szCs w:val="28"/>
          <w:highlight w:val="none"/>
          <w:lang w:eastAsia="zh-CN"/>
        </w:rPr>
      </w:pPr>
      <w:r>
        <w:rPr>
          <w:rFonts w:hint="eastAsia" w:ascii="宋体" w:hAnsi="宋体" w:eastAsia="宋体" w:cs="宋体"/>
          <w:color w:val="auto"/>
          <w:sz w:val="28"/>
          <w:szCs w:val="28"/>
          <w:highlight w:val="none"/>
          <w:lang w:eastAsia="zh-CN"/>
        </w:rPr>
        <w:t>根据</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eastAsia="zh-CN"/>
        </w:rPr>
        <w:t>福州大学</w:t>
      </w:r>
      <w:r>
        <w:rPr>
          <w:rFonts w:hint="eastAsia" w:ascii="宋体" w:hAnsi="宋体" w:eastAsia="宋体" w:cs="宋体"/>
          <w:color w:val="auto"/>
          <w:sz w:val="28"/>
          <w:szCs w:val="28"/>
          <w:highlight w:val="none"/>
        </w:rPr>
        <w:t>编制</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福建省</w:t>
      </w:r>
      <w:r>
        <w:rPr>
          <w:rFonts w:hint="eastAsia" w:ascii="宋体" w:hAnsi="宋体" w:eastAsia="宋体" w:cs="宋体"/>
          <w:color w:val="auto"/>
          <w:sz w:val="28"/>
          <w:szCs w:val="28"/>
          <w:highlight w:val="none"/>
        </w:rPr>
        <w:t>明溪县</w:t>
      </w:r>
      <w:r>
        <w:rPr>
          <w:rFonts w:hint="eastAsia" w:ascii="宋体" w:hAnsi="宋体" w:eastAsia="宋体" w:cs="宋体"/>
          <w:color w:val="auto"/>
          <w:sz w:val="28"/>
          <w:szCs w:val="28"/>
          <w:highlight w:val="none"/>
          <w:lang w:eastAsia="zh-CN"/>
        </w:rPr>
        <w:t>上龙坑矿区方解石矿地表安全论证</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，同时</w:t>
      </w:r>
      <w:r>
        <w:rPr>
          <w:rFonts w:hint="eastAsia" w:eastAsia="宋体" w:cs="华文楷体"/>
          <w:color w:val="auto"/>
          <w:sz w:val="28"/>
          <w:szCs w:val="28"/>
          <w:highlight w:val="none"/>
          <w:lang w:eastAsia="zh-CN"/>
        </w:rPr>
        <w:t>根据开采矿体赋存产状，设计采用斜坡道开拓、汽车运输方式。未来矿山只要严格按设计开采，对基本农田下方采空区的矿柱不予回收，并将矿山基建和采矿过程中产生的废石全部充填到基本农田下方的采空区，将不会造成基本农田塌陷。开拓巷道在基本农田周边距离较近，对地下水有一定影响。矿山长期开采疏排地下水，将造成开采区域地下基岩裂隙水水位下降，并形成区域水位降落漏斗，对区内地下开采区域及其周边地下水均衡造成一定的影响。部分基本农田位于矿井疏排地下水范围内，预测将来矿山开采将会对部分基本农田所在位置的地下水进行疏排，由于区内基本农田底部为粘性土，厚 1—2m，渗透性差，为隔水层，灌溉水是溪沟水，不是地下水，而溪沟水源充足，常年流水，能够满足矿区范围内农田正常耕作需要。因此地下开采造成的地下水疏干对基本农田用水无影响。</w:t>
      </w:r>
    </w:p>
    <w:p w14:paraId="06E654DC">
      <w:pPr>
        <w:pStyle w:val="23"/>
        <w:adjustRightInd w:val="0"/>
        <w:snapToGrid w:val="0"/>
        <w:spacing w:line="360" w:lineRule="auto"/>
        <w:ind w:firstLine="560"/>
        <w:rPr>
          <w:rFonts w:hint="eastAsia" w:eastAsia="宋体" w:cs="华文楷体"/>
          <w:color w:val="auto"/>
          <w:sz w:val="28"/>
          <w:szCs w:val="28"/>
          <w:highlight w:val="none"/>
          <w:lang w:eastAsia="zh-CN"/>
        </w:rPr>
      </w:pPr>
      <w:r>
        <w:rPr>
          <w:rFonts w:hint="eastAsia" w:eastAsia="宋体" w:cs="华文楷体"/>
          <w:color w:val="auto"/>
          <w:sz w:val="28"/>
          <w:szCs w:val="28"/>
          <w:highlight w:val="none"/>
          <w:lang w:eastAsia="zh-CN"/>
        </w:rPr>
        <w:t>未来矿山开采过程中产生的废水应严格按环保部门的要求进行处理，经沉淀池净化达标后排放，则将不会对基本农田的灌溉用水产生污染。</w:t>
      </w:r>
    </w:p>
    <w:p w14:paraId="408AD3EA">
      <w:pPr>
        <w:pStyle w:val="23"/>
        <w:adjustRightInd w:val="0"/>
        <w:snapToGrid w:val="0"/>
        <w:spacing w:line="360" w:lineRule="auto"/>
        <w:ind w:firstLine="560"/>
        <w:rPr>
          <w:rFonts w:hint="eastAsia" w:eastAsia="宋体" w:cs="华文楷体"/>
          <w:color w:val="auto"/>
          <w:sz w:val="28"/>
          <w:szCs w:val="28"/>
          <w:highlight w:val="none"/>
          <w:lang w:val="en-US" w:eastAsia="zh-CN"/>
        </w:rPr>
      </w:pPr>
      <w:r>
        <w:rPr>
          <w:rFonts w:hint="eastAsia" w:eastAsia="宋体" w:cs="华文楷体"/>
          <w:color w:val="auto"/>
          <w:sz w:val="28"/>
          <w:szCs w:val="28"/>
          <w:highlight w:val="none"/>
          <w:lang w:eastAsia="zh-CN"/>
        </w:rPr>
        <w:t>矿区外东侧</w:t>
      </w:r>
      <w:r>
        <w:rPr>
          <w:rFonts w:hint="eastAsia" w:eastAsia="宋体" w:cs="华文楷体"/>
          <w:color w:val="auto"/>
          <w:sz w:val="28"/>
          <w:szCs w:val="28"/>
          <w:highlight w:val="none"/>
          <w:lang w:val="en-US" w:eastAsia="zh-CN"/>
        </w:rPr>
        <w:t>5号</w:t>
      </w:r>
      <w:r>
        <w:rPr>
          <w:rFonts w:hint="eastAsia" w:eastAsia="宋体" w:cs="华文楷体"/>
          <w:color w:val="auto"/>
          <w:sz w:val="28"/>
          <w:szCs w:val="28"/>
          <w:highlight w:val="none"/>
          <w:lang w:eastAsia="zh-CN"/>
        </w:rPr>
        <w:t>拐点与生态保护红线保护区最近直距</w:t>
      </w:r>
      <w:r>
        <w:rPr>
          <w:rFonts w:hint="eastAsia" w:eastAsia="宋体" w:cs="华文楷体"/>
          <w:color w:val="auto"/>
          <w:sz w:val="28"/>
          <w:szCs w:val="28"/>
          <w:highlight w:val="none"/>
          <w:lang w:val="en-US" w:eastAsia="zh-CN"/>
        </w:rPr>
        <w:t>94m、</w:t>
      </w:r>
      <w:r>
        <w:rPr>
          <w:rFonts w:hint="eastAsia" w:ascii="Times New Roman" w:hAnsi="Times New Roman" w:eastAsia="宋体" w:cs="华文楷体"/>
          <w:color w:val="auto"/>
          <w:sz w:val="28"/>
          <w:szCs w:val="28"/>
          <w:highlight w:val="none"/>
        </w:rPr>
        <w:t>矿区</w:t>
      </w:r>
      <w:r>
        <w:rPr>
          <w:rFonts w:hint="eastAsia" w:eastAsia="宋体" w:cs="华文楷体"/>
          <w:color w:val="auto"/>
          <w:sz w:val="28"/>
          <w:szCs w:val="28"/>
          <w:highlight w:val="none"/>
          <w:lang w:eastAsia="zh-CN"/>
        </w:rPr>
        <w:t>西北侧</w:t>
      </w:r>
      <w:r>
        <w:rPr>
          <w:rFonts w:hint="eastAsia" w:eastAsia="宋体" w:cs="华文楷体"/>
          <w:color w:val="auto"/>
          <w:sz w:val="28"/>
          <w:szCs w:val="28"/>
          <w:highlight w:val="none"/>
          <w:lang w:val="en-US" w:eastAsia="zh-CN"/>
        </w:rPr>
        <w:t>1-2边界紧邻生态保护红线</w:t>
      </w:r>
      <w:r>
        <w:rPr>
          <w:rFonts w:hint="eastAsia" w:eastAsia="宋体" w:cs="华文楷体"/>
          <w:color w:val="auto"/>
          <w:sz w:val="28"/>
          <w:szCs w:val="28"/>
          <w:highlight w:val="none"/>
          <w:lang w:eastAsia="zh-CN"/>
        </w:rPr>
        <w:t>保护区</w:t>
      </w:r>
      <w:r>
        <w:rPr>
          <w:rFonts w:hint="eastAsia" w:eastAsia="宋体" w:cs="华文楷体"/>
          <w:color w:val="auto"/>
          <w:sz w:val="28"/>
          <w:szCs w:val="28"/>
          <w:highlight w:val="none"/>
          <w:lang w:val="en-US" w:eastAsia="zh-CN"/>
        </w:rPr>
        <w:t>、矿区外南侧5-6边界</w:t>
      </w:r>
      <w:r>
        <w:rPr>
          <w:rFonts w:hint="eastAsia" w:eastAsia="宋体" w:cs="华文楷体"/>
          <w:color w:val="auto"/>
          <w:sz w:val="28"/>
          <w:szCs w:val="28"/>
          <w:highlight w:val="none"/>
          <w:lang w:eastAsia="zh-CN"/>
        </w:rPr>
        <w:t>与生态保护红线保护区最近直距</w:t>
      </w:r>
      <w:r>
        <w:rPr>
          <w:rFonts w:hint="eastAsia" w:eastAsia="宋体" w:cs="华文楷体"/>
          <w:color w:val="auto"/>
          <w:sz w:val="28"/>
          <w:szCs w:val="28"/>
          <w:highlight w:val="none"/>
          <w:lang w:val="en-US" w:eastAsia="zh-CN"/>
        </w:rPr>
        <w:t>180m。</w:t>
      </w:r>
    </w:p>
    <w:p w14:paraId="452A7C61">
      <w:pPr>
        <w:pStyle w:val="23"/>
        <w:adjustRightInd w:val="0"/>
        <w:snapToGrid w:val="0"/>
        <w:spacing w:line="360" w:lineRule="auto"/>
        <w:ind w:firstLine="560"/>
        <w:rPr>
          <w:rFonts w:hint="default" w:ascii="Times New Roman" w:hAnsi="Times New Roman" w:eastAsia="宋体" w:cs="华文楷体"/>
          <w:color w:val="auto"/>
          <w:sz w:val="28"/>
          <w:szCs w:val="28"/>
          <w:highlight w:val="none"/>
          <w:lang w:val="en-US" w:eastAsia="zh-CN"/>
        </w:rPr>
      </w:pPr>
      <w:r>
        <w:rPr>
          <w:rFonts w:hint="eastAsia" w:ascii="Times New Roman" w:hAnsi="Times New Roman" w:eastAsia="宋体" w:cs="华文楷体"/>
          <w:color w:val="auto"/>
          <w:sz w:val="28"/>
          <w:szCs w:val="28"/>
          <w:highlight w:val="none"/>
        </w:rPr>
        <w:t>项目不在当地饮用水源保护区范围内，项目不在当地饮用水源保护区范围内，矿区不属于重点干流，矿区</w:t>
      </w:r>
      <w:r>
        <w:rPr>
          <w:rFonts w:hint="eastAsia" w:ascii="Times New Roman" w:hAnsi="Times New Roman" w:eastAsia="宋体" w:cs="华文楷体"/>
          <w:color w:val="auto"/>
          <w:sz w:val="28"/>
          <w:szCs w:val="28"/>
          <w:highlight w:val="none"/>
          <w:lang w:eastAsia="zh-CN"/>
        </w:rPr>
        <w:t>南侧存在由东流向西上龙坑溪流，其经</w:t>
      </w:r>
      <w:r>
        <w:rPr>
          <w:rFonts w:hint="eastAsia" w:ascii="Times New Roman" w:hAnsi="Times New Roman" w:eastAsia="宋体" w:cs="华文楷体"/>
          <w:color w:val="auto"/>
          <w:sz w:val="28"/>
          <w:szCs w:val="28"/>
          <w:highlight w:val="none"/>
          <w:lang w:val="en-US" w:eastAsia="zh-CN"/>
        </w:rPr>
        <w:t>12.73km河流汇入下游</w:t>
      </w:r>
      <w:r>
        <w:rPr>
          <w:rFonts w:hint="eastAsia" w:ascii="Times New Roman" w:hAnsi="Times New Roman" w:eastAsia="宋体" w:cs="华文楷体"/>
          <w:color w:val="auto"/>
          <w:sz w:val="28"/>
          <w:szCs w:val="28"/>
          <w:highlight w:val="none"/>
        </w:rPr>
        <w:t>鱼塘溪；矿区及周边现有人类工程活动主要为矿山现有采矿活动和农林耕种活动等。</w:t>
      </w:r>
      <w:r>
        <w:rPr>
          <w:rFonts w:hint="eastAsia" w:ascii="宋体" w:hAnsi="宋体" w:eastAsia="宋体" w:cs="宋体"/>
          <w:color w:val="auto"/>
          <w:sz w:val="28"/>
          <w:szCs w:val="28"/>
          <w:highlight w:val="none"/>
          <w:lang w:val="en-US" w:eastAsia="zh-CN"/>
        </w:rPr>
        <w:t>分布情况详见下表3-3及插图3-1</w:t>
      </w:r>
    </w:p>
    <w:p w14:paraId="7C2E3DCE">
      <w:pPr>
        <w:snapToGrid w:val="0"/>
        <w:spacing w:line="360" w:lineRule="auto"/>
        <w:ind w:firstLine="570" w:firstLineChars="200"/>
        <w:jc w:val="right"/>
        <w:rPr>
          <w:rFonts w:hint="default"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rPr>
        <w:t>矿区范围周边敏感目标分析             表</w:t>
      </w:r>
      <w:r>
        <w:rPr>
          <w:rFonts w:hint="eastAsia" w:ascii="Times New Roman" w:hAnsi="Times New Roman" w:eastAsia="宋体"/>
          <w:color w:val="auto"/>
          <w:sz w:val="28"/>
          <w:szCs w:val="28"/>
          <w:highlight w:val="none"/>
          <w:lang w:val="en-US" w:eastAsia="zh-CN"/>
        </w:rPr>
        <w:t>3-3</w:t>
      </w:r>
    </w:p>
    <w:tbl>
      <w:tblPr>
        <w:tblStyle w:val="18"/>
        <w:tblW w:w="9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025"/>
        <w:gridCol w:w="3380"/>
        <w:gridCol w:w="1620"/>
        <w:gridCol w:w="2655"/>
      </w:tblGrid>
      <w:tr w14:paraId="3078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noWrap w:val="0"/>
            <w:vAlign w:val="center"/>
          </w:tcPr>
          <w:p w14:paraId="0ED311B3">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序号</w:t>
            </w:r>
          </w:p>
        </w:tc>
        <w:tc>
          <w:tcPr>
            <w:tcW w:w="1025" w:type="dxa"/>
            <w:noWrap w:val="0"/>
            <w:vAlign w:val="center"/>
          </w:tcPr>
          <w:p w14:paraId="63C87299">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名称</w:t>
            </w:r>
          </w:p>
        </w:tc>
        <w:tc>
          <w:tcPr>
            <w:tcW w:w="3380" w:type="dxa"/>
            <w:noWrap w:val="0"/>
            <w:vAlign w:val="center"/>
          </w:tcPr>
          <w:p w14:paraId="2A05A895">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方位、距离</w:t>
            </w:r>
          </w:p>
        </w:tc>
        <w:tc>
          <w:tcPr>
            <w:tcW w:w="1620" w:type="dxa"/>
            <w:noWrap w:val="0"/>
            <w:vAlign w:val="center"/>
          </w:tcPr>
          <w:p w14:paraId="73C0B2B6">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敏感因素</w:t>
            </w:r>
          </w:p>
        </w:tc>
        <w:tc>
          <w:tcPr>
            <w:tcW w:w="2655" w:type="dxa"/>
            <w:noWrap w:val="0"/>
            <w:vAlign w:val="center"/>
          </w:tcPr>
          <w:p w14:paraId="4377D913">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lang w:eastAsia="zh-CN"/>
              </w:rPr>
              <w:t>防治</w:t>
            </w:r>
            <w:r>
              <w:rPr>
                <w:rFonts w:hint="eastAsia" w:ascii="Times New Roman" w:hAnsi="Times New Roman" w:eastAsia="宋体"/>
                <w:color w:val="auto"/>
                <w:sz w:val="24"/>
                <w:highlight w:val="none"/>
              </w:rPr>
              <w:t>分析结果</w:t>
            </w:r>
          </w:p>
        </w:tc>
      </w:tr>
      <w:tr w14:paraId="7E7B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restart"/>
            <w:noWrap w:val="0"/>
            <w:vAlign w:val="center"/>
          </w:tcPr>
          <w:p w14:paraId="109601E6">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1</w:t>
            </w:r>
          </w:p>
        </w:tc>
        <w:tc>
          <w:tcPr>
            <w:tcW w:w="1025" w:type="dxa"/>
            <w:vMerge w:val="restart"/>
            <w:noWrap w:val="0"/>
            <w:vAlign w:val="center"/>
          </w:tcPr>
          <w:p w14:paraId="65B392CC">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基本</w:t>
            </w:r>
          </w:p>
          <w:p w14:paraId="27FEF15A">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农田</w:t>
            </w:r>
          </w:p>
        </w:tc>
        <w:tc>
          <w:tcPr>
            <w:tcW w:w="3380" w:type="dxa"/>
            <w:noWrap w:val="0"/>
            <w:vAlign w:val="center"/>
          </w:tcPr>
          <w:p w14:paraId="62A2299B">
            <w:pPr>
              <w:jc w:val="center"/>
              <w:rPr>
                <w:rFonts w:hint="eastAsia" w:ascii="Times New Roman" w:hAnsi="Times New Roman" w:eastAsia="宋体"/>
                <w:color w:val="auto"/>
                <w:sz w:val="24"/>
                <w:highlight w:val="none"/>
                <w:lang w:eastAsia="zh-CN"/>
              </w:rPr>
            </w:pPr>
            <w:r>
              <w:rPr>
                <w:rFonts w:hint="eastAsia" w:ascii="Times New Roman" w:hAnsi="Times New Roman" w:eastAsia="宋体"/>
                <w:color w:val="auto"/>
                <w:sz w:val="24"/>
                <w:highlight w:val="none"/>
                <w:lang w:eastAsia="zh-CN"/>
              </w:rPr>
              <w:t>矿区东部</w:t>
            </w:r>
            <w:r>
              <w:rPr>
                <w:rFonts w:hint="eastAsia" w:ascii="Times New Roman" w:hAnsi="Times New Roman" w:eastAsia="宋体"/>
                <w:color w:val="auto"/>
                <w:sz w:val="24"/>
                <w:highlight w:val="none"/>
                <w:lang w:val="en-US" w:eastAsia="zh-CN"/>
              </w:rPr>
              <w:t>19557m</w:t>
            </w:r>
            <w:r>
              <w:rPr>
                <w:rFonts w:hint="eastAsia" w:ascii="Times New Roman" w:hAnsi="Times New Roman" w:eastAsia="宋体"/>
                <w:color w:val="auto"/>
                <w:sz w:val="24"/>
                <w:highlight w:val="none"/>
                <w:vertAlign w:val="superscript"/>
                <w:lang w:val="en-US" w:eastAsia="zh-CN"/>
              </w:rPr>
              <w:t>2</w:t>
            </w:r>
            <w:r>
              <w:rPr>
                <w:rFonts w:hint="eastAsia" w:ascii="Times New Roman" w:hAnsi="Times New Roman" w:eastAsia="宋体"/>
                <w:color w:val="auto"/>
                <w:sz w:val="24"/>
                <w:highlight w:val="none"/>
                <w:lang w:val="en-US" w:eastAsia="zh-CN"/>
              </w:rPr>
              <w:t>（其中永久基本农田11156m</w:t>
            </w:r>
            <w:r>
              <w:rPr>
                <w:rFonts w:hint="eastAsia" w:ascii="Times New Roman" w:hAnsi="Times New Roman" w:eastAsia="宋体"/>
                <w:color w:val="auto"/>
                <w:sz w:val="24"/>
                <w:highlight w:val="none"/>
                <w:vertAlign w:val="superscript"/>
                <w:lang w:val="en-US" w:eastAsia="zh-CN"/>
              </w:rPr>
              <w:t>2</w:t>
            </w:r>
            <w:r>
              <w:rPr>
                <w:rFonts w:hint="eastAsia" w:ascii="Times New Roman" w:hAnsi="Times New Roman" w:eastAsia="宋体"/>
                <w:color w:val="auto"/>
                <w:sz w:val="24"/>
                <w:highlight w:val="none"/>
                <w:lang w:val="en-US" w:eastAsia="zh-CN"/>
              </w:rPr>
              <w:t>，即⑤地块部分区域）、错动影响区内</w:t>
            </w:r>
          </w:p>
        </w:tc>
        <w:tc>
          <w:tcPr>
            <w:tcW w:w="1620" w:type="dxa"/>
            <w:vMerge w:val="restart"/>
            <w:noWrap w:val="0"/>
            <w:vAlign w:val="center"/>
          </w:tcPr>
          <w:p w14:paraId="56185D34">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矿山开采、井下疏排水、水质</w:t>
            </w:r>
          </w:p>
        </w:tc>
        <w:tc>
          <w:tcPr>
            <w:tcW w:w="2655" w:type="dxa"/>
            <w:vMerge w:val="restart"/>
            <w:noWrap w:val="0"/>
            <w:vAlign w:val="center"/>
          </w:tcPr>
          <w:p w14:paraId="31ABEE0A">
            <w:pPr>
              <w:jc w:val="center"/>
              <w:rPr>
                <w:rFonts w:hint="eastAsia" w:ascii="Times New Roman" w:hAnsi="Times New Roman" w:eastAsia="宋体"/>
                <w:color w:val="auto"/>
                <w:sz w:val="24"/>
                <w:highlight w:val="none"/>
              </w:rPr>
            </w:pPr>
            <w:r>
              <w:rPr>
                <w:rFonts w:hint="eastAsia" w:ascii="Times New Roman" w:hAnsi="Times New Roman" w:eastAsia="宋体" w:cs="宋体"/>
                <w:color w:val="auto"/>
                <w:sz w:val="24"/>
                <w:highlight w:val="none"/>
                <w:lang w:val="en-US" w:eastAsia="zh-CN"/>
              </w:rPr>
              <w:t>按照设计开采，对基本农田下方采空区的矿柱不予回收，并将矿山基建和采矿过程中产生的废石全部充填到基本农田下方的采空区，将不会造成基本农田塌陷，随着后续开采深度下降，裂隙岩溶发育程度降低，矿体裂隙岩溶水富水性越来越弱及外围富水性弱，所以产生地下水疏干可能性小，不会对水田耕种造成影响。</w:t>
            </w:r>
          </w:p>
        </w:tc>
      </w:tr>
      <w:tr w14:paraId="4276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continue"/>
            <w:noWrap w:val="0"/>
            <w:vAlign w:val="center"/>
          </w:tcPr>
          <w:p w14:paraId="3F049837">
            <w:pPr>
              <w:jc w:val="center"/>
              <w:rPr>
                <w:rFonts w:hint="eastAsia" w:ascii="Times New Roman" w:hAnsi="Times New Roman" w:eastAsia="宋体"/>
                <w:color w:val="auto"/>
                <w:sz w:val="24"/>
                <w:highlight w:val="none"/>
              </w:rPr>
            </w:pPr>
          </w:p>
        </w:tc>
        <w:tc>
          <w:tcPr>
            <w:tcW w:w="1025" w:type="dxa"/>
            <w:vMerge w:val="continue"/>
            <w:noWrap w:val="0"/>
            <w:vAlign w:val="center"/>
          </w:tcPr>
          <w:p w14:paraId="40C604D5">
            <w:pPr>
              <w:jc w:val="center"/>
              <w:rPr>
                <w:rFonts w:hint="eastAsia" w:ascii="Times New Roman" w:hAnsi="Times New Roman" w:eastAsia="宋体"/>
                <w:color w:val="auto"/>
                <w:sz w:val="24"/>
                <w:highlight w:val="none"/>
              </w:rPr>
            </w:pPr>
          </w:p>
        </w:tc>
        <w:tc>
          <w:tcPr>
            <w:tcW w:w="3380" w:type="dxa"/>
            <w:noWrap w:val="0"/>
            <w:vAlign w:val="center"/>
          </w:tcPr>
          <w:p w14:paraId="1BA80CE5">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lang w:val="en-US" w:eastAsia="zh-CN"/>
              </w:rPr>
              <w:t>矿区内中部3511m</w:t>
            </w:r>
            <w:r>
              <w:rPr>
                <w:rFonts w:hint="eastAsia" w:ascii="Times New Roman" w:hAnsi="Times New Roman" w:eastAsia="宋体"/>
                <w:color w:val="auto"/>
                <w:sz w:val="24"/>
                <w:highlight w:val="none"/>
                <w:vertAlign w:val="superscript"/>
                <w:lang w:val="en-US" w:eastAsia="zh-CN"/>
              </w:rPr>
              <w:t>2</w:t>
            </w:r>
            <w:r>
              <w:rPr>
                <w:rFonts w:hint="eastAsia" w:ascii="Times New Roman" w:hAnsi="Times New Roman" w:eastAsia="宋体"/>
                <w:color w:val="auto"/>
                <w:sz w:val="24"/>
                <w:highlight w:val="none"/>
                <w:lang w:val="en-US" w:eastAsia="zh-CN"/>
              </w:rPr>
              <w:t>（⑦）、错动影响区内</w:t>
            </w:r>
          </w:p>
        </w:tc>
        <w:tc>
          <w:tcPr>
            <w:tcW w:w="1620" w:type="dxa"/>
            <w:vMerge w:val="continue"/>
            <w:noWrap w:val="0"/>
            <w:vAlign w:val="center"/>
          </w:tcPr>
          <w:p w14:paraId="521A16FE">
            <w:pPr>
              <w:jc w:val="center"/>
              <w:rPr>
                <w:rFonts w:hint="eastAsia" w:ascii="Times New Roman" w:hAnsi="Times New Roman" w:eastAsia="宋体"/>
                <w:color w:val="auto"/>
                <w:sz w:val="24"/>
                <w:highlight w:val="none"/>
              </w:rPr>
            </w:pPr>
          </w:p>
        </w:tc>
        <w:tc>
          <w:tcPr>
            <w:tcW w:w="2655" w:type="dxa"/>
            <w:vMerge w:val="continue"/>
            <w:noWrap w:val="0"/>
            <w:vAlign w:val="center"/>
          </w:tcPr>
          <w:p w14:paraId="41AB5426">
            <w:pPr>
              <w:jc w:val="center"/>
              <w:rPr>
                <w:rFonts w:hint="eastAsia" w:ascii="Times New Roman" w:hAnsi="Times New Roman" w:eastAsia="宋体"/>
                <w:color w:val="auto"/>
                <w:sz w:val="24"/>
                <w:highlight w:val="none"/>
              </w:rPr>
            </w:pPr>
          </w:p>
        </w:tc>
      </w:tr>
      <w:tr w14:paraId="31AA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continue"/>
            <w:noWrap w:val="0"/>
            <w:vAlign w:val="center"/>
          </w:tcPr>
          <w:p w14:paraId="21897BFE">
            <w:pPr>
              <w:jc w:val="center"/>
              <w:rPr>
                <w:rFonts w:hint="eastAsia" w:ascii="Times New Roman" w:hAnsi="Times New Roman" w:eastAsia="宋体"/>
                <w:color w:val="auto"/>
                <w:sz w:val="24"/>
                <w:highlight w:val="none"/>
              </w:rPr>
            </w:pPr>
          </w:p>
        </w:tc>
        <w:tc>
          <w:tcPr>
            <w:tcW w:w="1025" w:type="dxa"/>
            <w:vMerge w:val="continue"/>
            <w:noWrap w:val="0"/>
            <w:vAlign w:val="center"/>
          </w:tcPr>
          <w:p w14:paraId="3F25191F">
            <w:pPr>
              <w:jc w:val="center"/>
              <w:rPr>
                <w:rFonts w:hint="eastAsia" w:ascii="Times New Roman" w:hAnsi="Times New Roman" w:eastAsia="宋体"/>
                <w:color w:val="auto"/>
                <w:sz w:val="24"/>
                <w:highlight w:val="none"/>
              </w:rPr>
            </w:pPr>
          </w:p>
        </w:tc>
        <w:tc>
          <w:tcPr>
            <w:tcW w:w="3380" w:type="dxa"/>
            <w:noWrap w:val="0"/>
            <w:vAlign w:val="center"/>
          </w:tcPr>
          <w:p w14:paraId="459628CF">
            <w:pPr>
              <w:jc w:val="center"/>
              <w:rPr>
                <w:rFonts w:hint="eastAsia" w:ascii="Times New Roman" w:hAnsi="Times New Roman" w:eastAsia="宋体" w:cs="华文楷体"/>
                <w:color w:val="auto"/>
                <w:sz w:val="24"/>
                <w:highlight w:val="none"/>
              </w:rPr>
            </w:pPr>
            <w:r>
              <w:rPr>
                <w:rFonts w:hint="eastAsia" w:ascii="Times New Roman" w:hAnsi="Times New Roman" w:eastAsia="宋体"/>
                <w:color w:val="auto"/>
                <w:sz w:val="24"/>
                <w:highlight w:val="none"/>
                <w:lang w:val="en-US" w:eastAsia="zh-CN"/>
              </w:rPr>
              <w:t>矿区内西部6746m</w:t>
            </w:r>
            <w:r>
              <w:rPr>
                <w:rFonts w:hint="eastAsia" w:ascii="Times New Roman" w:hAnsi="Times New Roman" w:eastAsia="宋体"/>
                <w:color w:val="auto"/>
                <w:sz w:val="24"/>
                <w:highlight w:val="none"/>
                <w:vertAlign w:val="superscript"/>
                <w:lang w:val="en-US" w:eastAsia="zh-CN"/>
              </w:rPr>
              <w:t>2</w:t>
            </w:r>
            <w:r>
              <w:rPr>
                <w:rFonts w:hint="eastAsia" w:ascii="Times New Roman" w:hAnsi="Times New Roman" w:eastAsia="宋体"/>
                <w:color w:val="auto"/>
                <w:sz w:val="24"/>
                <w:highlight w:val="none"/>
                <w:lang w:val="en-US" w:eastAsia="zh-CN"/>
              </w:rPr>
              <w:t>（⑧）、错动影响区内</w:t>
            </w:r>
          </w:p>
        </w:tc>
        <w:tc>
          <w:tcPr>
            <w:tcW w:w="1620" w:type="dxa"/>
            <w:vMerge w:val="continue"/>
            <w:noWrap w:val="0"/>
            <w:vAlign w:val="center"/>
          </w:tcPr>
          <w:p w14:paraId="79924EA6">
            <w:pPr>
              <w:jc w:val="center"/>
              <w:rPr>
                <w:rFonts w:hint="eastAsia" w:ascii="Times New Roman" w:hAnsi="Times New Roman" w:eastAsia="宋体"/>
                <w:color w:val="auto"/>
                <w:sz w:val="24"/>
                <w:highlight w:val="none"/>
              </w:rPr>
            </w:pPr>
          </w:p>
        </w:tc>
        <w:tc>
          <w:tcPr>
            <w:tcW w:w="2655" w:type="dxa"/>
            <w:vMerge w:val="continue"/>
            <w:noWrap w:val="0"/>
            <w:vAlign w:val="center"/>
          </w:tcPr>
          <w:p w14:paraId="3AC8F002">
            <w:pPr>
              <w:jc w:val="center"/>
              <w:rPr>
                <w:rFonts w:hint="eastAsia" w:ascii="Times New Roman" w:hAnsi="Times New Roman" w:eastAsia="宋体"/>
                <w:color w:val="auto"/>
                <w:sz w:val="24"/>
                <w:highlight w:val="none"/>
              </w:rPr>
            </w:pPr>
          </w:p>
        </w:tc>
      </w:tr>
      <w:tr w14:paraId="7C95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restart"/>
            <w:noWrap w:val="0"/>
            <w:vAlign w:val="center"/>
          </w:tcPr>
          <w:p w14:paraId="3F2F56F4">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2</w:t>
            </w:r>
          </w:p>
        </w:tc>
        <w:tc>
          <w:tcPr>
            <w:tcW w:w="1025" w:type="dxa"/>
            <w:vMerge w:val="restart"/>
            <w:noWrap w:val="0"/>
            <w:vAlign w:val="center"/>
          </w:tcPr>
          <w:p w14:paraId="1D5445E6">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生态</w:t>
            </w:r>
          </w:p>
          <w:p w14:paraId="6B26C4CE">
            <w:pPr>
              <w:jc w:val="center"/>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红线</w:t>
            </w:r>
          </w:p>
          <w:p w14:paraId="5627F3A3">
            <w:pPr>
              <w:jc w:val="center"/>
              <w:rPr>
                <w:rFonts w:hint="eastAsia" w:ascii="Times New Roman" w:hAnsi="Times New Roman" w:eastAsia="宋体"/>
                <w:color w:val="auto"/>
                <w:sz w:val="24"/>
                <w:highlight w:val="none"/>
                <w:lang w:eastAsia="zh-CN"/>
              </w:rPr>
            </w:pPr>
            <w:r>
              <w:rPr>
                <w:rFonts w:hint="eastAsia" w:ascii="Times New Roman" w:hAnsi="Times New Roman"/>
                <w:color w:val="auto"/>
                <w:sz w:val="24"/>
                <w:highlight w:val="none"/>
                <w:lang w:eastAsia="zh-CN"/>
              </w:rPr>
              <w:t>保护区</w:t>
            </w:r>
          </w:p>
        </w:tc>
        <w:tc>
          <w:tcPr>
            <w:tcW w:w="3380" w:type="dxa"/>
            <w:noWrap w:val="0"/>
            <w:vAlign w:val="center"/>
          </w:tcPr>
          <w:p w14:paraId="448D1B90">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矿区外东侧5拐点、直距94m</w:t>
            </w:r>
          </w:p>
        </w:tc>
        <w:tc>
          <w:tcPr>
            <w:tcW w:w="1620" w:type="dxa"/>
            <w:vMerge w:val="restart"/>
            <w:noWrap w:val="0"/>
            <w:vAlign w:val="center"/>
          </w:tcPr>
          <w:p w14:paraId="0E9795DC">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矿山开采、</w:t>
            </w:r>
          </w:p>
          <w:p w14:paraId="2737B55F">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井下疏排水</w:t>
            </w:r>
          </w:p>
        </w:tc>
        <w:tc>
          <w:tcPr>
            <w:tcW w:w="2655" w:type="dxa"/>
            <w:vMerge w:val="restart"/>
            <w:noWrap w:val="0"/>
            <w:vAlign w:val="center"/>
          </w:tcPr>
          <w:p w14:paraId="5F0FD6EC">
            <w:pPr>
              <w:jc w:val="center"/>
              <w:rPr>
                <w:rFonts w:hint="eastAsia" w:ascii="Times New Roman" w:hAnsi="Times New Roman" w:eastAsia="宋体"/>
                <w:color w:val="auto"/>
                <w:sz w:val="24"/>
                <w:highlight w:val="none"/>
              </w:rPr>
            </w:pPr>
            <w:r>
              <w:rPr>
                <w:rFonts w:hint="eastAsia" w:ascii="Times New Roman" w:hAnsi="Times New Roman" w:eastAsia="宋体" w:cs="宋体"/>
                <w:color w:val="auto"/>
                <w:sz w:val="24"/>
                <w:highlight w:val="none"/>
                <w:lang w:val="en-US" w:eastAsia="zh-CN"/>
              </w:rPr>
              <w:t>按照设计开采，其不在开采错动影响区及井下疏排水影响区内，不会对其造成影响。</w:t>
            </w:r>
          </w:p>
        </w:tc>
      </w:tr>
      <w:tr w14:paraId="2E59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continue"/>
            <w:noWrap w:val="0"/>
            <w:vAlign w:val="center"/>
          </w:tcPr>
          <w:p w14:paraId="576CA322">
            <w:pPr>
              <w:jc w:val="center"/>
              <w:rPr>
                <w:rFonts w:hint="eastAsia" w:ascii="Times New Roman" w:hAnsi="Times New Roman" w:eastAsia="宋体"/>
                <w:color w:val="auto"/>
                <w:sz w:val="24"/>
                <w:highlight w:val="none"/>
              </w:rPr>
            </w:pPr>
          </w:p>
        </w:tc>
        <w:tc>
          <w:tcPr>
            <w:tcW w:w="1025" w:type="dxa"/>
            <w:vMerge w:val="continue"/>
            <w:noWrap w:val="0"/>
            <w:vAlign w:val="center"/>
          </w:tcPr>
          <w:p w14:paraId="3282BF5F">
            <w:pPr>
              <w:jc w:val="center"/>
              <w:rPr>
                <w:rFonts w:hint="eastAsia" w:ascii="Times New Roman" w:hAnsi="Times New Roman" w:eastAsia="宋体"/>
                <w:color w:val="auto"/>
                <w:sz w:val="24"/>
                <w:highlight w:val="none"/>
              </w:rPr>
            </w:pPr>
          </w:p>
        </w:tc>
        <w:tc>
          <w:tcPr>
            <w:tcW w:w="3380" w:type="dxa"/>
            <w:noWrap w:val="0"/>
            <w:vAlign w:val="center"/>
          </w:tcPr>
          <w:p w14:paraId="7C59947B">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矿区西北侧1-2边界紧邻</w:t>
            </w:r>
          </w:p>
        </w:tc>
        <w:tc>
          <w:tcPr>
            <w:tcW w:w="1620" w:type="dxa"/>
            <w:vMerge w:val="continue"/>
            <w:noWrap w:val="0"/>
            <w:vAlign w:val="center"/>
          </w:tcPr>
          <w:p w14:paraId="4398E273">
            <w:pPr>
              <w:jc w:val="center"/>
              <w:rPr>
                <w:rFonts w:hint="eastAsia" w:ascii="Times New Roman" w:hAnsi="Times New Roman" w:eastAsia="宋体"/>
                <w:color w:val="auto"/>
                <w:sz w:val="24"/>
                <w:highlight w:val="none"/>
              </w:rPr>
            </w:pPr>
          </w:p>
        </w:tc>
        <w:tc>
          <w:tcPr>
            <w:tcW w:w="2655" w:type="dxa"/>
            <w:vMerge w:val="continue"/>
            <w:noWrap w:val="0"/>
            <w:vAlign w:val="center"/>
          </w:tcPr>
          <w:p w14:paraId="67F4B5CA">
            <w:pPr>
              <w:jc w:val="center"/>
              <w:rPr>
                <w:rFonts w:hint="eastAsia" w:ascii="Times New Roman" w:hAnsi="Times New Roman" w:eastAsia="宋体"/>
                <w:color w:val="auto"/>
                <w:sz w:val="24"/>
                <w:highlight w:val="none"/>
              </w:rPr>
            </w:pPr>
          </w:p>
        </w:tc>
      </w:tr>
      <w:tr w14:paraId="7F62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5" w:hRule="atLeast"/>
          <w:jc w:val="center"/>
        </w:trPr>
        <w:tc>
          <w:tcPr>
            <w:tcW w:w="734" w:type="dxa"/>
            <w:vMerge w:val="continue"/>
            <w:noWrap w:val="0"/>
            <w:vAlign w:val="center"/>
          </w:tcPr>
          <w:p w14:paraId="0F4AD51F">
            <w:pPr>
              <w:jc w:val="center"/>
              <w:rPr>
                <w:rFonts w:hint="eastAsia" w:ascii="Times New Roman" w:hAnsi="Times New Roman" w:eastAsia="宋体"/>
                <w:color w:val="auto"/>
                <w:sz w:val="24"/>
                <w:highlight w:val="none"/>
              </w:rPr>
            </w:pPr>
          </w:p>
        </w:tc>
        <w:tc>
          <w:tcPr>
            <w:tcW w:w="1025" w:type="dxa"/>
            <w:vMerge w:val="continue"/>
            <w:noWrap w:val="0"/>
            <w:vAlign w:val="center"/>
          </w:tcPr>
          <w:p w14:paraId="2C43AA6B">
            <w:pPr>
              <w:jc w:val="center"/>
              <w:rPr>
                <w:rFonts w:hint="eastAsia" w:ascii="Times New Roman" w:hAnsi="Times New Roman" w:eastAsia="宋体"/>
                <w:color w:val="auto"/>
                <w:sz w:val="24"/>
                <w:highlight w:val="none"/>
              </w:rPr>
            </w:pPr>
          </w:p>
        </w:tc>
        <w:tc>
          <w:tcPr>
            <w:tcW w:w="3380" w:type="dxa"/>
            <w:noWrap w:val="0"/>
            <w:vAlign w:val="center"/>
          </w:tcPr>
          <w:p w14:paraId="06B1B7F0">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矿区外南侧5-6边界、180m</w:t>
            </w:r>
          </w:p>
        </w:tc>
        <w:tc>
          <w:tcPr>
            <w:tcW w:w="1620" w:type="dxa"/>
            <w:vMerge w:val="continue"/>
            <w:noWrap w:val="0"/>
            <w:vAlign w:val="center"/>
          </w:tcPr>
          <w:p w14:paraId="4033A46F">
            <w:pPr>
              <w:jc w:val="center"/>
              <w:rPr>
                <w:rFonts w:hint="eastAsia" w:ascii="Times New Roman" w:hAnsi="Times New Roman" w:eastAsia="宋体"/>
                <w:color w:val="auto"/>
                <w:sz w:val="24"/>
                <w:highlight w:val="none"/>
              </w:rPr>
            </w:pPr>
          </w:p>
        </w:tc>
        <w:tc>
          <w:tcPr>
            <w:tcW w:w="2655" w:type="dxa"/>
            <w:vMerge w:val="continue"/>
            <w:noWrap w:val="0"/>
            <w:vAlign w:val="center"/>
          </w:tcPr>
          <w:p w14:paraId="543D30E7">
            <w:pPr>
              <w:jc w:val="center"/>
              <w:rPr>
                <w:rFonts w:hint="eastAsia" w:ascii="Times New Roman" w:hAnsi="Times New Roman" w:eastAsia="宋体"/>
                <w:color w:val="auto"/>
                <w:sz w:val="24"/>
                <w:highlight w:val="none"/>
              </w:rPr>
            </w:pPr>
          </w:p>
        </w:tc>
      </w:tr>
      <w:tr w14:paraId="00DD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restart"/>
            <w:noWrap w:val="0"/>
            <w:vAlign w:val="center"/>
          </w:tcPr>
          <w:p w14:paraId="7224227F">
            <w:pPr>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w:t>
            </w:r>
          </w:p>
        </w:tc>
        <w:tc>
          <w:tcPr>
            <w:tcW w:w="1025" w:type="dxa"/>
            <w:vMerge w:val="restart"/>
            <w:noWrap w:val="0"/>
            <w:vAlign w:val="center"/>
          </w:tcPr>
          <w:p w14:paraId="7B5211AD">
            <w:pPr>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构筑物</w:t>
            </w:r>
          </w:p>
          <w:p w14:paraId="4D7FBADC">
            <w:pPr>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居民点</w:t>
            </w:r>
          </w:p>
        </w:tc>
        <w:tc>
          <w:tcPr>
            <w:tcW w:w="3380" w:type="dxa"/>
            <w:noWrap w:val="0"/>
            <w:vAlign w:val="center"/>
          </w:tcPr>
          <w:p w14:paraId="0772D7B8">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矿区外北侧1-2边界紧邻</w:t>
            </w:r>
          </w:p>
        </w:tc>
        <w:tc>
          <w:tcPr>
            <w:tcW w:w="1620" w:type="dxa"/>
            <w:vMerge w:val="restart"/>
            <w:noWrap w:val="0"/>
            <w:vAlign w:val="center"/>
          </w:tcPr>
          <w:p w14:paraId="167F2A69">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矿山开采</w:t>
            </w:r>
          </w:p>
        </w:tc>
        <w:tc>
          <w:tcPr>
            <w:tcW w:w="2655" w:type="dxa"/>
            <w:vMerge w:val="restart"/>
            <w:noWrap w:val="0"/>
            <w:vAlign w:val="center"/>
          </w:tcPr>
          <w:p w14:paraId="18D71C81">
            <w:pPr>
              <w:jc w:val="left"/>
              <w:rPr>
                <w:rFonts w:hint="eastAsia" w:ascii="Times New Roman" w:hAnsi="Times New Roman" w:eastAsia="宋体"/>
                <w:color w:val="auto"/>
                <w:sz w:val="24"/>
                <w:highlight w:val="none"/>
              </w:rPr>
            </w:pPr>
            <w:r>
              <w:rPr>
                <w:rFonts w:hint="eastAsia" w:ascii="Times New Roman" w:hAnsi="Times New Roman" w:eastAsia="宋体" w:cs="宋体"/>
                <w:color w:val="auto"/>
                <w:sz w:val="24"/>
                <w:highlight w:val="none"/>
                <w:lang w:val="en-US" w:eastAsia="zh-CN"/>
              </w:rPr>
              <w:t>斜坡道掘进至该居民构筑物下方附近时，采用光面爆破，减少爆破装药量，尽量减轻爆破震动对地表居民构筑物的影响；其余只需按照设计开采，不会对其造成影响。</w:t>
            </w:r>
          </w:p>
        </w:tc>
      </w:tr>
      <w:tr w14:paraId="35C0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continue"/>
            <w:noWrap w:val="0"/>
            <w:vAlign w:val="center"/>
          </w:tcPr>
          <w:p w14:paraId="7956415D">
            <w:pPr>
              <w:jc w:val="center"/>
              <w:rPr>
                <w:rFonts w:hint="eastAsia" w:ascii="Times New Roman" w:hAnsi="Times New Roman" w:eastAsia="宋体" w:cs="宋体"/>
                <w:color w:val="auto"/>
                <w:sz w:val="24"/>
                <w:highlight w:val="none"/>
              </w:rPr>
            </w:pPr>
          </w:p>
        </w:tc>
        <w:tc>
          <w:tcPr>
            <w:tcW w:w="1025" w:type="dxa"/>
            <w:vMerge w:val="continue"/>
            <w:noWrap w:val="0"/>
            <w:vAlign w:val="center"/>
          </w:tcPr>
          <w:p w14:paraId="275C46D9">
            <w:pPr>
              <w:jc w:val="center"/>
              <w:rPr>
                <w:rFonts w:hint="eastAsia" w:ascii="Times New Roman" w:hAnsi="Times New Roman" w:eastAsia="宋体" w:cs="宋体"/>
                <w:color w:val="auto"/>
                <w:sz w:val="24"/>
                <w:highlight w:val="none"/>
              </w:rPr>
            </w:pPr>
          </w:p>
        </w:tc>
        <w:tc>
          <w:tcPr>
            <w:tcW w:w="3380" w:type="dxa"/>
            <w:noWrap w:val="0"/>
            <w:vAlign w:val="center"/>
          </w:tcPr>
          <w:p w14:paraId="3FD1550F">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矿区外西侧1-6边界、直距90m</w:t>
            </w:r>
          </w:p>
        </w:tc>
        <w:tc>
          <w:tcPr>
            <w:tcW w:w="1620" w:type="dxa"/>
            <w:vMerge w:val="continue"/>
            <w:noWrap w:val="0"/>
            <w:vAlign w:val="center"/>
          </w:tcPr>
          <w:p w14:paraId="4A0A0769">
            <w:pPr>
              <w:jc w:val="center"/>
              <w:rPr>
                <w:rFonts w:hint="eastAsia" w:ascii="Times New Roman" w:hAnsi="Times New Roman" w:eastAsia="宋体"/>
                <w:color w:val="auto"/>
                <w:sz w:val="24"/>
                <w:highlight w:val="none"/>
              </w:rPr>
            </w:pPr>
          </w:p>
        </w:tc>
        <w:tc>
          <w:tcPr>
            <w:tcW w:w="2655" w:type="dxa"/>
            <w:vMerge w:val="continue"/>
            <w:noWrap w:val="0"/>
            <w:vAlign w:val="center"/>
          </w:tcPr>
          <w:p w14:paraId="3154F7C8">
            <w:pPr>
              <w:jc w:val="center"/>
              <w:rPr>
                <w:rFonts w:hint="eastAsia" w:ascii="Times New Roman" w:hAnsi="Times New Roman" w:eastAsia="宋体"/>
                <w:color w:val="auto"/>
                <w:sz w:val="24"/>
                <w:highlight w:val="none"/>
              </w:rPr>
            </w:pPr>
          </w:p>
        </w:tc>
      </w:tr>
      <w:tr w14:paraId="7BF6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continue"/>
            <w:noWrap w:val="0"/>
            <w:vAlign w:val="center"/>
          </w:tcPr>
          <w:p w14:paraId="6EC4AD33">
            <w:pPr>
              <w:jc w:val="center"/>
              <w:rPr>
                <w:rFonts w:hint="eastAsia" w:ascii="Times New Roman" w:hAnsi="Times New Roman" w:eastAsia="宋体" w:cs="宋体"/>
                <w:color w:val="auto"/>
                <w:sz w:val="24"/>
                <w:highlight w:val="none"/>
              </w:rPr>
            </w:pPr>
          </w:p>
        </w:tc>
        <w:tc>
          <w:tcPr>
            <w:tcW w:w="1025" w:type="dxa"/>
            <w:vMerge w:val="continue"/>
            <w:noWrap w:val="0"/>
            <w:vAlign w:val="center"/>
          </w:tcPr>
          <w:p w14:paraId="6BD47A45">
            <w:pPr>
              <w:jc w:val="center"/>
              <w:rPr>
                <w:rFonts w:hint="eastAsia" w:ascii="Times New Roman" w:hAnsi="Times New Roman" w:eastAsia="宋体" w:cs="宋体"/>
                <w:color w:val="auto"/>
                <w:sz w:val="24"/>
                <w:highlight w:val="none"/>
              </w:rPr>
            </w:pPr>
          </w:p>
        </w:tc>
        <w:tc>
          <w:tcPr>
            <w:tcW w:w="3380" w:type="dxa"/>
            <w:noWrap w:val="0"/>
            <w:vAlign w:val="center"/>
          </w:tcPr>
          <w:p w14:paraId="57AE255A">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矿区外西侧6号拐点、直距490m</w:t>
            </w:r>
          </w:p>
        </w:tc>
        <w:tc>
          <w:tcPr>
            <w:tcW w:w="1620" w:type="dxa"/>
            <w:vMerge w:val="continue"/>
            <w:noWrap w:val="0"/>
            <w:vAlign w:val="center"/>
          </w:tcPr>
          <w:p w14:paraId="3D8E3D3C">
            <w:pPr>
              <w:jc w:val="center"/>
              <w:rPr>
                <w:rFonts w:hint="eastAsia" w:ascii="Times New Roman" w:hAnsi="Times New Roman" w:eastAsia="宋体"/>
                <w:color w:val="auto"/>
                <w:sz w:val="24"/>
                <w:highlight w:val="none"/>
              </w:rPr>
            </w:pPr>
          </w:p>
        </w:tc>
        <w:tc>
          <w:tcPr>
            <w:tcW w:w="2655" w:type="dxa"/>
            <w:vMerge w:val="continue"/>
            <w:noWrap w:val="0"/>
            <w:vAlign w:val="center"/>
          </w:tcPr>
          <w:p w14:paraId="35A60754">
            <w:pPr>
              <w:jc w:val="center"/>
              <w:rPr>
                <w:rFonts w:hint="eastAsia" w:ascii="Times New Roman" w:hAnsi="Times New Roman" w:eastAsia="宋体"/>
                <w:color w:val="auto"/>
                <w:sz w:val="24"/>
                <w:highlight w:val="none"/>
              </w:rPr>
            </w:pPr>
          </w:p>
        </w:tc>
      </w:tr>
      <w:tr w14:paraId="6A81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noWrap w:val="0"/>
            <w:vAlign w:val="center"/>
          </w:tcPr>
          <w:p w14:paraId="5AC0A15B">
            <w:pPr>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w:t>
            </w:r>
          </w:p>
        </w:tc>
        <w:tc>
          <w:tcPr>
            <w:tcW w:w="1025" w:type="dxa"/>
            <w:noWrap w:val="0"/>
            <w:vAlign w:val="center"/>
          </w:tcPr>
          <w:p w14:paraId="12240CD3">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河流</w:t>
            </w:r>
          </w:p>
        </w:tc>
        <w:tc>
          <w:tcPr>
            <w:tcW w:w="3380" w:type="dxa"/>
            <w:noWrap w:val="0"/>
            <w:vAlign w:val="center"/>
          </w:tcPr>
          <w:p w14:paraId="15128B16">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矿区南侧存在由东流向西上龙坑溪流，其经12.73km河流汇入下游鱼塘溪</w:t>
            </w:r>
          </w:p>
        </w:tc>
        <w:tc>
          <w:tcPr>
            <w:tcW w:w="1620" w:type="dxa"/>
            <w:noWrap w:val="0"/>
            <w:vAlign w:val="center"/>
          </w:tcPr>
          <w:p w14:paraId="0565B3C2">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矿山开采、井下疏排水、水质</w:t>
            </w:r>
          </w:p>
        </w:tc>
        <w:tc>
          <w:tcPr>
            <w:tcW w:w="2655" w:type="dxa"/>
            <w:noWrap w:val="0"/>
            <w:vAlign w:val="center"/>
          </w:tcPr>
          <w:p w14:paraId="26BF9DDF">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s="宋体"/>
                <w:color w:val="auto"/>
                <w:sz w:val="24"/>
                <w:highlight w:val="none"/>
                <w:lang w:val="en-US" w:eastAsia="zh-CN"/>
              </w:rPr>
              <w:t>临溪沟一侧设置保安矿柱、其余按照设计开采不会造成地面塌陷，</w:t>
            </w:r>
            <w:r>
              <w:rPr>
                <w:rFonts w:hint="eastAsia" w:ascii="Times New Roman" w:hAnsi="Times New Roman" w:eastAsia="宋体" w:cs="宋体"/>
                <w:color w:val="auto"/>
                <w:sz w:val="24"/>
                <w:highlight w:val="none"/>
              </w:rPr>
              <w:t>出口处设置沉淀池，不会</w:t>
            </w:r>
            <w:r>
              <w:rPr>
                <w:rFonts w:hint="eastAsia" w:ascii="Times New Roman" w:hAnsi="Times New Roman" w:eastAsia="宋体" w:cs="宋体"/>
                <w:color w:val="auto"/>
                <w:sz w:val="24"/>
                <w:highlight w:val="none"/>
                <w:lang w:eastAsia="zh-CN"/>
              </w:rPr>
              <w:t>对其</w:t>
            </w:r>
            <w:r>
              <w:rPr>
                <w:rFonts w:hint="eastAsia" w:ascii="Times New Roman" w:hAnsi="Times New Roman" w:eastAsia="宋体" w:cs="宋体"/>
                <w:color w:val="auto"/>
                <w:sz w:val="24"/>
                <w:highlight w:val="none"/>
              </w:rPr>
              <w:t>造成影响</w:t>
            </w:r>
          </w:p>
        </w:tc>
      </w:tr>
      <w:tr w14:paraId="4C2B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noWrap w:val="0"/>
            <w:vAlign w:val="center"/>
          </w:tcPr>
          <w:p w14:paraId="2B015D0A">
            <w:pPr>
              <w:jc w:val="center"/>
              <w:rPr>
                <w:rFonts w:hint="eastAsia" w:ascii="Times New Roman" w:hAnsi="Times New Roman" w:eastAsia="宋体" w:cs="宋体"/>
                <w:color w:val="auto"/>
                <w:sz w:val="24"/>
                <w:highlight w:val="none"/>
                <w:lang w:val="en-US" w:eastAsia="zh-CN"/>
              </w:rPr>
            </w:pPr>
            <w:r>
              <w:rPr>
                <w:rFonts w:hint="eastAsia" w:ascii="Times New Roman" w:hAnsi="Times New Roman" w:cs="宋体"/>
                <w:color w:val="auto"/>
                <w:sz w:val="24"/>
                <w:highlight w:val="none"/>
                <w:lang w:val="en-US" w:eastAsia="zh-CN"/>
              </w:rPr>
              <w:t>5</w:t>
            </w:r>
          </w:p>
        </w:tc>
        <w:tc>
          <w:tcPr>
            <w:tcW w:w="1025" w:type="dxa"/>
            <w:noWrap w:val="0"/>
            <w:vAlign w:val="center"/>
          </w:tcPr>
          <w:p w14:paraId="0416E0F4">
            <w:pPr>
              <w:widowControl/>
              <w:kinsoku/>
              <w:wordWrap/>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人类工程活动</w:t>
            </w:r>
          </w:p>
        </w:tc>
        <w:tc>
          <w:tcPr>
            <w:tcW w:w="3380" w:type="dxa"/>
            <w:noWrap w:val="0"/>
            <w:vAlign w:val="center"/>
          </w:tcPr>
          <w:p w14:paraId="467E73D0">
            <w:pPr>
              <w:widowControl/>
              <w:kinsoku/>
              <w:wordWrap/>
              <w:overflowPunct/>
              <w:topLinePunct w:val="0"/>
              <w:bidi w:val="0"/>
              <w:spacing w:line="240" w:lineRule="auto"/>
              <w:ind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农村道路和农林耕种活动等</w:t>
            </w:r>
          </w:p>
        </w:tc>
        <w:tc>
          <w:tcPr>
            <w:tcW w:w="1620" w:type="dxa"/>
            <w:noWrap w:val="0"/>
            <w:vAlign w:val="center"/>
          </w:tcPr>
          <w:p w14:paraId="3D73A207">
            <w:pPr>
              <w:widowControl/>
              <w:kinsoku/>
              <w:wordWrap/>
              <w:overflowPunct/>
              <w:topLinePunct w:val="0"/>
              <w:bidi w:val="0"/>
              <w:spacing w:line="240" w:lineRule="auto"/>
              <w:ind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Times New Roman" w:hAnsi="Times New Roman" w:eastAsia="宋体"/>
                <w:color w:val="auto"/>
                <w:sz w:val="24"/>
                <w:highlight w:val="none"/>
              </w:rPr>
              <w:t>矿山开采</w:t>
            </w:r>
          </w:p>
        </w:tc>
        <w:tc>
          <w:tcPr>
            <w:tcW w:w="2655" w:type="dxa"/>
            <w:noWrap w:val="0"/>
            <w:vAlign w:val="center"/>
          </w:tcPr>
          <w:p w14:paraId="74700905">
            <w:pPr>
              <w:widowControl/>
              <w:kinsoku/>
              <w:wordWrap/>
              <w:overflowPunct/>
              <w:topLinePunct w:val="0"/>
              <w:bidi w:val="0"/>
              <w:spacing w:line="240" w:lineRule="auto"/>
              <w:ind w:firstLine="0" w:firstLineChars="0"/>
              <w:jc w:val="center"/>
              <w:rPr>
                <w:rFonts w:hint="eastAsia" w:ascii="Times New Roman" w:hAnsi="Times New Roman" w:eastAsia="宋体"/>
                <w:color w:val="auto"/>
                <w:sz w:val="24"/>
                <w:highlight w:val="none"/>
              </w:rPr>
            </w:pPr>
            <w:r>
              <w:rPr>
                <w:rFonts w:hint="eastAsia" w:ascii="Times New Roman" w:hAnsi="Times New Roman" w:eastAsia="宋体" w:cs="宋体"/>
                <w:color w:val="auto"/>
                <w:sz w:val="24"/>
                <w:highlight w:val="none"/>
                <w:lang w:val="en-US" w:eastAsia="zh-CN"/>
              </w:rPr>
              <w:t>按照设计开采，不会产生地面塌陷，不会对其造成影响。</w:t>
            </w:r>
          </w:p>
        </w:tc>
      </w:tr>
      <w:bookmarkEnd w:id="162"/>
    </w:tbl>
    <w:p w14:paraId="62E855EB">
      <w:pPr>
        <w:pStyle w:val="24"/>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b/>
          <w:bCs/>
          <w:color w:val="auto"/>
          <w:sz w:val="28"/>
          <w:szCs w:val="28"/>
          <w:highlight w:val="none"/>
          <w:lang w:eastAsia="zh-CN"/>
        </w:rPr>
      </w:pPr>
      <w:bookmarkStart w:id="163" w:name="_Toc21440"/>
      <w:r>
        <w:rPr>
          <w:color w:val="auto"/>
          <w:sz w:val="30"/>
          <w:highlight w:val="none"/>
        </w:rPr>
        <mc:AlternateContent>
          <mc:Choice Requires="wps">
            <w:drawing>
              <wp:anchor distT="0" distB="0" distL="114300" distR="114300" simplePos="0" relativeHeight="251683840" behindDoc="0" locked="0" layoutInCell="1" allowOverlap="1">
                <wp:simplePos x="0" y="0"/>
                <wp:positionH relativeFrom="column">
                  <wp:posOffset>3630930</wp:posOffset>
                </wp:positionH>
                <wp:positionV relativeFrom="paragraph">
                  <wp:posOffset>17145</wp:posOffset>
                </wp:positionV>
                <wp:extent cx="692785" cy="239395"/>
                <wp:effectExtent l="4445" t="5080" r="7620" b="22225"/>
                <wp:wrapNone/>
                <wp:docPr id="25" name="文本框 88"/>
                <wp:cNvGraphicFramePr/>
                <a:graphic xmlns:a="http://schemas.openxmlformats.org/drawingml/2006/main">
                  <a:graphicData uri="http://schemas.microsoft.com/office/word/2010/wordprocessingShape">
                    <wps:wsp>
                      <wps:cNvSpPr txBox="1"/>
                      <wps:spPr>
                        <a:xfrm>
                          <a:off x="0" y="0"/>
                          <a:ext cx="692785" cy="239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F7E4E3">
                            <w:pPr>
                              <w:spacing w:line="240" w:lineRule="auto"/>
                              <w:jc w:val="center"/>
                              <w:rPr>
                                <w:rFonts w:hint="eastAsia" w:eastAsia="宋体"/>
                                <w:lang w:eastAsia="zh-CN"/>
                              </w:rPr>
                            </w:pPr>
                            <w:r>
                              <w:rPr>
                                <w:rFonts w:hint="eastAsia"/>
                                <w:lang w:eastAsia="zh-CN"/>
                              </w:rPr>
                              <w:t>矿区边界</w:t>
                            </w:r>
                          </w:p>
                        </w:txbxContent>
                      </wps:txbx>
                      <wps:bodyPr wrap="square" lIns="36000" tIns="18000" rIns="36000" bIns="18000" upright="1"/>
                    </wps:wsp>
                  </a:graphicData>
                </a:graphic>
              </wp:anchor>
            </w:drawing>
          </mc:Choice>
          <mc:Fallback>
            <w:pict>
              <v:shape id="文本框 88" o:spid="_x0000_s1026" o:spt="202" type="#_x0000_t202" style="position:absolute;left:0pt;margin-left:285.9pt;margin-top:1.35pt;height:18.85pt;width:54.55pt;z-index:251683840;mso-width-relative:page;mso-height-relative:page;" fillcolor="#FFFFFF" filled="t" stroked="t" coordsize="21600,21600" o:gfxdata="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CZS9gAAAAIAQAADwAAAAAAAAABACAAAAAiAAAAZHJzL2Rvd25yZXYueG1sUEsBAhQA&#10;FAAAAAgAh07iQOkFywYrAgAAeQQAAA4AAAAAAAAAAQAgAAAAJwEAAGRycy9lMm9Eb2MueG1sUEsF&#10;BgAAAAAGAAYAWQEAAMQFAAAAAA==&#10;">
                <v:fill on="t" focussize="0,0"/>
                <v:stroke color="#000000" joinstyle="miter"/>
                <v:imagedata o:title=""/>
                <o:lock v:ext="edit" aspectratio="f"/>
                <v:textbox inset="1mm,0.5mm,1mm,0.5mm">
                  <w:txbxContent>
                    <w:p w14:paraId="49F7E4E3">
                      <w:pPr>
                        <w:spacing w:line="240" w:lineRule="auto"/>
                        <w:jc w:val="center"/>
                        <w:rPr>
                          <w:rFonts w:hint="eastAsia" w:eastAsia="宋体"/>
                          <w:lang w:eastAsia="zh-CN"/>
                        </w:rPr>
                      </w:pPr>
                      <w:r>
                        <w:rPr>
                          <w:rFonts w:hint="eastAsia"/>
                          <w:lang w:eastAsia="zh-CN"/>
                        </w:rPr>
                        <w:t>矿区边界</w:t>
                      </w:r>
                    </w:p>
                  </w:txbxContent>
                </v:textbox>
              </v:shape>
            </w:pict>
          </mc:Fallback>
        </mc:AlternateContent>
      </w:r>
      <w:r>
        <w:rPr>
          <w:color w:val="auto"/>
          <w:sz w:val="30"/>
          <w:highlight w:val="none"/>
        </w:rPr>
        <mc:AlternateContent>
          <mc:Choice Requires="wps">
            <w:drawing>
              <wp:anchor distT="0" distB="0" distL="114300" distR="114300" simplePos="0" relativeHeight="251682816" behindDoc="0" locked="0" layoutInCell="1" allowOverlap="1">
                <wp:simplePos x="0" y="0"/>
                <wp:positionH relativeFrom="column">
                  <wp:posOffset>3964940</wp:posOffset>
                </wp:positionH>
                <wp:positionV relativeFrom="paragraph">
                  <wp:posOffset>264795</wp:posOffset>
                </wp:positionV>
                <wp:extent cx="167005" cy="135255"/>
                <wp:effectExtent l="3175" t="3810" r="1270" b="13335"/>
                <wp:wrapNone/>
                <wp:docPr id="24" name="直线 103"/>
                <wp:cNvGraphicFramePr/>
                <a:graphic xmlns:a="http://schemas.openxmlformats.org/drawingml/2006/main">
                  <a:graphicData uri="http://schemas.microsoft.com/office/word/2010/wordprocessingShape">
                    <wps:wsp>
                      <wps:cNvCnPr/>
                      <wps:spPr>
                        <a:xfrm>
                          <a:off x="0" y="0"/>
                          <a:ext cx="167005" cy="135255"/>
                        </a:xfrm>
                        <a:prstGeom prst="line">
                          <a:avLst/>
                        </a:prstGeom>
                        <a:ln w="9525" cap="flat" cmpd="sng">
                          <a:solidFill>
                            <a:srgbClr val="FF0000"/>
                          </a:solidFill>
                          <a:prstDash val="solid"/>
                          <a:headEnd type="none" w="med" len="med"/>
                          <a:tailEnd type="arrow" w="med" len="med"/>
                        </a:ln>
                      </wps:spPr>
                      <wps:bodyPr upright="1"/>
                    </wps:wsp>
                  </a:graphicData>
                </a:graphic>
              </wp:anchor>
            </w:drawing>
          </mc:Choice>
          <mc:Fallback>
            <w:pict>
              <v:line id="直线 103" o:spid="_x0000_s1026" o:spt="20" style="position:absolute;left:0pt;margin-left:312.2pt;margin-top:20.85pt;height:10.65pt;width:13.15pt;z-index:251682816;mso-width-relative:page;mso-height-relative:page;" filled="f" stroked="t" coordsize="21600,21600" o:gfxdata="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nYXra1QAAAAkBAAAPAAAAAAAAAAEAIAAAACIAAABkcnMvZG93bnJldi54bWxQSwECFAAU&#10;AAAACACHTuJAJrjaRvQBAADjAwAADgAAAAAAAAABACAAAAAkAQAAZHJzL2Uyb0RvYy54bWxQSwUG&#10;AAAAAAYABgBZAQAAigUAAAAA&#10;">
                <v:fill on="f" focussize="0,0"/>
                <v:stroke color="#FF00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91008" behindDoc="0" locked="0" layoutInCell="1" allowOverlap="1">
                <wp:simplePos x="0" y="0"/>
                <wp:positionH relativeFrom="column">
                  <wp:posOffset>1551940</wp:posOffset>
                </wp:positionH>
                <wp:positionV relativeFrom="paragraph">
                  <wp:posOffset>294005</wp:posOffset>
                </wp:positionV>
                <wp:extent cx="308610" cy="255905"/>
                <wp:effectExtent l="0" t="3810" r="15240" b="6985"/>
                <wp:wrapNone/>
                <wp:docPr id="32" name="直线 87"/>
                <wp:cNvGraphicFramePr/>
                <a:graphic xmlns:a="http://schemas.openxmlformats.org/drawingml/2006/main">
                  <a:graphicData uri="http://schemas.microsoft.com/office/word/2010/wordprocessingShape">
                    <wps:wsp>
                      <wps:cNvCnPr/>
                      <wps:spPr>
                        <a:xfrm flipH="1">
                          <a:off x="0" y="0"/>
                          <a:ext cx="308610" cy="255905"/>
                        </a:xfrm>
                        <a:prstGeom prst="line">
                          <a:avLst/>
                        </a:prstGeom>
                        <a:ln w="9525" cap="flat" cmpd="sng">
                          <a:solidFill>
                            <a:srgbClr val="FF0000"/>
                          </a:solidFill>
                          <a:prstDash val="solid"/>
                          <a:headEnd type="none" w="med" len="med"/>
                          <a:tailEnd type="arrow" w="med" len="med"/>
                        </a:ln>
                      </wps:spPr>
                      <wps:bodyPr upright="1"/>
                    </wps:wsp>
                  </a:graphicData>
                </a:graphic>
              </wp:anchor>
            </w:drawing>
          </mc:Choice>
          <mc:Fallback>
            <w:pict>
              <v:line id="直线 87" o:spid="_x0000_s1026" o:spt="20" style="position:absolute;left:0pt;flip:x;margin-left:122.2pt;margin-top:23.15pt;height:20.15pt;width:24.3pt;z-index:251691008;mso-width-relative:page;mso-height-relative:page;" filled="f" stroked="t" coordsize="21600,21600" o:gfxdata="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D80z7YAAAACQEAAA8AAAAAAAAAAQAgAAAAIgAAAGRycy9kb3ducmV2&#10;LnhtbFBLAQIUABQAAAAIAIdO4kBuDltG/AEAAOwDAAAOAAAAAAAAAAEAIAAAACcBAABkcnMvZTJv&#10;RG9jLnhtbFBLBQYAAAAABgAGAFkBAACVBQAAAAA=&#10;">
                <v:fill on="f" focussize="0,0"/>
                <v:stroke color="#FF00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93056" behindDoc="0" locked="0" layoutInCell="1" allowOverlap="1">
                <wp:simplePos x="0" y="0"/>
                <wp:positionH relativeFrom="column">
                  <wp:posOffset>300990</wp:posOffset>
                </wp:positionH>
                <wp:positionV relativeFrom="paragraph">
                  <wp:posOffset>3607435</wp:posOffset>
                </wp:positionV>
                <wp:extent cx="217170" cy="301625"/>
                <wp:effectExtent l="0" t="2540" r="11430" b="635"/>
                <wp:wrapNone/>
                <wp:docPr id="34" name="直线 97"/>
                <wp:cNvGraphicFramePr/>
                <a:graphic xmlns:a="http://schemas.openxmlformats.org/drawingml/2006/main">
                  <a:graphicData uri="http://schemas.microsoft.com/office/word/2010/wordprocessingShape">
                    <wps:wsp>
                      <wps:cNvCnPr/>
                      <wps:spPr>
                        <a:xfrm flipH="1">
                          <a:off x="0" y="0"/>
                          <a:ext cx="217170" cy="301625"/>
                        </a:xfrm>
                        <a:prstGeom prst="line">
                          <a:avLst/>
                        </a:prstGeom>
                        <a:ln w="9525" cap="flat" cmpd="sng">
                          <a:solidFill>
                            <a:srgbClr val="32E6ED"/>
                          </a:solidFill>
                          <a:prstDash val="solid"/>
                          <a:headEnd type="none" w="med" len="med"/>
                          <a:tailEnd type="arrow" w="med" len="med"/>
                        </a:ln>
                      </wps:spPr>
                      <wps:bodyPr upright="1"/>
                    </wps:wsp>
                  </a:graphicData>
                </a:graphic>
              </wp:anchor>
            </w:drawing>
          </mc:Choice>
          <mc:Fallback>
            <w:pict>
              <v:line id="直线 97" o:spid="_x0000_s1026" o:spt="20" style="position:absolute;left:0pt;flip:x;margin-left:23.7pt;margin-top:284.05pt;height:23.75pt;width:17.1pt;z-index:251693056;mso-width-relative:page;mso-height-relative:page;" filled="f" stroked="t" coordsize="21600,21600" o:gfxdata="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4hd/9kAAAAJAQAADwAAAAAAAAABACAAAAAiAAAAZHJzL2Rvd25y&#10;ZXYueG1sUEsBAhQAFAAAAAgAh07iQJSZm2D9AQAA7AMAAA4AAAAAAAAAAQAgAAAAKAEAAGRycy9l&#10;Mm9Eb2MueG1sUEsFBgAAAAAGAAYAWQEAAJcFAAAAAA==&#10;">
                <v:fill on="f" focussize="0,0"/>
                <v:stroke color="#32E6ED"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700224" behindDoc="0" locked="0" layoutInCell="1" allowOverlap="1">
                <wp:simplePos x="0" y="0"/>
                <wp:positionH relativeFrom="column">
                  <wp:posOffset>4933315</wp:posOffset>
                </wp:positionH>
                <wp:positionV relativeFrom="paragraph">
                  <wp:posOffset>104775</wp:posOffset>
                </wp:positionV>
                <wp:extent cx="799465" cy="239395"/>
                <wp:effectExtent l="4445" t="5080" r="15240" b="22225"/>
                <wp:wrapNone/>
                <wp:docPr id="41" name="文本框 76"/>
                <wp:cNvGraphicFramePr/>
                <a:graphic xmlns:a="http://schemas.openxmlformats.org/drawingml/2006/main">
                  <a:graphicData uri="http://schemas.microsoft.com/office/word/2010/wordprocessingShape">
                    <wps:wsp>
                      <wps:cNvSpPr txBox="1"/>
                      <wps:spPr>
                        <a:xfrm>
                          <a:off x="0" y="0"/>
                          <a:ext cx="799465" cy="239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CAD8CA">
                            <w:pPr>
                              <w:spacing w:line="240" w:lineRule="auto"/>
                              <w:jc w:val="center"/>
                              <w:rPr>
                                <w:rFonts w:hint="default" w:eastAsia="宋体"/>
                                <w:lang w:val="en-US" w:eastAsia="zh-CN"/>
                              </w:rPr>
                            </w:pPr>
                            <w:r>
                              <w:rPr>
                                <w:rFonts w:hint="eastAsia" w:eastAsia="宋体"/>
                                <w:lang w:val="en-US" w:eastAsia="zh-CN"/>
                              </w:rPr>
                              <w:t>疏排水边界</w:t>
                            </w:r>
                          </w:p>
                        </w:txbxContent>
                      </wps:txbx>
                      <wps:bodyPr wrap="square" lIns="36000" tIns="18000" rIns="36000" bIns="18000" upright="1"/>
                    </wps:wsp>
                  </a:graphicData>
                </a:graphic>
              </wp:anchor>
            </w:drawing>
          </mc:Choice>
          <mc:Fallback>
            <w:pict>
              <v:shape id="文本框 76" o:spid="_x0000_s1026" o:spt="202" type="#_x0000_t202" style="position:absolute;left:0pt;margin-left:388.45pt;margin-top:8.25pt;height:18.85pt;width:62.95pt;z-index:251700224;mso-width-relative:page;mso-height-relative:page;" fillcolor="#FFFFFF" filled="t" stroked="t" coordsize="21600,21600" o:gfxdata="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JwRO9kAAAAJAQAADwAAAAAAAAABACAAAAAiAAAAZHJzL2Rvd25yZXYueG1sUEsB&#10;AhQAFAAAAAgAh07iQN4gQrEtAgAAeQQAAA4AAAAAAAAAAQAgAAAAKAEAAGRycy9lMm9Eb2MueG1s&#10;UEsFBgAAAAAGAAYAWQEAAMcFAAAAAA==&#10;">
                <v:fill on="t" focussize="0,0"/>
                <v:stroke color="#000000" joinstyle="miter"/>
                <v:imagedata o:title=""/>
                <o:lock v:ext="edit" aspectratio="f"/>
                <v:textbox inset="1mm,0.5mm,1mm,0.5mm">
                  <w:txbxContent>
                    <w:p w14:paraId="5DCAD8CA">
                      <w:pPr>
                        <w:spacing w:line="240" w:lineRule="auto"/>
                        <w:jc w:val="center"/>
                        <w:rPr>
                          <w:rFonts w:hint="default" w:eastAsia="宋体"/>
                          <w:lang w:val="en-US" w:eastAsia="zh-CN"/>
                        </w:rPr>
                      </w:pPr>
                      <w:r>
                        <w:rPr>
                          <w:rFonts w:hint="eastAsia" w:eastAsia="宋体"/>
                          <w:lang w:val="en-US" w:eastAsia="zh-CN"/>
                        </w:rPr>
                        <w:t>疏排水边界</w:t>
                      </w:r>
                    </w:p>
                  </w:txbxContent>
                </v:textbox>
              </v:shape>
            </w:pict>
          </mc:Fallback>
        </mc:AlternateContent>
      </w:r>
      <w:r>
        <w:rPr>
          <w:color w:val="auto"/>
          <w:sz w:val="30"/>
          <w:highlight w:val="none"/>
        </w:rPr>
        <mc:AlternateContent>
          <mc:Choice Requires="wps">
            <w:drawing>
              <wp:anchor distT="0" distB="0" distL="114300" distR="114300" simplePos="0" relativeHeight="251699200" behindDoc="0" locked="0" layoutInCell="1" allowOverlap="1">
                <wp:simplePos x="0" y="0"/>
                <wp:positionH relativeFrom="column">
                  <wp:posOffset>4823460</wp:posOffset>
                </wp:positionH>
                <wp:positionV relativeFrom="paragraph">
                  <wp:posOffset>356235</wp:posOffset>
                </wp:positionV>
                <wp:extent cx="280035" cy="279400"/>
                <wp:effectExtent l="0" t="4445" r="5715" b="1905"/>
                <wp:wrapNone/>
                <wp:docPr id="40" name="直线 77"/>
                <wp:cNvGraphicFramePr/>
                <a:graphic xmlns:a="http://schemas.openxmlformats.org/drawingml/2006/main">
                  <a:graphicData uri="http://schemas.microsoft.com/office/word/2010/wordprocessingShape">
                    <wps:wsp>
                      <wps:cNvCnPr/>
                      <wps:spPr>
                        <a:xfrm flipH="1">
                          <a:off x="0" y="0"/>
                          <a:ext cx="280035" cy="279400"/>
                        </a:xfrm>
                        <a:prstGeom prst="line">
                          <a:avLst/>
                        </a:prstGeom>
                        <a:ln w="12700" cap="flat" cmpd="sng">
                          <a:solidFill>
                            <a:srgbClr val="F79646"/>
                          </a:solidFill>
                          <a:prstDash val="solid"/>
                          <a:headEnd type="none" w="med" len="med"/>
                          <a:tailEnd type="arrow" w="med" len="med"/>
                        </a:ln>
                      </wps:spPr>
                      <wps:bodyPr upright="1"/>
                    </wps:wsp>
                  </a:graphicData>
                </a:graphic>
              </wp:anchor>
            </w:drawing>
          </mc:Choice>
          <mc:Fallback>
            <w:pict>
              <v:line id="直线 77" o:spid="_x0000_s1026" o:spt="20" style="position:absolute;left:0pt;flip:x;margin-left:379.8pt;margin-top:28.05pt;height:22pt;width:22.05pt;z-index:251699200;mso-width-relative:page;mso-height-relative:page;" filled="f" stroked="t" coordsize="21600,21600" o:gfxdata="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HT2Vs2AAAAAoBAAAPAAAAAAAAAAEAIAAAACIAAABkcnMvZG93&#10;bnJldi54bWxQSwECFAAUAAAACACHTuJAydfB8QACAADtAwAADgAAAAAAAAABACAAAAAnAQAAZHJz&#10;L2Uyb0RvYy54bWxQSwUGAAAAAAYABgBZAQAAmQUAAAAA&#10;">
                <v:fill on="f" focussize="0,0"/>
                <v:stroke weight="1pt" color="#F79646"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88960" behindDoc="0" locked="0" layoutInCell="1" allowOverlap="1">
                <wp:simplePos x="0" y="0"/>
                <wp:positionH relativeFrom="column">
                  <wp:posOffset>4083685</wp:posOffset>
                </wp:positionH>
                <wp:positionV relativeFrom="paragraph">
                  <wp:posOffset>2910205</wp:posOffset>
                </wp:positionV>
                <wp:extent cx="487680" cy="320040"/>
                <wp:effectExtent l="0" t="3810" r="7620" b="0"/>
                <wp:wrapNone/>
                <wp:docPr id="30" name="直线 78"/>
                <wp:cNvGraphicFramePr/>
                <a:graphic xmlns:a="http://schemas.openxmlformats.org/drawingml/2006/main">
                  <a:graphicData uri="http://schemas.microsoft.com/office/word/2010/wordprocessingShape">
                    <wps:wsp>
                      <wps:cNvCnPr/>
                      <wps:spPr>
                        <a:xfrm flipH="1">
                          <a:off x="0" y="0"/>
                          <a:ext cx="487680" cy="320040"/>
                        </a:xfrm>
                        <a:prstGeom prst="line">
                          <a:avLst/>
                        </a:prstGeom>
                        <a:ln w="9525" cap="flat" cmpd="sng">
                          <a:solidFill>
                            <a:srgbClr val="FF0000"/>
                          </a:solidFill>
                          <a:prstDash val="solid"/>
                          <a:headEnd type="none" w="med" len="med"/>
                          <a:tailEnd type="arrow" w="med" len="med"/>
                        </a:ln>
                      </wps:spPr>
                      <wps:bodyPr upright="1"/>
                    </wps:wsp>
                  </a:graphicData>
                </a:graphic>
              </wp:anchor>
            </w:drawing>
          </mc:Choice>
          <mc:Fallback>
            <w:pict>
              <v:line id="直线 78" o:spid="_x0000_s1026" o:spt="20" style="position:absolute;left:0pt;flip:x;margin-left:321.55pt;margin-top:229.15pt;height:25.2pt;width:38.4pt;z-index:251688960;mso-width-relative:page;mso-height-relative:page;" filled="f" stroked="t" coordsize="21600,21600" o:gfxdata="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gAbu2gAAAAsBAAAPAAAAAAAAAAEAIAAAACIAAABkcnMvZG93&#10;bnJldi54bWxQSwECFAAUAAAACACHTuJAsLo7df4BAADsAwAADgAAAAAAAAABACAAAAApAQAAZHJz&#10;L2Uyb0RvYy54bWxQSwUGAAAAAAYABgBZAQAAmQUAAAAA&#10;">
                <v:fill on="f" focussize="0,0"/>
                <v:stroke color="#FF00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69504" behindDoc="0" locked="0" layoutInCell="1" allowOverlap="1">
                <wp:simplePos x="0" y="0"/>
                <wp:positionH relativeFrom="column">
                  <wp:posOffset>5140325</wp:posOffset>
                </wp:positionH>
                <wp:positionV relativeFrom="paragraph">
                  <wp:posOffset>2239645</wp:posOffset>
                </wp:positionV>
                <wp:extent cx="217805" cy="230505"/>
                <wp:effectExtent l="4445" t="4445" r="6350" b="12700"/>
                <wp:wrapNone/>
                <wp:docPr id="11" name="文本框 79"/>
                <wp:cNvGraphicFramePr/>
                <a:graphic xmlns:a="http://schemas.openxmlformats.org/drawingml/2006/main">
                  <a:graphicData uri="http://schemas.microsoft.com/office/word/2010/wordprocessingShape">
                    <wps:wsp>
                      <wps:cNvSpPr txBox="1"/>
                      <wps:spPr>
                        <a:xfrm>
                          <a:off x="0" y="0"/>
                          <a:ext cx="217805" cy="2305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823955">
                            <w:pPr>
                              <w:spacing w:line="240" w:lineRule="auto"/>
                              <w:rPr>
                                <w:rFonts w:hint="eastAsia" w:eastAsia="宋体"/>
                                <w:lang w:eastAsia="zh-CN"/>
                              </w:rPr>
                            </w:pPr>
                            <w:r>
                              <w:rPr>
                                <w:rFonts w:hint="eastAsia" w:eastAsia="宋体"/>
                                <w:lang w:eastAsia="zh-CN"/>
                              </w:rPr>
                              <w:t>②</w:t>
                            </w:r>
                          </w:p>
                        </w:txbxContent>
                      </wps:txbx>
                      <wps:bodyPr wrap="square" lIns="36000" tIns="18000" rIns="36000" bIns="18000" upright="1"/>
                    </wps:wsp>
                  </a:graphicData>
                </a:graphic>
              </wp:anchor>
            </w:drawing>
          </mc:Choice>
          <mc:Fallback>
            <w:pict>
              <v:shape id="文本框 79" o:spid="_x0000_s1026" o:spt="202" type="#_x0000_t202" style="position:absolute;left:0pt;margin-left:404.75pt;margin-top:176.35pt;height:18.15pt;width:17.15pt;z-index:251669504;mso-width-relative:page;mso-height-relative:page;" fillcolor="#FFFFFF" filled="t" stroked="t" coordsize="21600,21600" o:gfxdata="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cxRyj2gAAAAsBAAAPAAAAAAAAAAEAIAAAACIAAABkcnMvZG93bnJldi54bWxQSwEC&#10;FAAUAAAACACHTuJAU6v5rCsCAAB5BAAADgAAAAAAAAABACAAAAApAQAAZHJzL2Uyb0RvYy54bWxQ&#10;SwUGAAAAAAYABgBZAQAAxgUAAAAA&#10;">
                <v:fill on="t" focussize="0,0"/>
                <v:stroke color="#000000" joinstyle="miter"/>
                <v:imagedata o:title=""/>
                <o:lock v:ext="edit" aspectratio="f"/>
                <v:textbox inset="1mm,0.5mm,1mm,0.5mm">
                  <w:txbxContent>
                    <w:p w14:paraId="25823955">
                      <w:pPr>
                        <w:spacing w:line="240" w:lineRule="auto"/>
                        <w:rPr>
                          <w:rFonts w:hint="eastAsia" w:eastAsia="宋体"/>
                          <w:lang w:eastAsia="zh-CN"/>
                        </w:rPr>
                      </w:pPr>
                      <w:r>
                        <w:rPr>
                          <w:rFonts w:hint="eastAsia" w:eastAsia="宋体"/>
                          <w:lang w:eastAsia="zh-CN"/>
                        </w:rPr>
                        <w:t>②</w:t>
                      </w:r>
                    </w:p>
                  </w:txbxContent>
                </v:textbox>
              </v:shape>
            </w:pict>
          </mc:Fallback>
        </mc:AlternateContent>
      </w:r>
      <w:r>
        <w:rPr>
          <w:color w:val="auto"/>
          <w:sz w:val="30"/>
          <w:highlight w:val="none"/>
        </w:rPr>
        <mc:AlternateContent>
          <mc:Choice Requires="wps">
            <w:drawing>
              <wp:anchor distT="0" distB="0" distL="114300" distR="114300" simplePos="0" relativeHeight="251668480" behindDoc="0" locked="0" layoutInCell="1" allowOverlap="1">
                <wp:simplePos x="0" y="0"/>
                <wp:positionH relativeFrom="column">
                  <wp:posOffset>5196205</wp:posOffset>
                </wp:positionH>
                <wp:positionV relativeFrom="paragraph">
                  <wp:posOffset>1466850</wp:posOffset>
                </wp:positionV>
                <wp:extent cx="22860" cy="772160"/>
                <wp:effectExtent l="46355" t="0" r="45085" b="8890"/>
                <wp:wrapNone/>
                <wp:docPr id="10" name="直线 80"/>
                <wp:cNvGraphicFramePr/>
                <a:graphic xmlns:a="http://schemas.openxmlformats.org/drawingml/2006/main">
                  <a:graphicData uri="http://schemas.microsoft.com/office/word/2010/wordprocessingShape">
                    <wps:wsp>
                      <wps:cNvCnPr/>
                      <wps:spPr>
                        <a:xfrm flipH="1" flipV="1">
                          <a:off x="0" y="0"/>
                          <a:ext cx="22860" cy="772160"/>
                        </a:xfrm>
                        <a:prstGeom prst="line">
                          <a:avLst/>
                        </a:prstGeom>
                        <a:ln w="9525" cap="flat" cmpd="sng">
                          <a:solidFill>
                            <a:srgbClr val="FFFF00"/>
                          </a:solidFill>
                          <a:prstDash val="solid"/>
                          <a:headEnd type="none" w="med" len="med"/>
                          <a:tailEnd type="arrow" w="med" len="med"/>
                        </a:ln>
                      </wps:spPr>
                      <wps:bodyPr upright="1"/>
                    </wps:wsp>
                  </a:graphicData>
                </a:graphic>
              </wp:anchor>
            </w:drawing>
          </mc:Choice>
          <mc:Fallback>
            <w:pict>
              <v:line id="直线 80" o:spid="_x0000_s1026" o:spt="20" style="position:absolute;left:0pt;flip:x y;margin-left:409.15pt;margin-top:115.5pt;height:60.8pt;width:1.8pt;z-index:251668480;mso-width-relative:page;mso-height-relative:page;" filled="f" stroked="t" coordsize="21600,21600" o:gfxdata="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wNrhc2QAAAAsBAAAPAAAAAAAAAAEAIAAAACIAAABkcnMvZG93bnJl&#10;di54bWxQSwECFAAUAAAACACHTuJAZ4azy/wBAAD1AwAADgAAAAAAAAABACAAAAAoAQAAZHJzL2Uy&#10;b0RvYy54bWxQSwUGAAAAAAYABgBZAQAAlgUAAAAA&#10;">
                <v:fill on="f" focussize="0,0"/>
                <v:stroke color="#FFFF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73600" behindDoc="0" locked="0" layoutInCell="1" allowOverlap="1">
                <wp:simplePos x="0" y="0"/>
                <wp:positionH relativeFrom="column">
                  <wp:posOffset>4682490</wp:posOffset>
                </wp:positionH>
                <wp:positionV relativeFrom="paragraph">
                  <wp:posOffset>2075180</wp:posOffset>
                </wp:positionV>
                <wp:extent cx="212090" cy="230505"/>
                <wp:effectExtent l="4445" t="4445" r="12065" b="12700"/>
                <wp:wrapNone/>
                <wp:docPr id="15" name="文本框 81"/>
                <wp:cNvGraphicFramePr/>
                <a:graphic xmlns:a="http://schemas.openxmlformats.org/drawingml/2006/main">
                  <a:graphicData uri="http://schemas.microsoft.com/office/word/2010/wordprocessingShape">
                    <wps:wsp>
                      <wps:cNvSpPr txBox="1"/>
                      <wps:spPr>
                        <a:xfrm>
                          <a:off x="0" y="0"/>
                          <a:ext cx="212090" cy="2305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79D80B">
                            <w:pPr>
                              <w:spacing w:line="240" w:lineRule="auto"/>
                              <w:rPr>
                                <w:rFonts w:hint="eastAsia" w:eastAsia="宋体"/>
                                <w:lang w:eastAsia="zh-CN"/>
                              </w:rPr>
                            </w:pPr>
                            <w:r>
                              <w:rPr>
                                <w:rFonts w:hint="eastAsia" w:eastAsia="宋体"/>
                                <w:lang w:eastAsia="zh-CN"/>
                              </w:rPr>
                              <w:t>④</w:t>
                            </w:r>
                          </w:p>
                        </w:txbxContent>
                      </wps:txbx>
                      <wps:bodyPr wrap="square" lIns="36000" tIns="18000" rIns="36000" bIns="18000" upright="1"/>
                    </wps:wsp>
                  </a:graphicData>
                </a:graphic>
              </wp:anchor>
            </w:drawing>
          </mc:Choice>
          <mc:Fallback>
            <w:pict>
              <v:shape id="文本框 81" o:spid="_x0000_s1026" o:spt="202" type="#_x0000_t202" style="position:absolute;left:0pt;margin-left:368.7pt;margin-top:163.4pt;height:18.15pt;width:16.7pt;z-index:251673600;mso-width-relative:page;mso-height-relative:page;" fillcolor="#FFFFFF" filled="t" stroked="t" coordsize="21600,21600" o:gfxdata="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IeNBzaAAAACwEAAA8AAAAAAAAAAQAgAAAAIgAAAGRycy9kb3ducmV2LnhtbFBLAQIU&#10;ABQAAAAIAIdO4kCawG5xKgIAAHkEAAAOAAAAAAAAAAEAIAAAACkBAABkcnMvZTJvRG9jLnhtbFBL&#10;BQYAAAAABgAGAFkBAADFBQAAAAA=&#10;">
                <v:fill on="t" focussize="0,0"/>
                <v:stroke color="#000000" joinstyle="miter"/>
                <v:imagedata o:title=""/>
                <o:lock v:ext="edit" aspectratio="f"/>
                <v:textbox inset="1mm,0.5mm,1mm,0.5mm">
                  <w:txbxContent>
                    <w:p w14:paraId="7B79D80B">
                      <w:pPr>
                        <w:spacing w:line="240" w:lineRule="auto"/>
                        <w:rPr>
                          <w:rFonts w:hint="eastAsia" w:eastAsia="宋体"/>
                          <w:lang w:eastAsia="zh-CN"/>
                        </w:rPr>
                      </w:pPr>
                      <w:r>
                        <w:rPr>
                          <w:rFonts w:hint="eastAsia" w:eastAsia="宋体"/>
                          <w:lang w:eastAsia="zh-CN"/>
                        </w:rPr>
                        <w:t>④</w:t>
                      </w:r>
                    </w:p>
                  </w:txbxContent>
                </v:textbox>
              </v:shape>
            </w:pict>
          </mc:Fallback>
        </mc:AlternateContent>
      </w:r>
      <w:r>
        <w:rPr>
          <w:color w:val="auto"/>
          <w:sz w:val="30"/>
          <w:highlight w:val="none"/>
        </w:rPr>
        <mc:AlternateContent>
          <mc:Choice Requires="wps">
            <w:drawing>
              <wp:anchor distT="0" distB="0" distL="114300" distR="114300" simplePos="0" relativeHeight="251672576" behindDoc="0" locked="0" layoutInCell="1" allowOverlap="1">
                <wp:simplePos x="0" y="0"/>
                <wp:positionH relativeFrom="column">
                  <wp:posOffset>4610100</wp:posOffset>
                </wp:positionH>
                <wp:positionV relativeFrom="paragraph">
                  <wp:posOffset>1736725</wp:posOffset>
                </wp:positionV>
                <wp:extent cx="183515" cy="382905"/>
                <wp:effectExtent l="7620" t="0" r="18415" b="17145"/>
                <wp:wrapNone/>
                <wp:docPr id="14" name="直线 82"/>
                <wp:cNvGraphicFramePr/>
                <a:graphic xmlns:a="http://schemas.openxmlformats.org/drawingml/2006/main">
                  <a:graphicData uri="http://schemas.microsoft.com/office/word/2010/wordprocessingShape">
                    <wps:wsp>
                      <wps:cNvCnPr/>
                      <wps:spPr>
                        <a:xfrm flipH="1" flipV="1">
                          <a:off x="0" y="0"/>
                          <a:ext cx="183515" cy="382905"/>
                        </a:xfrm>
                        <a:prstGeom prst="line">
                          <a:avLst/>
                        </a:prstGeom>
                        <a:ln w="9525" cap="flat" cmpd="sng">
                          <a:solidFill>
                            <a:srgbClr val="FFFF00"/>
                          </a:solidFill>
                          <a:prstDash val="solid"/>
                          <a:headEnd type="none" w="med" len="med"/>
                          <a:tailEnd type="arrow" w="med" len="med"/>
                        </a:ln>
                      </wps:spPr>
                      <wps:bodyPr upright="1"/>
                    </wps:wsp>
                  </a:graphicData>
                </a:graphic>
              </wp:anchor>
            </w:drawing>
          </mc:Choice>
          <mc:Fallback>
            <w:pict>
              <v:line id="直线 82" o:spid="_x0000_s1026" o:spt="20" style="position:absolute;left:0pt;flip:x y;margin-left:363pt;margin-top:136.75pt;height:30.15pt;width:14.45pt;z-index:251672576;mso-width-relative:page;mso-height-relative:page;" filled="f" stroked="t" coordsize="21600,21600" o:gfxdata="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UbgmbbAAAACwEAAA8AAAAAAAAAAQAgAAAAIgAAAGRy&#10;cy9kb3ducmV2LnhtbFBLAQIUABQAAAAIAIdO4kCxzETCAgIAAPYDAAAOAAAAAAAAAAEAIAAAACoB&#10;AABkcnMvZTJvRG9jLnhtbFBLBQYAAAAABgAGAFkBAACeBQAAAAA=&#10;">
                <v:fill on="f" focussize="0,0"/>
                <v:stroke color="#FFFF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70528" behindDoc="0" locked="0" layoutInCell="1" allowOverlap="1">
                <wp:simplePos x="0" y="0"/>
                <wp:positionH relativeFrom="column">
                  <wp:posOffset>4897120</wp:posOffset>
                </wp:positionH>
                <wp:positionV relativeFrom="paragraph">
                  <wp:posOffset>980440</wp:posOffset>
                </wp:positionV>
                <wp:extent cx="118745" cy="431165"/>
                <wp:effectExtent l="24765" t="1270" r="8890" b="5715"/>
                <wp:wrapNone/>
                <wp:docPr id="12" name="直线 83"/>
                <wp:cNvGraphicFramePr/>
                <a:graphic xmlns:a="http://schemas.openxmlformats.org/drawingml/2006/main">
                  <a:graphicData uri="http://schemas.microsoft.com/office/word/2010/wordprocessingShape">
                    <wps:wsp>
                      <wps:cNvCnPr/>
                      <wps:spPr>
                        <a:xfrm flipH="1">
                          <a:off x="0" y="0"/>
                          <a:ext cx="118745" cy="431165"/>
                        </a:xfrm>
                        <a:prstGeom prst="line">
                          <a:avLst/>
                        </a:prstGeom>
                        <a:ln w="9525" cap="flat" cmpd="sng">
                          <a:solidFill>
                            <a:srgbClr val="FFFF00"/>
                          </a:solidFill>
                          <a:prstDash val="solid"/>
                          <a:headEnd type="none" w="med" len="med"/>
                          <a:tailEnd type="arrow" w="med" len="med"/>
                        </a:ln>
                      </wps:spPr>
                      <wps:bodyPr upright="1"/>
                    </wps:wsp>
                  </a:graphicData>
                </a:graphic>
              </wp:anchor>
            </w:drawing>
          </mc:Choice>
          <mc:Fallback>
            <w:pict>
              <v:line id="直线 83" o:spid="_x0000_s1026" o:spt="20" style="position:absolute;left:0pt;flip:x;margin-left:385.6pt;margin-top:77.2pt;height:33.95pt;width:9.35pt;z-index:251670528;mso-width-relative:page;mso-height-relative:page;" filled="f" stroked="t" coordsize="21600,21600" o:gfxdata="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Q5m2t2AAAAAsBAAAPAAAAAAAAAAEAIAAAACIAAABkcnMvZG93bnJl&#10;di54bWxQSwECFAAUAAAACACHTuJA2DLsc/0BAADsAwAADgAAAAAAAAABACAAAAAnAQAAZHJzL2Uy&#10;b0RvYy54bWxQSwUGAAAAAAYABgBZAQAAlgUAAAAA&#10;">
                <v:fill on="f" focussize="0,0"/>
                <v:stroke color="#FFFF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71552" behindDoc="0" locked="0" layoutInCell="1" allowOverlap="1">
                <wp:simplePos x="0" y="0"/>
                <wp:positionH relativeFrom="column">
                  <wp:posOffset>4965065</wp:posOffset>
                </wp:positionH>
                <wp:positionV relativeFrom="paragraph">
                  <wp:posOffset>784860</wp:posOffset>
                </wp:positionV>
                <wp:extent cx="212090" cy="230505"/>
                <wp:effectExtent l="4445" t="4445" r="12065" b="12700"/>
                <wp:wrapNone/>
                <wp:docPr id="13" name="文本框 84"/>
                <wp:cNvGraphicFramePr/>
                <a:graphic xmlns:a="http://schemas.openxmlformats.org/drawingml/2006/main">
                  <a:graphicData uri="http://schemas.microsoft.com/office/word/2010/wordprocessingShape">
                    <wps:wsp>
                      <wps:cNvSpPr txBox="1"/>
                      <wps:spPr>
                        <a:xfrm>
                          <a:off x="0" y="0"/>
                          <a:ext cx="212090" cy="2305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CCEBB9">
                            <w:pPr>
                              <w:spacing w:line="240" w:lineRule="auto"/>
                              <w:rPr>
                                <w:rFonts w:hint="eastAsia" w:eastAsia="宋体"/>
                                <w:lang w:eastAsia="zh-CN"/>
                              </w:rPr>
                            </w:pPr>
                            <w:r>
                              <w:rPr>
                                <w:rFonts w:hint="eastAsia" w:eastAsia="宋体"/>
                                <w:lang w:eastAsia="zh-CN"/>
                              </w:rPr>
                              <w:t>③</w:t>
                            </w:r>
                          </w:p>
                        </w:txbxContent>
                      </wps:txbx>
                      <wps:bodyPr wrap="square" lIns="36000" tIns="18000" rIns="36000" bIns="18000" upright="1"/>
                    </wps:wsp>
                  </a:graphicData>
                </a:graphic>
              </wp:anchor>
            </w:drawing>
          </mc:Choice>
          <mc:Fallback>
            <w:pict>
              <v:shape id="文本框 84" o:spid="_x0000_s1026" o:spt="202" type="#_x0000_t202" style="position:absolute;left:0pt;margin-left:390.95pt;margin-top:61.8pt;height:18.15pt;width:16.7pt;z-index:251671552;mso-width-relative:page;mso-height-relative:page;" fillcolor="#FFFFFF" filled="t" stroked="t" coordsize="21600,21600" o:gfxdata="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5kMMO2gAAAAsBAAAPAAAAAAAAAAEAIAAAACIAAABkcnMvZG93bnJldi54bWxQSwEC&#10;FAAUAAAACACHTuJANs59QCsCAAB5BAAADgAAAAAAAAABACAAAAApAQAAZHJzL2Uyb0RvYy54bWxQ&#10;SwUGAAAAAAYABgBZAQAAxgUAAAAA&#10;">
                <v:fill on="t" focussize="0,0"/>
                <v:stroke color="#000000" joinstyle="miter"/>
                <v:imagedata o:title=""/>
                <o:lock v:ext="edit" aspectratio="f"/>
                <v:textbox inset="1mm,0.5mm,1mm,0.5mm">
                  <w:txbxContent>
                    <w:p w14:paraId="60CCEBB9">
                      <w:pPr>
                        <w:spacing w:line="240" w:lineRule="auto"/>
                        <w:rPr>
                          <w:rFonts w:hint="eastAsia" w:eastAsia="宋体"/>
                          <w:lang w:eastAsia="zh-CN"/>
                        </w:rPr>
                      </w:pPr>
                      <w:r>
                        <w:rPr>
                          <w:rFonts w:hint="eastAsia" w:eastAsia="宋体"/>
                          <w:lang w:eastAsia="zh-CN"/>
                        </w:rPr>
                        <w:t>③</w:t>
                      </w:r>
                    </w:p>
                  </w:txbxContent>
                </v:textbox>
              </v:shape>
            </w:pict>
          </mc:Fallback>
        </mc:AlternateContent>
      </w:r>
      <w:r>
        <w:rPr>
          <w:color w:val="auto"/>
          <w:sz w:val="30"/>
          <w:highlight w:val="none"/>
        </w:rPr>
        <mc:AlternateContent>
          <mc:Choice Requires="wps">
            <w:drawing>
              <wp:anchor distT="0" distB="0" distL="114300" distR="114300" simplePos="0" relativeHeight="251667456" behindDoc="0" locked="0" layoutInCell="1" allowOverlap="1">
                <wp:simplePos x="0" y="0"/>
                <wp:positionH relativeFrom="column">
                  <wp:posOffset>5377815</wp:posOffset>
                </wp:positionH>
                <wp:positionV relativeFrom="paragraph">
                  <wp:posOffset>708025</wp:posOffset>
                </wp:positionV>
                <wp:extent cx="217805" cy="230505"/>
                <wp:effectExtent l="4445" t="4445" r="6350" b="12700"/>
                <wp:wrapNone/>
                <wp:docPr id="9" name="文本框 85"/>
                <wp:cNvGraphicFramePr/>
                <a:graphic xmlns:a="http://schemas.openxmlformats.org/drawingml/2006/main">
                  <a:graphicData uri="http://schemas.microsoft.com/office/word/2010/wordprocessingShape">
                    <wps:wsp>
                      <wps:cNvSpPr txBox="1"/>
                      <wps:spPr>
                        <a:xfrm>
                          <a:off x="0" y="0"/>
                          <a:ext cx="217805" cy="2305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AA7F18">
                            <w:pPr>
                              <w:spacing w:line="240" w:lineRule="auto"/>
                              <w:rPr>
                                <w:rFonts w:hint="eastAsia" w:eastAsia="宋体"/>
                                <w:lang w:eastAsia="zh-CN"/>
                              </w:rPr>
                            </w:pPr>
                            <w:r>
                              <w:rPr>
                                <w:rFonts w:hint="eastAsia" w:eastAsia="宋体"/>
                                <w:lang w:eastAsia="zh-CN"/>
                              </w:rPr>
                              <w:t>①</w:t>
                            </w:r>
                          </w:p>
                        </w:txbxContent>
                      </wps:txbx>
                      <wps:bodyPr wrap="square" lIns="36000" tIns="18000" rIns="36000" bIns="18000" upright="1"/>
                    </wps:wsp>
                  </a:graphicData>
                </a:graphic>
              </wp:anchor>
            </w:drawing>
          </mc:Choice>
          <mc:Fallback>
            <w:pict>
              <v:shape id="文本框 85" o:spid="_x0000_s1026" o:spt="202" type="#_x0000_t202" style="position:absolute;left:0pt;margin-left:423.45pt;margin-top:55.75pt;height:18.15pt;width:17.15pt;z-index:251667456;mso-width-relative:page;mso-height-relative:page;" fillcolor="#FFFFFF" filled="t" stroked="t" coordsize="21600,21600" o:gfxdata="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S3++toAAAALAQAADwAAAAAAAAABACAAAAAiAAAAZHJzL2Rvd25yZXYueG1sUEsBAhQA&#10;FAAAAAgAh07iQP7UgNwpAgAAeAQAAA4AAAAAAAAAAQAgAAAAKQEAAGRycy9lMm9Eb2MueG1sUEsF&#10;BgAAAAAGAAYAWQEAAMQFAAAAAA==&#10;">
                <v:fill on="t" focussize="0,0"/>
                <v:stroke color="#000000" joinstyle="miter"/>
                <v:imagedata o:title=""/>
                <o:lock v:ext="edit" aspectratio="f"/>
                <v:textbox inset="1mm,0.5mm,1mm,0.5mm">
                  <w:txbxContent>
                    <w:p w14:paraId="70AA7F18">
                      <w:pPr>
                        <w:spacing w:line="240" w:lineRule="auto"/>
                        <w:rPr>
                          <w:rFonts w:hint="eastAsia" w:eastAsia="宋体"/>
                          <w:lang w:eastAsia="zh-CN"/>
                        </w:rPr>
                      </w:pPr>
                      <w:r>
                        <w:rPr>
                          <w:rFonts w:hint="eastAsia" w:eastAsia="宋体"/>
                          <w:lang w:eastAsia="zh-CN"/>
                        </w:rPr>
                        <w:t>①</w:t>
                      </w:r>
                    </w:p>
                  </w:txbxContent>
                </v:textbox>
              </v:shape>
            </w:pict>
          </mc:Fallback>
        </mc:AlternateContent>
      </w:r>
      <w:r>
        <w:rPr>
          <w:color w:val="auto"/>
          <w:sz w:val="30"/>
          <w:highlight w:val="none"/>
        </w:rPr>
        <mc:AlternateContent>
          <mc:Choice Requires="wps">
            <w:drawing>
              <wp:anchor distT="0" distB="0" distL="114300" distR="114300" simplePos="0" relativeHeight="251666432" behindDoc="0" locked="0" layoutInCell="1" allowOverlap="1">
                <wp:simplePos x="0" y="0"/>
                <wp:positionH relativeFrom="column">
                  <wp:posOffset>5386070</wp:posOffset>
                </wp:positionH>
                <wp:positionV relativeFrom="paragraph">
                  <wp:posOffset>852805</wp:posOffset>
                </wp:positionV>
                <wp:extent cx="133350" cy="534035"/>
                <wp:effectExtent l="27305" t="1270" r="10795" b="17145"/>
                <wp:wrapNone/>
                <wp:docPr id="8" name="直线 86"/>
                <wp:cNvGraphicFramePr/>
                <a:graphic xmlns:a="http://schemas.openxmlformats.org/drawingml/2006/main">
                  <a:graphicData uri="http://schemas.microsoft.com/office/word/2010/wordprocessingShape">
                    <wps:wsp>
                      <wps:cNvCnPr/>
                      <wps:spPr>
                        <a:xfrm flipH="1">
                          <a:off x="0" y="0"/>
                          <a:ext cx="133350" cy="534035"/>
                        </a:xfrm>
                        <a:prstGeom prst="line">
                          <a:avLst/>
                        </a:prstGeom>
                        <a:ln w="9525" cap="flat" cmpd="sng">
                          <a:solidFill>
                            <a:srgbClr val="FFFF00"/>
                          </a:solidFill>
                          <a:prstDash val="solid"/>
                          <a:headEnd type="none" w="med" len="med"/>
                          <a:tailEnd type="arrow" w="med" len="med"/>
                        </a:ln>
                      </wps:spPr>
                      <wps:bodyPr upright="1"/>
                    </wps:wsp>
                  </a:graphicData>
                </a:graphic>
              </wp:anchor>
            </w:drawing>
          </mc:Choice>
          <mc:Fallback>
            <w:pict>
              <v:line id="直线 86" o:spid="_x0000_s1026" o:spt="20" style="position:absolute;left:0pt;flip:x;margin-left:424.1pt;margin-top:67.15pt;height:42.05pt;width:10.5pt;z-index:251666432;mso-width-relative:page;mso-height-relative:page;" filled="f" stroked="t" coordsize="21600,21600" o:gfxdata="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77AvXAAAACwEAAA8AAAAAAAAAAQAgAAAAIgAAAGRycy9kb3ducmV2&#10;LnhtbFBLAQIUABQAAAAIAIdO4kAixRIy/QEAAOsDAAAOAAAAAAAAAAEAIAAAACYBAABkcnMvZTJv&#10;RG9jLnhtbFBLBQYAAAAABgAGAFkBAACVBQAAAAA=&#10;">
                <v:fill on="f" focussize="0,0"/>
                <v:stroke color="#FFFF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74624" behindDoc="0" locked="0" layoutInCell="1" allowOverlap="1">
                <wp:simplePos x="0" y="0"/>
                <wp:positionH relativeFrom="column">
                  <wp:posOffset>3669665</wp:posOffset>
                </wp:positionH>
                <wp:positionV relativeFrom="paragraph">
                  <wp:posOffset>1484630</wp:posOffset>
                </wp:positionV>
                <wp:extent cx="78105" cy="875030"/>
                <wp:effectExtent l="41275" t="0" r="13970" b="1270"/>
                <wp:wrapNone/>
                <wp:docPr id="16" name="直线 89"/>
                <wp:cNvGraphicFramePr/>
                <a:graphic xmlns:a="http://schemas.openxmlformats.org/drawingml/2006/main">
                  <a:graphicData uri="http://schemas.microsoft.com/office/word/2010/wordprocessingShape">
                    <wps:wsp>
                      <wps:cNvCnPr/>
                      <wps:spPr>
                        <a:xfrm flipH="1" flipV="1">
                          <a:off x="0" y="0"/>
                          <a:ext cx="78105" cy="875030"/>
                        </a:xfrm>
                        <a:prstGeom prst="line">
                          <a:avLst/>
                        </a:prstGeom>
                        <a:ln w="9525" cap="flat" cmpd="sng">
                          <a:solidFill>
                            <a:srgbClr val="FFFF00"/>
                          </a:solidFill>
                          <a:prstDash val="solid"/>
                          <a:headEnd type="none" w="med" len="med"/>
                          <a:tailEnd type="arrow" w="med" len="med"/>
                        </a:ln>
                      </wps:spPr>
                      <wps:bodyPr upright="1"/>
                    </wps:wsp>
                  </a:graphicData>
                </a:graphic>
              </wp:anchor>
            </w:drawing>
          </mc:Choice>
          <mc:Fallback>
            <w:pict>
              <v:line id="直线 89" o:spid="_x0000_s1026" o:spt="20" style="position:absolute;left:0pt;flip:x y;margin-left:288.95pt;margin-top:116.9pt;height:68.9pt;width:6.15pt;z-index:251674624;mso-width-relative:page;mso-height-relative:page;" filled="f" stroked="t" coordsize="21600,21600" o:gfxdata="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TIUJdoAAAALAQAADwAAAAAAAAABACAAAAAiAAAAZHJzL2Rv&#10;d25yZXYueG1sUEsBAhQAFAAAAAgAh07iQD6tpu3/AQAA9QMAAA4AAAAAAAAAAQAgAAAAKQEAAGRy&#10;cy9lMm9Eb2MueG1sUEsFBgAAAAAGAAYAWQEAAJoFAAAAAA==&#10;">
                <v:fill on="f" focussize="0,0"/>
                <v:stroke color="#FFFF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76672" behindDoc="0" locked="0" layoutInCell="1" allowOverlap="1">
                <wp:simplePos x="0" y="0"/>
                <wp:positionH relativeFrom="column">
                  <wp:posOffset>2192655</wp:posOffset>
                </wp:positionH>
                <wp:positionV relativeFrom="paragraph">
                  <wp:posOffset>2228215</wp:posOffset>
                </wp:positionV>
                <wp:extent cx="167005" cy="703580"/>
                <wp:effectExtent l="4445" t="0" r="38100" b="1270"/>
                <wp:wrapNone/>
                <wp:docPr id="18" name="直线 90"/>
                <wp:cNvGraphicFramePr/>
                <a:graphic xmlns:a="http://schemas.openxmlformats.org/drawingml/2006/main">
                  <a:graphicData uri="http://schemas.microsoft.com/office/word/2010/wordprocessingShape">
                    <wps:wsp>
                      <wps:cNvCnPr/>
                      <wps:spPr>
                        <a:xfrm flipV="1">
                          <a:off x="0" y="0"/>
                          <a:ext cx="167005" cy="703580"/>
                        </a:xfrm>
                        <a:prstGeom prst="line">
                          <a:avLst/>
                        </a:prstGeom>
                        <a:ln w="9525" cap="flat" cmpd="sng">
                          <a:solidFill>
                            <a:srgbClr val="FFFF00"/>
                          </a:solidFill>
                          <a:prstDash val="solid"/>
                          <a:headEnd type="none" w="med" len="med"/>
                          <a:tailEnd type="arrow" w="med" len="med"/>
                        </a:ln>
                      </wps:spPr>
                      <wps:bodyPr upright="1"/>
                    </wps:wsp>
                  </a:graphicData>
                </a:graphic>
              </wp:anchor>
            </w:drawing>
          </mc:Choice>
          <mc:Fallback>
            <w:pict>
              <v:line id="直线 90" o:spid="_x0000_s1026" o:spt="20" style="position:absolute;left:0pt;flip:y;margin-left:172.65pt;margin-top:175.45pt;height:55.4pt;width:13.15pt;z-index:251676672;mso-width-relative:page;mso-height-relative:page;" filled="f" stroked="t" coordsize="21600,21600" o:gfxdata="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AyJWHYAAAACwEAAA8AAAAAAAAAAQAgAAAAIgAAAGRycy9kb3ducmV2Lnht&#10;bFBLAQIUABQAAAAIAIdO4kDqsUq4+QEAAOwDAAAOAAAAAAAAAAEAIAAAACcBAABkcnMvZTJvRG9j&#10;LnhtbFBLBQYAAAAABgAGAFkBAACSBQAAAAA=&#10;">
                <v:fill on="f" focussize="0,0"/>
                <v:stroke color="#FFFF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86912" behindDoc="0" locked="0" layoutInCell="1" allowOverlap="1">
                <wp:simplePos x="0" y="0"/>
                <wp:positionH relativeFrom="column">
                  <wp:posOffset>1365250</wp:posOffset>
                </wp:positionH>
                <wp:positionV relativeFrom="paragraph">
                  <wp:posOffset>2058035</wp:posOffset>
                </wp:positionV>
                <wp:extent cx="138430" cy="659765"/>
                <wp:effectExtent l="30480" t="0" r="21590" b="6985"/>
                <wp:wrapNone/>
                <wp:docPr id="28" name="直线 91"/>
                <wp:cNvGraphicFramePr/>
                <a:graphic xmlns:a="http://schemas.openxmlformats.org/drawingml/2006/main">
                  <a:graphicData uri="http://schemas.microsoft.com/office/word/2010/wordprocessingShape">
                    <wps:wsp>
                      <wps:cNvCnPr/>
                      <wps:spPr>
                        <a:xfrm flipH="1" flipV="1">
                          <a:off x="0" y="0"/>
                          <a:ext cx="138430" cy="659765"/>
                        </a:xfrm>
                        <a:prstGeom prst="line">
                          <a:avLst/>
                        </a:prstGeom>
                        <a:ln w="9525" cap="flat" cmpd="sng">
                          <a:solidFill>
                            <a:srgbClr val="32E6ED"/>
                          </a:solidFill>
                          <a:prstDash val="solid"/>
                          <a:headEnd type="none" w="med" len="med"/>
                          <a:tailEnd type="arrow" w="med" len="med"/>
                        </a:ln>
                      </wps:spPr>
                      <wps:bodyPr upright="1"/>
                    </wps:wsp>
                  </a:graphicData>
                </a:graphic>
              </wp:anchor>
            </w:drawing>
          </mc:Choice>
          <mc:Fallback>
            <w:pict>
              <v:line id="直线 91" o:spid="_x0000_s1026" o:spt="20" style="position:absolute;left:0pt;flip:x y;margin-left:107.5pt;margin-top:162.05pt;height:51.95pt;width:10.9pt;z-index:251686912;mso-width-relative:page;mso-height-relative:page;" filled="f" stroked="t" coordsize="21600,21600" o:gfxdata="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dDDrvbAAAACwEAAA8AAAAAAAAAAQAgAAAAIgAAAGRy&#10;cy9kb3ducmV2LnhtbFBLAQIUABQAAAAIAIdO4kCK4QAHAgIAAPYDAAAOAAAAAAAAAAEAIAAAACoB&#10;AABkcnMvZTJvRG9jLnhtbFBLBQYAAAAABgAGAFkBAACeBQAAAAA=&#10;">
                <v:fill on="f" focussize="0,0"/>
                <v:stroke color="#32E6ED"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95104" behindDoc="0" locked="0" layoutInCell="1" allowOverlap="1">
                <wp:simplePos x="0" y="0"/>
                <wp:positionH relativeFrom="column">
                  <wp:posOffset>735965</wp:posOffset>
                </wp:positionH>
                <wp:positionV relativeFrom="paragraph">
                  <wp:posOffset>2480310</wp:posOffset>
                </wp:positionV>
                <wp:extent cx="299085" cy="522605"/>
                <wp:effectExtent l="4445" t="2540" r="1270" b="8255"/>
                <wp:wrapNone/>
                <wp:docPr id="36" name="直线 92"/>
                <wp:cNvGraphicFramePr/>
                <a:graphic xmlns:a="http://schemas.openxmlformats.org/drawingml/2006/main">
                  <a:graphicData uri="http://schemas.microsoft.com/office/word/2010/wordprocessingShape">
                    <wps:wsp>
                      <wps:cNvCnPr/>
                      <wps:spPr>
                        <a:xfrm>
                          <a:off x="0" y="0"/>
                          <a:ext cx="299085" cy="522605"/>
                        </a:xfrm>
                        <a:prstGeom prst="line">
                          <a:avLst/>
                        </a:prstGeom>
                        <a:ln w="9525" cap="flat" cmpd="sng">
                          <a:solidFill>
                            <a:srgbClr val="00B0F0"/>
                          </a:solidFill>
                          <a:prstDash val="solid"/>
                          <a:headEnd type="none" w="med" len="med"/>
                          <a:tailEnd type="arrow" w="med" len="med"/>
                        </a:ln>
                      </wps:spPr>
                      <wps:bodyPr upright="1"/>
                    </wps:wsp>
                  </a:graphicData>
                </a:graphic>
              </wp:anchor>
            </w:drawing>
          </mc:Choice>
          <mc:Fallback>
            <w:pict>
              <v:line id="直线 92" o:spid="_x0000_s1026" o:spt="20" style="position:absolute;left:0pt;margin-left:57.95pt;margin-top:195.3pt;height:41.15pt;width:23.55pt;z-index:251695104;mso-width-relative:page;mso-height-relative:page;" filled="f" stroked="t" coordsize="21600,21600" o:gfxdata="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9/COS1wAAAAsBAAAPAAAAAAAAAAEAIAAAACIAAABkcnMvZG93bnJldi54bWxQSwEC&#10;FAAUAAAACACHTuJA/Jv6JfUBAADiAwAADgAAAAAAAAABACAAAAAmAQAAZHJzL2Uyb0RvYy54bWxQ&#10;SwUGAAAAAAYABgBZAQAAjQUAAAAA&#10;">
                <v:fill on="f" focussize="0,0"/>
                <v:stroke color="#00B0F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96128" behindDoc="0" locked="0" layoutInCell="1" allowOverlap="1">
                <wp:simplePos x="0" y="0"/>
                <wp:positionH relativeFrom="column">
                  <wp:posOffset>510540</wp:posOffset>
                </wp:positionH>
                <wp:positionV relativeFrom="paragraph">
                  <wp:posOffset>2276475</wp:posOffset>
                </wp:positionV>
                <wp:extent cx="396875" cy="239395"/>
                <wp:effectExtent l="4445" t="5080" r="17780" b="22225"/>
                <wp:wrapNone/>
                <wp:docPr id="37" name="文本框 93"/>
                <wp:cNvGraphicFramePr/>
                <a:graphic xmlns:a="http://schemas.openxmlformats.org/drawingml/2006/main">
                  <a:graphicData uri="http://schemas.microsoft.com/office/word/2010/wordprocessingShape">
                    <wps:wsp>
                      <wps:cNvSpPr txBox="1"/>
                      <wps:spPr>
                        <a:xfrm>
                          <a:off x="0" y="0"/>
                          <a:ext cx="396875" cy="239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BBF6FB">
                            <w:pPr>
                              <w:spacing w:line="240" w:lineRule="auto"/>
                              <w:jc w:val="center"/>
                              <w:rPr>
                                <w:rFonts w:hint="eastAsia" w:eastAsia="宋体"/>
                                <w:lang w:eastAsia="zh-CN"/>
                              </w:rPr>
                            </w:pPr>
                            <w:r>
                              <w:rPr>
                                <w:rFonts w:hint="eastAsia" w:eastAsia="宋体"/>
                                <w:lang w:eastAsia="zh-CN"/>
                              </w:rPr>
                              <w:t>溪流</w:t>
                            </w:r>
                          </w:p>
                        </w:txbxContent>
                      </wps:txbx>
                      <wps:bodyPr wrap="square" lIns="36000" tIns="18000" rIns="36000" bIns="18000" upright="1"/>
                    </wps:wsp>
                  </a:graphicData>
                </a:graphic>
              </wp:anchor>
            </w:drawing>
          </mc:Choice>
          <mc:Fallback>
            <w:pict>
              <v:shape id="文本框 93" o:spid="_x0000_s1026" o:spt="202" type="#_x0000_t202" style="position:absolute;left:0pt;margin-left:40.2pt;margin-top:179.25pt;height:18.85pt;width:31.25pt;z-index:251696128;mso-width-relative:page;mso-height-relative:page;" fillcolor="#FFFFFF" filled="t" stroked="t" coordsize="21600,21600" o:gfxdata="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1cyCtoAAAAKAQAADwAAAAAAAAABACAAAAAiAAAAZHJzL2Rvd25yZXYueG1sUEsB&#10;AhQAFAAAAAgAh07iQLLwEcEsAgAAeQQAAA4AAAAAAAAAAQAgAAAAKQEAAGRycy9lMm9Eb2MueG1s&#10;UEsFBgAAAAAGAAYAWQEAAMcFAAAAAA==&#10;">
                <v:fill on="t" focussize="0,0"/>
                <v:stroke color="#000000" joinstyle="miter"/>
                <v:imagedata o:title=""/>
                <o:lock v:ext="edit" aspectratio="f"/>
                <v:textbox inset="1mm,0.5mm,1mm,0.5mm">
                  <w:txbxContent>
                    <w:p w14:paraId="21BBF6FB">
                      <w:pPr>
                        <w:spacing w:line="240" w:lineRule="auto"/>
                        <w:jc w:val="center"/>
                        <w:rPr>
                          <w:rFonts w:hint="eastAsia" w:eastAsia="宋体"/>
                          <w:lang w:eastAsia="zh-CN"/>
                        </w:rPr>
                      </w:pPr>
                      <w:r>
                        <w:rPr>
                          <w:rFonts w:hint="eastAsia" w:eastAsia="宋体"/>
                          <w:lang w:eastAsia="zh-CN"/>
                        </w:rPr>
                        <w:t>溪流</w:t>
                      </w:r>
                    </w:p>
                  </w:txbxContent>
                </v:textbox>
              </v:shape>
            </w:pict>
          </mc:Fallback>
        </mc:AlternateContent>
      </w:r>
      <w:r>
        <w:rPr>
          <w:color w:val="auto"/>
          <w:sz w:val="30"/>
          <w:highlight w:val="none"/>
        </w:rPr>
        <mc:AlternateContent>
          <mc:Choice Requires="wps">
            <w:drawing>
              <wp:anchor distT="0" distB="0" distL="114300" distR="114300" simplePos="0" relativeHeight="251698176" behindDoc="0" locked="0" layoutInCell="1" allowOverlap="1">
                <wp:simplePos x="0" y="0"/>
                <wp:positionH relativeFrom="column">
                  <wp:posOffset>2578100</wp:posOffset>
                </wp:positionH>
                <wp:positionV relativeFrom="paragraph">
                  <wp:posOffset>168910</wp:posOffset>
                </wp:positionV>
                <wp:extent cx="908050" cy="239395"/>
                <wp:effectExtent l="4445" t="5080" r="20955" b="22225"/>
                <wp:wrapNone/>
                <wp:docPr id="39" name="文本框 94"/>
                <wp:cNvGraphicFramePr/>
                <a:graphic xmlns:a="http://schemas.openxmlformats.org/drawingml/2006/main">
                  <a:graphicData uri="http://schemas.microsoft.com/office/word/2010/wordprocessingShape">
                    <wps:wsp>
                      <wps:cNvSpPr txBox="1"/>
                      <wps:spPr>
                        <a:xfrm>
                          <a:off x="0" y="0"/>
                          <a:ext cx="908050" cy="239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3D4B04">
                            <w:pPr>
                              <w:spacing w:line="240" w:lineRule="auto"/>
                              <w:jc w:val="center"/>
                              <w:rPr>
                                <w:rFonts w:hint="eastAsia" w:eastAsia="宋体"/>
                                <w:lang w:eastAsia="zh-CN"/>
                              </w:rPr>
                            </w:pPr>
                            <w:r>
                              <w:rPr>
                                <w:rFonts w:hint="eastAsia" w:eastAsia="宋体"/>
                                <w:lang w:eastAsia="zh-CN"/>
                              </w:rPr>
                              <w:t>错动影响范围</w:t>
                            </w:r>
                          </w:p>
                        </w:txbxContent>
                      </wps:txbx>
                      <wps:bodyPr wrap="square" lIns="36000" tIns="18000" rIns="36000" bIns="18000" upright="1"/>
                    </wps:wsp>
                  </a:graphicData>
                </a:graphic>
              </wp:anchor>
            </w:drawing>
          </mc:Choice>
          <mc:Fallback>
            <w:pict>
              <v:shape id="文本框 94" o:spid="_x0000_s1026" o:spt="202" type="#_x0000_t202" style="position:absolute;left:0pt;margin-left:203pt;margin-top:13.3pt;height:18.85pt;width:71.5pt;z-index:251698176;mso-width-relative:page;mso-height-relative:page;" fillcolor="#FFFFFF" filled="t" stroked="t" coordsize="21600,21600" o:gfxdata="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8IE1LZAAAACQEAAA8AAAAAAAAAAQAgAAAAIgAAAGRycy9kb3ducmV2LnhtbFBLAQIU&#10;ABQAAAAIAIdO4kCuPwjTKwIAAHkEAAAOAAAAAAAAAAEAIAAAACgBAABkcnMvZTJvRG9jLnhtbFBL&#10;BQYAAAAABgAGAFkBAADFBQAAAAA=&#10;">
                <v:fill on="t" focussize="0,0"/>
                <v:stroke color="#000000" joinstyle="miter"/>
                <v:imagedata o:title=""/>
                <o:lock v:ext="edit" aspectratio="f"/>
                <v:textbox inset="1mm,0.5mm,1mm,0.5mm">
                  <w:txbxContent>
                    <w:p w14:paraId="3E3D4B04">
                      <w:pPr>
                        <w:spacing w:line="240" w:lineRule="auto"/>
                        <w:jc w:val="center"/>
                        <w:rPr>
                          <w:rFonts w:hint="eastAsia" w:eastAsia="宋体"/>
                          <w:lang w:eastAsia="zh-CN"/>
                        </w:rPr>
                      </w:pPr>
                      <w:r>
                        <w:rPr>
                          <w:rFonts w:hint="eastAsia" w:eastAsia="宋体"/>
                          <w:lang w:eastAsia="zh-CN"/>
                        </w:rPr>
                        <w:t>错动影响范围</w:t>
                      </w:r>
                    </w:p>
                  </w:txbxContent>
                </v:textbox>
              </v:shape>
            </w:pict>
          </mc:Fallback>
        </mc:AlternateContent>
      </w:r>
      <w:r>
        <w:rPr>
          <w:color w:val="auto"/>
          <w:sz w:val="30"/>
          <w:highlight w:val="none"/>
        </w:rPr>
        <mc:AlternateContent>
          <mc:Choice Requires="wps">
            <w:drawing>
              <wp:anchor distT="0" distB="0" distL="114300" distR="114300" simplePos="0" relativeHeight="251697152" behindDoc="0" locked="0" layoutInCell="1" allowOverlap="1">
                <wp:simplePos x="0" y="0"/>
                <wp:positionH relativeFrom="column">
                  <wp:posOffset>3260090</wp:posOffset>
                </wp:positionH>
                <wp:positionV relativeFrom="paragraph">
                  <wp:posOffset>382905</wp:posOffset>
                </wp:positionV>
                <wp:extent cx="530225" cy="541020"/>
                <wp:effectExtent l="4445" t="4445" r="17780" b="6985"/>
                <wp:wrapNone/>
                <wp:docPr id="38" name="直线 95"/>
                <wp:cNvGraphicFramePr/>
                <a:graphic xmlns:a="http://schemas.openxmlformats.org/drawingml/2006/main">
                  <a:graphicData uri="http://schemas.microsoft.com/office/word/2010/wordprocessingShape">
                    <wps:wsp>
                      <wps:cNvCnPr/>
                      <wps:spPr>
                        <a:xfrm>
                          <a:off x="0" y="0"/>
                          <a:ext cx="530225" cy="541020"/>
                        </a:xfrm>
                        <a:prstGeom prst="line">
                          <a:avLst/>
                        </a:prstGeom>
                        <a:ln w="12700" cap="flat" cmpd="sng">
                          <a:solidFill>
                            <a:srgbClr val="F79646"/>
                          </a:solidFill>
                          <a:prstDash val="solid"/>
                          <a:headEnd type="none" w="med" len="med"/>
                          <a:tailEnd type="arrow" w="med" len="med"/>
                        </a:ln>
                      </wps:spPr>
                      <wps:bodyPr upright="1"/>
                    </wps:wsp>
                  </a:graphicData>
                </a:graphic>
              </wp:anchor>
            </w:drawing>
          </mc:Choice>
          <mc:Fallback>
            <w:pict>
              <v:line id="直线 95" o:spid="_x0000_s1026" o:spt="20" style="position:absolute;left:0pt;margin-left:256.7pt;margin-top:30.15pt;height:42.6pt;width:41.75pt;z-index:251697152;mso-width-relative:page;mso-height-relative:page;" filled="f" stroked="t" coordsize="21600,21600" o:gfxdata="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3fcd12AAAAAoBAAAPAAAAAAAAAAEAIAAAACIAAABkcnMvZG93bnJldi54&#10;bWxQSwECFAAUAAAACACHTuJATfHArfoBAADjAwAADgAAAAAAAAABACAAAAAnAQAAZHJzL2Uyb0Rv&#10;Yy54bWxQSwUGAAAAAAYABgBZAQAAkwUAAAAA&#10;">
                <v:fill on="f" focussize="0,0"/>
                <v:stroke weight="1pt" color="#F79646"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94080" behindDoc="0" locked="0" layoutInCell="1" allowOverlap="1">
                <wp:simplePos x="0" y="0"/>
                <wp:positionH relativeFrom="column">
                  <wp:posOffset>327660</wp:posOffset>
                </wp:positionH>
                <wp:positionV relativeFrom="paragraph">
                  <wp:posOffset>3406775</wp:posOffset>
                </wp:positionV>
                <wp:extent cx="548005" cy="239395"/>
                <wp:effectExtent l="4445" t="5080" r="19050" b="22225"/>
                <wp:wrapNone/>
                <wp:docPr id="35" name="文本框 96"/>
                <wp:cNvGraphicFramePr/>
                <a:graphic xmlns:a="http://schemas.openxmlformats.org/drawingml/2006/main">
                  <a:graphicData uri="http://schemas.microsoft.com/office/word/2010/wordprocessingShape">
                    <wps:wsp>
                      <wps:cNvSpPr txBox="1"/>
                      <wps:spPr>
                        <a:xfrm>
                          <a:off x="0" y="0"/>
                          <a:ext cx="548005" cy="239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DB02CB1">
                            <w:pPr>
                              <w:spacing w:line="240" w:lineRule="auto"/>
                              <w:jc w:val="center"/>
                              <w:rPr>
                                <w:rFonts w:hint="eastAsia" w:eastAsia="宋体"/>
                                <w:lang w:eastAsia="zh-CN"/>
                              </w:rPr>
                            </w:pPr>
                            <w:r>
                              <w:rPr>
                                <w:rFonts w:hint="eastAsia" w:eastAsia="宋体"/>
                                <w:lang w:eastAsia="zh-CN"/>
                              </w:rPr>
                              <w:t>居民点</w:t>
                            </w:r>
                          </w:p>
                        </w:txbxContent>
                      </wps:txbx>
                      <wps:bodyPr wrap="square" lIns="36000" tIns="18000" rIns="36000" bIns="18000" upright="1"/>
                    </wps:wsp>
                  </a:graphicData>
                </a:graphic>
              </wp:anchor>
            </w:drawing>
          </mc:Choice>
          <mc:Fallback>
            <w:pict>
              <v:shape id="文本框 96" o:spid="_x0000_s1026" o:spt="202" type="#_x0000_t202" style="position:absolute;left:0pt;margin-left:25.8pt;margin-top:268.25pt;height:18.85pt;width:43.15pt;z-index:251694080;mso-width-relative:page;mso-height-relative:page;" fillcolor="#FFFFFF" filled="t" stroked="t" coordsize="21600,21600" o:gfxdata="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XwmSO2QAAAAoBAAAPAAAAAAAAAAEAIAAAACIAAABkcnMvZG93bnJldi54bWxQSwEC&#10;FAAUAAAACACHTuJAqAWEnywCAAB5BAAADgAAAAAAAAABACAAAAAoAQAAZHJzL2Uyb0RvYy54bWxQ&#10;SwUGAAAAAAYABgBZAQAAxgUAAAAA&#10;">
                <v:fill on="t" focussize="0,0"/>
                <v:stroke color="#000000" joinstyle="miter"/>
                <v:imagedata o:title=""/>
                <o:lock v:ext="edit" aspectratio="f"/>
                <v:textbox inset="1mm,0.5mm,1mm,0.5mm">
                  <w:txbxContent>
                    <w:p w14:paraId="6DB02CB1">
                      <w:pPr>
                        <w:spacing w:line="240" w:lineRule="auto"/>
                        <w:jc w:val="center"/>
                        <w:rPr>
                          <w:rFonts w:hint="eastAsia" w:eastAsia="宋体"/>
                          <w:lang w:eastAsia="zh-CN"/>
                        </w:rPr>
                      </w:pPr>
                      <w:r>
                        <w:rPr>
                          <w:rFonts w:hint="eastAsia" w:eastAsia="宋体"/>
                          <w:lang w:eastAsia="zh-CN"/>
                        </w:rPr>
                        <w:t>居民点</w:t>
                      </w:r>
                    </w:p>
                  </w:txbxContent>
                </v:textbox>
              </v:shape>
            </w:pict>
          </mc:Fallback>
        </mc:AlternateContent>
      </w:r>
      <w:r>
        <w:rPr>
          <w:color w:val="auto"/>
          <w:sz w:val="30"/>
          <w:highlight w:val="none"/>
        </w:rPr>
        <mc:AlternateContent>
          <mc:Choice Requires="wps">
            <w:drawing>
              <wp:anchor distT="0" distB="0" distL="114300" distR="114300" simplePos="0" relativeHeight="251692032" behindDoc="0" locked="0" layoutInCell="1" allowOverlap="1">
                <wp:simplePos x="0" y="0"/>
                <wp:positionH relativeFrom="column">
                  <wp:posOffset>1456690</wp:posOffset>
                </wp:positionH>
                <wp:positionV relativeFrom="paragraph">
                  <wp:posOffset>56515</wp:posOffset>
                </wp:positionV>
                <wp:extent cx="692785" cy="239395"/>
                <wp:effectExtent l="4445" t="5080" r="7620" b="22225"/>
                <wp:wrapNone/>
                <wp:docPr id="33" name="文本框 98"/>
                <wp:cNvGraphicFramePr/>
                <a:graphic xmlns:a="http://schemas.openxmlformats.org/drawingml/2006/main">
                  <a:graphicData uri="http://schemas.microsoft.com/office/word/2010/wordprocessingShape">
                    <wps:wsp>
                      <wps:cNvSpPr txBox="1"/>
                      <wps:spPr>
                        <a:xfrm>
                          <a:off x="0" y="0"/>
                          <a:ext cx="692785" cy="239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9D42F4">
                            <w:pPr>
                              <w:spacing w:line="240" w:lineRule="auto"/>
                              <w:jc w:val="center"/>
                              <w:rPr>
                                <w:rFonts w:hint="eastAsia" w:eastAsia="宋体"/>
                                <w:lang w:eastAsia="zh-CN"/>
                              </w:rPr>
                            </w:pPr>
                            <w:r>
                              <w:rPr>
                                <w:rFonts w:hint="eastAsia" w:eastAsia="宋体"/>
                                <w:lang w:eastAsia="zh-CN"/>
                              </w:rPr>
                              <w:t>生态红线</w:t>
                            </w:r>
                          </w:p>
                        </w:txbxContent>
                      </wps:txbx>
                      <wps:bodyPr wrap="square" lIns="36000" tIns="18000" rIns="36000" bIns="18000" upright="1"/>
                    </wps:wsp>
                  </a:graphicData>
                </a:graphic>
              </wp:anchor>
            </w:drawing>
          </mc:Choice>
          <mc:Fallback>
            <w:pict>
              <v:shape id="文本框 98" o:spid="_x0000_s1026" o:spt="202" type="#_x0000_t202" style="position:absolute;left:0pt;margin-left:114.7pt;margin-top:4.45pt;height:18.85pt;width:54.55pt;z-index:251692032;mso-width-relative:page;mso-height-relative:page;" fillcolor="#FFFFFF" filled="t" stroked="t" coordsize="21600,21600" o:gfxdata="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vXlCQ2QAAAAgBAAAPAAAAAAAAAAEAIAAAACIAAABkcnMvZG93bnJldi54bWxQSwEC&#10;FAAUAAAACACHTuJAkWyHnywCAAB5BAAADgAAAAAAAAABACAAAAAoAQAAZHJzL2Uyb0RvYy54bWxQ&#10;SwUGAAAAAAYABgBZAQAAxgUAAAAA&#10;">
                <v:fill on="t" focussize="0,0"/>
                <v:stroke color="#000000" joinstyle="miter"/>
                <v:imagedata o:title=""/>
                <o:lock v:ext="edit" aspectratio="f"/>
                <v:textbox inset="1mm,0.5mm,1mm,0.5mm">
                  <w:txbxContent>
                    <w:p w14:paraId="559D42F4">
                      <w:pPr>
                        <w:spacing w:line="240" w:lineRule="auto"/>
                        <w:jc w:val="center"/>
                        <w:rPr>
                          <w:rFonts w:hint="eastAsia" w:eastAsia="宋体"/>
                          <w:lang w:eastAsia="zh-CN"/>
                        </w:rPr>
                      </w:pPr>
                      <w:r>
                        <w:rPr>
                          <w:rFonts w:hint="eastAsia" w:eastAsia="宋体"/>
                          <w:lang w:eastAsia="zh-CN"/>
                        </w:rPr>
                        <w:t>生态红线</w:t>
                      </w:r>
                    </w:p>
                  </w:txbxContent>
                </v:textbox>
              </v:shape>
            </w:pict>
          </mc:Fallback>
        </mc:AlternateContent>
      </w:r>
      <w:r>
        <w:rPr>
          <w:color w:val="auto"/>
          <w:sz w:val="30"/>
          <w:highlight w:val="none"/>
        </w:rPr>
        <mc:AlternateContent>
          <mc:Choice Requires="wps">
            <w:drawing>
              <wp:anchor distT="0" distB="0" distL="114300" distR="114300" simplePos="0" relativeHeight="251689984" behindDoc="0" locked="0" layoutInCell="1" allowOverlap="1">
                <wp:simplePos x="0" y="0"/>
                <wp:positionH relativeFrom="column">
                  <wp:posOffset>4257675</wp:posOffset>
                </wp:positionH>
                <wp:positionV relativeFrom="paragraph">
                  <wp:posOffset>2705735</wp:posOffset>
                </wp:positionV>
                <wp:extent cx="692785" cy="239395"/>
                <wp:effectExtent l="4445" t="5080" r="7620" b="22225"/>
                <wp:wrapNone/>
                <wp:docPr id="31" name="文本框 99"/>
                <wp:cNvGraphicFramePr/>
                <a:graphic xmlns:a="http://schemas.openxmlformats.org/drawingml/2006/main">
                  <a:graphicData uri="http://schemas.microsoft.com/office/word/2010/wordprocessingShape">
                    <wps:wsp>
                      <wps:cNvSpPr txBox="1"/>
                      <wps:spPr>
                        <a:xfrm>
                          <a:off x="0" y="0"/>
                          <a:ext cx="692785" cy="239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BF4FA9">
                            <w:pPr>
                              <w:spacing w:line="240" w:lineRule="auto"/>
                              <w:jc w:val="center"/>
                              <w:rPr>
                                <w:rFonts w:hint="eastAsia" w:eastAsia="宋体"/>
                                <w:lang w:eastAsia="zh-CN"/>
                              </w:rPr>
                            </w:pPr>
                            <w:r>
                              <w:rPr>
                                <w:rFonts w:hint="eastAsia" w:eastAsia="宋体"/>
                                <w:lang w:eastAsia="zh-CN"/>
                              </w:rPr>
                              <w:t>生态红线</w:t>
                            </w:r>
                          </w:p>
                        </w:txbxContent>
                      </wps:txbx>
                      <wps:bodyPr wrap="square" lIns="36000" tIns="18000" rIns="36000" bIns="18000" upright="1"/>
                    </wps:wsp>
                  </a:graphicData>
                </a:graphic>
              </wp:anchor>
            </w:drawing>
          </mc:Choice>
          <mc:Fallback>
            <w:pict>
              <v:shape id="文本框 99" o:spid="_x0000_s1026" o:spt="202" type="#_x0000_t202" style="position:absolute;left:0pt;margin-left:335.25pt;margin-top:213.05pt;height:18.85pt;width:54.55pt;z-index:251689984;mso-width-relative:page;mso-height-relative:page;" fillcolor="#FFFFFF" filled="t" stroked="t" coordsize="21600,21600" o:gfxdata="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0z9FB9oAAAALAQAADwAAAAAAAAABACAAAAAiAAAAZHJzL2Rvd25yZXYueG1sUEsB&#10;AhQAFAAAAAgAh07iQDZhnDAsAgAAeQQAAA4AAAAAAAAAAQAgAAAAKQEAAGRycy9lMm9Eb2MueG1s&#10;UEsFBgAAAAAGAAYAWQEAAMcFAAAAAA==&#10;">
                <v:fill on="t" focussize="0,0"/>
                <v:stroke color="#000000" joinstyle="miter"/>
                <v:imagedata o:title=""/>
                <o:lock v:ext="edit" aspectratio="f"/>
                <v:textbox inset="1mm,0.5mm,1mm,0.5mm">
                  <w:txbxContent>
                    <w:p w14:paraId="2ABF4FA9">
                      <w:pPr>
                        <w:spacing w:line="240" w:lineRule="auto"/>
                        <w:jc w:val="center"/>
                        <w:rPr>
                          <w:rFonts w:hint="eastAsia" w:eastAsia="宋体"/>
                          <w:lang w:eastAsia="zh-CN"/>
                        </w:rPr>
                      </w:pPr>
                      <w:r>
                        <w:rPr>
                          <w:rFonts w:hint="eastAsia" w:eastAsia="宋体"/>
                          <w:lang w:eastAsia="zh-CN"/>
                        </w:rPr>
                        <w:t>生态红线</w:t>
                      </w:r>
                    </w:p>
                  </w:txbxContent>
                </v:textbox>
              </v:shape>
            </w:pict>
          </mc:Fallback>
        </mc:AlternateContent>
      </w:r>
      <w:r>
        <w:rPr>
          <w:color w:val="auto"/>
          <w:sz w:val="30"/>
          <w:highlight w:val="none"/>
        </w:rPr>
        <mc:AlternateContent>
          <mc:Choice Requires="wps">
            <w:drawing>
              <wp:anchor distT="0" distB="0" distL="114300" distR="114300" simplePos="0" relativeHeight="251687936" behindDoc="0" locked="0" layoutInCell="1" allowOverlap="1">
                <wp:simplePos x="0" y="0"/>
                <wp:positionH relativeFrom="column">
                  <wp:posOffset>1399540</wp:posOffset>
                </wp:positionH>
                <wp:positionV relativeFrom="paragraph">
                  <wp:posOffset>2646045</wp:posOffset>
                </wp:positionV>
                <wp:extent cx="548005" cy="239395"/>
                <wp:effectExtent l="4445" t="5080" r="19050" b="22225"/>
                <wp:wrapNone/>
                <wp:docPr id="29" name="文本框 100"/>
                <wp:cNvGraphicFramePr/>
                <a:graphic xmlns:a="http://schemas.openxmlformats.org/drawingml/2006/main">
                  <a:graphicData uri="http://schemas.microsoft.com/office/word/2010/wordprocessingShape">
                    <wps:wsp>
                      <wps:cNvSpPr txBox="1"/>
                      <wps:spPr>
                        <a:xfrm>
                          <a:off x="0" y="0"/>
                          <a:ext cx="548005" cy="239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3122A9">
                            <w:pPr>
                              <w:spacing w:line="240" w:lineRule="auto"/>
                              <w:jc w:val="center"/>
                              <w:rPr>
                                <w:rFonts w:hint="eastAsia" w:eastAsia="宋体"/>
                                <w:lang w:eastAsia="zh-CN"/>
                              </w:rPr>
                            </w:pPr>
                            <w:r>
                              <w:rPr>
                                <w:rFonts w:hint="eastAsia"/>
                                <w:lang w:eastAsia="zh-CN"/>
                              </w:rPr>
                              <w:t>构筑物</w:t>
                            </w:r>
                          </w:p>
                        </w:txbxContent>
                      </wps:txbx>
                      <wps:bodyPr wrap="square" lIns="36000" tIns="18000" rIns="36000" bIns="18000" upright="1"/>
                    </wps:wsp>
                  </a:graphicData>
                </a:graphic>
              </wp:anchor>
            </w:drawing>
          </mc:Choice>
          <mc:Fallback>
            <w:pict>
              <v:shape id="文本框 100" o:spid="_x0000_s1026" o:spt="202" type="#_x0000_t202" style="position:absolute;left:0pt;margin-left:110.2pt;margin-top:208.35pt;height:18.85pt;width:43.15pt;z-index:251687936;mso-width-relative:page;mso-height-relative:page;" fillcolor="#FFFFFF" filled="t" stroked="t" coordsize="21600,21600" o:gfxdata="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xIHEt2QAAAAsBAAAPAAAAAAAAAAEAIAAAACIAAABkcnMvZG93bnJldi54bWxQSwEC&#10;FAAUAAAACACHTuJArm66fywCAAB6BAAADgAAAAAAAAABACAAAAAoAQAAZHJzL2Uyb0RvYy54bWxQ&#10;SwUGAAAAAAYABgBZAQAAxgUAAAAA&#10;">
                <v:fill on="t" focussize="0,0"/>
                <v:stroke color="#000000" joinstyle="miter"/>
                <v:imagedata o:title=""/>
                <o:lock v:ext="edit" aspectratio="f"/>
                <v:textbox inset="1mm,0.5mm,1mm,0.5mm">
                  <w:txbxContent>
                    <w:p w14:paraId="0B3122A9">
                      <w:pPr>
                        <w:spacing w:line="240" w:lineRule="auto"/>
                        <w:jc w:val="center"/>
                        <w:rPr>
                          <w:rFonts w:hint="eastAsia" w:eastAsia="宋体"/>
                          <w:lang w:eastAsia="zh-CN"/>
                        </w:rPr>
                      </w:pPr>
                      <w:r>
                        <w:rPr>
                          <w:rFonts w:hint="eastAsia"/>
                          <w:lang w:eastAsia="zh-CN"/>
                        </w:rPr>
                        <w:t>构筑物</w:t>
                      </w:r>
                    </w:p>
                  </w:txbxContent>
                </v:textbox>
              </v:shape>
            </w:pict>
          </mc:Fallback>
        </mc:AlternateContent>
      </w:r>
      <w:r>
        <w:rPr>
          <w:color w:val="auto"/>
          <w:sz w:val="30"/>
          <w:highlight w:val="none"/>
        </w:rPr>
        <mc:AlternateContent>
          <mc:Choice Requires="wps">
            <w:drawing>
              <wp:anchor distT="0" distB="0" distL="114300" distR="114300" simplePos="0" relativeHeight="251685888" behindDoc="0" locked="0" layoutInCell="1" allowOverlap="1">
                <wp:simplePos x="0" y="0"/>
                <wp:positionH relativeFrom="column">
                  <wp:posOffset>1951990</wp:posOffset>
                </wp:positionH>
                <wp:positionV relativeFrom="paragraph">
                  <wp:posOffset>452120</wp:posOffset>
                </wp:positionV>
                <wp:extent cx="548005" cy="239395"/>
                <wp:effectExtent l="4445" t="5080" r="19050" b="22225"/>
                <wp:wrapNone/>
                <wp:docPr id="27" name="文本框 101"/>
                <wp:cNvGraphicFramePr/>
                <a:graphic xmlns:a="http://schemas.openxmlformats.org/drawingml/2006/main">
                  <a:graphicData uri="http://schemas.microsoft.com/office/word/2010/wordprocessingShape">
                    <wps:wsp>
                      <wps:cNvSpPr txBox="1"/>
                      <wps:spPr>
                        <a:xfrm>
                          <a:off x="0" y="0"/>
                          <a:ext cx="548005" cy="239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0B2320">
                            <w:pPr>
                              <w:spacing w:line="240" w:lineRule="auto"/>
                              <w:jc w:val="center"/>
                              <w:rPr>
                                <w:rFonts w:hint="eastAsia" w:eastAsia="宋体"/>
                                <w:lang w:eastAsia="zh-CN"/>
                              </w:rPr>
                            </w:pPr>
                            <w:r>
                              <w:rPr>
                                <w:rFonts w:hint="eastAsia"/>
                                <w:lang w:eastAsia="zh-CN"/>
                              </w:rPr>
                              <w:t>构筑物</w:t>
                            </w:r>
                          </w:p>
                        </w:txbxContent>
                      </wps:txbx>
                      <wps:bodyPr wrap="square" lIns="36000" tIns="18000" rIns="36000" bIns="18000" upright="1"/>
                    </wps:wsp>
                  </a:graphicData>
                </a:graphic>
              </wp:anchor>
            </w:drawing>
          </mc:Choice>
          <mc:Fallback>
            <w:pict>
              <v:shape id="文本框 101" o:spid="_x0000_s1026" o:spt="202" type="#_x0000_t202" style="position:absolute;left:0pt;margin-left:153.7pt;margin-top:35.6pt;height:18.85pt;width:43.15pt;z-index:251685888;mso-width-relative:page;mso-height-relative:page;" fillcolor="#FFFFFF" filled="t" stroked="t" coordsize="21600,21600" o:gfxdata="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8actK2gAAAAoBAAAPAAAAAAAAAAEAIAAAACIAAABkcnMvZG93bnJldi54bWxQ&#10;SwECFAAUAAAACACHTuJApRlyBS4CAAB6BAAADgAAAAAAAAABACAAAAApAQAAZHJzL2Uyb0RvYy54&#10;bWxQSwUGAAAAAAYABgBZAQAAyQUAAAAA&#10;">
                <v:fill on="t" focussize="0,0"/>
                <v:stroke color="#000000" joinstyle="miter"/>
                <v:imagedata o:title=""/>
                <o:lock v:ext="edit" aspectratio="f"/>
                <v:textbox inset="1mm,0.5mm,1mm,0.5mm">
                  <w:txbxContent>
                    <w:p w14:paraId="4D0B2320">
                      <w:pPr>
                        <w:spacing w:line="240" w:lineRule="auto"/>
                        <w:jc w:val="center"/>
                        <w:rPr>
                          <w:rFonts w:hint="eastAsia" w:eastAsia="宋体"/>
                          <w:lang w:eastAsia="zh-CN"/>
                        </w:rPr>
                      </w:pPr>
                      <w:r>
                        <w:rPr>
                          <w:rFonts w:hint="eastAsia"/>
                          <w:lang w:eastAsia="zh-CN"/>
                        </w:rPr>
                        <w:t>构筑物</w:t>
                      </w:r>
                    </w:p>
                  </w:txbxContent>
                </v:textbox>
              </v:shape>
            </w:pict>
          </mc:Fallback>
        </mc:AlternateContent>
      </w:r>
      <w:r>
        <w:rPr>
          <w:color w:val="auto"/>
          <w:sz w:val="30"/>
          <w:highlight w:val="none"/>
        </w:rPr>
        <mc:AlternateContent>
          <mc:Choice Requires="wps">
            <w:drawing>
              <wp:anchor distT="0" distB="0" distL="114300" distR="114300" simplePos="0" relativeHeight="251684864" behindDoc="0" locked="0" layoutInCell="1" allowOverlap="1">
                <wp:simplePos x="0" y="0"/>
                <wp:positionH relativeFrom="column">
                  <wp:posOffset>2372995</wp:posOffset>
                </wp:positionH>
                <wp:positionV relativeFrom="paragraph">
                  <wp:posOffset>668020</wp:posOffset>
                </wp:positionV>
                <wp:extent cx="511175" cy="546100"/>
                <wp:effectExtent l="3175" t="3175" r="0" b="3175"/>
                <wp:wrapNone/>
                <wp:docPr id="26" name="直线 102"/>
                <wp:cNvGraphicFramePr/>
                <a:graphic xmlns:a="http://schemas.openxmlformats.org/drawingml/2006/main">
                  <a:graphicData uri="http://schemas.microsoft.com/office/word/2010/wordprocessingShape">
                    <wps:wsp>
                      <wps:cNvCnPr/>
                      <wps:spPr>
                        <a:xfrm>
                          <a:off x="0" y="0"/>
                          <a:ext cx="511175" cy="546100"/>
                        </a:xfrm>
                        <a:prstGeom prst="line">
                          <a:avLst/>
                        </a:prstGeom>
                        <a:ln w="9525" cap="flat" cmpd="sng">
                          <a:solidFill>
                            <a:srgbClr val="32E6ED"/>
                          </a:solidFill>
                          <a:prstDash val="solid"/>
                          <a:headEnd type="none" w="med" len="med"/>
                          <a:tailEnd type="arrow" w="med" len="med"/>
                        </a:ln>
                      </wps:spPr>
                      <wps:bodyPr upright="1"/>
                    </wps:wsp>
                  </a:graphicData>
                </a:graphic>
              </wp:anchor>
            </w:drawing>
          </mc:Choice>
          <mc:Fallback>
            <w:pict>
              <v:line id="直线 102" o:spid="_x0000_s1026" o:spt="20" style="position:absolute;left:0pt;margin-left:186.85pt;margin-top:52.6pt;height:43pt;width:40.25pt;z-index:251684864;mso-width-relative:page;mso-height-relative:page;" filled="f" stroked="t" coordsize="21600,21600" o:gfxdata="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0yq/MNkAAAALAQAADwAAAAAAAAABACAAAAAiAAAAZHJzL2Rvd25yZXYueG1s&#10;UEsBAhQAFAAAAAgAh07iQMbX8QX3AQAA4wMAAA4AAAAAAAAAAQAgAAAAKAEAAGRycy9lMm9Eb2Mu&#10;eG1sUEsFBgAAAAAGAAYAWQEAAJEFAAAAAA==&#10;">
                <v:fill on="f" focussize="0,0"/>
                <v:stroke color="#32E6ED"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81792" behindDoc="0" locked="0" layoutInCell="1" allowOverlap="1">
                <wp:simplePos x="0" y="0"/>
                <wp:positionH relativeFrom="column">
                  <wp:posOffset>2907665</wp:posOffset>
                </wp:positionH>
                <wp:positionV relativeFrom="paragraph">
                  <wp:posOffset>690880</wp:posOffset>
                </wp:positionV>
                <wp:extent cx="212090" cy="230505"/>
                <wp:effectExtent l="4445" t="4445" r="12065" b="12700"/>
                <wp:wrapNone/>
                <wp:docPr id="23" name="文本框 104"/>
                <wp:cNvGraphicFramePr/>
                <a:graphic xmlns:a="http://schemas.openxmlformats.org/drawingml/2006/main">
                  <a:graphicData uri="http://schemas.microsoft.com/office/word/2010/wordprocessingShape">
                    <wps:wsp>
                      <wps:cNvSpPr txBox="1"/>
                      <wps:spPr>
                        <a:xfrm>
                          <a:off x="0" y="0"/>
                          <a:ext cx="212090" cy="2305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017086">
                            <w:pPr>
                              <w:spacing w:line="240" w:lineRule="auto"/>
                              <w:rPr>
                                <w:rFonts w:hint="eastAsia" w:eastAsia="宋体"/>
                                <w:lang w:eastAsia="zh-CN"/>
                              </w:rPr>
                            </w:pPr>
                            <w:r>
                              <w:rPr>
                                <w:rFonts w:hint="eastAsia" w:eastAsia="宋体"/>
                                <w:lang w:eastAsia="zh-CN"/>
                              </w:rPr>
                              <w:t>⑦</w:t>
                            </w:r>
                          </w:p>
                        </w:txbxContent>
                      </wps:txbx>
                      <wps:bodyPr wrap="square" lIns="36000" tIns="18000" rIns="36000" bIns="18000" upright="1"/>
                    </wps:wsp>
                  </a:graphicData>
                </a:graphic>
              </wp:anchor>
            </w:drawing>
          </mc:Choice>
          <mc:Fallback>
            <w:pict>
              <v:shape id="文本框 104" o:spid="_x0000_s1026" o:spt="202" type="#_x0000_t202" style="position:absolute;left:0pt;margin-left:228.95pt;margin-top:54.4pt;height:18.15pt;width:16.7pt;z-index:251681792;mso-width-relative:page;mso-height-relative:page;" fillcolor="#FFFFFF" filled="t" stroked="t" coordsize="21600,21600" o:gfxdata="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uG/fNoAAAALAQAADwAAAAAAAAABACAAAAAiAAAAZHJzL2Rvd25yZXYueG1sUEsB&#10;AhQAFAAAAAgAh07iQGPah44sAgAAegQAAA4AAAAAAAAAAQAgAAAAKQEAAGRycy9lMm9Eb2MueG1s&#10;UEsFBgAAAAAGAAYAWQEAAMcFAAAAAA==&#10;">
                <v:fill on="t" focussize="0,0"/>
                <v:stroke color="#000000" joinstyle="miter"/>
                <v:imagedata o:title=""/>
                <o:lock v:ext="edit" aspectratio="f"/>
                <v:textbox inset="1mm,0.5mm,1mm,0.5mm">
                  <w:txbxContent>
                    <w:p w14:paraId="34017086">
                      <w:pPr>
                        <w:spacing w:line="240" w:lineRule="auto"/>
                        <w:rPr>
                          <w:rFonts w:hint="eastAsia" w:eastAsia="宋体"/>
                          <w:lang w:eastAsia="zh-CN"/>
                        </w:rPr>
                      </w:pPr>
                      <w:r>
                        <w:rPr>
                          <w:rFonts w:hint="eastAsia" w:eastAsia="宋体"/>
                          <w:lang w:eastAsia="zh-CN"/>
                        </w:rPr>
                        <w:t>⑦</w:t>
                      </w:r>
                    </w:p>
                  </w:txbxContent>
                </v:textbox>
              </v:shape>
            </w:pict>
          </mc:Fallback>
        </mc:AlternateContent>
      </w:r>
      <w:r>
        <w:rPr>
          <w:color w:val="auto"/>
          <w:sz w:val="30"/>
          <w:highlight w:val="none"/>
        </w:rPr>
        <mc:AlternateContent>
          <mc:Choice Requires="wps">
            <w:drawing>
              <wp:anchor distT="0" distB="0" distL="114300" distR="114300" simplePos="0" relativeHeight="251680768" behindDoc="0" locked="0" layoutInCell="1" allowOverlap="1">
                <wp:simplePos x="0" y="0"/>
                <wp:positionH relativeFrom="column">
                  <wp:posOffset>2983865</wp:posOffset>
                </wp:positionH>
                <wp:positionV relativeFrom="paragraph">
                  <wp:posOffset>930275</wp:posOffset>
                </wp:positionV>
                <wp:extent cx="367030" cy="546100"/>
                <wp:effectExtent l="3810" t="2540" r="10160" b="3810"/>
                <wp:wrapNone/>
                <wp:docPr id="22" name="直线 105"/>
                <wp:cNvGraphicFramePr/>
                <a:graphic xmlns:a="http://schemas.openxmlformats.org/drawingml/2006/main">
                  <a:graphicData uri="http://schemas.microsoft.com/office/word/2010/wordprocessingShape">
                    <wps:wsp>
                      <wps:cNvCnPr/>
                      <wps:spPr>
                        <a:xfrm>
                          <a:off x="0" y="0"/>
                          <a:ext cx="367030" cy="546100"/>
                        </a:xfrm>
                        <a:prstGeom prst="line">
                          <a:avLst/>
                        </a:prstGeom>
                        <a:ln w="9525" cap="flat" cmpd="sng">
                          <a:solidFill>
                            <a:srgbClr val="FFFF00"/>
                          </a:solidFill>
                          <a:prstDash val="solid"/>
                          <a:headEnd type="none" w="med" len="med"/>
                          <a:tailEnd type="arrow" w="med" len="med"/>
                        </a:ln>
                      </wps:spPr>
                      <wps:bodyPr upright="1"/>
                    </wps:wsp>
                  </a:graphicData>
                </a:graphic>
              </wp:anchor>
            </w:drawing>
          </mc:Choice>
          <mc:Fallback>
            <w:pict>
              <v:line id="直线 105" o:spid="_x0000_s1026" o:spt="20" style="position:absolute;left:0pt;margin-left:234.95pt;margin-top:73.25pt;height:43pt;width:28.9pt;z-index:251680768;mso-width-relative:page;mso-height-relative:page;" filled="f" stroked="t" coordsize="21600,21600" o:gfxdata="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10CqU2AAAAAsBAAAPAAAAAAAAAAEAIAAAACIAAABkcnMvZG93bnJldi54bWxQSwEC&#10;FAAUAAAACACHTuJA8qnnt/QBAADjAwAADgAAAAAAAAABACAAAAAnAQAAZHJzL2Uyb0RvYy54bWxQ&#10;SwUGAAAAAAYABgBZAQAAjQUAAAAA&#10;">
                <v:fill on="f" focussize="0,0"/>
                <v:stroke color="#FFFF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79744" behindDoc="0" locked="0" layoutInCell="1" allowOverlap="1">
                <wp:simplePos x="0" y="0"/>
                <wp:positionH relativeFrom="column">
                  <wp:posOffset>2096135</wp:posOffset>
                </wp:positionH>
                <wp:positionV relativeFrom="paragraph">
                  <wp:posOffset>1203325</wp:posOffset>
                </wp:positionV>
                <wp:extent cx="212090" cy="230505"/>
                <wp:effectExtent l="4445" t="4445" r="12065" b="12700"/>
                <wp:wrapNone/>
                <wp:docPr id="21" name="文本框 106"/>
                <wp:cNvGraphicFramePr/>
                <a:graphic xmlns:a="http://schemas.openxmlformats.org/drawingml/2006/main">
                  <a:graphicData uri="http://schemas.microsoft.com/office/word/2010/wordprocessingShape">
                    <wps:wsp>
                      <wps:cNvSpPr txBox="1"/>
                      <wps:spPr>
                        <a:xfrm>
                          <a:off x="0" y="0"/>
                          <a:ext cx="212090" cy="2305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FB6CC1">
                            <w:pPr>
                              <w:spacing w:line="240" w:lineRule="auto"/>
                              <w:rPr>
                                <w:rFonts w:hint="eastAsia" w:eastAsia="宋体"/>
                                <w:lang w:eastAsia="zh-CN"/>
                              </w:rPr>
                            </w:pPr>
                            <w:r>
                              <w:rPr>
                                <w:rFonts w:hint="eastAsia" w:eastAsia="宋体"/>
                                <w:lang w:eastAsia="zh-CN"/>
                              </w:rPr>
                              <w:t>⑧</w:t>
                            </w:r>
                          </w:p>
                        </w:txbxContent>
                      </wps:txbx>
                      <wps:bodyPr wrap="square" lIns="36000" tIns="18000" rIns="36000" bIns="18000" upright="1"/>
                    </wps:wsp>
                  </a:graphicData>
                </a:graphic>
              </wp:anchor>
            </w:drawing>
          </mc:Choice>
          <mc:Fallback>
            <w:pict>
              <v:shape id="文本框 106" o:spid="_x0000_s1026" o:spt="202" type="#_x0000_t202" style="position:absolute;left:0pt;margin-left:165.05pt;margin-top:94.75pt;height:18.15pt;width:16.7pt;z-index:251679744;mso-width-relative:page;mso-height-relative:page;" fillcolor="#FFFFFF" filled="t" stroked="t" coordsize="21600,21600" o:gfxdata="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U7Bt9oAAAALAQAADwAAAAAAAAABACAAAAAiAAAAZHJzL2Rvd25yZXYueG1sUEsB&#10;AhQAFAAAAAgAh07iQLhAoZUsAgAAegQAAA4AAAAAAAAAAQAgAAAAKQEAAGRycy9lMm9Eb2MueG1s&#10;UEsFBgAAAAAGAAYAWQEAAMcFAAAAAA==&#10;">
                <v:fill on="t" focussize="0,0"/>
                <v:stroke color="#000000" joinstyle="miter"/>
                <v:imagedata o:title=""/>
                <o:lock v:ext="edit" aspectratio="f"/>
                <v:textbox inset="1mm,0.5mm,1mm,0.5mm">
                  <w:txbxContent>
                    <w:p w14:paraId="13FB6CC1">
                      <w:pPr>
                        <w:spacing w:line="240" w:lineRule="auto"/>
                        <w:rPr>
                          <w:rFonts w:hint="eastAsia" w:eastAsia="宋体"/>
                          <w:lang w:eastAsia="zh-CN"/>
                        </w:rPr>
                      </w:pPr>
                      <w:r>
                        <w:rPr>
                          <w:rFonts w:hint="eastAsia" w:eastAsia="宋体"/>
                          <w:lang w:eastAsia="zh-CN"/>
                        </w:rPr>
                        <w:t>⑧</w:t>
                      </w:r>
                    </w:p>
                  </w:txbxContent>
                </v:textbox>
              </v:shape>
            </w:pict>
          </mc:Fallback>
        </mc:AlternateContent>
      </w:r>
      <w:r>
        <w:rPr>
          <w:color w:val="auto"/>
          <w:sz w:val="30"/>
          <w:highlight w:val="none"/>
        </w:rPr>
        <mc:AlternateContent>
          <mc:Choice Requires="wps">
            <w:drawing>
              <wp:anchor distT="0" distB="0" distL="114300" distR="114300" simplePos="0" relativeHeight="251678720" behindDoc="0" locked="0" layoutInCell="1" allowOverlap="1">
                <wp:simplePos x="0" y="0"/>
                <wp:positionH relativeFrom="column">
                  <wp:posOffset>2249805</wp:posOffset>
                </wp:positionH>
                <wp:positionV relativeFrom="paragraph">
                  <wp:posOffset>1370330</wp:posOffset>
                </wp:positionV>
                <wp:extent cx="701675" cy="284480"/>
                <wp:effectExtent l="1905" t="4445" r="1270" b="15875"/>
                <wp:wrapNone/>
                <wp:docPr id="20" name="直线 107"/>
                <wp:cNvGraphicFramePr/>
                <a:graphic xmlns:a="http://schemas.openxmlformats.org/drawingml/2006/main">
                  <a:graphicData uri="http://schemas.microsoft.com/office/word/2010/wordprocessingShape">
                    <wps:wsp>
                      <wps:cNvCnPr/>
                      <wps:spPr>
                        <a:xfrm>
                          <a:off x="0" y="0"/>
                          <a:ext cx="701675" cy="284480"/>
                        </a:xfrm>
                        <a:prstGeom prst="line">
                          <a:avLst/>
                        </a:prstGeom>
                        <a:ln w="9525" cap="flat" cmpd="sng">
                          <a:solidFill>
                            <a:srgbClr val="FFFF00"/>
                          </a:solidFill>
                          <a:prstDash val="solid"/>
                          <a:headEnd type="none" w="med" len="med"/>
                          <a:tailEnd type="arrow" w="med" len="med"/>
                        </a:ln>
                      </wps:spPr>
                      <wps:bodyPr upright="1"/>
                    </wps:wsp>
                  </a:graphicData>
                </a:graphic>
              </wp:anchor>
            </w:drawing>
          </mc:Choice>
          <mc:Fallback>
            <w:pict>
              <v:line id="直线 107" o:spid="_x0000_s1026" o:spt="20" style="position:absolute;left:0pt;margin-left:177.15pt;margin-top:107.9pt;height:22.4pt;width:55.25pt;z-index:251678720;mso-width-relative:page;mso-height-relative:page;" filled="f" stroked="t" coordsize="21600,21600" o:gfxdata="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F6iV2NkAAAALAQAADwAAAAAAAAABACAAAAAiAAAAZHJzL2Rvd25yZXYueG1sUEsB&#10;AhQAFAAAAAgAh07iQGHtcvv0AQAA4wMAAA4AAAAAAAAAAQAgAAAAKAEAAGRycy9lMm9Eb2MueG1s&#10;UEsFBgAAAAAGAAYAWQEAAI4FAAAAAA==&#10;">
                <v:fill on="f" focussize="0,0"/>
                <v:stroke color="#FFFF00" joinstyle="round" endarrow="open"/>
                <v:imagedata o:title=""/>
                <o:lock v:ext="edit" aspectratio="f"/>
              </v:line>
            </w:pict>
          </mc:Fallback>
        </mc:AlternateContent>
      </w:r>
      <w:r>
        <w:rPr>
          <w:color w:val="auto"/>
          <w:sz w:val="30"/>
          <w:highlight w:val="none"/>
        </w:rPr>
        <mc:AlternateContent>
          <mc:Choice Requires="wps">
            <w:drawing>
              <wp:anchor distT="0" distB="0" distL="114300" distR="114300" simplePos="0" relativeHeight="251677696" behindDoc="0" locked="0" layoutInCell="1" allowOverlap="1">
                <wp:simplePos x="0" y="0"/>
                <wp:positionH relativeFrom="column">
                  <wp:posOffset>2072640</wp:posOffset>
                </wp:positionH>
                <wp:positionV relativeFrom="paragraph">
                  <wp:posOffset>2844800</wp:posOffset>
                </wp:positionV>
                <wp:extent cx="212090" cy="230505"/>
                <wp:effectExtent l="4445" t="4445" r="12065" b="12700"/>
                <wp:wrapNone/>
                <wp:docPr id="19" name="文本框 108"/>
                <wp:cNvGraphicFramePr/>
                <a:graphic xmlns:a="http://schemas.openxmlformats.org/drawingml/2006/main">
                  <a:graphicData uri="http://schemas.microsoft.com/office/word/2010/wordprocessingShape">
                    <wps:wsp>
                      <wps:cNvSpPr txBox="1"/>
                      <wps:spPr>
                        <a:xfrm>
                          <a:off x="0" y="0"/>
                          <a:ext cx="212090" cy="2305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B933EC">
                            <w:pPr>
                              <w:spacing w:line="240" w:lineRule="auto"/>
                              <w:rPr>
                                <w:rFonts w:hint="eastAsia" w:eastAsia="宋体"/>
                                <w:lang w:eastAsia="zh-CN"/>
                              </w:rPr>
                            </w:pPr>
                            <w:r>
                              <w:rPr>
                                <w:rFonts w:hint="eastAsia" w:eastAsia="宋体"/>
                                <w:lang w:eastAsia="zh-CN"/>
                              </w:rPr>
                              <w:t>⑥</w:t>
                            </w:r>
                          </w:p>
                        </w:txbxContent>
                      </wps:txbx>
                      <wps:bodyPr wrap="square" lIns="36000" tIns="18000" rIns="36000" bIns="18000" upright="1"/>
                    </wps:wsp>
                  </a:graphicData>
                </a:graphic>
              </wp:anchor>
            </w:drawing>
          </mc:Choice>
          <mc:Fallback>
            <w:pict>
              <v:shape id="文本框 108" o:spid="_x0000_s1026" o:spt="202" type="#_x0000_t202" style="position:absolute;left:0pt;margin-left:163.2pt;margin-top:224pt;height:18.15pt;width:16.7pt;z-index:251677696;mso-width-relative:page;mso-height-relative:page;" fillcolor="#FFFFFF" filled="t" stroked="t" coordsize="21600,21600" o:gfxdata="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j8Bw9oAAAALAQAADwAAAAAAAAABACAAAAAiAAAAZHJzL2Rvd25yZXYueG1sUEsB&#10;AhQAFAAAAAgAh07iQFbI4BUsAgAAegQAAA4AAAAAAAAAAQAgAAAAKQEAAGRycy9lMm9Eb2MueG1s&#10;UEsFBgAAAAAGAAYAWQEAAMcFAAAAAA==&#10;">
                <v:fill on="t" focussize="0,0"/>
                <v:stroke color="#000000" joinstyle="miter"/>
                <v:imagedata o:title=""/>
                <o:lock v:ext="edit" aspectratio="f"/>
                <v:textbox inset="1mm,0.5mm,1mm,0.5mm">
                  <w:txbxContent>
                    <w:p w14:paraId="54B933EC">
                      <w:pPr>
                        <w:spacing w:line="240" w:lineRule="auto"/>
                        <w:rPr>
                          <w:rFonts w:hint="eastAsia" w:eastAsia="宋体"/>
                          <w:lang w:eastAsia="zh-CN"/>
                        </w:rPr>
                      </w:pPr>
                      <w:r>
                        <w:rPr>
                          <w:rFonts w:hint="eastAsia" w:eastAsia="宋体"/>
                          <w:lang w:eastAsia="zh-CN"/>
                        </w:rPr>
                        <w:t>⑥</w:t>
                      </w:r>
                    </w:p>
                  </w:txbxContent>
                </v:textbox>
              </v:shape>
            </w:pict>
          </mc:Fallback>
        </mc:AlternateContent>
      </w:r>
      <w:r>
        <w:rPr>
          <w:color w:val="auto"/>
          <w:sz w:val="30"/>
          <w:highlight w:val="none"/>
        </w:rPr>
        <mc:AlternateContent>
          <mc:Choice Requires="wps">
            <w:drawing>
              <wp:anchor distT="0" distB="0" distL="114300" distR="114300" simplePos="0" relativeHeight="251675648" behindDoc="0" locked="0" layoutInCell="1" allowOverlap="1">
                <wp:simplePos x="0" y="0"/>
                <wp:positionH relativeFrom="column">
                  <wp:posOffset>3656965</wp:posOffset>
                </wp:positionH>
                <wp:positionV relativeFrom="paragraph">
                  <wp:posOffset>2279015</wp:posOffset>
                </wp:positionV>
                <wp:extent cx="212090" cy="230505"/>
                <wp:effectExtent l="4445" t="4445" r="12065" b="12700"/>
                <wp:wrapNone/>
                <wp:docPr id="17" name="文本框 109"/>
                <wp:cNvGraphicFramePr/>
                <a:graphic xmlns:a="http://schemas.openxmlformats.org/drawingml/2006/main">
                  <a:graphicData uri="http://schemas.microsoft.com/office/word/2010/wordprocessingShape">
                    <wps:wsp>
                      <wps:cNvSpPr txBox="1"/>
                      <wps:spPr>
                        <a:xfrm>
                          <a:off x="0" y="0"/>
                          <a:ext cx="212090" cy="2305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1CD9D0">
                            <w:pPr>
                              <w:spacing w:line="240" w:lineRule="auto"/>
                              <w:rPr>
                                <w:rFonts w:hint="eastAsia" w:eastAsia="宋体"/>
                                <w:lang w:eastAsia="zh-CN"/>
                              </w:rPr>
                            </w:pPr>
                            <w:r>
                              <w:rPr>
                                <w:rFonts w:hint="eastAsia" w:eastAsia="宋体"/>
                                <w:lang w:eastAsia="zh-CN"/>
                              </w:rPr>
                              <w:t>⑤</w:t>
                            </w:r>
                          </w:p>
                        </w:txbxContent>
                      </wps:txbx>
                      <wps:bodyPr wrap="square" lIns="36000" tIns="18000" rIns="36000" bIns="18000" upright="1"/>
                    </wps:wsp>
                  </a:graphicData>
                </a:graphic>
              </wp:anchor>
            </w:drawing>
          </mc:Choice>
          <mc:Fallback>
            <w:pict>
              <v:shape id="文本框 109" o:spid="_x0000_s1026" o:spt="202" type="#_x0000_t202" style="position:absolute;left:0pt;margin-left:287.95pt;margin-top:179.45pt;height:18.15pt;width:16.7pt;z-index:251675648;mso-width-relative:page;mso-height-relative:page;" fillcolor="#FFFFFF" filled="t" stroked="t" coordsize="21600,21600" o:gfxdata="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gP3Bi2gAAAAsBAAAPAAAAAAAAAAEAIAAAACIAAABkcnMvZG93bnJldi54bWxQSwEC&#10;FAAUAAAACACHTuJAXb8obysCAAB6BAAADgAAAAAAAAABACAAAAApAQAAZHJzL2Uyb0RvYy54bWxQ&#10;SwUGAAAAAAYABgBZAQAAxgUAAAAA&#10;">
                <v:fill on="t" focussize="0,0"/>
                <v:stroke color="#000000" joinstyle="miter"/>
                <v:imagedata o:title=""/>
                <o:lock v:ext="edit" aspectratio="f"/>
                <v:textbox inset="1mm,0.5mm,1mm,0.5mm">
                  <w:txbxContent>
                    <w:p w14:paraId="531CD9D0">
                      <w:pPr>
                        <w:spacing w:line="240" w:lineRule="auto"/>
                        <w:rPr>
                          <w:rFonts w:hint="eastAsia" w:eastAsia="宋体"/>
                          <w:lang w:eastAsia="zh-CN"/>
                        </w:rPr>
                      </w:pPr>
                      <w:r>
                        <w:rPr>
                          <w:rFonts w:hint="eastAsia" w:eastAsia="宋体"/>
                          <w:lang w:eastAsia="zh-CN"/>
                        </w:rPr>
                        <w:t>⑤</w:t>
                      </w:r>
                    </w:p>
                  </w:txbxContent>
                </v:textbox>
              </v:shape>
            </w:pict>
          </mc:Fallback>
        </mc:AlternateContent>
      </w:r>
      <w:r>
        <w:rPr>
          <w:rFonts w:hint="eastAsia" w:ascii="Times New Roman" w:hAnsi="Times New Roman" w:eastAsia="宋体"/>
          <w:b/>
          <w:bCs/>
          <w:color w:val="auto"/>
          <w:sz w:val="28"/>
          <w:szCs w:val="28"/>
          <w:highlight w:val="none"/>
          <w:lang w:eastAsia="zh-CN"/>
        </w:rPr>
        <w:drawing>
          <wp:inline distT="0" distB="0" distL="114300" distR="114300">
            <wp:extent cx="5722620" cy="3990975"/>
            <wp:effectExtent l="0" t="0" r="11430" b="9525"/>
            <wp:docPr id="43" name="图片 15" descr="ScreenShot_2026-08-01_114516_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5" descr="ScreenShot_2026-08-01_114516_601"/>
                    <pic:cNvPicPr>
                      <a:picLocks noChangeAspect="1"/>
                    </pic:cNvPicPr>
                  </pic:nvPicPr>
                  <pic:blipFill>
                    <a:blip r:embed="rId25"/>
                    <a:srcRect t="4961" r="519"/>
                    <a:stretch>
                      <a:fillRect/>
                    </a:stretch>
                  </pic:blipFill>
                  <pic:spPr>
                    <a:xfrm>
                      <a:off x="0" y="0"/>
                      <a:ext cx="5722620" cy="3990975"/>
                    </a:xfrm>
                    <a:prstGeom prst="rect">
                      <a:avLst/>
                    </a:prstGeom>
                    <a:noFill/>
                    <a:ln>
                      <a:noFill/>
                    </a:ln>
                  </pic:spPr>
                </pic:pic>
              </a:graphicData>
            </a:graphic>
          </wp:inline>
        </w:drawing>
      </w:r>
    </w:p>
    <w:p w14:paraId="167FFAE7">
      <w:pPr>
        <w:spacing w:line="240" w:lineRule="auto"/>
        <w:rPr>
          <w:rFonts w:hint="eastAsia" w:ascii="宋体" w:hAnsi="宋体" w:eastAsia="宋体" w:cs="宋体"/>
          <w:b/>
          <w:bCs w:val="0"/>
          <w:snapToGrid w:val="0"/>
          <w:color w:val="auto"/>
          <w:kern w:val="0"/>
          <w:sz w:val="30"/>
          <w:szCs w:val="30"/>
          <w:highlight w:val="none"/>
          <w:lang w:val="en-US" w:eastAsia="zh-CN"/>
        </w:rPr>
      </w:pPr>
      <w:r>
        <w:rPr>
          <w:rFonts w:hint="eastAsia" w:ascii="Times New Roman" w:hAnsi="Times New Roman" w:eastAsia="宋体"/>
          <w:b/>
          <w:bCs/>
          <w:color w:val="auto"/>
          <w:sz w:val="28"/>
          <w:szCs w:val="28"/>
          <w:highlight w:val="none"/>
        </w:rPr>
        <w:t>图</w:t>
      </w:r>
      <w:r>
        <w:rPr>
          <w:rFonts w:hint="eastAsia" w:ascii="Times New Roman" w:hAnsi="Times New Roman" w:eastAsia="宋体"/>
          <w:b/>
          <w:bCs/>
          <w:color w:val="auto"/>
          <w:sz w:val="28"/>
          <w:szCs w:val="28"/>
          <w:highlight w:val="none"/>
          <w:lang w:val="en-US" w:eastAsia="zh-CN"/>
        </w:rPr>
        <w:t>2-3</w:t>
      </w:r>
      <w:r>
        <w:rPr>
          <w:rFonts w:hint="eastAsia" w:ascii="Times New Roman" w:hAnsi="Times New Roman" w:eastAsia="宋体"/>
          <w:b/>
          <w:bCs/>
          <w:color w:val="auto"/>
          <w:sz w:val="28"/>
          <w:szCs w:val="28"/>
          <w:highlight w:val="none"/>
        </w:rPr>
        <w:t xml:space="preserve">           </w:t>
      </w:r>
      <w:r>
        <w:rPr>
          <w:rFonts w:hint="eastAsia" w:ascii="宋体" w:hAnsi="宋体" w:eastAsia="宋体" w:cs="宋体"/>
          <w:b/>
          <w:bCs w:val="0"/>
          <w:color w:val="auto"/>
          <w:sz w:val="28"/>
          <w:szCs w:val="28"/>
          <w:highlight w:val="none"/>
          <w:lang w:val="en-US" w:eastAsia="zh-CN"/>
        </w:rPr>
        <w:t>矿区范围及周边敏感目标示意图</w:t>
      </w:r>
    </w:p>
    <w:p w14:paraId="28224F88">
      <w:pPr>
        <w:pStyle w:val="3"/>
        <w:keepNext/>
        <w:keepLines/>
        <w:pageBreakBefore w:val="0"/>
        <w:widowControl/>
        <w:kinsoku w:val="0"/>
        <w:wordWrap/>
        <w:overflowPunct/>
        <w:topLinePunct w:val="0"/>
        <w:autoSpaceDE w:val="0"/>
        <w:autoSpaceDN w:val="0"/>
        <w:bidi w:val="0"/>
        <w:adjustRightInd w:val="0"/>
        <w:snapToGrid w:val="0"/>
        <w:spacing w:before="0" w:beforeLines="0" w:beforeAutospacing="0" w:after="260" w:afterLines="0" w:afterAutospacing="0" w:line="240" w:lineRule="auto"/>
        <w:jc w:val="left"/>
        <w:textAlignment w:val="baseline"/>
        <w:rPr>
          <w:rFonts w:hint="eastAsia" w:ascii="宋体" w:hAnsi="宋体" w:eastAsia="宋体" w:cs="宋体"/>
          <w:color w:val="auto"/>
          <w:sz w:val="28"/>
          <w:szCs w:val="28"/>
          <w:highlight w:val="none"/>
        </w:rPr>
      </w:pPr>
      <w:r>
        <w:rPr>
          <w:rFonts w:hint="eastAsia" w:ascii="宋体" w:hAnsi="宋体" w:eastAsia="宋体" w:cs="宋体"/>
          <w:b/>
          <w:bCs w:val="0"/>
          <w:snapToGrid w:val="0"/>
          <w:color w:val="auto"/>
          <w:kern w:val="0"/>
          <w:sz w:val="30"/>
          <w:szCs w:val="30"/>
          <w:highlight w:val="none"/>
          <w:lang w:val="en-US" w:eastAsia="zh-CN"/>
        </w:rPr>
        <w:t>3.5申请开采区域</w:t>
      </w:r>
      <w:bookmarkEnd w:id="163"/>
    </w:p>
    <w:p w14:paraId="26933CE1">
      <w:pPr>
        <w:pStyle w:val="24"/>
        <w:keepNext w:val="0"/>
        <w:keepLines w:val="0"/>
        <w:pageBreakBefore w:val="0"/>
        <w:widowControl w:val="0"/>
        <w:kinsoku/>
        <w:wordWrap/>
        <w:overflowPunct/>
        <w:topLinePunct w:val="0"/>
        <w:bidi w:val="0"/>
        <w:adjustRightInd w:val="0"/>
        <w:snapToGrid w:val="0"/>
        <w:spacing w:line="240" w:lineRule="auto"/>
        <w:ind w:firstLine="570" w:firstLineChars="200"/>
        <w:rPr>
          <w:rFonts w:hint="default"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lang w:eastAsia="zh-CN"/>
        </w:rPr>
        <w:t>本次拟申请开采区域拐点坐标及开采标高详见表</w:t>
      </w:r>
      <w:r>
        <w:rPr>
          <w:rFonts w:hint="eastAsia" w:ascii="Times New Roman" w:hAnsi="Times New Roman" w:eastAsia="宋体"/>
          <w:color w:val="auto"/>
          <w:sz w:val="28"/>
          <w:szCs w:val="28"/>
          <w:highlight w:val="none"/>
          <w:lang w:val="en-US" w:eastAsia="zh-CN"/>
        </w:rPr>
        <w:t>3-4。</w:t>
      </w:r>
    </w:p>
    <w:p w14:paraId="6D4C19D0">
      <w:pPr>
        <w:pStyle w:val="24"/>
        <w:keepNext w:val="0"/>
        <w:keepLines w:val="0"/>
        <w:pageBreakBefore w:val="0"/>
        <w:widowControl w:val="0"/>
        <w:kinsoku/>
        <w:wordWrap/>
        <w:overflowPunct/>
        <w:topLinePunct w:val="0"/>
        <w:bidi w:val="0"/>
        <w:adjustRightInd w:val="0"/>
        <w:snapToGrid w:val="0"/>
        <w:spacing w:line="240" w:lineRule="auto"/>
        <w:ind w:firstLine="1282" w:firstLineChars="450"/>
        <w:rPr>
          <w:rFonts w:hint="default" w:ascii="Times New Roman" w:hAnsi="Times New Roman" w:eastAsia="宋体"/>
          <w:b w:val="0"/>
          <w:bCs w:val="0"/>
          <w:color w:val="auto"/>
          <w:sz w:val="28"/>
          <w:szCs w:val="28"/>
          <w:highlight w:val="none"/>
          <w:lang w:val="en-US"/>
        </w:rPr>
      </w:pPr>
      <w:r>
        <w:rPr>
          <w:rFonts w:hint="eastAsia" w:ascii="Times New Roman" w:hAnsi="Times New Roman" w:eastAsia="宋体"/>
          <w:color w:val="auto"/>
          <w:sz w:val="28"/>
          <w:szCs w:val="28"/>
          <w:highlight w:val="none"/>
          <w:lang w:eastAsia="zh-CN"/>
        </w:rPr>
        <w:t>拟</w:t>
      </w:r>
      <w:r>
        <w:rPr>
          <w:rFonts w:hint="eastAsia" w:ascii="Times New Roman" w:hAnsi="Times New Roman" w:eastAsia="宋体"/>
          <w:color w:val="auto"/>
          <w:sz w:val="28"/>
          <w:szCs w:val="28"/>
          <w:highlight w:val="none"/>
        </w:rPr>
        <w:t>申请开采区域拐点坐标表（</w:t>
      </w:r>
      <w:r>
        <w:rPr>
          <w:rFonts w:ascii="Times New Roman" w:hAnsi="Times New Roman" w:eastAsia="宋体"/>
          <w:color w:val="auto"/>
          <w:sz w:val="28"/>
          <w:szCs w:val="28"/>
          <w:highlight w:val="none"/>
        </w:rPr>
        <w:t>2000</w:t>
      </w:r>
      <w:r>
        <w:rPr>
          <w:rFonts w:hint="eastAsia" w:ascii="Times New Roman" w:hAnsi="Times New Roman" w:eastAsia="宋体"/>
          <w:color w:val="auto"/>
          <w:sz w:val="28"/>
          <w:szCs w:val="28"/>
          <w:highlight w:val="none"/>
        </w:rPr>
        <w:t>国家大地坐标系）</w:t>
      </w:r>
      <w:r>
        <w:rPr>
          <w:rFonts w:hint="eastAsia" w:ascii="Times New Roman" w:hAnsi="Times New Roman" w:eastAsia="宋体"/>
          <w:color w:val="auto"/>
          <w:sz w:val="28"/>
          <w:szCs w:val="28"/>
          <w:highlight w:val="none"/>
          <w:lang w:val="en-US" w:eastAsia="zh-CN"/>
        </w:rPr>
        <w:t xml:space="preserve"> </w:t>
      </w:r>
      <w:r>
        <w:rPr>
          <w:rFonts w:hint="eastAsia" w:ascii="Times New Roman" w:hAnsi="Times New Roman" w:eastAsia="宋体"/>
          <w:b w:val="0"/>
          <w:bCs w:val="0"/>
          <w:color w:val="auto"/>
          <w:sz w:val="28"/>
          <w:szCs w:val="28"/>
          <w:highlight w:val="none"/>
          <w:lang w:val="en-US" w:eastAsia="zh-CN"/>
        </w:rPr>
        <w:t xml:space="preserve"> </w:t>
      </w:r>
      <w:r>
        <w:rPr>
          <w:rFonts w:hint="eastAsia" w:ascii="Times New Roman" w:hAnsi="Times New Roman" w:eastAsia="宋体" w:cs="宋体"/>
          <w:b w:val="0"/>
          <w:bCs w:val="0"/>
          <w:color w:val="auto"/>
          <w:spacing w:val="0"/>
          <w:kern w:val="2"/>
          <w:sz w:val="28"/>
          <w:szCs w:val="28"/>
          <w:highlight w:val="none"/>
          <w:lang w:val="en-US" w:eastAsia="zh-CN" w:bidi="ar-SA"/>
        </w:rPr>
        <w:t>表3-4</w:t>
      </w:r>
    </w:p>
    <w:tbl>
      <w:tblPr>
        <w:tblStyle w:val="19"/>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92"/>
        <w:gridCol w:w="3167"/>
        <w:gridCol w:w="2971"/>
      </w:tblGrid>
      <w:tr w14:paraId="6045C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2892" w:type="dxa"/>
            <w:noWrap w:val="0"/>
            <w:vAlign w:val="center"/>
          </w:tcPr>
          <w:p w14:paraId="508E4FDD">
            <w:pPr>
              <w:pStyle w:val="8"/>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宋体"/>
                <w:b/>
                <w:bCs/>
                <w:color w:val="auto"/>
                <w:sz w:val="24"/>
                <w:szCs w:val="24"/>
                <w:highlight w:val="none"/>
              </w:rPr>
              <w:t>点号</w:t>
            </w:r>
          </w:p>
        </w:tc>
        <w:tc>
          <w:tcPr>
            <w:tcW w:w="3167" w:type="dxa"/>
            <w:noWrap w:val="0"/>
            <w:vAlign w:val="center"/>
          </w:tcPr>
          <w:p w14:paraId="630EC69A">
            <w:pPr>
              <w:pStyle w:val="8"/>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宋体"/>
                <w:b/>
                <w:bCs/>
                <w:color w:val="auto"/>
                <w:sz w:val="24"/>
                <w:szCs w:val="24"/>
                <w:highlight w:val="none"/>
              </w:rPr>
              <w:t>X坐标</w:t>
            </w:r>
          </w:p>
        </w:tc>
        <w:tc>
          <w:tcPr>
            <w:tcW w:w="2971" w:type="dxa"/>
            <w:noWrap w:val="0"/>
            <w:vAlign w:val="center"/>
          </w:tcPr>
          <w:p w14:paraId="7F53BB6F">
            <w:pPr>
              <w:pStyle w:val="8"/>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宋体"/>
                <w:b/>
                <w:bCs/>
                <w:color w:val="auto"/>
                <w:sz w:val="24"/>
                <w:szCs w:val="24"/>
                <w:highlight w:val="none"/>
              </w:rPr>
              <w:t>Y坐标</w:t>
            </w:r>
          </w:p>
        </w:tc>
      </w:tr>
      <w:tr w14:paraId="51E74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2892" w:type="dxa"/>
            <w:noWrap w:val="0"/>
            <w:vAlign w:val="center"/>
          </w:tcPr>
          <w:p w14:paraId="42818863">
            <w:pPr>
              <w:keepNext w:val="0"/>
              <w:keepLines w:val="0"/>
              <w:pageBreakBefore w:val="0"/>
              <w:widowControl/>
              <w:kinsoku/>
              <w:wordWrap/>
              <w:overflowPunct/>
              <w:topLinePunct w:val="0"/>
              <w:autoSpaceDE/>
              <w:autoSpaceDN/>
              <w:bidi w:val="0"/>
              <w:adjustRightInd w:val="0"/>
              <w:snapToGrid/>
              <w:spacing w:before="157" w:beforeLines="50" w:line="240" w:lineRule="auto"/>
              <w:jc w:val="center"/>
              <w:textAlignment w:val="baseline"/>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kern w:val="0"/>
                <w:sz w:val="24"/>
                <w:szCs w:val="24"/>
                <w:highlight w:val="none"/>
              </w:rPr>
              <w:t>1</w:t>
            </w:r>
          </w:p>
        </w:tc>
        <w:tc>
          <w:tcPr>
            <w:tcW w:w="3167" w:type="dxa"/>
            <w:noWrap w:val="0"/>
            <w:vAlign w:val="center"/>
          </w:tcPr>
          <w:p w14:paraId="36DC7508">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2923943.8</w:t>
            </w:r>
            <w:r>
              <w:rPr>
                <w:rFonts w:hint="eastAsia" w:ascii="Times New Roman" w:hAnsi="Times New Roman" w:eastAsia="宋体" w:cs="宋体"/>
                <w:color w:val="auto"/>
                <w:sz w:val="24"/>
                <w:szCs w:val="24"/>
                <w:highlight w:val="none"/>
                <w:lang w:val="en-US" w:eastAsia="zh-CN"/>
              </w:rPr>
              <w:t>0</w:t>
            </w:r>
          </w:p>
        </w:tc>
        <w:tc>
          <w:tcPr>
            <w:tcW w:w="2971" w:type="dxa"/>
            <w:noWrap w:val="0"/>
            <w:vAlign w:val="center"/>
          </w:tcPr>
          <w:p w14:paraId="665965D8">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39524319.18</w:t>
            </w:r>
          </w:p>
        </w:tc>
      </w:tr>
      <w:tr w14:paraId="5EBC2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2892" w:type="dxa"/>
            <w:noWrap w:val="0"/>
            <w:vAlign w:val="center"/>
          </w:tcPr>
          <w:p w14:paraId="2A87A719">
            <w:pPr>
              <w:keepNext w:val="0"/>
              <w:keepLines w:val="0"/>
              <w:pageBreakBefore w:val="0"/>
              <w:widowControl/>
              <w:kinsoku/>
              <w:wordWrap/>
              <w:overflowPunct/>
              <w:topLinePunct w:val="0"/>
              <w:autoSpaceDE/>
              <w:autoSpaceDN/>
              <w:bidi w:val="0"/>
              <w:adjustRightInd w:val="0"/>
              <w:snapToGrid/>
              <w:spacing w:before="157" w:beforeLines="50" w:line="240" w:lineRule="auto"/>
              <w:jc w:val="center"/>
              <w:textAlignment w:val="baseline"/>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kern w:val="0"/>
                <w:sz w:val="24"/>
                <w:szCs w:val="24"/>
                <w:highlight w:val="none"/>
              </w:rPr>
              <w:t>2</w:t>
            </w:r>
          </w:p>
        </w:tc>
        <w:tc>
          <w:tcPr>
            <w:tcW w:w="3167" w:type="dxa"/>
            <w:noWrap w:val="0"/>
            <w:vAlign w:val="center"/>
          </w:tcPr>
          <w:p w14:paraId="0454F7E3">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2924113.81</w:t>
            </w:r>
          </w:p>
        </w:tc>
        <w:tc>
          <w:tcPr>
            <w:tcW w:w="2971" w:type="dxa"/>
            <w:noWrap w:val="0"/>
            <w:vAlign w:val="center"/>
          </w:tcPr>
          <w:p w14:paraId="16FFA20B">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39524711.18</w:t>
            </w:r>
          </w:p>
        </w:tc>
      </w:tr>
      <w:tr w14:paraId="155AC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2892" w:type="dxa"/>
            <w:noWrap w:val="0"/>
            <w:vAlign w:val="center"/>
          </w:tcPr>
          <w:p w14:paraId="3AECB1C4">
            <w:pPr>
              <w:keepNext w:val="0"/>
              <w:keepLines w:val="0"/>
              <w:pageBreakBefore w:val="0"/>
              <w:widowControl/>
              <w:kinsoku/>
              <w:wordWrap/>
              <w:overflowPunct/>
              <w:topLinePunct w:val="0"/>
              <w:autoSpaceDE/>
              <w:autoSpaceDN/>
              <w:bidi w:val="0"/>
              <w:adjustRightInd w:val="0"/>
              <w:snapToGrid/>
              <w:spacing w:before="157" w:beforeLines="50" w:line="240" w:lineRule="auto"/>
              <w:jc w:val="center"/>
              <w:textAlignment w:val="baseline"/>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kern w:val="0"/>
                <w:sz w:val="24"/>
                <w:szCs w:val="24"/>
                <w:highlight w:val="none"/>
              </w:rPr>
              <w:t>3</w:t>
            </w:r>
          </w:p>
        </w:tc>
        <w:tc>
          <w:tcPr>
            <w:tcW w:w="3167" w:type="dxa"/>
            <w:noWrap w:val="0"/>
            <w:vAlign w:val="center"/>
          </w:tcPr>
          <w:p w14:paraId="32809174">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2924217.81</w:t>
            </w:r>
          </w:p>
        </w:tc>
        <w:tc>
          <w:tcPr>
            <w:tcW w:w="2971" w:type="dxa"/>
            <w:noWrap w:val="0"/>
            <w:vAlign w:val="center"/>
          </w:tcPr>
          <w:p w14:paraId="55FCC1A6">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39524711.18</w:t>
            </w:r>
          </w:p>
        </w:tc>
      </w:tr>
      <w:tr w14:paraId="67E27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2892" w:type="dxa"/>
            <w:noWrap w:val="0"/>
            <w:vAlign w:val="center"/>
          </w:tcPr>
          <w:p w14:paraId="3C705C8F">
            <w:pPr>
              <w:keepNext w:val="0"/>
              <w:keepLines w:val="0"/>
              <w:pageBreakBefore w:val="0"/>
              <w:widowControl/>
              <w:kinsoku/>
              <w:wordWrap/>
              <w:overflowPunct/>
              <w:topLinePunct w:val="0"/>
              <w:autoSpaceDE/>
              <w:autoSpaceDN/>
              <w:bidi w:val="0"/>
              <w:adjustRightInd w:val="0"/>
              <w:snapToGrid/>
              <w:spacing w:before="157" w:beforeLines="50" w:line="240" w:lineRule="auto"/>
              <w:jc w:val="center"/>
              <w:textAlignment w:val="baseline"/>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kern w:val="0"/>
                <w:sz w:val="24"/>
                <w:szCs w:val="24"/>
                <w:highlight w:val="none"/>
              </w:rPr>
              <w:t>4</w:t>
            </w:r>
          </w:p>
        </w:tc>
        <w:tc>
          <w:tcPr>
            <w:tcW w:w="3167" w:type="dxa"/>
            <w:noWrap w:val="0"/>
            <w:vAlign w:val="center"/>
          </w:tcPr>
          <w:p w14:paraId="65E46E73">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2924329.8</w:t>
            </w:r>
            <w:r>
              <w:rPr>
                <w:rFonts w:hint="eastAsia" w:ascii="Times New Roman" w:hAnsi="Times New Roman" w:eastAsia="宋体" w:cs="宋体"/>
                <w:color w:val="auto"/>
                <w:sz w:val="24"/>
                <w:szCs w:val="24"/>
                <w:highlight w:val="none"/>
                <w:lang w:val="en-US" w:eastAsia="zh-CN"/>
              </w:rPr>
              <w:t>1</w:t>
            </w:r>
          </w:p>
        </w:tc>
        <w:tc>
          <w:tcPr>
            <w:tcW w:w="2971" w:type="dxa"/>
            <w:noWrap w:val="0"/>
            <w:vAlign w:val="center"/>
          </w:tcPr>
          <w:p w14:paraId="3127FD3B">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39525099.18</w:t>
            </w:r>
          </w:p>
        </w:tc>
      </w:tr>
      <w:tr w14:paraId="44F0B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2892" w:type="dxa"/>
            <w:noWrap w:val="0"/>
            <w:vAlign w:val="center"/>
          </w:tcPr>
          <w:p w14:paraId="463B3C52">
            <w:pPr>
              <w:keepNext w:val="0"/>
              <w:keepLines w:val="0"/>
              <w:pageBreakBefore w:val="0"/>
              <w:widowControl/>
              <w:kinsoku/>
              <w:wordWrap/>
              <w:overflowPunct/>
              <w:topLinePunct w:val="0"/>
              <w:autoSpaceDE/>
              <w:autoSpaceDN/>
              <w:bidi w:val="0"/>
              <w:adjustRightInd w:val="0"/>
              <w:snapToGrid/>
              <w:spacing w:before="157" w:beforeLines="50" w:line="240" w:lineRule="auto"/>
              <w:jc w:val="center"/>
              <w:textAlignment w:val="baseline"/>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kern w:val="0"/>
                <w:sz w:val="24"/>
                <w:szCs w:val="24"/>
                <w:highlight w:val="none"/>
              </w:rPr>
              <w:t>5</w:t>
            </w:r>
          </w:p>
        </w:tc>
        <w:tc>
          <w:tcPr>
            <w:tcW w:w="3167" w:type="dxa"/>
            <w:noWrap w:val="0"/>
            <w:vAlign w:val="center"/>
          </w:tcPr>
          <w:p w14:paraId="38D0719F">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2924030.8</w:t>
            </w:r>
            <w:r>
              <w:rPr>
                <w:rFonts w:hint="eastAsia" w:ascii="Times New Roman" w:hAnsi="Times New Roman" w:eastAsia="宋体" w:cs="宋体"/>
                <w:color w:val="auto"/>
                <w:sz w:val="24"/>
                <w:szCs w:val="24"/>
                <w:highlight w:val="none"/>
                <w:lang w:val="en-US" w:eastAsia="zh-CN"/>
              </w:rPr>
              <w:t>2</w:t>
            </w:r>
          </w:p>
        </w:tc>
        <w:tc>
          <w:tcPr>
            <w:tcW w:w="2971" w:type="dxa"/>
            <w:noWrap w:val="0"/>
            <w:vAlign w:val="center"/>
          </w:tcPr>
          <w:p w14:paraId="64967AC4">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39525099.18</w:t>
            </w:r>
          </w:p>
        </w:tc>
      </w:tr>
      <w:tr w14:paraId="5F4DA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2892" w:type="dxa"/>
            <w:noWrap w:val="0"/>
            <w:vAlign w:val="center"/>
          </w:tcPr>
          <w:p w14:paraId="2E55B6B4">
            <w:pPr>
              <w:keepNext w:val="0"/>
              <w:keepLines w:val="0"/>
              <w:pageBreakBefore w:val="0"/>
              <w:widowControl/>
              <w:kinsoku/>
              <w:wordWrap/>
              <w:overflowPunct/>
              <w:topLinePunct w:val="0"/>
              <w:autoSpaceDE/>
              <w:autoSpaceDN/>
              <w:bidi w:val="0"/>
              <w:adjustRightInd w:val="0"/>
              <w:snapToGrid/>
              <w:spacing w:before="157" w:beforeLines="50" w:line="240" w:lineRule="auto"/>
              <w:jc w:val="center"/>
              <w:textAlignment w:val="baseline"/>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kern w:val="0"/>
                <w:sz w:val="24"/>
                <w:szCs w:val="24"/>
                <w:highlight w:val="none"/>
              </w:rPr>
              <w:t>6</w:t>
            </w:r>
          </w:p>
        </w:tc>
        <w:tc>
          <w:tcPr>
            <w:tcW w:w="3167" w:type="dxa"/>
            <w:noWrap w:val="0"/>
            <w:vAlign w:val="center"/>
          </w:tcPr>
          <w:p w14:paraId="4954021D">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2923807.81</w:t>
            </w:r>
          </w:p>
        </w:tc>
        <w:tc>
          <w:tcPr>
            <w:tcW w:w="2971" w:type="dxa"/>
            <w:noWrap w:val="0"/>
            <w:vAlign w:val="center"/>
          </w:tcPr>
          <w:p w14:paraId="4287F0D1">
            <w:pPr>
              <w:keepNext w:val="0"/>
              <w:keepLines w:val="0"/>
              <w:pageBreakBefore w:val="0"/>
              <w:widowControl/>
              <w:kinsoku/>
              <w:wordWrap/>
              <w:overflowPunct/>
              <w:topLinePunct w:val="0"/>
              <w:bidi w:val="0"/>
              <w:snapToGrid w:val="0"/>
              <w:spacing w:before="157" w:beforeLines="50"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39524319.1</w:t>
            </w:r>
            <w:r>
              <w:rPr>
                <w:rFonts w:hint="eastAsia" w:ascii="Times New Roman" w:hAnsi="Times New Roman" w:eastAsia="宋体" w:cs="宋体"/>
                <w:color w:val="auto"/>
                <w:sz w:val="24"/>
                <w:szCs w:val="24"/>
                <w:highlight w:val="none"/>
                <w:lang w:val="en-US" w:eastAsia="zh-CN"/>
              </w:rPr>
              <w:t>8</w:t>
            </w:r>
          </w:p>
        </w:tc>
      </w:tr>
      <w:tr w14:paraId="5FE9D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2892" w:type="dxa"/>
            <w:noWrap w:val="0"/>
            <w:vAlign w:val="center"/>
          </w:tcPr>
          <w:p w14:paraId="6FF857B1">
            <w:pPr>
              <w:pStyle w:val="24"/>
              <w:spacing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面积（平方公里）</w:t>
            </w:r>
          </w:p>
        </w:tc>
        <w:tc>
          <w:tcPr>
            <w:tcW w:w="6138" w:type="dxa"/>
            <w:gridSpan w:val="2"/>
            <w:noWrap w:val="0"/>
            <w:vAlign w:val="center"/>
          </w:tcPr>
          <w:p w14:paraId="23F921A3">
            <w:pPr>
              <w:pStyle w:val="8"/>
              <w:keepNext w:val="0"/>
              <w:keepLines w:val="0"/>
              <w:pageBreakBefore w:val="0"/>
              <w:widowControl w:val="0"/>
              <w:kinsoku/>
              <w:wordWrap/>
              <w:overflowPunct/>
              <w:topLinePunct w:val="0"/>
              <w:autoSpaceDE/>
              <w:autoSpaceDN/>
              <w:bidi w:val="0"/>
              <w:adjustRightInd/>
              <w:snapToGrid w:val="0"/>
              <w:spacing w:before="157" w:beforeLines="50" w:line="240" w:lineRule="auto"/>
              <w:ind w:firstLine="0" w:firstLineChars="0"/>
              <w:jc w:val="center"/>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rPr>
              <w:t>0.1805</w:t>
            </w:r>
          </w:p>
        </w:tc>
      </w:tr>
      <w:tr w14:paraId="1BB0D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2892" w:type="dxa"/>
            <w:noWrap w:val="0"/>
            <w:vAlign w:val="center"/>
          </w:tcPr>
          <w:p w14:paraId="0AE37A79">
            <w:pPr>
              <w:pStyle w:val="24"/>
              <w:spacing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开采标高</w:t>
            </w:r>
          </w:p>
        </w:tc>
        <w:tc>
          <w:tcPr>
            <w:tcW w:w="6138" w:type="dxa"/>
            <w:gridSpan w:val="2"/>
            <w:noWrap w:val="0"/>
            <w:vAlign w:val="center"/>
          </w:tcPr>
          <w:p w14:paraId="75C6F7FB">
            <w:pPr>
              <w:pStyle w:val="8"/>
              <w:keepNext w:val="0"/>
              <w:keepLines w:val="0"/>
              <w:pageBreakBefore w:val="0"/>
              <w:widowControl w:val="0"/>
              <w:kinsoku/>
              <w:wordWrap/>
              <w:overflowPunct/>
              <w:topLinePunct w:val="0"/>
              <w:autoSpaceDE/>
              <w:autoSpaceDN/>
              <w:bidi w:val="0"/>
              <w:adjustRightInd/>
              <w:snapToGrid w:val="0"/>
              <w:spacing w:before="157" w:beforeLines="50"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仿宋_GB2312"/>
                <w:color w:val="auto"/>
                <w:sz w:val="24"/>
                <w:szCs w:val="24"/>
                <w:highlight w:val="none"/>
                <w:lang w:val="en-US" w:eastAsia="zh-CN"/>
              </w:rPr>
              <w:t>+480</w:t>
            </w:r>
            <w:r>
              <w:rPr>
                <w:rFonts w:hint="eastAsia" w:ascii="Times New Roman" w:hAnsi="Times New Roman" w:eastAsia="宋体" w:cs="仿宋_GB2312"/>
                <w:color w:val="auto"/>
                <w:sz w:val="24"/>
                <w:szCs w:val="24"/>
                <w:highlight w:val="none"/>
              </w:rPr>
              <w:t>～</w:t>
            </w:r>
            <w:r>
              <w:rPr>
                <w:rFonts w:hint="eastAsia" w:ascii="Times New Roman" w:hAnsi="Times New Roman" w:eastAsia="宋体" w:cs="仿宋_GB2312"/>
                <w:color w:val="auto"/>
                <w:sz w:val="24"/>
                <w:szCs w:val="24"/>
                <w:highlight w:val="none"/>
                <w:lang w:val="en-US" w:eastAsia="zh-CN"/>
              </w:rPr>
              <w:t>+280m</w:t>
            </w:r>
          </w:p>
        </w:tc>
      </w:tr>
      <w:tr w14:paraId="54917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2892" w:type="dxa"/>
            <w:noWrap w:val="0"/>
            <w:vAlign w:val="center"/>
          </w:tcPr>
          <w:p w14:paraId="58102DB6">
            <w:pPr>
              <w:pStyle w:val="24"/>
              <w:spacing w:line="240" w:lineRule="auto"/>
              <w:jc w:val="center"/>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井巷工程标高</w:t>
            </w:r>
          </w:p>
        </w:tc>
        <w:tc>
          <w:tcPr>
            <w:tcW w:w="6138" w:type="dxa"/>
            <w:gridSpan w:val="2"/>
            <w:noWrap w:val="0"/>
            <w:vAlign w:val="center"/>
          </w:tcPr>
          <w:p w14:paraId="0D3ECA2C">
            <w:pPr>
              <w:pStyle w:val="8"/>
              <w:keepNext w:val="0"/>
              <w:keepLines w:val="0"/>
              <w:pageBreakBefore w:val="0"/>
              <w:widowControl w:val="0"/>
              <w:kinsoku/>
              <w:wordWrap/>
              <w:overflowPunct/>
              <w:topLinePunct w:val="0"/>
              <w:autoSpaceDE/>
              <w:autoSpaceDN/>
              <w:bidi w:val="0"/>
              <w:adjustRightInd/>
              <w:snapToGrid w:val="0"/>
              <w:spacing w:before="157" w:beforeLines="50" w:line="240" w:lineRule="auto"/>
              <w:ind w:firstLine="0" w:firstLineChars="0"/>
              <w:jc w:val="center"/>
              <w:textAlignment w:val="auto"/>
              <w:rPr>
                <w:rFonts w:hint="eastAsia" w:ascii="Times New Roman" w:hAnsi="Times New Roman" w:eastAsia="宋体" w:cs="宋体"/>
                <w:color w:val="auto"/>
                <w:sz w:val="24"/>
                <w:szCs w:val="24"/>
                <w:highlight w:val="none"/>
              </w:rPr>
            </w:pPr>
            <w:r>
              <w:rPr>
                <w:rFonts w:hint="eastAsia" w:ascii="Times New Roman" w:hAnsi="Times New Roman" w:eastAsia="宋体" w:cs="仿宋_GB2312"/>
                <w:color w:val="auto"/>
                <w:sz w:val="24"/>
                <w:szCs w:val="24"/>
                <w:highlight w:val="none"/>
                <w:lang w:val="en-US" w:eastAsia="zh-CN"/>
              </w:rPr>
              <w:t>+472</w:t>
            </w:r>
            <w:r>
              <w:rPr>
                <w:rFonts w:hint="eastAsia" w:ascii="Times New Roman" w:hAnsi="Times New Roman" w:eastAsia="宋体" w:cs="仿宋_GB2312"/>
                <w:color w:val="auto"/>
                <w:sz w:val="24"/>
                <w:szCs w:val="24"/>
                <w:highlight w:val="none"/>
              </w:rPr>
              <w:t>～</w:t>
            </w:r>
            <w:r>
              <w:rPr>
                <w:rFonts w:hint="eastAsia" w:ascii="Times New Roman" w:hAnsi="Times New Roman" w:eastAsia="宋体" w:cs="仿宋_GB2312"/>
                <w:color w:val="auto"/>
                <w:sz w:val="24"/>
                <w:szCs w:val="24"/>
                <w:highlight w:val="none"/>
                <w:lang w:val="en-US" w:eastAsia="zh-CN"/>
              </w:rPr>
              <w:t>+290m</w:t>
            </w:r>
          </w:p>
        </w:tc>
      </w:tr>
    </w:tbl>
    <w:p w14:paraId="558188FD">
      <w:pPr>
        <w:pStyle w:val="2"/>
        <w:keepNext/>
        <w:keepLines/>
        <w:pageBreakBefore w:val="0"/>
        <w:widowControl/>
        <w:kinsoku w:val="0"/>
        <w:wordWrap/>
        <w:overflowPunct/>
        <w:topLinePunct w:val="0"/>
        <w:autoSpaceDE w:val="0"/>
        <w:autoSpaceDN w:val="0"/>
        <w:bidi w:val="0"/>
        <w:adjustRightInd w:val="0"/>
        <w:snapToGrid w:val="0"/>
        <w:spacing w:before="100" w:beforeAutospacing="1" w:after="100" w:afterAutospacing="1" w:line="240" w:lineRule="auto"/>
        <w:ind w:firstLine="0" w:firstLineChars="0"/>
        <w:jc w:val="center"/>
        <w:textAlignment w:val="baseline"/>
        <w:rPr>
          <w:rFonts w:hint="eastAsia" w:ascii="宋体" w:hAnsi="宋体" w:eastAsia="宋体" w:cs="宋体"/>
          <w:b/>
          <w:bCs/>
          <w:color w:val="auto"/>
          <w:kern w:val="2"/>
          <w:sz w:val="30"/>
          <w:szCs w:val="30"/>
          <w:highlight w:val="none"/>
          <w:lang w:val="en-US" w:eastAsia="zh-CN"/>
        </w:rPr>
      </w:pPr>
      <w:r>
        <w:rPr>
          <w:rFonts w:hint="eastAsia" w:ascii="黑体" w:hAnsi="黑体" w:eastAsia="黑体" w:cs="黑体"/>
          <w:b w:val="0"/>
          <w:bCs w:val="0"/>
          <w:color w:val="auto"/>
          <w:sz w:val="32"/>
          <w:szCs w:val="32"/>
          <w:highlight w:val="none"/>
        </w:rPr>
        <w:br w:type="page"/>
      </w:r>
      <w:bookmarkStart w:id="164" w:name="_Toc16983"/>
      <w:r>
        <w:rPr>
          <w:rFonts w:hint="eastAsia" w:ascii="黑体" w:hAnsi="黑体" w:eastAsia="黑体" w:cs="黑体"/>
          <w:bCs/>
          <w:snapToGrid w:val="0"/>
          <w:color w:val="auto"/>
          <w:sz w:val="32"/>
          <w:szCs w:val="32"/>
          <w:highlight w:val="none"/>
          <w:lang w:eastAsia="zh-CN" w:bidi="ar"/>
        </w:rPr>
        <w:t>第四章 矿产资源开采与综合利用</w:t>
      </w:r>
      <w:bookmarkEnd w:id="164"/>
    </w:p>
    <w:p w14:paraId="3CE0496A">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65" w:name="_Toc15726"/>
      <w:r>
        <w:rPr>
          <w:rFonts w:hint="eastAsia" w:ascii="宋体" w:hAnsi="宋体" w:eastAsia="宋体" w:cs="宋体"/>
          <w:b/>
          <w:bCs w:val="0"/>
          <w:snapToGrid w:val="0"/>
          <w:color w:val="auto"/>
          <w:kern w:val="0"/>
          <w:sz w:val="30"/>
          <w:szCs w:val="30"/>
          <w:highlight w:val="none"/>
          <w:lang w:val="en-US" w:eastAsia="zh-CN"/>
        </w:rPr>
        <w:t>4.1开采矿种及产品方案</w:t>
      </w:r>
      <w:bookmarkEnd w:id="165"/>
    </w:p>
    <w:p w14:paraId="5AA10C23">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4.1.1开采矿种</w:t>
      </w:r>
    </w:p>
    <w:p w14:paraId="38ED2B92">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根据</w:t>
      </w:r>
      <w:r>
        <w:rPr>
          <w:rFonts w:hint="eastAsia" w:ascii="宋体" w:hAnsi="宋体" w:eastAsia="宋体" w:cs="宋体"/>
          <w:color w:val="auto"/>
          <w:sz w:val="28"/>
          <w:szCs w:val="28"/>
          <w:highlight w:val="none"/>
        </w:rPr>
        <w:t>中化地质矿山总局福建地质勘查院于2025年8月提交的《福建省明溪县上龙坑矿区方解石矿资源储量核实暨深部</w:t>
      </w:r>
      <w:r>
        <w:rPr>
          <w:rFonts w:hint="eastAsia" w:ascii="宋体" w:hAnsi="宋体" w:eastAsia="宋体" w:cs="宋体"/>
          <w:color w:val="auto"/>
          <w:sz w:val="28"/>
          <w:szCs w:val="28"/>
          <w:highlight w:val="none"/>
          <w:lang w:eastAsia="zh-CN"/>
        </w:rPr>
        <w:t>勘探</w:t>
      </w:r>
      <w:r>
        <w:rPr>
          <w:rFonts w:hint="eastAsia" w:ascii="宋体" w:hAnsi="宋体" w:eastAsia="宋体" w:cs="宋体"/>
          <w:color w:val="auto"/>
          <w:sz w:val="28"/>
          <w:szCs w:val="28"/>
          <w:highlight w:val="none"/>
        </w:rPr>
        <w:t>地质报告（2025年）》</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福建省自然资源评审中心于202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rPr>
        <w:t>日出具的《福建省明溪县上龙坑矿区方解石矿资源储量核实暨深部</w:t>
      </w:r>
      <w:r>
        <w:rPr>
          <w:rFonts w:hint="eastAsia" w:ascii="宋体" w:hAnsi="宋体" w:eastAsia="宋体" w:cs="宋体"/>
          <w:color w:val="auto"/>
          <w:sz w:val="28"/>
          <w:szCs w:val="28"/>
          <w:highlight w:val="none"/>
          <w:lang w:eastAsia="zh-CN"/>
        </w:rPr>
        <w:t>勘探</w:t>
      </w:r>
      <w:r>
        <w:rPr>
          <w:rFonts w:hint="eastAsia" w:ascii="宋体" w:hAnsi="宋体" w:eastAsia="宋体" w:cs="宋体"/>
          <w:color w:val="auto"/>
          <w:sz w:val="28"/>
          <w:szCs w:val="28"/>
          <w:highlight w:val="none"/>
        </w:rPr>
        <w:t>地质报告（2025年）矿产资源储量评审意见书》（闽自然资储评字〔202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14</w:t>
      </w:r>
      <w:r>
        <w:rPr>
          <w:rFonts w:hint="eastAsia" w:ascii="宋体" w:hAnsi="宋体" w:eastAsia="宋体" w:cs="宋体"/>
          <w:color w:val="auto"/>
          <w:sz w:val="28"/>
          <w:szCs w:val="28"/>
          <w:highlight w:val="none"/>
        </w:rPr>
        <w:t>号）</w:t>
      </w:r>
      <w:r>
        <w:rPr>
          <w:rFonts w:hint="eastAsia" w:ascii="宋体" w:hAnsi="宋体" w:eastAsia="宋体" w:cs="宋体"/>
          <w:color w:val="auto"/>
          <w:sz w:val="28"/>
          <w:szCs w:val="28"/>
          <w:highlight w:val="none"/>
          <w:lang w:eastAsia="zh-CN"/>
        </w:rPr>
        <w:t>，本次设计开采矿种为方解石。</w:t>
      </w:r>
    </w:p>
    <w:p w14:paraId="1B8C66CF">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4.1.2产品方案</w:t>
      </w:r>
    </w:p>
    <w:p w14:paraId="584DD896">
      <w:pPr>
        <w:pageBreakBefore w:val="0"/>
        <w:widowControl w:val="0"/>
        <w:kinsoku/>
        <w:wordWrap/>
        <w:overflowPunct/>
        <w:topLinePunct w:val="0"/>
        <w:autoSpaceDE/>
        <w:autoSpaceDN/>
        <w:bidi w:val="0"/>
        <w:adjustRightInd w:val="0"/>
        <w:snapToGrid w:val="0"/>
        <w:spacing w:line="360" w:lineRule="auto"/>
        <w:ind w:firstLine="570" w:firstLineChars="200"/>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本矿开采</w:t>
      </w:r>
      <w:r>
        <w:rPr>
          <w:rFonts w:hint="eastAsia" w:ascii="宋体" w:hAnsi="宋体" w:eastAsia="宋体" w:cs="宋体"/>
          <w:color w:val="auto"/>
          <w:sz w:val="28"/>
          <w:szCs w:val="28"/>
          <w:highlight w:val="none"/>
          <w:lang w:val="en-US" w:eastAsia="zh-CN"/>
        </w:rPr>
        <w:t>的方解石矿、白云石</w:t>
      </w:r>
      <w:r>
        <w:rPr>
          <w:rFonts w:hint="eastAsia" w:ascii="宋体" w:hAnsi="宋体" w:eastAsia="宋体" w:cs="宋体"/>
          <w:color w:val="auto"/>
          <w:sz w:val="28"/>
          <w:szCs w:val="28"/>
          <w:highlight w:val="none"/>
          <w:lang w:eastAsia="zh-CN"/>
        </w:rPr>
        <w:t>方解石矿先堆放在矿石中转场，然后用自卸汽车</w:t>
      </w:r>
      <w:r>
        <w:rPr>
          <w:rFonts w:hint="eastAsia" w:ascii="宋体" w:hAnsi="宋体" w:eastAsia="宋体" w:cs="宋体"/>
          <w:color w:val="auto"/>
          <w:sz w:val="28"/>
          <w:szCs w:val="28"/>
          <w:highlight w:val="none"/>
          <w:lang w:val="en-US" w:eastAsia="zh-CN"/>
        </w:rPr>
        <w:t>转运至位于瀚仙镇岩里村距矿区约8公里、矿山自有的配套石粉加工厂加工，</w:t>
      </w:r>
      <w:r>
        <w:rPr>
          <w:rFonts w:hint="default" w:ascii="宋体" w:hAnsi="宋体" w:eastAsia="宋体" w:cs="宋体"/>
          <w:color w:val="auto"/>
          <w:sz w:val="28"/>
          <w:szCs w:val="28"/>
          <w:highlight w:val="none"/>
          <w:lang w:val="en-US" w:eastAsia="zh-CN"/>
        </w:rPr>
        <w:t>设计推荐矿山产品方案仍为</w:t>
      </w:r>
      <w:r>
        <w:rPr>
          <w:rFonts w:hint="eastAsia" w:ascii="宋体" w:hAnsi="宋体" w:eastAsia="宋体" w:cs="宋体"/>
          <w:color w:val="auto"/>
          <w:sz w:val="28"/>
          <w:szCs w:val="28"/>
          <w:highlight w:val="none"/>
          <w:lang w:val="en-US" w:eastAsia="zh-CN"/>
        </w:rPr>
        <w:t>100-300目的石粉</w:t>
      </w:r>
      <w:r>
        <w:rPr>
          <w:rFonts w:hint="default" w:ascii="宋体" w:hAnsi="宋体" w:eastAsia="宋体" w:cs="宋体"/>
          <w:color w:val="auto"/>
          <w:sz w:val="28"/>
          <w:szCs w:val="28"/>
          <w:highlight w:val="none"/>
          <w:lang w:val="en-US" w:eastAsia="zh-CN"/>
        </w:rPr>
        <w:t>。</w:t>
      </w:r>
    </w:p>
    <w:p w14:paraId="36E8B4EE">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66" w:name="_Toc10496"/>
      <w:r>
        <w:rPr>
          <w:rFonts w:hint="eastAsia" w:ascii="宋体" w:hAnsi="宋体" w:eastAsia="宋体" w:cs="宋体"/>
          <w:b/>
          <w:bCs w:val="0"/>
          <w:snapToGrid w:val="0"/>
          <w:color w:val="auto"/>
          <w:kern w:val="0"/>
          <w:sz w:val="30"/>
          <w:szCs w:val="30"/>
          <w:highlight w:val="none"/>
          <w:lang w:val="en-US" w:eastAsia="zh-CN"/>
        </w:rPr>
        <w:t>4.2开采方式</w:t>
      </w:r>
      <w:bookmarkEnd w:id="166"/>
    </w:p>
    <w:p w14:paraId="4865290A">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4.2.1开采方式分析论证</w:t>
      </w:r>
    </w:p>
    <w:p w14:paraId="0235DC0F">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根据区域环境条件，矿区范围内分布有大量的基本农田，按现行基本农田保护的有关政策，矿区范围内有基本农田的矿山，开采方式不得采用露天开采；4线北侧矿界1-2紧邻居民楼，矿区外西侧1-6边界、直距约90m处有构筑物，矿区南部6线至7线设有办公生活区，如按爆破警戒范围300米划定，则整个矿区资源量均无法爆破开采，如对以上建（构）筑物进行搬迁，搬迁费用极大，且附近找不到合适的搬迁场所；另外根据矿体赋存条件及地形地貌，如矿山采用露天开采，受底盘最小宽度限制，最低开采标高能设计到+360m标高，而终了边坡最大高度达180m，凹陷露天部分终了边坡高达96m，形成一个巨大的凹陷采坑，治理难度极大，治理费用高，存在较大的安全隐患，且矿山周边无合适位置可供废石土堆排，加上矿区及周边存在大量的基本农田。如矿山采用地下开采，地质环境恢复治理难度大大减小，矿山开采过程中产生的废石可回填采空区，可节省大量的地质环境恢复治理费用，另外矿山已采用地下开采方式开采多年，已形成完善的地下开采系统，已具备一定的地下开采经验，且本次拟扩深部分位于原矿区深部，地下开采优势明显。为了减少矿山的成本投入和保护矿区及周边的基本农田，根据基本农田保护的有关政策，本次设计推荐矿山开采方式继续采用地下开采。</w:t>
      </w:r>
    </w:p>
    <w:p w14:paraId="4FD4B033">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4.2.2矿区开采顺序及首采地段选择</w:t>
      </w:r>
    </w:p>
    <w:p w14:paraId="2C104ADF">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矿山回采顺序总体上遵循：中段之间自上而下，中段内由远及近后退式回采的原则，即先采远端，后往出口方向退采。</w:t>
      </w:r>
    </w:p>
    <w:p w14:paraId="42E11D0D">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矿块回采采用退采，即从矿块远端向主平硐口（斜坡道）方向退采，减少在采空区下的作业时间，既利于安全，同时也少留顶板矿柱。</w:t>
      </w:r>
    </w:p>
    <w:p w14:paraId="087B6F7F">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因390m中段保有可采储量约186.68万吨，本次设计首采中段为390m中段。</w:t>
      </w:r>
    </w:p>
    <w:p w14:paraId="40A5E7FD">
      <w:pPr>
        <w:pageBreakBefore w:val="0"/>
        <w:kinsoku/>
        <w:wordWrap/>
        <w:overflowPunct/>
        <w:topLinePunct w:val="0"/>
        <w:autoSpaceDE/>
        <w:autoSpaceDN/>
        <w:bidi w:val="0"/>
        <w:snapToGrid w:val="0"/>
        <w:spacing w:line="360" w:lineRule="auto"/>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4.2.3采矿方法</w:t>
      </w:r>
    </w:p>
    <w:p w14:paraId="79DEED17">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（一）采矿方法选择</w:t>
      </w:r>
    </w:p>
    <w:p w14:paraId="509F9CA2">
      <w:pPr>
        <w:keepNext w:val="0"/>
        <w:keepLines w:val="0"/>
        <w:pageBreakBefore w:val="0"/>
        <w:widowControl w:val="0"/>
        <w:kinsoku/>
        <w:wordWrap/>
        <w:overflowPunct/>
        <w:topLinePunct w:val="0"/>
        <w:autoSpaceDE/>
        <w:autoSpaceDN/>
        <w:bidi w:val="0"/>
        <w:adjustRightInd w:val="0"/>
        <w:snapToGrid w:val="0"/>
        <w:spacing w:line="360" w:lineRule="auto"/>
        <w:ind w:firstLine="564"/>
        <w:jc w:val="left"/>
        <w:textAlignment w:val="baseline"/>
        <w:rPr>
          <w:rFonts w:hint="eastAsia" w:ascii="Times New Roman" w:hAnsi="Times New Roman" w:eastAsia="宋体"/>
          <w:color w:val="auto"/>
          <w:sz w:val="28"/>
          <w:szCs w:val="28"/>
          <w:highlight w:val="none"/>
        </w:rPr>
      </w:pPr>
      <w:r>
        <w:rPr>
          <w:rFonts w:hint="eastAsia" w:ascii="Times New Roman" w:hAnsi="Times New Roman" w:eastAsia="宋体" w:cs="宋体"/>
          <w:bCs/>
          <w:color w:val="auto"/>
          <w:sz w:val="28"/>
          <w:szCs w:val="28"/>
          <w:highlight w:val="none"/>
        </w:rPr>
        <w:t>根据</w:t>
      </w:r>
      <w:r>
        <w:rPr>
          <w:rFonts w:hint="eastAsia" w:ascii="Times New Roman" w:hAnsi="Times New Roman" w:cs="宋体"/>
          <w:bCs/>
          <w:color w:val="auto"/>
          <w:sz w:val="28"/>
          <w:szCs w:val="28"/>
          <w:highlight w:val="none"/>
          <w:lang w:eastAsia="zh-CN"/>
        </w:rPr>
        <w:t>中共中央办公厅、国务院办公厅</w:t>
      </w:r>
      <w:r>
        <w:rPr>
          <w:rFonts w:hint="eastAsia" w:ascii="Times New Roman" w:hAnsi="Times New Roman" w:eastAsia="宋体" w:cs="宋体"/>
          <w:bCs/>
          <w:color w:val="auto"/>
          <w:sz w:val="28"/>
          <w:szCs w:val="28"/>
          <w:highlight w:val="none"/>
        </w:rPr>
        <w:t>《关于</w:t>
      </w:r>
      <w:r>
        <w:rPr>
          <w:rFonts w:hint="eastAsia" w:ascii="Times New Roman" w:hAnsi="Times New Roman" w:eastAsia="宋体" w:cs="宋体"/>
          <w:bCs/>
          <w:color w:val="auto"/>
          <w:sz w:val="28"/>
          <w:szCs w:val="28"/>
          <w:highlight w:val="none"/>
          <w:lang w:eastAsia="zh-CN"/>
        </w:rPr>
        <w:t>进一步</w:t>
      </w:r>
      <w:r>
        <w:rPr>
          <w:rFonts w:hint="eastAsia" w:ascii="Times New Roman" w:hAnsi="Times New Roman" w:eastAsia="宋体" w:cs="宋体"/>
          <w:bCs/>
          <w:color w:val="auto"/>
          <w:sz w:val="28"/>
          <w:szCs w:val="28"/>
          <w:highlight w:val="none"/>
        </w:rPr>
        <w:t>加强矿山安全生产工作的</w:t>
      </w:r>
      <w:r>
        <w:rPr>
          <w:rFonts w:hint="eastAsia" w:ascii="Times New Roman" w:hAnsi="Times New Roman" w:eastAsia="宋体" w:cs="宋体"/>
          <w:bCs/>
          <w:color w:val="auto"/>
          <w:sz w:val="28"/>
          <w:szCs w:val="28"/>
          <w:highlight w:val="none"/>
          <w:lang w:eastAsia="zh-CN"/>
        </w:rPr>
        <w:t>意见</w:t>
      </w:r>
      <w:r>
        <w:rPr>
          <w:rFonts w:hint="eastAsia" w:ascii="Times New Roman" w:hAnsi="Times New Roman" w:eastAsia="宋体" w:cs="宋体"/>
          <w:bCs/>
          <w:color w:val="auto"/>
          <w:sz w:val="28"/>
          <w:szCs w:val="28"/>
          <w:highlight w:val="none"/>
        </w:rPr>
        <w:t>》，新建</w:t>
      </w:r>
      <w:r>
        <w:rPr>
          <w:rFonts w:hint="eastAsia" w:ascii="Times New Roman" w:hAnsi="Times New Roman" w:eastAsia="宋体" w:cs="宋体"/>
          <w:bCs/>
          <w:color w:val="auto"/>
          <w:sz w:val="28"/>
          <w:szCs w:val="28"/>
          <w:highlight w:val="none"/>
          <w:lang w:eastAsia="zh-CN"/>
        </w:rPr>
        <w:t>、改扩建</w:t>
      </w:r>
      <w:r>
        <w:rPr>
          <w:rFonts w:hint="eastAsia" w:ascii="Times New Roman" w:hAnsi="Times New Roman" w:eastAsia="宋体" w:cs="宋体"/>
          <w:bCs/>
          <w:color w:val="auto"/>
          <w:sz w:val="28"/>
          <w:szCs w:val="28"/>
          <w:highlight w:val="none"/>
        </w:rPr>
        <w:t>金属非金属地下矿山</w:t>
      </w:r>
      <w:r>
        <w:rPr>
          <w:rFonts w:hint="eastAsia" w:ascii="Times New Roman" w:hAnsi="Times New Roman" w:eastAsia="宋体" w:cs="宋体"/>
          <w:bCs/>
          <w:color w:val="auto"/>
          <w:sz w:val="28"/>
          <w:szCs w:val="28"/>
          <w:highlight w:val="none"/>
          <w:lang w:eastAsia="zh-CN"/>
        </w:rPr>
        <w:t>原则上</w:t>
      </w:r>
      <w:r>
        <w:rPr>
          <w:rFonts w:hint="eastAsia" w:ascii="Times New Roman" w:hAnsi="Times New Roman" w:eastAsia="宋体" w:cs="宋体"/>
          <w:bCs/>
          <w:color w:val="auto"/>
          <w:sz w:val="28"/>
          <w:szCs w:val="28"/>
          <w:highlight w:val="none"/>
        </w:rPr>
        <w:t>采用充填采矿法，不能采用的</w:t>
      </w:r>
      <w:r>
        <w:rPr>
          <w:rFonts w:hint="eastAsia" w:ascii="Times New Roman" w:hAnsi="Times New Roman" w:eastAsia="宋体" w:cs="宋体"/>
          <w:bCs/>
          <w:color w:val="auto"/>
          <w:sz w:val="28"/>
          <w:szCs w:val="28"/>
          <w:highlight w:val="none"/>
          <w:lang w:eastAsia="zh-CN"/>
        </w:rPr>
        <w:t>应</w:t>
      </w:r>
      <w:r>
        <w:rPr>
          <w:rFonts w:hint="eastAsia" w:ascii="Times New Roman" w:hAnsi="Times New Roman" w:eastAsia="宋体" w:cs="宋体"/>
          <w:bCs/>
          <w:color w:val="auto"/>
          <w:sz w:val="28"/>
          <w:szCs w:val="28"/>
          <w:highlight w:val="none"/>
        </w:rPr>
        <w:t>严格论证。因</w:t>
      </w:r>
      <w:r>
        <w:rPr>
          <w:rFonts w:hint="eastAsia" w:ascii="Times New Roman" w:hAnsi="Times New Roman" w:eastAsia="宋体"/>
          <w:color w:val="auto"/>
          <w:sz w:val="28"/>
          <w:szCs w:val="28"/>
          <w:highlight w:val="none"/>
        </w:rPr>
        <w:t>矿山周边没有相应的充填骨料来源，且</w:t>
      </w:r>
      <w:r>
        <w:rPr>
          <w:rFonts w:hint="eastAsia" w:ascii="Times New Roman" w:hAnsi="Times New Roman"/>
          <w:color w:val="auto"/>
          <w:sz w:val="28"/>
          <w:szCs w:val="28"/>
          <w:highlight w:val="none"/>
          <w:lang w:eastAsia="zh-CN"/>
        </w:rPr>
        <w:t>方解石、白云石方解石</w:t>
      </w:r>
      <w:r>
        <w:rPr>
          <w:rFonts w:hint="eastAsia" w:ascii="Times New Roman" w:hAnsi="Times New Roman" w:eastAsia="宋体" w:cs="宋体"/>
          <w:bCs/>
          <w:color w:val="auto"/>
          <w:sz w:val="28"/>
          <w:szCs w:val="28"/>
          <w:highlight w:val="none"/>
        </w:rPr>
        <w:t>矿石价值较低，</w:t>
      </w:r>
      <w:r>
        <w:rPr>
          <w:rFonts w:hint="eastAsia" w:ascii="Times New Roman" w:hAnsi="Times New Roman" w:eastAsia="宋体" w:cs="宋体"/>
          <w:bCs/>
          <w:color w:val="auto"/>
          <w:sz w:val="28"/>
          <w:szCs w:val="28"/>
          <w:highlight w:val="none"/>
          <w:lang w:eastAsia="zh-CN"/>
        </w:rPr>
        <w:t>坑口价仅</w:t>
      </w:r>
      <w:r>
        <w:rPr>
          <w:rFonts w:hint="eastAsia" w:ascii="Times New Roman" w:hAnsi="Times New Roman" w:cs="宋体"/>
          <w:bCs/>
          <w:color w:val="auto"/>
          <w:sz w:val="28"/>
          <w:szCs w:val="28"/>
          <w:highlight w:val="none"/>
          <w:lang w:eastAsia="zh-CN"/>
        </w:rPr>
        <w:t>约</w:t>
      </w:r>
      <w:r>
        <w:rPr>
          <w:rFonts w:hint="eastAsia" w:ascii="Times New Roman" w:hAnsi="Times New Roman" w:eastAsia="宋体" w:cs="宋体"/>
          <w:bCs/>
          <w:color w:val="auto"/>
          <w:sz w:val="28"/>
          <w:szCs w:val="28"/>
          <w:highlight w:val="none"/>
          <w:lang w:val="en-US" w:eastAsia="zh-CN"/>
        </w:rPr>
        <w:t>45元/吨；</w:t>
      </w:r>
      <w:r>
        <w:rPr>
          <w:rFonts w:hint="eastAsia" w:ascii="Times New Roman" w:hAnsi="Times New Roman" w:eastAsia="宋体" w:cs="宋体"/>
          <w:bCs/>
          <w:color w:val="auto"/>
          <w:sz w:val="28"/>
          <w:szCs w:val="28"/>
          <w:highlight w:val="none"/>
          <w:lang w:eastAsia="zh-CN"/>
        </w:rPr>
        <w:t>而</w:t>
      </w:r>
      <w:r>
        <w:rPr>
          <w:rFonts w:hint="eastAsia" w:ascii="Times New Roman" w:hAnsi="Times New Roman" w:eastAsia="宋体"/>
          <w:color w:val="auto"/>
          <w:sz w:val="28"/>
          <w:szCs w:val="28"/>
          <w:highlight w:val="none"/>
        </w:rPr>
        <w:t>充填采矿法采矿成本高，</w:t>
      </w:r>
      <w:r>
        <w:rPr>
          <w:rFonts w:hint="eastAsia" w:ascii="Times New Roman" w:hAnsi="Times New Roman" w:eastAsia="宋体"/>
          <w:color w:val="auto"/>
          <w:sz w:val="28"/>
          <w:szCs w:val="28"/>
          <w:highlight w:val="none"/>
          <w:lang w:eastAsia="zh-CN"/>
        </w:rPr>
        <w:t>仅充填费用就达</w:t>
      </w:r>
      <w:r>
        <w:rPr>
          <w:rFonts w:hint="eastAsia" w:ascii="Times New Roman" w:hAnsi="Times New Roman" w:eastAsia="宋体"/>
          <w:color w:val="auto"/>
          <w:sz w:val="28"/>
          <w:szCs w:val="28"/>
          <w:highlight w:val="none"/>
          <w:lang w:val="en-US" w:eastAsia="zh-CN"/>
        </w:rPr>
        <w:t>25元/吨，再加上</w:t>
      </w:r>
      <w:r>
        <w:rPr>
          <w:rFonts w:hint="eastAsia" w:ascii="Times New Roman" w:hAnsi="Times New Roman"/>
          <w:color w:val="auto"/>
          <w:sz w:val="28"/>
          <w:szCs w:val="28"/>
          <w:highlight w:val="none"/>
          <w:lang w:val="en-US" w:eastAsia="zh-CN"/>
        </w:rPr>
        <w:t>其他</w:t>
      </w:r>
      <w:r>
        <w:rPr>
          <w:rFonts w:hint="eastAsia" w:ascii="Times New Roman" w:hAnsi="Times New Roman" w:eastAsia="宋体"/>
          <w:color w:val="auto"/>
          <w:sz w:val="28"/>
          <w:szCs w:val="28"/>
          <w:highlight w:val="none"/>
          <w:lang w:val="en-US" w:eastAsia="zh-CN"/>
        </w:rPr>
        <w:t>开采成本约26元/吨，</w:t>
      </w:r>
      <w:r>
        <w:rPr>
          <w:rFonts w:hint="eastAsia" w:ascii="Times New Roman" w:hAnsi="Times New Roman" w:eastAsia="宋体"/>
          <w:color w:val="auto"/>
          <w:sz w:val="28"/>
          <w:szCs w:val="28"/>
          <w:highlight w:val="none"/>
        </w:rPr>
        <w:t>充填采矿法</w:t>
      </w:r>
      <w:r>
        <w:rPr>
          <w:rFonts w:hint="eastAsia" w:ascii="Times New Roman" w:hAnsi="Times New Roman" w:eastAsia="宋体"/>
          <w:color w:val="auto"/>
          <w:sz w:val="28"/>
          <w:szCs w:val="28"/>
          <w:highlight w:val="none"/>
          <w:lang w:eastAsia="zh-CN"/>
        </w:rPr>
        <w:t>实际综合开采成本约</w:t>
      </w:r>
      <w:r>
        <w:rPr>
          <w:rFonts w:hint="eastAsia" w:ascii="Times New Roman" w:hAnsi="Times New Roman" w:eastAsia="宋体"/>
          <w:color w:val="auto"/>
          <w:sz w:val="28"/>
          <w:szCs w:val="28"/>
          <w:highlight w:val="none"/>
          <w:lang w:val="en-US" w:eastAsia="zh-CN"/>
        </w:rPr>
        <w:t>51元/吨，</w:t>
      </w:r>
      <w:r>
        <w:rPr>
          <w:rFonts w:hint="eastAsia" w:ascii="Times New Roman" w:hAnsi="Times New Roman" w:eastAsia="宋体"/>
          <w:color w:val="auto"/>
          <w:sz w:val="28"/>
          <w:szCs w:val="28"/>
          <w:highlight w:val="none"/>
        </w:rPr>
        <w:t>经计算经济上不合理。据此，本矿不采用充填采矿法。</w:t>
      </w:r>
    </w:p>
    <w:p w14:paraId="50F1CCC9">
      <w:pPr>
        <w:pStyle w:val="29"/>
        <w:keepNext w:val="0"/>
        <w:keepLines w:val="0"/>
        <w:pageBreakBefore w:val="0"/>
        <w:widowControl w:val="0"/>
        <w:kinsoku/>
        <w:wordWrap/>
        <w:overflowPunct/>
        <w:topLinePunct w:val="0"/>
        <w:autoSpaceDE/>
        <w:autoSpaceDN/>
        <w:bidi w:val="0"/>
        <w:snapToGrid w:val="0"/>
        <w:spacing w:line="360" w:lineRule="auto"/>
        <w:ind w:firstLine="560"/>
        <w:rPr>
          <w:rFonts w:hint="eastAsia" w:ascii="Times New Roman" w:hAnsi="Times New Roman" w:eastAsia="宋体" w:cs="宋体"/>
          <w:bCs/>
          <w:color w:val="auto"/>
          <w:sz w:val="28"/>
          <w:szCs w:val="28"/>
          <w:highlight w:val="none"/>
          <w:lang w:eastAsia="zh-CN"/>
        </w:rPr>
      </w:pPr>
      <w:r>
        <w:rPr>
          <w:rFonts w:hint="eastAsia" w:ascii="Times New Roman" w:hAnsi="Times New Roman" w:eastAsia="宋体" w:cs="宋体"/>
          <w:bCs/>
          <w:color w:val="auto"/>
          <w:sz w:val="28"/>
          <w:szCs w:val="28"/>
          <w:highlight w:val="none"/>
          <w:lang w:eastAsia="zh-CN"/>
        </w:rPr>
        <w:t>根据</w:t>
      </w:r>
      <w:r>
        <w:rPr>
          <w:rFonts w:hint="eastAsia" w:ascii="宋体" w:hAnsi="宋体" w:eastAsia="宋体" w:cs="宋体"/>
          <w:color w:val="auto"/>
          <w:sz w:val="28"/>
          <w:szCs w:val="28"/>
          <w:highlight w:val="none"/>
          <w:lang w:eastAsia="zh-CN"/>
        </w:rPr>
        <w:t>勘探</w:t>
      </w:r>
      <w:r>
        <w:rPr>
          <w:rFonts w:hint="eastAsia" w:ascii="Times New Roman" w:hAnsi="Times New Roman" w:cs="宋体"/>
          <w:bCs/>
          <w:color w:val="auto"/>
          <w:sz w:val="28"/>
          <w:szCs w:val="28"/>
          <w:highlight w:val="none"/>
          <w:lang w:eastAsia="zh-CN"/>
        </w:rPr>
        <w:t>地质</w:t>
      </w:r>
      <w:r>
        <w:rPr>
          <w:rFonts w:hint="eastAsia" w:ascii="Times New Roman" w:hAnsi="Times New Roman" w:eastAsia="宋体" w:cs="宋体"/>
          <w:bCs/>
          <w:color w:val="auto"/>
          <w:sz w:val="28"/>
          <w:szCs w:val="28"/>
          <w:highlight w:val="none"/>
          <w:lang w:eastAsia="zh-CN"/>
        </w:rPr>
        <w:t>报告，矿区内方解石、白云石方解石矿体赋存于二叠系下统船山组（P1c）内，矿体稳固性较好</w:t>
      </w:r>
      <w:r>
        <w:rPr>
          <w:rFonts w:hint="eastAsia" w:ascii="Times New Roman" w:hAnsi="Times New Roman" w:cs="宋体"/>
          <w:bCs/>
          <w:color w:val="auto"/>
          <w:sz w:val="28"/>
          <w:szCs w:val="28"/>
          <w:highlight w:val="none"/>
          <w:lang w:eastAsia="zh-CN"/>
        </w:rPr>
        <w:t>，</w:t>
      </w:r>
      <w:r>
        <w:rPr>
          <w:rFonts w:hint="eastAsia" w:ascii="Times New Roman" w:hAnsi="Times New Roman" w:eastAsia="宋体" w:cs="宋体"/>
          <w:bCs/>
          <w:color w:val="auto"/>
          <w:sz w:val="28"/>
          <w:szCs w:val="28"/>
          <w:highlight w:val="none"/>
          <w:lang w:eastAsia="zh-CN"/>
        </w:rPr>
        <w:t>矿体顶底板围岩为（蚀变）花岗岩、（矽卡岩化）大理岩、白云石大理岩、白云石方解石大理岩、角岩化石英砂岩、角岩以及变质石英砂岩等，工程地质岩组为完整坚硬岩岩组，工程地质性能高，稳定性中等～好。</w:t>
      </w:r>
    </w:p>
    <w:p w14:paraId="501C0709">
      <w:pPr>
        <w:pStyle w:val="29"/>
        <w:keepNext w:val="0"/>
        <w:keepLines w:val="0"/>
        <w:pageBreakBefore w:val="0"/>
        <w:widowControl w:val="0"/>
        <w:kinsoku/>
        <w:wordWrap/>
        <w:overflowPunct/>
        <w:topLinePunct w:val="0"/>
        <w:autoSpaceDE/>
        <w:autoSpaceDN/>
        <w:bidi w:val="0"/>
        <w:snapToGrid w:val="0"/>
        <w:spacing w:line="360" w:lineRule="auto"/>
        <w:ind w:firstLine="560"/>
        <w:rPr>
          <w:rFonts w:hint="default" w:ascii="Times New Roman" w:hAnsi="Times New Roman" w:eastAsia="宋体" w:cs="仿宋"/>
          <w:color w:val="auto"/>
          <w:szCs w:val="28"/>
          <w:highlight w:val="none"/>
        </w:rPr>
      </w:pPr>
      <w:r>
        <w:rPr>
          <w:rFonts w:hint="eastAsia" w:ascii="Times New Roman" w:hAnsi="Times New Roman" w:eastAsia="宋体" w:cs="仿宋"/>
          <w:color w:val="auto"/>
          <w:szCs w:val="28"/>
          <w:highlight w:val="none"/>
          <w:lang w:eastAsia="zh-CN"/>
        </w:rPr>
        <w:t>综上所述，区</w:t>
      </w:r>
      <w:r>
        <w:rPr>
          <w:rFonts w:hint="default" w:ascii="Times New Roman" w:hAnsi="Times New Roman" w:eastAsia="宋体" w:cs="仿宋"/>
          <w:color w:val="auto"/>
          <w:szCs w:val="28"/>
          <w:highlight w:val="none"/>
        </w:rPr>
        <w:t>内</w:t>
      </w:r>
      <w:r>
        <w:rPr>
          <w:rFonts w:hint="eastAsia" w:ascii="Times New Roman" w:hAnsi="Times New Roman" w:eastAsia="宋体" w:cs="宋体"/>
          <w:bCs/>
          <w:color w:val="auto"/>
          <w:sz w:val="28"/>
          <w:szCs w:val="28"/>
          <w:highlight w:val="none"/>
          <w:lang w:eastAsia="zh-CN"/>
        </w:rPr>
        <w:t>方解石、白云石方解石矿体</w:t>
      </w:r>
      <w:r>
        <w:rPr>
          <w:rFonts w:hint="default" w:ascii="Times New Roman" w:hAnsi="Times New Roman" w:eastAsia="宋体" w:cs="仿宋"/>
          <w:color w:val="auto"/>
          <w:szCs w:val="28"/>
          <w:highlight w:val="none"/>
        </w:rPr>
        <w:t>及其顶底板围岩一般较坚硬完整，稳固性较好。矿石不结块、不自燃。同时考虑</w:t>
      </w:r>
      <w:r>
        <w:rPr>
          <w:rFonts w:hint="eastAsia" w:ascii="Times New Roman" w:hAnsi="Times New Roman"/>
          <w:color w:val="auto"/>
          <w:sz w:val="28"/>
          <w:szCs w:val="28"/>
          <w:highlight w:val="none"/>
          <w:lang w:eastAsia="zh-CN"/>
        </w:rPr>
        <w:t>方解石、白云石方解石</w:t>
      </w:r>
      <w:r>
        <w:rPr>
          <w:rFonts w:hint="default" w:ascii="Times New Roman" w:hAnsi="Times New Roman" w:eastAsia="宋体" w:cs="仿宋"/>
          <w:color w:val="auto"/>
          <w:szCs w:val="28"/>
          <w:highlight w:val="none"/>
        </w:rPr>
        <w:t>矿价值低廉，开采过程贫化率</w:t>
      </w:r>
      <w:r>
        <w:rPr>
          <w:rFonts w:hint="eastAsia" w:ascii="Times New Roman" w:hAnsi="Times New Roman" w:eastAsia="宋体" w:cs="仿宋"/>
          <w:color w:val="auto"/>
          <w:szCs w:val="28"/>
          <w:highlight w:val="none"/>
          <w:lang w:eastAsia="zh-CN"/>
        </w:rPr>
        <w:t>相对较低，</w:t>
      </w:r>
      <w:r>
        <w:rPr>
          <w:rFonts w:hint="default" w:ascii="Times New Roman" w:hAnsi="Times New Roman" w:eastAsia="宋体" w:cs="仿宋"/>
          <w:color w:val="auto"/>
          <w:szCs w:val="28"/>
          <w:highlight w:val="none"/>
        </w:rPr>
        <w:t>因此，采矿方法不宜选用充填法和崩落法，只能选用空场类的采矿方法。</w:t>
      </w:r>
      <w:r>
        <w:rPr>
          <w:rFonts w:hint="eastAsia" w:ascii="Times New Roman" w:hAnsi="Times New Roman" w:eastAsia="宋体" w:cs="仿宋"/>
          <w:color w:val="auto"/>
          <w:szCs w:val="28"/>
          <w:highlight w:val="none"/>
          <w:lang w:eastAsia="zh-CN"/>
        </w:rPr>
        <w:t>根据以上条件及类似矿山开采实际，可采用的采矿方法有：</w:t>
      </w:r>
      <w:r>
        <w:rPr>
          <w:rFonts w:hint="eastAsia" w:ascii="Times New Roman" w:hAnsi="Times New Roman" w:eastAsia="宋体" w:cs="仿宋"/>
          <w:color w:val="auto"/>
          <w:szCs w:val="28"/>
          <w:highlight w:val="none"/>
        </w:rPr>
        <w:t>房柱采矿法、</w:t>
      </w:r>
      <w:r>
        <w:rPr>
          <w:rFonts w:hint="default" w:ascii="Times New Roman" w:hAnsi="Times New Roman" w:eastAsia="宋体" w:cs="仿宋"/>
          <w:color w:val="auto"/>
          <w:szCs w:val="28"/>
          <w:highlight w:val="none"/>
        </w:rPr>
        <w:t xml:space="preserve">浅孔留矿法、分段凿岩阶段矿房法、垂直深孔阶段空场法。       </w:t>
      </w:r>
    </w:p>
    <w:p w14:paraId="42F23EC3">
      <w:pPr>
        <w:pStyle w:val="29"/>
        <w:keepNext w:val="0"/>
        <w:keepLines w:val="0"/>
        <w:pageBreakBefore w:val="0"/>
        <w:widowControl w:val="0"/>
        <w:kinsoku/>
        <w:wordWrap/>
        <w:overflowPunct/>
        <w:topLinePunct w:val="0"/>
        <w:autoSpaceDE/>
        <w:autoSpaceDN/>
        <w:bidi w:val="0"/>
        <w:snapToGrid w:val="0"/>
        <w:spacing w:line="360" w:lineRule="auto"/>
        <w:ind w:firstLine="560"/>
        <w:rPr>
          <w:rFonts w:hint="default" w:ascii="Times New Roman" w:hAnsi="Times New Roman" w:eastAsia="宋体" w:cs="仿宋"/>
          <w:color w:val="auto"/>
          <w:szCs w:val="28"/>
          <w:highlight w:val="none"/>
          <w:lang w:val="en-US" w:eastAsia="zh-CN"/>
        </w:rPr>
      </w:pPr>
      <w:r>
        <w:rPr>
          <w:rFonts w:hint="eastAsia" w:ascii="Times New Roman" w:hAnsi="Times New Roman" w:cs="仿宋"/>
          <w:color w:val="auto"/>
          <w:szCs w:val="28"/>
          <w:highlight w:val="none"/>
          <w:lang w:val="en-US" w:eastAsia="zh-CN"/>
        </w:rPr>
        <w:t>1、390m中段采矿方法选择</w:t>
      </w:r>
    </w:p>
    <w:p w14:paraId="5D9ED23C">
      <w:pPr>
        <w:pStyle w:val="29"/>
        <w:keepNext w:val="0"/>
        <w:keepLines w:val="0"/>
        <w:pageBreakBefore w:val="0"/>
        <w:widowControl w:val="0"/>
        <w:kinsoku/>
        <w:wordWrap/>
        <w:overflowPunct/>
        <w:topLinePunct w:val="0"/>
        <w:autoSpaceDE/>
        <w:autoSpaceDN/>
        <w:bidi w:val="0"/>
        <w:snapToGrid w:val="0"/>
        <w:spacing w:line="360" w:lineRule="auto"/>
        <w:ind w:firstLine="560"/>
        <w:rPr>
          <w:rFonts w:hint="default" w:ascii="Times New Roman" w:hAnsi="Times New Roman" w:eastAsia="宋体" w:cs="仿宋"/>
          <w:color w:val="auto"/>
          <w:szCs w:val="28"/>
          <w:highlight w:val="none"/>
          <w:lang w:val="en-US" w:eastAsia="zh-CN"/>
        </w:rPr>
      </w:pPr>
      <w:r>
        <w:rPr>
          <w:rFonts w:hint="eastAsia" w:ascii="Times New Roman" w:hAnsi="Times New Roman" w:cs="仿宋"/>
          <w:color w:val="auto"/>
          <w:szCs w:val="28"/>
          <w:highlight w:val="none"/>
          <w:lang w:val="en-US" w:eastAsia="zh-CN"/>
        </w:rPr>
        <w:t>390m中段因中段高度仅20m，不适用浅孔留矿法、分段凿岩阶段矿房法、垂直深孔阶段空场法进行开采，且390m中段已采用房柱采矿法开采多年，故本次设计390m中段采矿方法继续采用房柱采矿法。该方法具有生产工艺简单、管理方便、工人易掌握、大块率少、贫化率较低的优点。</w:t>
      </w:r>
    </w:p>
    <w:p w14:paraId="3E85E041">
      <w:pPr>
        <w:pStyle w:val="29"/>
        <w:keepNext w:val="0"/>
        <w:keepLines w:val="0"/>
        <w:pageBreakBefore w:val="0"/>
        <w:widowControl w:val="0"/>
        <w:kinsoku/>
        <w:wordWrap/>
        <w:overflowPunct/>
        <w:topLinePunct w:val="0"/>
        <w:autoSpaceDE/>
        <w:autoSpaceDN/>
        <w:bidi w:val="0"/>
        <w:snapToGrid w:val="0"/>
        <w:spacing w:line="360" w:lineRule="auto"/>
        <w:ind w:firstLine="560"/>
        <w:rPr>
          <w:rFonts w:hint="default" w:ascii="Times New Roman" w:hAnsi="Times New Roman" w:eastAsia="宋体" w:cs="仿宋"/>
          <w:color w:val="auto"/>
          <w:szCs w:val="28"/>
          <w:highlight w:val="none"/>
          <w:lang w:val="en-US" w:eastAsia="zh-CN"/>
        </w:rPr>
      </w:pPr>
      <w:r>
        <w:rPr>
          <w:rFonts w:hint="eastAsia" w:ascii="Times New Roman" w:hAnsi="Times New Roman" w:cs="仿宋"/>
          <w:color w:val="auto"/>
          <w:szCs w:val="28"/>
          <w:highlight w:val="none"/>
          <w:lang w:val="en-US" w:eastAsia="zh-CN"/>
        </w:rPr>
        <w:t>2、390m标高以下采矿方法选择</w:t>
      </w:r>
    </w:p>
    <w:p w14:paraId="1EF10FCC">
      <w:pPr>
        <w:pStyle w:val="29"/>
        <w:keepNext w:val="0"/>
        <w:keepLines w:val="0"/>
        <w:pageBreakBefore w:val="0"/>
        <w:widowControl w:val="0"/>
        <w:kinsoku/>
        <w:wordWrap/>
        <w:overflowPunct/>
        <w:topLinePunct w:val="0"/>
        <w:autoSpaceDE/>
        <w:autoSpaceDN/>
        <w:bidi w:val="0"/>
        <w:snapToGrid w:val="0"/>
        <w:spacing w:line="360" w:lineRule="auto"/>
        <w:ind w:firstLine="560"/>
        <w:rPr>
          <w:rFonts w:hint="default" w:ascii="Times New Roman" w:hAnsi="Times New Roman" w:eastAsia="宋体" w:cs="宋体"/>
          <w:bCs/>
          <w:color w:val="auto"/>
          <w:sz w:val="28"/>
          <w:szCs w:val="28"/>
          <w:highlight w:val="none"/>
          <w:lang w:eastAsia="zh-CN"/>
        </w:rPr>
      </w:pPr>
      <w:r>
        <w:rPr>
          <w:rFonts w:hint="eastAsia" w:ascii="Times New Roman" w:hAnsi="Times New Roman" w:eastAsia="宋体" w:cs="仿宋"/>
          <w:color w:val="auto"/>
          <w:szCs w:val="28"/>
          <w:highlight w:val="none"/>
        </w:rPr>
        <w:t>经比较，房柱采矿法操作简单，工人易于掌握，但资源利用率太低</w:t>
      </w:r>
      <w:r>
        <w:rPr>
          <w:rFonts w:hint="eastAsia" w:ascii="Times New Roman" w:hAnsi="Times New Roman" w:eastAsia="宋体" w:cs="仿宋"/>
          <w:color w:val="auto"/>
          <w:szCs w:val="28"/>
          <w:highlight w:val="none"/>
          <w:lang w:eastAsia="zh-CN"/>
        </w:rPr>
        <w:t>，</w:t>
      </w:r>
      <w:r>
        <w:rPr>
          <w:rFonts w:hint="default" w:ascii="Times New Roman" w:hAnsi="Times New Roman" w:eastAsia="宋体" w:cs="仿宋"/>
          <w:color w:val="auto"/>
          <w:szCs w:val="28"/>
          <w:highlight w:val="none"/>
        </w:rPr>
        <w:t>故本次设计不推荐使用；浅孔留矿法具有作业技术要求低，</w:t>
      </w:r>
      <w:r>
        <w:rPr>
          <w:rFonts w:hint="eastAsia" w:ascii="Times New Roman" w:hAnsi="Times New Roman" w:eastAsia="宋体" w:cs="仿宋"/>
          <w:color w:val="auto"/>
          <w:szCs w:val="28"/>
          <w:highlight w:val="none"/>
        </w:rPr>
        <w:t>较易于掌握</w:t>
      </w:r>
      <w:r>
        <w:rPr>
          <w:rFonts w:hint="eastAsia" w:ascii="Times New Roman" w:hAnsi="Times New Roman" w:eastAsia="宋体" w:cs="仿宋"/>
          <w:color w:val="auto"/>
          <w:szCs w:val="28"/>
          <w:highlight w:val="none"/>
          <w:lang w:eastAsia="zh-CN"/>
        </w:rPr>
        <w:t>，</w:t>
      </w:r>
      <w:r>
        <w:rPr>
          <w:rFonts w:hint="eastAsia" w:ascii="Times New Roman" w:hAnsi="Times New Roman" w:eastAsia="宋体" w:cs="仿宋"/>
          <w:color w:val="auto"/>
          <w:szCs w:val="28"/>
          <w:highlight w:val="none"/>
        </w:rPr>
        <w:t>资源利用率</w:t>
      </w:r>
      <w:r>
        <w:rPr>
          <w:rFonts w:hint="eastAsia" w:ascii="Times New Roman" w:hAnsi="Times New Roman" w:eastAsia="宋体" w:cs="仿宋"/>
          <w:color w:val="auto"/>
          <w:szCs w:val="28"/>
          <w:highlight w:val="none"/>
          <w:lang w:eastAsia="zh-CN"/>
        </w:rPr>
        <w:t>也</w:t>
      </w:r>
      <w:r>
        <w:rPr>
          <w:rFonts w:hint="eastAsia" w:ascii="Times New Roman" w:hAnsi="Times New Roman" w:eastAsia="宋体" w:cs="仿宋"/>
          <w:color w:val="auto"/>
          <w:szCs w:val="28"/>
          <w:highlight w:val="none"/>
        </w:rPr>
        <w:t>相对较高，</w:t>
      </w:r>
      <w:r>
        <w:rPr>
          <w:rFonts w:hint="default" w:ascii="Times New Roman" w:hAnsi="Times New Roman" w:eastAsia="宋体" w:cs="仿宋"/>
          <w:color w:val="auto"/>
          <w:szCs w:val="28"/>
          <w:highlight w:val="none"/>
        </w:rPr>
        <w:t>但由于其采用浅孔凿岩，</w:t>
      </w:r>
      <w:r>
        <w:rPr>
          <w:rFonts w:hint="eastAsia" w:ascii="Times New Roman" w:hAnsi="Times New Roman" w:eastAsia="宋体" w:cs="仿宋"/>
          <w:color w:val="auto"/>
          <w:szCs w:val="28"/>
          <w:highlight w:val="none"/>
          <w:lang w:eastAsia="zh-CN"/>
        </w:rPr>
        <w:t>生产效率较低，</w:t>
      </w:r>
      <w:r>
        <w:rPr>
          <w:rFonts w:hint="default" w:ascii="Times New Roman" w:hAnsi="Times New Roman" w:eastAsia="宋体" w:cs="仿宋"/>
          <w:color w:val="auto"/>
          <w:szCs w:val="28"/>
          <w:highlight w:val="none"/>
        </w:rPr>
        <w:t>生产能力较小，不能满足本矿对生产任务的要求，且存在作业人员在采空区下作业，安全性不高的缺点，故本次设计</w:t>
      </w:r>
      <w:r>
        <w:rPr>
          <w:rFonts w:hint="eastAsia" w:ascii="Times New Roman" w:hAnsi="Times New Roman" w:eastAsia="宋体" w:cs="仿宋"/>
          <w:color w:val="auto"/>
          <w:szCs w:val="28"/>
          <w:highlight w:val="none"/>
          <w:lang w:eastAsia="zh-CN"/>
        </w:rPr>
        <w:t>也</w:t>
      </w:r>
      <w:r>
        <w:rPr>
          <w:rFonts w:hint="default" w:ascii="Times New Roman" w:hAnsi="Times New Roman" w:eastAsia="宋体" w:cs="仿宋"/>
          <w:color w:val="auto"/>
          <w:szCs w:val="28"/>
          <w:highlight w:val="none"/>
        </w:rPr>
        <w:t>不推荐使用；而分段凿岩阶段矿房法和垂直深孔阶段空场法</w:t>
      </w:r>
      <w:r>
        <w:rPr>
          <w:rFonts w:hint="eastAsia" w:ascii="Times New Roman" w:hAnsi="Times New Roman" w:eastAsia="宋体" w:cs="仿宋"/>
          <w:color w:val="auto"/>
          <w:szCs w:val="28"/>
          <w:highlight w:val="none"/>
          <w:lang w:eastAsia="zh-CN"/>
        </w:rPr>
        <w:t>主要采用中深孔爆破，采矿成本低，深孔凿岩工作和爆破均在凿岩硐室进行，底部出矿在出矿巷道进行，作业安全；采场结构合理，凿岩效率高</w:t>
      </w:r>
      <w:r>
        <w:rPr>
          <w:rFonts w:hint="eastAsia" w:ascii="Times New Roman" w:hAnsi="Times New Roman" w:eastAsia="宋体" w:cs="宋体"/>
          <w:bCs/>
          <w:color w:val="auto"/>
          <w:sz w:val="28"/>
          <w:szCs w:val="28"/>
          <w:highlight w:val="none"/>
          <w:lang w:eastAsia="zh-CN"/>
        </w:rPr>
        <w:t>，爆破工艺先进，一次崩矿量大，采场生产能力和劳动生产率高；</w:t>
      </w:r>
      <w:r>
        <w:rPr>
          <w:rFonts w:hint="default" w:ascii="Times New Roman" w:hAnsi="Times New Roman" w:eastAsia="宋体" w:cs="宋体"/>
          <w:bCs/>
          <w:color w:val="auto"/>
          <w:sz w:val="28"/>
          <w:szCs w:val="28"/>
          <w:highlight w:val="none"/>
          <w:lang w:eastAsia="zh-CN"/>
        </w:rPr>
        <w:t>比较适合本矿选用，现对两种采矿方法分析、比较如下：</w:t>
      </w:r>
    </w:p>
    <w:p w14:paraId="43FA6412">
      <w:pPr>
        <w:pStyle w:val="29"/>
        <w:keepNext w:val="0"/>
        <w:keepLines w:val="0"/>
        <w:pageBreakBefore w:val="0"/>
        <w:widowControl w:val="0"/>
        <w:kinsoku/>
        <w:wordWrap/>
        <w:overflowPunct/>
        <w:topLinePunct w:val="0"/>
        <w:autoSpaceDE/>
        <w:autoSpaceDN/>
        <w:bidi w:val="0"/>
        <w:snapToGrid w:val="0"/>
        <w:spacing w:line="360" w:lineRule="auto"/>
        <w:ind w:firstLine="560"/>
        <w:rPr>
          <w:rFonts w:hint="default" w:ascii="Times New Roman" w:hAnsi="Times New Roman" w:eastAsia="宋体" w:cs="宋体"/>
          <w:bCs/>
          <w:color w:val="auto"/>
          <w:sz w:val="28"/>
          <w:szCs w:val="28"/>
          <w:highlight w:val="none"/>
          <w:lang w:eastAsia="zh-CN"/>
        </w:rPr>
      </w:pPr>
      <w:r>
        <w:rPr>
          <w:rFonts w:hint="default" w:ascii="Times New Roman" w:hAnsi="Times New Roman" w:eastAsia="宋体" w:cs="宋体"/>
          <w:bCs/>
          <w:color w:val="auto"/>
          <w:sz w:val="28"/>
          <w:szCs w:val="28"/>
          <w:highlight w:val="none"/>
          <w:lang w:eastAsia="zh-CN"/>
        </w:rPr>
        <w:t>方案Ⅰ——分段凿岩阶段矿房法、方案Ⅱ——垂直深孔阶段空场法，两种采矿方法一般沿走向布置矿块，矿块长50～</w:t>
      </w:r>
      <w:r>
        <w:rPr>
          <w:rFonts w:hint="eastAsia" w:ascii="Times New Roman" w:hAnsi="Times New Roman" w:eastAsia="宋体" w:cs="宋体"/>
          <w:bCs/>
          <w:color w:val="auto"/>
          <w:sz w:val="28"/>
          <w:szCs w:val="28"/>
          <w:highlight w:val="none"/>
          <w:lang w:val="en-US" w:eastAsia="zh-CN"/>
        </w:rPr>
        <w:t>6</w:t>
      </w:r>
      <w:r>
        <w:rPr>
          <w:rFonts w:hint="default" w:ascii="Times New Roman" w:hAnsi="Times New Roman" w:eastAsia="宋体" w:cs="宋体"/>
          <w:bCs/>
          <w:color w:val="auto"/>
          <w:sz w:val="28"/>
          <w:szCs w:val="28"/>
          <w:highlight w:val="none"/>
          <w:lang w:eastAsia="zh-CN"/>
        </w:rPr>
        <w:t>0m，矿房宽15m，</w:t>
      </w:r>
      <w:r>
        <w:rPr>
          <w:rFonts w:hint="eastAsia" w:ascii="Times New Roman" w:hAnsi="Times New Roman" w:eastAsia="宋体" w:cs="宋体"/>
          <w:bCs/>
          <w:color w:val="auto"/>
          <w:sz w:val="28"/>
          <w:szCs w:val="28"/>
          <w:highlight w:val="none"/>
          <w:lang w:eastAsia="zh-CN"/>
        </w:rPr>
        <w:t>间</w:t>
      </w:r>
      <w:r>
        <w:rPr>
          <w:rFonts w:hint="default" w:ascii="Times New Roman" w:hAnsi="Times New Roman" w:eastAsia="宋体" w:cs="宋体"/>
          <w:bCs/>
          <w:color w:val="auto"/>
          <w:sz w:val="28"/>
          <w:szCs w:val="28"/>
          <w:highlight w:val="none"/>
          <w:lang w:eastAsia="zh-CN"/>
        </w:rPr>
        <w:t>柱宽10m。两方案比较如下表：</w:t>
      </w:r>
      <w:r>
        <w:rPr>
          <w:rFonts w:hint="eastAsia" w:ascii="Times New Roman" w:hAnsi="Times New Roman" w:cs="宋体"/>
          <w:bCs/>
          <w:color w:val="auto"/>
          <w:sz w:val="28"/>
          <w:szCs w:val="28"/>
          <w:highlight w:val="none"/>
          <w:lang w:val="en-US" w:eastAsia="zh-CN"/>
        </w:rPr>
        <w:t>4</w:t>
      </w:r>
      <w:r>
        <w:rPr>
          <w:rFonts w:hint="default" w:ascii="Times New Roman" w:hAnsi="Times New Roman" w:eastAsia="宋体" w:cs="宋体"/>
          <w:bCs/>
          <w:color w:val="auto"/>
          <w:sz w:val="28"/>
          <w:szCs w:val="28"/>
          <w:highlight w:val="none"/>
          <w:lang w:eastAsia="zh-CN"/>
        </w:rPr>
        <w:t>-</w:t>
      </w:r>
      <w:r>
        <w:rPr>
          <w:rFonts w:hint="eastAsia" w:ascii="Times New Roman" w:hAnsi="Times New Roman" w:eastAsia="宋体" w:cs="宋体"/>
          <w:bCs/>
          <w:color w:val="auto"/>
          <w:sz w:val="28"/>
          <w:szCs w:val="28"/>
          <w:highlight w:val="none"/>
          <w:lang w:val="en-US" w:eastAsia="zh-CN"/>
        </w:rPr>
        <w:t>1</w:t>
      </w:r>
      <w:r>
        <w:rPr>
          <w:rFonts w:hint="default" w:ascii="Times New Roman" w:hAnsi="Times New Roman" w:eastAsia="宋体" w:cs="宋体"/>
          <w:bCs/>
          <w:color w:val="auto"/>
          <w:sz w:val="28"/>
          <w:szCs w:val="28"/>
          <w:highlight w:val="none"/>
          <w:lang w:eastAsia="zh-CN"/>
        </w:rPr>
        <w:t>。</w:t>
      </w:r>
    </w:p>
    <w:p w14:paraId="2A24ACFA">
      <w:pPr>
        <w:pStyle w:val="29"/>
        <w:snapToGrid w:val="0"/>
        <w:spacing w:line="240" w:lineRule="auto"/>
        <w:ind w:firstLine="560"/>
        <w:jc w:val="right"/>
        <w:rPr>
          <w:rFonts w:hint="default" w:ascii="Times New Roman" w:hAnsi="Times New Roman" w:eastAsia="宋体" w:cs="宋体"/>
          <w:bCs/>
          <w:color w:val="auto"/>
          <w:sz w:val="28"/>
          <w:szCs w:val="28"/>
          <w:highlight w:val="none"/>
          <w:lang w:eastAsia="zh-CN"/>
        </w:rPr>
      </w:pPr>
      <w:r>
        <w:rPr>
          <w:rFonts w:hint="default" w:ascii="Times New Roman" w:hAnsi="Times New Roman" w:eastAsia="宋体" w:cs="宋体"/>
          <w:bCs/>
          <w:color w:val="auto"/>
          <w:sz w:val="28"/>
          <w:szCs w:val="28"/>
          <w:highlight w:val="none"/>
          <w:lang w:eastAsia="zh-CN"/>
        </w:rPr>
        <w:t xml:space="preserve">       </w:t>
      </w:r>
      <w:r>
        <w:rPr>
          <w:rFonts w:hint="eastAsia" w:ascii="Times New Roman" w:hAnsi="Times New Roman" w:eastAsia="宋体" w:cs="宋体"/>
          <w:bCs/>
          <w:color w:val="auto"/>
          <w:sz w:val="28"/>
          <w:szCs w:val="28"/>
          <w:highlight w:val="none"/>
          <w:lang w:val="en-US" w:eastAsia="zh-CN"/>
        </w:rPr>
        <w:t xml:space="preserve">   </w:t>
      </w:r>
      <w:r>
        <w:rPr>
          <w:rFonts w:hint="default" w:ascii="Times New Roman" w:hAnsi="Times New Roman" w:eastAsia="宋体" w:cs="宋体"/>
          <w:bCs/>
          <w:color w:val="auto"/>
          <w:sz w:val="28"/>
          <w:szCs w:val="28"/>
          <w:highlight w:val="none"/>
          <w:lang w:eastAsia="zh-CN"/>
        </w:rPr>
        <w:t xml:space="preserve">   采矿方法方案比较表</w:t>
      </w:r>
      <w:r>
        <w:rPr>
          <w:rFonts w:hint="eastAsia" w:ascii="Times New Roman" w:hAnsi="Times New Roman" w:eastAsia="宋体" w:cs="宋体"/>
          <w:bCs/>
          <w:color w:val="auto"/>
          <w:sz w:val="28"/>
          <w:szCs w:val="28"/>
          <w:highlight w:val="none"/>
          <w:lang w:val="en-US" w:eastAsia="zh-CN"/>
        </w:rPr>
        <w:t xml:space="preserve">               </w:t>
      </w:r>
      <w:r>
        <w:rPr>
          <w:rFonts w:hint="default" w:ascii="Times New Roman" w:hAnsi="Times New Roman" w:eastAsia="宋体" w:cs="宋体"/>
          <w:bCs/>
          <w:color w:val="auto"/>
          <w:sz w:val="28"/>
          <w:szCs w:val="28"/>
          <w:highlight w:val="none"/>
          <w:lang w:eastAsia="zh-CN"/>
        </w:rPr>
        <w:t>表</w:t>
      </w:r>
      <w:r>
        <w:rPr>
          <w:rFonts w:hint="eastAsia" w:ascii="Times New Roman" w:hAnsi="Times New Roman" w:eastAsia="宋体" w:cs="宋体"/>
          <w:bCs/>
          <w:color w:val="auto"/>
          <w:sz w:val="28"/>
          <w:szCs w:val="28"/>
          <w:highlight w:val="none"/>
          <w:lang w:eastAsia="zh-CN"/>
        </w:rPr>
        <w:t>：</w:t>
      </w:r>
      <w:r>
        <w:rPr>
          <w:rFonts w:hint="eastAsia" w:ascii="Times New Roman" w:hAnsi="Times New Roman" w:cs="宋体"/>
          <w:bCs/>
          <w:color w:val="auto"/>
          <w:sz w:val="28"/>
          <w:szCs w:val="28"/>
          <w:highlight w:val="none"/>
          <w:lang w:val="en-US" w:eastAsia="zh-CN"/>
        </w:rPr>
        <w:t>4</w:t>
      </w:r>
      <w:r>
        <w:rPr>
          <w:rFonts w:hint="default" w:ascii="Times New Roman" w:hAnsi="Times New Roman" w:eastAsia="宋体" w:cs="宋体"/>
          <w:bCs/>
          <w:color w:val="auto"/>
          <w:sz w:val="28"/>
          <w:szCs w:val="28"/>
          <w:highlight w:val="none"/>
          <w:lang w:eastAsia="zh-CN"/>
        </w:rPr>
        <w:t>-</w:t>
      </w:r>
      <w:r>
        <w:rPr>
          <w:rFonts w:hint="eastAsia" w:ascii="Times New Roman" w:hAnsi="Times New Roman" w:eastAsia="宋体" w:cs="宋体"/>
          <w:bCs/>
          <w:color w:val="auto"/>
          <w:sz w:val="28"/>
          <w:szCs w:val="28"/>
          <w:highlight w:val="none"/>
          <w:lang w:val="en-US" w:eastAsia="zh-CN"/>
        </w:rPr>
        <w:t>1</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7"/>
        <w:gridCol w:w="3157"/>
        <w:gridCol w:w="2925"/>
      </w:tblGrid>
      <w:tr w14:paraId="634F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157" w:type="dxa"/>
            <w:noWrap w:val="0"/>
            <w:vAlign w:val="center"/>
          </w:tcPr>
          <w:p w14:paraId="67804755">
            <w:pPr>
              <w:autoSpaceDE w:val="0"/>
              <w:autoSpaceDN w:val="0"/>
              <w:spacing w:line="400" w:lineRule="exact"/>
              <w:jc w:val="center"/>
              <w:rPr>
                <w:rFonts w:hint="eastAsia"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项   目</w:t>
            </w:r>
          </w:p>
        </w:tc>
        <w:tc>
          <w:tcPr>
            <w:tcW w:w="3157" w:type="dxa"/>
            <w:noWrap w:val="0"/>
            <w:vAlign w:val="center"/>
          </w:tcPr>
          <w:p w14:paraId="47B5D9D1">
            <w:pPr>
              <w:autoSpaceDE w:val="0"/>
              <w:autoSpaceDN w:val="0"/>
              <w:spacing w:line="400" w:lineRule="exact"/>
              <w:jc w:val="center"/>
              <w:rPr>
                <w:rFonts w:hint="eastAsia"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方案Ⅰ</w:t>
            </w:r>
          </w:p>
          <w:p w14:paraId="513902C9">
            <w:pPr>
              <w:autoSpaceDE w:val="0"/>
              <w:autoSpaceDN w:val="0"/>
              <w:spacing w:line="400" w:lineRule="exact"/>
              <w:jc w:val="center"/>
              <w:rPr>
                <w:rFonts w:hint="eastAsia"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（分段凿岩阶段矿房法）</w:t>
            </w:r>
          </w:p>
        </w:tc>
        <w:tc>
          <w:tcPr>
            <w:tcW w:w="2925" w:type="dxa"/>
            <w:noWrap w:val="0"/>
            <w:vAlign w:val="center"/>
          </w:tcPr>
          <w:p w14:paraId="64904A4D">
            <w:pPr>
              <w:autoSpaceDE w:val="0"/>
              <w:autoSpaceDN w:val="0"/>
              <w:spacing w:line="400" w:lineRule="exact"/>
              <w:jc w:val="center"/>
              <w:rPr>
                <w:rFonts w:hint="eastAsia"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方案Ⅱ</w:t>
            </w:r>
          </w:p>
          <w:p w14:paraId="2C4BD1BD">
            <w:pPr>
              <w:autoSpaceDE w:val="0"/>
              <w:autoSpaceDN w:val="0"/>
              <w:spacing w:line="400" w:lineRule="exact"/>
              <w:jc w:val="center"/>
              <w:rPr>
                <w:rFonts w:hint="eastAsia" w:ascii="Times New Roman" w:hAnsi="Times New Roman" w:eastAsia="宋体" w:cs="宋体"/>
                <w:b/>
                <w:bCs/>
                <w:color w:val="auto"/>
                <w:sz w:val="24"/>
                <w:highlight w:val="none"/>
              </w:rPr>
            </w:pPr>
            <w:r>
              <w:rPr>
                <w:rFonts w:hint="eastAsia" w:ascii="Times New Roman" w:hAnsi="Times New Roman" w:eastAsia="宋体" w:cs="宋体"/>
                <w:b/>
                <w:bCs/>
                <w:color w:val="auto"/>
                <w:sz w:val="24"/>
                <w:highlight w:val="none"/>
              </w:rPr>
              <w:t>（垂直深孔阶段空场法）</w:t>
            </w:r>
          </w:p>
        </w:tc>
      </w:tr>
      <w:tr w14:paraId="0148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157" w:type="dxa"/>
            <w:noWrap w:val="0"/>
            <w:vAlign w:val="center"/>
          </w:tcPr>
          <w:p w14:paraId="5073CB8E">
            <w:pPr>
              <w:autoSpaceDE w:val="0"/>
              <w:autoSpaceDN w:val="0"/>
              <w:spacing w:line="400" w:lineRule="exact"/>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采场日生产能力（t/d）</w:t>
            </w:r>
          </w:p>
        </w:tc>
        <w:tc>
          <w:tcPr>
            <w:tcW w:w="3157" w:type="dxa"/>
            <w:noWrap w:val="0"/>
            <w:vAlign w:val="center"/>
          </w:tcPr>
          <w:p w14:paraId="7B841080">
            <w:pPr>
              <w:autoSpaceDE w:val="0"/>
              <w:autoSpaceDN w:val="0"/>
              <w:spacing w:line="400" w:lineRule="exact"/>
              <w:ind w:left="-197" w:leftChars="-92" w:firstLine="198" w:firstLineChars="81"/>
              <w:jc w:val="center"/>
              <w:rPr>
                <w:rFonts w:hint="default"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1000</w:t>
            </w:r>
          </w:p>
        </w:tc>
        <w:tc>
          <w:tcPr>
            <w:tcW w:w="2925" w:type="dxa"/>
            <w:noWrap w:val="0"/>
            <w:vAlign w:val="center"/>
          </w:tcPr>
          <w:p w14:paraId="7A012084">
            <w:pPr>
              <w:autoSpaceDE w:val="0"/>
              <w:autoSpaceDN w:val="0"/>
              <w:spacing w:line="400" w:lineRule="exact"/>
              <w:ind w:left="-197" w:leftChars="-92" w:firstLine="198" w:firstLineChars="81"/>
              <w:jc w:val="center"/>
              <w:rPr>
                <w:rFonts w:hint="default"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1000</w:t>
            </w:r>
          </w:p>
        </w:tc>
      </w:tr>
      <w:tr w14:paraId="35A3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157" w:type="dxa"/>
            <w:noWrap w:val="0"/>
            <w:vAlign w:val="center"/>
          </w:tcPr>
          <w:p w14:paraId="701EEAA7">
            <w:pPr>
              <w:autoSpaceDE w:val="0"/>
              <w:autoSpaceDN w:val="0"/>
              <w:spacing w:line="400" w:lineRule="exact"/>
              <w:ind w:firstLine="490" w:firstLineChars="200"/>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采矿成本（元/t）</w:t>
            </w:r>
          </w:p>
        </w:tc>
        <w:tc>
          <w:tcPr>
            <w:tcW w:w="3157" w:type="dxa"/>
            <w:noWrap w:val="0"/>
            <w:vAlign w:val="center"/>
          </w:tcPr>
          <w:p w14:paraId="32FEC867">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10～12</w:t>
            </w:r>
          </w:p>
        </w:tc>
        <w:tc>
          <w:tcPr>
            <w:tcW w:w="2925" w:type="dxa"/>
            <w:noWrap w:val="0"/>
            <w:vAlign w:val="center"/>
          </w:tcPr>
          <w:p w14:paraId="6FA1245D">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8～10</w:t>
            </w:r>
          </w:p>
        </w:tc>
      </w:tr>
      <w:tr w14:paraId="46F9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157" w:type="dxa"/>
            <w:noWrap w:val="0"/>
            <w:vAlign w:val="center"/>
          </w:tcPr>
          <w:p w14:paraId="15B9A24B">
            <w:pPr>
              <w:autoSpaceDE w:val="0"/>
              <w:autoSpaceDN w:val="0"/>
              <w:spacing w:line="400" w:lineRule="exact"/>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万吨掘进比（m/万t）</w:t>
            </w:r>
          </w:p>
        </w:tc>
        <w:tc>
          <w:tcPr>
            <w:tcW w:w="3157" w:type="dxa"/>
            <w:noWrap w:val="0"/>
            <w:vAlign w:val="center"/>
          </w:tcPr>
          <w:p w14:paraId="35435B19">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100</w:t>
            </w:r>
          </w:p>
        </w:tc>
        <w:tc>
          <w:tcPr>
            <w:tcW w:w="2925" w:type="dxa"/>
            <w:noWrap w:val="0"/>
            <w:vAlign w:val="center"/>
          </w:tcPr>
          <w:p w14:paraId="35ECCA3B">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50</w:t>
            </w:r>
          </w:p>
        </w:tc>
      </w:tr>
      <w:tr w14:paraId="35A6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157" w:type="dxa"/>
            <w:noWrap w:val="0"/>
            <w:vAlign w:val="center"/>
          </w:tcPr>
          <w:p w14:paraId="3537667D">
            <w:pPr>
              <w:autoSpaceDE w:val="0"/>
              <w:autoSpaceDN w:val="0"/>
              <w:spacing w:line="400" w:lineRule="exact"/>
              <w:ind w:firstLine="490" w:firstLineChars="200"/>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通风条件、安全性</w:t>
            </w:r>
          </w:p>
        </w:tc>
        <w:tc>
          <w:tcPr>
            <w:tcW w:w="3157" w:type="dxa"/>
            <w:noWrap w:val="0"/>
            <w:vAlign w:val="center"/>
          </w:tcPr>
          <w:p w14:paraId="34C46CC7">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好</w:t>
            </w:r>
          </w:p>
        </w:tc>
        <w:tc>
          <w:tcPr>
            <w:tcW w:w="2925" w:type="dxa"/>
            <w:noWrap w:val="0"/>
            <w:vAlign w:val="center"/>
          </w:tcPr>
          <w:p w14:paraId="11C88E0B">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好</w:t>
            </w:r>
          </w:p>
        </w:tc>
      </w:tr>
      <w:tr w14:paraId="2E54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157" w:type="dxa"/>
            <w:noWrap w:val="0"/>
            <w:vAlign w:val="center"/>
          </w:tcPr>
          <w:p w14:paraId="450C7FFC">
            <w:pPr>
              <w:autoSpaceDE w:val="0"/>
              <w:autoSpaceDN w:val="0"/>
              <w:spacing w:line="400" w:lineRule="exact"/>
              <w:ind w:firstLine="490" w:firstLineChars="200"/>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劳动强度</w:t>
            </w:r>
          </w:p>
        </w:tc>
        <w:tc>
          <w:tcPr>
            <w:tcW w:w="3157" w:type="dxa"/>
            <w:noWrap w:val="0"/>
            <w:vAlign w:val="center"/>
          </w:tcPr>
          <w:p w14:paraId="3D0BA801">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小</w:t>
            </w:r>
          </w:p>
        </w:tc>
        <w:tc>
          <w:tcPr>
            <w:tcW w:w="2925" w:type="dxa"/>
            <w:noWrap w:val="0"/>
            <w:vAlign w:val="center"/>
          </w:tcPr>
          <w:p w14:paraId="3546D368">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较小</w:t>
            </w:r>
          </w:p>
        </w:tc>
      </w:tr>
      <w:tr w14:paraId="448B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157" w:type="dxa"/>
            <w:noWrap w:val="0"/>
            <w:vAlign w:val="center"/>
          </w:tcPr>
          <w:p w14:paraId="32A6B6BF">
            <w:pPr>
              <w:autoSpaceDE w:val="0"/>
              <w:autoSpaceDN w:val="0"/>
              <w:spacing w:line="400" w:lineRule="exact"/>
              <w:ind w:firstLine="490" w:firstLineChars="200"/>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损失率（%）</w:t>
            </w:r>
          </w:p>
        </w:tc>
        <w:tc>
          <w:tcPr>
            <w:tcW w:w="3157" w:type="dxa"/>
            <w:noWrap w:val="0"/>
            <w:vAlign w:val="center"/>
          </w:tcPr>
          <w:p w14:paraId="0E42EEF3">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35～</w:t>
            </w:r>
            <w:r>
              <w:rPr>
                <w:rFonts w:hint="eastAsia" w:ascii="Times New Roman" w:hAnsi="Times New Roman" w:eastAsia="宋体" w:cs="宋体"/>
                <w:color w:val="auto"/>
                <w:sz w:val="24"/>
                <w:highlight w:val="none"/>
                <w:lang w:val="en-US" w:eastAsia="zh-CN"/>
              </w:rPr>
              <w:t>5</w:t>
            </w:r>
            <w:r>
              <w:rPr>
                <w:rFonts w:hint="eastAsia" w:ascii="Times New Roman" w:hAnsi="Times New Roman" w:eastAsia="宋体" w:cs="宋体"/>
                <w:color w:val="auto"/>
                <w:sz w:val="24"/>
                <w:highlight w:val="none"/>
              </w:rPr>
              <w:t>0</w:t>
            </w:r>
          </w:p>
        </w:tc>
        <w:tc>
          <w:tcPr>
            <w:tcW w:w="2925" w:type="dxa"/>
            <w:noWrap w:val="0"/>
            <w:vAlign w:val="center"/>
          </w:tcPr>
          <w:p w14:paraId="6C332CAE">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rPr>
              <w:t>40～</w:t>
            </w:r>
            <w:r>
              <w:rPr>
                <w:rFonts w:hint="eastAsia" w:ascii="Times New Roman" w:hAnsi="Times New Roman" w:eastAsia="宋体" w:cs="宋体"/>
                <w:color w:val="auto"/>
                <w:sz w:val="24"/>
                <w:highlight w:val="none"/>
                <w:lang w:val="en-US" w:eastAsia="zh-CN"/>
              </w:rPr>
              <w:t>50</w:t>
            </w:r>
          </w:p>
        </w:tc>
      </w:tr>
      <w:tr w14:paraId="2350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157" w:type="dxa"/>
            <w:noWrap w:val="0"/>
            <w:vAlign w:val="center"/>
          </w:tcPr>
          <w:p w14:paraId="604CB575">
            <w:pPr>
              <w:autoSpaceDE w:val="0"/>
              <w:autoSpaceDN w:val="0"/>
              <w:spacing w:line="400" w:lineRule="exact"/>
              <w:ind w:firstLine="490" w:firstLineChars="200"/>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贫化率（%）</w:t>
            </w:r>
          </w:p>
        </w:tc>
        <w:tc>
          <w:tcPr>
            <w:tcW w:w="3157" w:type="dxa"/>
            <w:noWrap w:val="0"/>
            <w:vAlign w:val="center"/>
          </w:tcPr>
          <w:p w14:paraId="74DE9CC9">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5</w:t>
            </w:r>
            <w:r>
              <w:rPr>
                <w:rFonts w:hint="eastAsia" w:ascii="Times New Roman" w:hAnsi="Times New Roman" w:eastAsia="宋体" w:cs="宋体"/>
                <w:color w:val="auto"/>
                <w:sz w:val="24"/>
                <w:highlight w:val="none"/>
              </w:rPr>
              <w:t>～</w:t>
            </w:r>
            <w:r>
              <w:rPr>
                <w:rFonts w:hint="eastAsia" w:ascii="Times New Roman" w:hAnsi="Times New Roman" w:eastAsia="宋体" w:cs="宋体"/>
                <w:color w:val="auto"/>
                <w:sz w:val="24"/>
                <w:highlight w:val="none"/>
                <w:lang w:val="en-US" w:eastAsia="zh-CN"/>
              </w:rPr>
              <w:t>10</w:t>
            </w:r>
          </w:p>
        </w:tc>
        <w:tc>
          <w:tcPr>
            <w:tcW w:w="2925" w:type="dxa"/>
            <w:noWrap w:val="0"/>
            <w:vAlign w:val="center"/>
          </w:tcPr>
          <w:p w14:paraId="0A91C418">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sz w:val="24"/>
                <w:highlight w:val="none"/>
                <w:lang w:val="en-US" w:eastAsia="zh-CN"/>
              </w:rPr>
              <w:t>6</w:t>
            </w:r>
            <w:r>
              <w:rPr>
                <w:rFonts w:hint="eastAsia" w:ascii="Times New Roman" w:hAnsi="Times New Roman" w:eastAsia="宋体" w:cs="宋体"/>
                <w:color w:val="auto"/>
                <w:sz w:val="24"/>
                <w:highlight w:val="none"/>
              </w:rPr>
              <w:t>～</w:t>
            </w:r>
            <w:r>
              <w:rPr>
                <w:rFonts w:hint="eastAsia" w:ascii="Times New Roman" w:hAnsi="Times New Roman" w:eastAsia="宋体" w:cs="宋体"/>
                <w:color w:val="auto"/>
                <w:sz w:val="24"/>
                <w:highlight w:val="none"/>
                <w:lang w:val="en-US" w:eastAsia="zh-CN"/>
              </w:rPr>
              <w:t>10</w:t>
            </w:r>
          </w:p>
        </w:tc>
      </w:tr>
      <w:tr w14:paraId="0B8D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157" w:type="dxa"/>
            <w:noWrap w:val="0"/>
            <w:vAlign w:val="center"/>
          </w:tcPr>
          <w:p w14:paraId="6D48FF55">
            <w:pPr>
              <w:autoSpaceDE w:val="0"/>
              <w:autoSpaceDN w:val="0"/>
              <w:spacing w:line="400" w:lineRule="exact"/>
              <w:ind w:firstLine="490" w:firstLineChars="200"/>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作业技术要求</w:t>
            </w:r>
          </w:p>
        </w:tc>
        <w:tc>
          <w:tcPr>
            <w:tcW w:w="3157" w:type="dxa"/>
            <w:noWrap w:val="0"/>
            <w:vAlign w:val="center"/>
          </w:tcPr>
          <w:p w14:paraId="38CB90C3">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较低</w:t>
            </w:r>
          </w:p>
        </w:tc>
        <w:tc>
          <w:tcPr>
            <w:tcW w:w="2925" w:type="dxa"/>
            <w:noWrap w:val="0"/>
            <w:vAlign w:val="center"/>
          </w:tcPr>
          <w:p w14:paraId="34D2CF6A">
            <w:pPr>
              <w:autoSpaceDE w:val="0"/>
              <w:autoSpaceDN w:val="0"/>
              <w:spacing w:line="400" w:lineRule="exact"/>
              <w:ind w:left="-197" w:leftChars="-92" w:firstLine="198" w:firstLineChars="81"/>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较高</w:t>
            </w:r>
          </w:p>
        </w:tc>
      </w:tr>
    </w:tbl>
    <w:p w14:paraId="18D2E9C5">
      <w:pPr>
        <w:pageBreakBefore w:val="0"/>
        <w:widowControl w:val="0"/>
        <w:kinsoku/>
        <w:wordWrap/>
        <w:overflowPunct/>
        <w:topLinePunct w:val="0"/>
        <w:autoSpaceDE/>
        <w:autoSpaceDN/>
        <w:bidi w:val="0"/>
        <w:spacing w:line="560" w:lineRule="exact"/>
        <w:ind w:firstLine="570" w:firstLineChars="200"/>
        <w:textAlignment w:val="auto"/>
        <w:rPr>
          <w:rFonts w:hint="eastAsia" w:ascii="Times New Roman" w:hAnsi="Times New Roman" w:eastAsia="宋体" w:cs="宋体"/>
          <w:b w:val="0"/>
          <w:bCs w:val="0"/>
          <w:color w:val="auto"/>
          <w:sz w:val="28"/>
          <w:szCs w:val="28"/>
          <w:highlight w:val="none"/>
        </w:rPr>
      </w:pPr>
      <w:r>
        <w:rPr>
          <w:rFonts w:hint="eastAsia" w:ascii="Times New Roman" w:hAnsi="Times New Roman" w:eastAsia="宋体" w:cs="宋体"/>
          <w:b w:val="0"/>
          <w:bCs w:val="0"/>
          <w:color w:val="auto"/>
          <w:sz w:val="28"/>
          <w:szCs w:val="28"/>
          <w:highlight w:val="none"/>
        </w:rPr>
        <w:t>从表</w:t>
      </w:r>
      <w:r>
        <w:rPr>
          <w:rFonts w:hint="eastAsia" w:ascii="Times New Roman" w:hAnsi="Times New Roman" w:cs="宋体"/>
          <w:b w:val="0"/>
          <w:bCs w:val="0"/>
          <w:color w:val="auto"/>
          <w:sz w:val="28"/>
          <w:szCs w:val="28"/>
          <w:highlight w:val="none"/>
          <w:lang w:val="en-US" w:eastAsia="zh-CN"/>
        </w:rPr>
        <w:t>4</w:t>
      </w:r>
      <w:r>
        <w:rPr>
          <w:rFonts w:hint="eastAsia" w:ascii="Times New Roman" w:hAnsi="Times New Roman" w:eastAsia="宋体" w:cs="宋体"/>
          <w:b w:val="0"/>
          <w:bCs w:val="0"/>
          <w:color w:val="auto"/>
          <w:sz w:val="28"/>
          <w:szCs w:val="28"/>
          <w:highlight w:val="none"/>
        </w:rPr>
        <w:t>-1中可看出</w:t>
      </w:r>
      <w:r>
        <w:rPr>
          <w:rFonts w:hint="eastAsia" w:ascii="Times New Roman" w:hAnsi="Times New Roman" w:eastAsia="宋体" w:cs="宋体"/>
          <w:b w:val="0"/>
          <w:bCs w:val="0"/>
          <w:color w:val="auto"/>
          <w:sz w:val="28"/>
          <w:szCs w:val="28"/>
          <w:highlight w:val="none"/>
          <w:lang w:eastAsia="zh-CN"/>
        </w:rPr>
        <w:t>，</w:t>
      </w:r>
      <w:r>
        <w:rPr>
          <w:rFonts w:hint="eastAsia" w:ascii="Times New Roman" w:hAnsi="Times New Roman" w:eastAsia="宋体" w:cs="宋体"/>
          <w:b w:val="0"/>
          <w:bCs w:val="0"/>
          <w:color w:val="auto"/>
          <w:sz w:val="28"/>
          <w:szCs w:val="28"/>
          <w:highlight w:val="none"/>
        </w:rPr>
        <w:t>分段凿岩阶段矿房法（方案Ⅰ）</w:t>
      </w:r>
      <w:r>
        <w:rPr>
          <w:rFonts w:hint="eastAsia" w:ascii="Times New Roman" w:hAnsi="Times New Roman" w:eastAsia="宋体" w:cs="宋体"/>
          <w:b w:val="0"/>
          <w:bCs w:val="0"/>
          <w:color w:val="auto"/>
          <w:sz w:val="28"/>
          <w:szCs w:val="28"/>
          <w:highlight w:val="none"/>
          <w:lang w:eastAsia="zh-CN"/>
        </w:rPr>
        <w:t>虽然</w:t>
      </w:r>
      <w:r>
        <w:rPr>
          <w:rFonts w:hint="eastAsia" w:ascii="Times New Roman" w:hAnsi="Times New Roman" w:eastAsia="宋体" w:cs="宋体"/>
          <w:b w:val="0"/>
          <w:bCs w:val="0"/>
          <w:color w:val="auto"/>
          <w:sz w:val="28"/>
          <w:szCs w:val="28"/>
          <w:highlight w:val="none"/>
        </w:rPr>
        <w:t>万吨采准切割工程量较大，</w:t>
      </w:r>
      <w:r>
        <w:rPr>
          <w:rFonts w:hint="eastAsia" w:ascii="Times New Roman" w:hAnsi="Times New Roman" w:eastAsia="宋体" w:cs="宋体"/>
          <w:b w:val="0"/>
          <w:bCs w:val="0"/>
          <w:color w:val="auto"/>
          <w:sz w:val="28"/>
          <w:szCs w:val="28"/>
          <w:highlight w:val="none"/>
          <w:lang w:eastAsia="zh-CN"/>
        </w:rPr>
        <w:t>但切割过程中产生的矿石也可利用，</w:t>
      </w:r>
      <w:r>
        <w:rPr>
          <w:rFonts w:hint="eastAsia" w:ascii="Times New Roman" w:hAnsi="Times New Roman" w:eastAsia="宋体" w:cs="宋体"/>
          <w:b w:val="0"/>
          <w:bCs w:val="0"/>
          <w:color w:val="auto"/>
          <w:sz w:val="28"/>
          <w:szCs w:val="28"/>
          <w:highlight w:val="none"/>
        </w:rPr>
        <w:t>采场日生产能力</w:t>
      </w:r>
      <w:r>
        <w:rPr>
          <w:rFonts w:hint="eastAsia" w:ascii="Times New Roman" w:hAnsi="Times New Roman" w:eastAsia="宋体" w:cs="宋体"/>
          <w:b w:val="0"/>
          <w:bCs w:val="0"/>
          <w:color w:val="auto"/>
          <w:sz w:val="28"/>
          <w:szCs w:val="28"/>
          <w:highlight w:val="none"/>
          <w:lang w:eastAsia="zh-CN"/>
        </w:rPr>
        <w:t>相同，</w:t>
      </w:r>
      <w:r>
        <w:rPr>
          <w:rFonts w:hint="eastAsia" w:ascii="Times New Roman" w:hAnsi="Times New Roman" w:eastAsia="宋体" w:cs="宋体"/>
          <w:b w:val="0"/>
          <w:bCs w:val="0"/>
          <w:color w:val="auto"/>
          <w:sz w:val="28"/>
          <w:szCs w:val="28"/>
          <w:highlight w:val="none"/>
        </w:rPr>
        <w:t>采矿成本相差不</w:t>
      </w:r>
      <w:r>
        <w:rPr>
          <w:rFonts w:hint="eastAsia" w:ascii="Times New Roman" w:hAnsi="Times New Roman" w:eastAsia="宋体" w:cs="宋体"/>
          <w:b w:val="0"/>
          <w:bCs w:val="0"/>
          <w:color w:val="auto"/>
          <w:sz w:val="28"/>
          <w:szCs w:val="28"/>
          <w:highlight w:val="none"/>
          <w:lang w:eastAsia="zh-CN"/>
        </w:rPr>
        <w:t>大</w:t>
      </w:r>
      <w:r>
        <w:rPr>
          <w:rFonts w:hint="eastAsia" w:ascii="Times New Roman" w:hAnsi="Times New Roman" w:cs="宋体"/>
          <w:b w:val="0"/>
          <w:bCs w:val="0"/>
          <w:color w:val="auto"/>
          <w:sz w:val="28"/>
          <w:szCs w:val="28"/>
          <w:highlight w:val="none"/>
          <w:lang w:eastAsia="zh-CN"/>
        </w:rPr>
        <w:t>；通风条件和安全性好；资源回收率较高，围岩混入率较低，</w:t>
      </w:r>
      <w:r>
        <w:rPr>
          <w:rFonts w:hint="eastAsia" w:ascii="Times New Roman" w:hAnsi="Times New Roman" w:eastAsia="宋体" w:cs="宋体"/>
          <w:b w:val="0"/>
          <w:bCs w:val="0"/>
          <w:color w:val="auto"/>
          <w:sz w:val="28"/>
          <w:szCs w:val="28"/>
          <w:highlight w:val="none"/>
          <w:lang w:eastAsia="zh-CN"/>
        </w:rPr>
        <w:t>损失率和贫化率较低</w:t>
      </w:r>
      <w:r>
        <w:rPr>
          <w:rFonts w:hint="eastAsia" w:ascii="Times New Roman" w:hAnsi="Times New Roman" w:cs="宋体"/>
          <w:b w:val="0"/>
          <w:bCs w:val="0"/>
          <w:color w:val="auto"/>
          <w:sz w:val="28"/>
          <w:szCs w:val="28"/>
          <w:highlight w:val="none"/>
          <w:lang w:eastAsia="zh-CN"/>
        </w:rPr>
        <w:t>；地表塌陷可能性小，</w:t>
      </w:r>
      <w:r>
        <w:rPr>
          <w:rFonts w:hint="eastAsia" w:ascii="Times New Roman" w:hAnsi="Times New Roman" w:eastAsia="宋体" w:cs="宋体"/>
          <w:b w:val="0"/>
          <w:bCs w:val="0"/>
          <w:color w:val="auto"/>
          <w:sz w:val="28"/>
          <w:szCs w:val="28"/>
          <w:highlight w:val="none"/>
          <w:lang w:eastAsia="zh-CN"/>
        </w:rPr>
        <w:t>劳动强度小，</w:t>
      </w:r>
      <w:r>
        <w:rPr>
          <w:rFonts w:hint="eastAsia" w:ascii="Times New Roman" w:hAnsi="Times New Roman" w:eastAsia="宋体" w:cs="宋体"/>
          <w:b w:val="0"/>
          <w:bCs w:val="0"/>
          <w:color w:val="auto"/>
          <w:sz w:val="28"/>
          <w:szCs w:val="28"/>
          <w:highlight w:val="none"/>
        </w:rPr>
        <w:t>在生产技术上要求较低，</w:t>
      </w:r>
      <w:r>
        <w:rPr>
          <w:rFonts w:hint="eastAsia" w:ascii="Times New Roman" w:hAnsi="Times New Roman" w:eastAsia="宋体" w:cs="宋体"/>
          <w:b w:val="0"/>
          <w:bCs w:val="0"/>
          <w:color w:val="auto"/>
          <w:sz w:val="28"/>
          <w:szCs w:val="28"/>
          <w:highlight w:val="none"/>
          <w:lang w:eastAsia="zh-CN"/>
        </w:rPr>
        <w:t>且</w:t>
      </w:r>
      <w:r>
        <w:rPr>
          <w:rFonts w:hint="eastAsia" w:ascii="Times New Roman" w:hAnsi="Times New Roman" w:eastAsia="宋体" w:cs="宋体"/>
          <w:b w:val="0"/>
          <w:bCs w:val="0"/>
          <w:color w:val="auto"/>
          <w:sz w:val="28"/>
          <w:szCs w:val="28"/>
          <w:highlight w:val="none"/>
        </w:rPr>
        <w:t>适应性强。</w:t>
      </w:r>
    </w:p>
    <w:p w14:paraId="796BF136">
      <w:pPr>
        <w:pageBreakBefore w:val="0"/>
        <w:widowControl w:val="0"/>
        <w:kinsoku/>
        <w:wordWrap/>
        <w:overflowPunct/>
        <w:topLinePunct w:val="0"/>
        <w:autoSpaceDE/>
        <w:autoSpaceDN/>
        <w:bidi w:val="0"/>
        <w:spacing w:line="560" w:lineRule="exact"/>
        <w:ind w:firstLine="570" w:firstLineChars="200"/>
        <w:textAlignment w:val="auto"/>
        <w:rPr>
          <w:rFonts w:hint="eastAsia" w:ascii="Times New Roman" w:hAnsi="Times New Roman" w:eastAsia="宋体" w:cs="宋体"/>
          <w:b w:val="0"/>
          <w:bCs w:val="0"/>
          <w:color w:val="auto"/>
          <w:sz w:val="28"/>
          <w:szCs w:val="28"/>
          <w:highlight w:val="none"/>
        </w:rPr>
      </w:pPr>
      <w:r>
        <w:rPr>
          <w:rFonts w:hint="eastAsia" w:ascii="Times New Roman" w:hAnsi="Times New Roman" w:eastAsia="宋体" w:cs="宋体"/>
          <w:b w:val="0"/>
          <w:bCs w:val="0"/>
          <w:color w:val="auto"/>
          <w:sz w:val="28"/>
          <w:szCs w:val="28"/>
          <w:highlight w:val="none"/>
        </w:rPr>
        <w:t>垂直深孔阶段空场法（方案Ⅱ）</w:t>
      </w:r>
      <w:r>
        <w:rPr>
          <w:rFonts w:hint="eastAsia" w:ascii="Times New Roman" w:hAnsi="Times New Roman" w:eastAsia="宋体" w:cs="宋体"/>
          <w:b w:val="0"/>
          <w:bCs w:val="0"/>
          <w:color w:val="auto"/>
          <w:sz w:val="28"/>
          <w:szCs w:val="28"/>
          <w:highlight w:val="none"/>
          <w:lang w:eastAsia="zh-CN"/>
        </w:rPr>
        <w:t>虽然</w:t>
      </w:r>
      <w:r>
        <w:rPr>
          <w:rFonts w:hint="eastAsia" w:ascii="Times New Roman" w:hAnsi="Times New Roman" w:eastAsia="宋体" w:cs="宋体"/>
          <w:b w:val="0"/>
          <w:bCs w:val="0"/>
          <w:color w:val="auto"/>
          <w:sz w:val="28"/>
          <w:szCs w:val="28"/>
          <w:highlight w:val="none"/>
        </w:rPr>
        <w:t>万吨采准切割工程量较方案Ⅰ小，采场日生产能力</w:t>
      </w:r>
      <w:r>
        <w:rPr>
          <w:rFonts w:hint="eastAsia" w:ascii="Times New Roman" w:hAnsi="Times New Roman" w:eastAsia="宋体" w:cs="宋体"/>
          <w:b w:val="0"/>
          <w:bCs w:val="0"/>
          <w:color w:val="auto"/>
          <w:sz w:val="28"/>
          <w:szCs w:val="28"/>
          <w:highlight w:val="none"/>
          <w:lang w:eastAsia="zh-CN"/>
        </w:rPr>
        <w:t>相同，</w:t>
      </w:r>
      <w:r>
        <w:rPr>
          <w:rFonts w:hint="eastAsia" w:ascii="Times New Roman" w:hAnsi="Times New Roman" w:eastAsia="宋体" w:cs="宋体"/>
          <w:b w:val="0"/>
          <w:bCs w:val="0"/>
          <w:color w:val="auto"/>
          <w:sz w:val="28"/>
          <w:szCs w:val="28"/>
          <w:highlight w:val="none"/>
        </w:rPr>
        <w:t>劳动强度</w:t>
      </w:r>
      <w:r>
        <w:rPr>
          <w:rFonts w:hint="eastAsia" w:ascii="Times New Roman" w:hAnsi="Times New Roman" w:eastAsia="宋体" w:cs="宋体"/>
          <w:b w:val="0"/>
          <w:bCs w:val="0"/>
          <w:color w:val="auto"/>
          <w:sz w:val="28"/>
          <w:szCs w:val="28"/>
          <w:highlight w:val="none"/>
          <w:lang w:eastAsia="zh-CN"/>
        </w:rPr>
        <w:t>也</w:t>
      </w:r>
      <w:r>
        <w:rPr>
          <w:rFonts w:hint="eastAsia" w:ascii="Times New Roman" w:hAnsi="Times New Roman" w:eastAsia="宋体" w:cs="宋体"/>
          <w:b w:val="0"/>
          <w:bCs w:val="0"/>
          <w:color w:val="auto"/>
          <w:sz w:val="28"/>
          <w:szCs w:val="28"/>
          <w:highlight w:val="none"/>
        </w:rPr>
        <w:t>较小</w:t>
      </w:r>
      <w:r>
        <w:rPr>
          <w:rFonts w:hint="eastAsia" w:ascii="Times New Roman" w:hAnsi="Times New Roman" w:cs="宋体"/>
          <w:b w:val="0"/>
          <w:bCs w:val="0"/>
          <w:color w:val="auto"/>
          <w:sz w:val="28"/>
          <w:szCs w:val="28"/>
          <w:highlight w:val="none"/>
          <w:lang w:eastAsia="zh-CN"/>
        </w:rPr>
        <w:t>；通风条件和安全性好；地表塌陷可能性小；但资源回收率较低，围岩混入率较高，</w:t>
      </w:r>
      <w:r>
        <w:rPr>
          <w:rFonts w:hint="eastAsia" w:ascii="Times New Roman" w:hAnsi="Times New Roman" w:eastAsia="宋体" w:cs="宋体"/>
          <w:b w:val="0"/>
          <w:bCs w:val="0"/>
          <w:color w:val="auto"/>
          <w:sz w:val="28"/>
          <w:szCs w:val="28"/>
          <w:highlight w:val="none"/>
          <w:lang w:eastAsia="zh-CN"/>
        </w:rPr>
        <w:t>损失率和贫化率较大；</w:t>
      </w:r>
      <w:r>
        <w:rPr>
          <w:rFonts w:hint="eastAsia" w:ascii="Times New Roman" w:hAnsi="Times New Roman" w:eastAsia="宋体" w:cs="宋体"/>
          <w:b w:val="0"/>
          <w:bCs w:val="0"/>
          <w:color w:val="auto"/>
          <w:sz w:val="28"/>
          <w:szCs w:val="28"/>
          <w:highlight w:val="none"/>
        </w:rPr>
        <w:t>回采作业技术要求比方案Ⅰ高，生产管理较复杂</w:t>
      </w:r>
      <w:r>
        <w:rPr>
          <w:rFonts w:hint="eastAsia" w:ascii="Times New Roman" w:hAnsi="Times New Roman" w:eastAsia="宋体" w:cs="宋体"/>
          <w:b w:val="0"/>
          <w:bCs w:val="0"/>
          <w:color w:val="auto"/>
          <w:sz w:val="28"/>
          <w:szCs w:val="28"/>
          <w:highlight w:val="none"/>
          <w:lang w:eastAsia="zh-CN"/>
        </w:rPr>
        <w:t>，且</w:t>
      </w:r>
      <w:r>
        <w:rPr>
          <w:rFonts w:hint="eastAsia" w:ascii="Times New Roman" w:hAnsi="Times New Roman" w:eastAsia="宋体" w:cs="宋体"/>
          <w:b w:val="0"/>
          <w:bCs w:val="0"/>
          <w:color w:val="auto"/>
          <w:sz w:val="28"/>
          <w:szCs w:val="28"/>
          <w:highlight w:val="none"/>
        </w:rPr>
        <w:t>适应性</w:t>
      </w:r>
      <w:r>
        <w:rPr>
          <w:rFonts w:hint="eastAsia" w:ascii="Times New Roman" w:hAnsi="Times New Roman" w:eastAsia="宋体" w:cs="宋体"/>
          <w:b w:val="0"/>
          <w:bCs w:val="0"/>
          <w:color w:val="auto"/>
          <w:sz w:val="28"/>
          <w:szCs w:val="28"/>
          <w:highlight w:val="none"/>
          <w:lang w:eastAsia="zh-CN"/>
        </w:rPr>
        <w:t>不</w:t>
      </w:r>
      <w:r>
        <w:rPr>
          <w:rFonts w:hint="eastAsia" w:ascii="Times New Roman" w:hAnsi="Times New Roman" w:eastAsia="宋体" w:cs="宋体"/>
          <w:b w:val="0"/>
          <w:bCs w:val="0"/>
          <w:color w:val="auto"/>
          <w:sz w:val="28"/>
          <w:szCs w:val="28"/>
          <w:highlight w:val="none"/>
        </w:rPr>
        <w:t>强。</w:t>
      </w:r>
    </w:p>
    <w:p w14:paraId="3B7A1E21">
      <w:pPr>
        <w:keepNext w:val="0"/>
        <w:keepLines w:val="0"/>
        <w:pageBreakBefore w:val="0"/>
        <w:widowControl w:val="0"/>
        <w:kinsoku/>
        <w:wordWrap/>
        <w:overflowPunct/>
        <w:topLinePunct w:val="0"/>
        <w:autoSpaceDE/>
        <w:autoSpaceDN/>
        <w:bidi w:val="0"/>
        <w:adjustRightInd/>
        <w:spacing w:line="560" w:lineRule="exact"/>
        <w:ind w:firstLine="570" w:firstLineChars="200"/>
        <w:textAlignment w:val="auto"/>
        <w:rPr>
          <w:rFonts w:hint="eastAsia" w:ascii="Times New Roman" w:hAnsi="Times New Roman" w:eastAsia="宋体" w:cs="仿宋"/>
          <w:color w:val="auto"/>
          <w:sz w:val="28"/>
          <w:szCs w:val="28"/>
          <w:highlight w:val="none"/>
          <w:lang w:eastAsia="zh-CN"/>
        </w:rPr>
      </w:pPr>
      <w:r>
        <w:rPr>
          <w:rFonts w:hint="eastAsia" w:ascii="Times New Roman" w:hAnsi="Times New Roman" w:eastAsia="宋体" w:cs="宋体"/>
          <w:b w:val="0"/>
          <w:bCs w:val="0"/>
          <w:color w:val="auto"/>
          <w:sz w:val="28"/>
          <w:szCs w:val="28"/>
          <w:highlight w:val="none"/>
        </w:rPr>
        <w:t>综上所述，考虑到本矿</w:t>
      </w:r>
      <w:r>
        <w:rPr>
          <w:rFonts w:hint="eastAsia" w:ascii="Times New Roman" w:hAnsi="Times New Roman" w:eastAsia="宋体" w:cs="宋体"/>
          <w:b w:val="0"/>
          <w:bCs w:val="0"/>
          <w:color w:val="auto"/>
          <w:sz w:val="28"/>
          <w:szCs w:val="28"/>
          <w:highlight w:val="none"/>
          <w:lang w:eastAsia="zh-CN"/>
        </w:rPr>
        <w:t>方解石和白云石方解石</w:t>
      </w:r>
      <w:r>
        <w:rPr>
          <w:rFonts w:hint="eastAsia" w:ascii="Times New Roman" w:hAnsi="Times New Roman" w:eastAsia="宋体" w:cs="宋体"/>
          <w:b w:val="0"/>
          <w:bCs w:val="0"/>
          <w:color w:val="auto"/>
          <w:sz w:val="28"/>
          <w:szCs w:val="28"/>
          <w:highlight w:val="none"/>
        </w:rPr>
        <w:t>价值较低，矿山生产规模较大，采场日生产能力要求较大，</w:t>
      </w:r>
      <w:r>
        <w:rPr>
          <w:rFonts w:hint="eastAsia" w:ascii="Times New Roman" w:hAnsi="Times New Roman" w:eastAsia="宋体" w:cs="宋体"/>
          <w:b w:val="0"/>
          <w:bCs w:val="0"/>
          <w:color w:val="auto"/>
          <w:sz w:val="28"/>
          <w:szCs w:val="28"/>
          <w:highlight w:val="none"/>
          <w:lang w:eastAsia="zh-CN"/>
        </w:rPr>
        <w:t>并根据业主的委托，本次</w:t>
      </w:r>
      <w:r>
        <w:rPr>
          <w:rFonts w:hint="eastAsia" w:ascii="Times New Roman" w:hAnsi="Times New Roman" w:eastAsia="宋体" w:cs="宋体"/>
          <w:b w:val="0"/>
          <w:bCs w:val="0"/>
          <w:color w:val="auto"/>
          <w:sz w:val="28"/>
          <w:szCs w:val="28"/>
          <w:highlight w:val="none"/>
        </w:rPr>
        <w:t>设计矿山采用分段凿岩阶段矿房法（方案I）。采场均采用装载机装矿。分段凿岩阶段矿房法具有适应性强，其安全性、矿房开采能力、劳动生产率、开采成本、贫化率等各项指标均可达到较为理想的效果。</w:t>
      </w:r>
      <w:r>
        <w:rPr>
          <w:rFonts w:hint="eastAsia" w:ascii="Times New Roman" w:hAnsi="Times New Roman" w:eastAsia="宋体" w:cs="仿宋"/>
          <w:color w:val="auto"/>
          <w:sz w:val="28"/>
          <w:szCs w:val="28"/>
          <w:highlight w:val="none"/>
          <w:lang w:eastAsia="zh-CN"/>
        </w:rPr>
        <w:t>井下工人只要能按照采场操作规程和作业规程作业，按规定尺寸留设好采场的顶柱、间柱等保安矿柱，</w:t>
      </w:r>
      <w:r>
        <w:rPr>
          <w:rFonts w:hint="eastAsia" w:cs="仿宋"/>
          <w:color w:val="auto"/>
          <w:sz w:val="28"/>
          <w:szCs w:val="28"/>
          <w:highlight w:val="none"/>
          <w:lang w:val="en-US" w:eastAsia="zh-CN"/>
        </w:rPr>
        <w:t>就</w:t>
      </w:r>
      <w:bookmarkStart w:id="189" w:name="_GoBack"/>
      <w:bookmarkEnd w:id="189"/>
      <w:r>
        <w:rPr>
          <w:rFonts w:hint="eastAsia" w:ascii="Times New Roman" w:hAnsi="Times New Roman" w:eastAsia="宋体" w:cs="仿宋"/>
          <w:color w:val="auto"/>
          <w:sz w:val="28"/>
          <w:szCs w:val="28"/>
          <w:highlight w:val="none"/>
          <w:lang w:eastAsia="zh-CN"/>
        </w:rPr>
        <w:t>能确保矿房工人的采矿安全。</w:t>
      </w:r>
    </w:p>
    <w:p w14:paraId="64D53562">
      <w:pPr>
        <w:keepNext w:val="0"/>
        <w:keepLines w:val="0"/>
        <w:pageBreakBefore w:val="0"/>
        <w:widowControl w:val="0"/>
        <w:kinsoku/>
        <w:wordWrap/>
        <w:overflowPunct/>
        <w:topLinePunct w:val="0"/>
        <w:autoSpaceDE/>
        <w:autoSpaceDN/>
        <w:bidi w:val="0"/>
        <w:adjustRightInd/>
        <w:spacing w:line="560" w:lineRule="exact"/>
        <w:ind w:firstLine="570" w:firstLineChars="200"/>
        <w:textAlignment w:val="auto"/>
        <w:rPr>
          <w:rFonts w:hint="eastAsia" w:ascii="Times New Roman" w:hAnsi="Times New Roman" w:eastAsia="宋体" w:cs="宋体"/>
          <w:b w:val="0"/>
          <w:bCs w:val="0"/>
          <w:color w:val="auto"/>
          <w:sz w:val="28"/>
          <w:szCs w:val="28"/>
          <w:highlight w:val="none"/>
          <w:lang w:eastAsia="zh-CN"/>
        </w:rPr>
      </w:pPr>
      <w:r>
        <w:rPr>
          <w:rFonts w:hint="eastAsia" w:ascii="Times New Roman" w:hAnsi="Times New Roman" w:eastAsia="宋体" w:cs="宋体"/>
          <w:b w:val="0"/>
          <w:bCs w:val="0"/>
          <w:color w:val="auto"/>
          <w:sz w:val="28"/>
          <w:szCs w:val="28"/>
          <w:highlight w:val="none"/>
          <w:lang w:eastAsia="zh-CN"/>
        </w:rPr>
        <w:t>对于</w:t>
      </w:r>
      <w:r>
        <w:rPr>
          <w:rFonts w:hint="eastAsia" w:ascii="Times New Roman" w:hAnsi="Times New Roman" w:eastAsia="宋体" w:cs="宋体"/>
          <w:b w:val="0"/>
          <w:bCs w:val="0"/>
          <w:color w:val="auto"/>
          <w:sz w:val="28"/>
          <w:szCs w:val="28"/>
          <w:highlight w:val="none"/>
          <w:lang w:val="en-US" w:eastAsia="zh-CN"/>
        </w:rPr>
        <w:t>390m标高以下</w:t>
      </w:r>
      <w:r>
        <w:rPr>
          <w:rFonts w:hint="eastAsia" w:ascii="Times New Roman" w:hAnsi="Times New Roman" w:cs="宋体"/>
          <w:b w:val="0"/>
          <w:bCs w:val="0"/>
          <w:color w:val="auto"/>
          <w:sz w:val="28"/>
          <w:szCs w:val="28"/>
          <w:highlight w:val="none"/>
          <w:lang w:val="en-US" w:eastAsia="zh-CN"/>
        </w:rPr>
        <w:t>，</w:t>
      </w:r>
      <w:r>
        <w:rPr>
          <w:rFonts w:hint="eastAsia" w:ascii="Times New Roman" w:hAnsi="Times New Roman" w:eastAsia="宋体" w:cs="宋体"/>
          <w:b w:val="0"/>
          <w:bCs w:val="0"/>
          <w:color w:val="auto"/>
          <w:sz w:val="28"/>
          <w:szCs w:val="28"/>
          <w:highlight w:val="none"/>
          <w:lang w:eastAsia="zh-CN"/>
        </w:rPr>
        <w:t>局部矿体厚度较小或边角处，本次设计保留房柱采矿法采矿。</w:t>
      </w:r>
    </w:p>
    <w:p w14:paraId="500378E6">
      <w:pPr>
        <w:pageBreakBefore w:val="0"/>
        <w:kinsoku/>
        <w:wordWrap/>
        <w:overflowPunct/>
        <w:topLinePunct w:val="0"/>
        <w:autoSpaceDE/>
        <w:autoSpaceDN/>
        <w:bidi w:val="0"/>
        <w:snapToGrid w:val="0"/>
        <w:spacing w:line="360" w:lineRule="auto"/>
        <w:ind w:firstLine="570"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（二）采矿方法</w:t>
      </w:r>
    </w:p>
    <w:p w14:paraId="647E6DA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both"/>
        <w:textAlignment w:val="auto"/>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     1、房柱采矿法</w:t>
      </w:r>
    </w:p>
    <w:p w14:paraId="56C090D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（1）采场构成要素</w:t>
      </w:r>
    </w:p>
    <w:p w14:paraId="5ADE866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房柱采矿方法中的矿块参数主要是根据同类矿山经验法进行设计的，矿房结构参数布置如下：</w:t>
      </w:r>
    </w:p>
    <w:p w14:paraId="23A92D5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中段高度：20m；</w:t>
      </w:r>
    </w:p>
    <w:p w14:paraId="711E11E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回采高度：12-13m；</w:t>
      </w:r>
    </w:p>
    <w:p w14:paraId="376A8E1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顶柱高度：7-8m；</w:t>
      </w:r>
    </w:p>
    <w:p w14:paraId="742451C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矿房长×宽：（40～50）m×（12～15）m；</w:t>
      </w:r>
    </w:p>
    <w:p w14:paraId="033E068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点柱尺寸：φ6～8m；</w:t>
      </w:r>
    </w:p>
    <w:p w14:paraId="427ED60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点柱间距：8～10m；</w:t>
      </w:r>
    </w:p>
    <w:p w14:paraId="16919B7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连续间柱尺寸：6～8m；</w:t>
      </w:r>
    </w:p>
    <w:p w14:paraId="7262370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5 个矿块为一个盘区，盘区间留 6～8m宽的连续矿柱。</w:t>
      </w:r>
    </w:p>
    <w:p w14:paraId="671E304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矿块结构参数由下阶段初步设计经论证后确定，应在保障生产安全的情况下合理利用资源。</w:t>
      </w:r>
    </w:p>
    <w:p w14:paraId="48AA8C6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（2）采准切割工作</w:t>
      </w:r>
    </w:p>
    <w:p w14:paraId="1ACE9B3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采准切割工程均布置在矿体内，先施工运输平巷和回风平巷；然后在矿房的中部施工采准天井贯通运输平巷和回风平巷；最后在矿块底部一侧平行运输巷道施工切割巷道。</w:t>
      </w:r>
    </w:p>
    <w:p w14:paraId="421F1EB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（3）回采工艺</w:t>
      </w:r>
    </w:p>
    <w:p w14:paraId="461C474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矿块回采自切割巷道向中段回风平巷方向（即逆倾斜方向）推进，利用天井和切割巷道为自由面扩帮挑顶回采，采用留矿堆的办法作为凿岩平台进行凿岩，形成倒梯段的工作面。为便于凿岩和处理顶板，爆堆离顶板距离以保持 2m 左右为宜，最高不得超过 2.5m。局部顶板不稳固的地方需进行锚杆支护，其锚杆网度为(0.8～1.5)m×(0.8～1.5)m，锚杆长度为 2.0～2.5m。回采采用浅孔凿岩，2#岩石硝铵炸药爆破，</w:t>
      </w:r>
      <w:r>
        <w:rPr>
          <w:rFonts w:hint="eastAsia" w:ascii="Times New Roman" w:hAnsi="Times New Roman" w:eastAsia="宋体" w:cs="仿宋"/>
          <w:color w:val="auto"/>
          <w:sz w:val="28"/>
          <w:szCs w:val="28"/>
          <w:highlight w:val="none"/>
        </w:rPr>
        <w:t>起爆材料采用数码电子雷管起爆</w:t>
      </w:r>
      <w:r>
        <w:rPr>
          <w:rFonts w:hint="eastAsia" w:ascii="宋体" w:hAnsi="宋体" w:eastAsia="宋体" w:cs="宋体"/>
          <w:b w:val="0"/>
          <w:bCs w:val="0"/>
          <w:color w:val="auto"/>
          <w:sz w:val="28"/>
          <w:szCs w:val="28"/>
          <w:highlight w:val="none"/>
          <w:lang w:val="en-US" w:eastAsia="zh-CN"/>
        </w:rPr>
        <w:t>。炮孔孔径38～42mm，孔深小于 3.0m，钻孔平行布置，孔距 1.0～1.5m，炮孔延米崩矿量 1.5～3.0m</w:t>
      </w:r>
      <w:r>
        <w:rPr>
          <w:rFonts w:hint="eastAsia" w:ascii="宋体" w:hAnsi="宋体" w:eastAsia="宋体" w:cs="宋体"/>
          <w:b w:val="0"/>
          <w:bCs w:val="0"/>
          <w:color w:val="auto"/>
          <w:sz w:val="28"/>
          <w:szCs w:val="28"/>
          <w:highlight w:val="none"/>
          <w:vertAlign w:val="superscript"/>
          <w:lang w:val="en-US" w:eastAsia="zh-CN"/>
        </w:rPr>
        <w:t>3</w:t>
      </w:r>
      <w:r>
        <w:rPr>
          <w:rFonts w:hint="eastAsia" w:ascii="宋体" w:hAnsi="宋体" w:eastAsia="宋体" w:cs="宋体"/>
          <w:b w:val="0"/>
          <w:bCs w:val="0"/>
          <w:color w:val="auto"/>
          <w:sz w:val="28"/>
          <w:szCs w:val="28"/>
          <w:highlight w:val="none"/>
          <w:lang w:val="en-US" w:eastAsia="zh-CN"/>
        </w:rPr>
        <w:t>。</w:t>
      </w:r>
    </w:p>
    <w:p w14:paraId="7D3787E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7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采下矿石由 1m</w:t>
      </w:r>
      <w:r>
        <w:rPr>
          <w:rFonts w:hint="eastAsia" w:ascii="宋体" w:hAnsi="宋体" w:eastAsia="宋体" w:cs="宋体"/>
          <w:b w:val="0"/>
          <w:bCs w:val="0"/>
          <w:color w:val="auto"/>
          <w:sz w:val="28"/>
          <w:szCs w:val="28"/>
          <w:highlight w:val="none"/>
          <w:vertAlign w:val="superscript"/>
          <w:lang w:val="en-US" w:eastAsia="zh-CN"/>
        </w:rPr>
        <w:t>3</w:t>
      </w:r>
      <w:r>
        <w:rPr>
          <w:rFonts w:hint="eastAsia" w:ascii="宋体" w:hAnsi="宋体" w:eastAsia="宋体" w:cs="宋体"/>
          <w:b w:val="0"/>
          <w:bCs w:val="0"/>
          <w:color w:val="auto"/>
          <w:sz w:val="28"/>
          <w:szCs w:val="28"/>
          <w:highlight w:val="none"/>
          <w:lang w:val="en-US" w:eastAsia="zh-CN"/>
        </w:rPr>
        <w:t>“反铲”装上井下小型矿用汽车，经中段运输平巷、斜坡道运到地表。人员及材料、设备由矿块的中段运输平巷和采准平巷进入采场工作面。回采工作循环：凿岩爆破—通风—顶板处理及平场—部分出矿。</w:t>
      </w:r>
    </w:p>
    <w:p w14:paraId="76FC4BBB">
      <w:pPr>
        <w:keepNext w:val="0"/>
        <w:keepLines w:val="0"/>
        <w:pageBreakBefore w:val="0"/>
        <w:widowControl w:val="0"/>
        <w:kinsoku/>
        <w:wordWrap/>
        <w:overflowPunct/>
        <w:topLinePunct w:val="0"/>
        <w:autoSpaceDE/>
        <w:autoSpaceDN/>
        <w:bidi w:val="0"/>
        <w:adjustRightInd/>
        <w:spacing w:line="560" w:lineRule="exact"/>
        <w:ind w:firstLine="570" w:firstLineChars="200"/>
        <w:textAlignment w:val="auto"/>
        <w:rPr>
          <w:rFonts w:hint="eastAsia" w:ascii="Times New Roman" w:hAnsi="Times New Roman" w:eastAsia="宋体" w:cs="宋体"/>
          <w:b w:val="0"/>
          <w:bCs w:val="0"/>
          <w:color w:val="auto"/>
          <w:sz w:val="28"/>
          <w:szCs w:val="28"/>
          <w:highlight w:val="none"/>
          <w:lang w:val="en-US" w:eastAsia="zh-CN"/>
        </w:rPr>
      </w:pPr>
      <w:r>
        <w:rPr>
          <w:rFonts w:hint="eastAsia" w:ascii="Times New Roman" w:hAnsi="Times New Roman" w:eastAsia="宋体" w:cs="宋体"/>
          <w:b w:val="0"/>
          <w:bCs w:val="0"/>
          <w:color w:val="auto"/>
          <w:sz w:val="28"/>
          <w:szCs w:val="28"/>
          <w:highlight w:val="none"/>
          <w:lang w:val="en-US" w:eastAsia="zh-CN"/>
        </w:rPr>
        <w:t>（4）矿柱回收及采空区处理</w:t>
      </w:r>
    </w:p>
    <w:p w14:paraId="69DEFD63">
      <w:pPr>
        <w:keepNext w:val="0"/>
        <w:keepLines w:val="0"/>
        <w:pageBreakBefore w:val="0"/>
        <w:widowControl w:val="0"/>
        <w:kinsoku/>
        <w:wordWrap/>
        <w:overflowPunct/>
        <w:topLinePunct w:val="0"/>
        <w:autoSpaceDE/>
        <w:autoSpaceDN/>
        <w:bidi w:val="0"/>
        <w:adjustRightInd/>
        <w:spacing w:line="560" w:lineRule="exact"/>
        <w:ind w:firstLine="570" w:firstLineChars="200"/>
        <w:textAlignment w:val="auto"/>
        <w:rPr>
          <w:rFonts w:hint="eastAsia" w:ascii="Times New Roman" w:hAnsi="Times New Roman" w:eastAsia="宋体" w:cs="宋体"/>
          <w:b w:val="0"/>
          <w:bCs w:val="0"/>
          <w:color w:val="auto"/>
          <w:sz w:val="28"/>
          <w:szCs w:val="28"/>
          <w:highlight w:val="none"/>
          <w:lang w:val="en-US" w:eastAsia="zh-CN"/>
        </w:rPr>
      </w:pPr>
      <w:r>
        <w:rPr>
          <w:rFonts w:hint="eastAsia" w:ascii="Times New Roman" w:hAnsi="Times New Roman" w:eastAsia="宋体" w:cs="宋体"/>
          <w:b w:val="0"/>
          <w:bCs w:val="0"/>
          <w:color w:val="auto"/>
          <w:sz w:val="28"/>
          <w:szCs w:val="28"/>
          <w:highlight w:val="none"/>
          <w:lang w:val="en-US" w:eastAsia="zh-CN"/>
        </w:rPr>
        <w:t>矿柱回采主要考虑间柱回采，间柱回采成本较高，技术要求也较高，本次设计在确保安全情况下回采部分间柱，以提高资源利用率，但回采间柱必须进行专门设计。基本农田下方及附近的矿柱不得回收，并将基建及生产过程中产生的废石优先回填至基本农田下方及附近的采空区，</w:t>
      </w:r>
      <w:r>
        <w:rPr>
          <w:rFonts w:hint="eastAsia" w:ascii="宋体" w:hAnsi="宋体" w:eastAsia="宋体" w:cs="宋体"/>
          <w:color w:val="auto"/>
          <w:spacing w:val="-2"/>
          <w:sz w:val="28"/>
          <w:szCs w:val="28"/>
          <w:highlight w:val="none"/>
          <w:lang w:val="en-US" w:eastAsia="zh-CN"/>
        </w:rPr>
        <w:t>废石回填应进行专项设计。</w:t>
      </w:r>
      <w:r>
        <w:rPr>
          <w:rFonts w:hint="eastAsia" w:ascii="Times New Roman" w:hAnsi="Times New Roman" w:eastAsia="宋体" w:cs="宋体"/>
          <w:b w:val="0"/>
          <w:bCs w:val="0"/>
          <w:color w:val="auto"/>
          <w:sz w:val="28"/>
          <w:szCs w:val="28"/>
          <w:highlight w:val="none"/>
          <w:lang w:val="en-US" w:eastAsia="zh-CN"/>
        </w:rPr>
        <w:t>根据本矿实际情况，今后开采过程中，井下采空区主要采取封闭处理，封闭与采空区相连的巷道时采用砖墙或混凝土进行封堵，并在入口处设置醒目的警示标志，防止人员误入。同时矿山采场留设矿柱应做好如下安全防范措施：</w:t>
      </w:r>
    </w:p>
    <w:p w14:paraId="56B0D111">
      <w:pPr>
        <w:keepNext w:val="0"/>
        <w:keepLines w:val="0"/>
        <w:pageBreakBefore w:val="0"/>
        <w:widowControl w:val="0"/>
        <w:kinsoku/>
        <w:wordWrap/>
        <w:overflowPunct/>
        <w:topLinePunct w:val="0"/>
        <w:autoSpaceDE/>
        <w:autoSpaceDN/>
        <w:bidi w:val="0"/>
        <w:adjustRightInd/>
        <w:spacing w:line="560" w:lineRule="exact"/>
        <w:ind w:firstLine="570" w:firstLineChars="200"/>
        <w:textAlignment w:val="auto"/>
        <w:rPr>
          <w:rFonts w:hint="eastAsia" w:ascii="Times New Roman" w:hAnsi="Times New Roman" w:eastAsia="宋体" w:cs="宋体"/>
          <w:b w:val="0"/>
          <w:bCs w:val="0"/>
          <w:color w:val="auto"/>
          <w:sz w:val="28"/>
          <w:szCs w:val="28"/>
          <w:highlight w:val="none"/>
          <w:lang w:val="en-US" w:eastAsia="zh-CN"/>
        </w:rPr>
      </w:pPr>
      <w:r>
        <w:rPr>
          <w:rFonts w:hint="eastAsia" w:ascii="Times New Roman" w:hAnsi="Times New Roman" w:eastAsia="宋体" w:cs="宋体"/>
          <w:b w:val="0"/>
          <w:bCs w:val="0"/>
          <w:color w:val="auto"/>
          <w:sz w:val="28"/>
          <w:szCs w:val="28"/>
          <w:highlight w:val="none"/>
          <w:lang w:val="en-US" w:eastAsia="zh-CN"/>
        </w:rPr>
        <w:t>①矿山应加强井下测量工作，以保证各中段矿柱尺寸、位置达到设计要求；②矿山上、下中段矿柱应对齐，且下中段的矿柱尺寸应比上中段矿柱稍大；③井下矿柱一般不作回收，作为永久性支撑矿柱。</w:t>
      </w:r>
    </w:p>
    <w:p w14:paraId="328A3B3C">
      <w:pPr>
        <w:keepNext w:val="0"/>
        <w:keepLines w:val="0"/>
        <w:pageBreakBefore w:val="0"/>
        <w:widowControl w:val="0"/>
        <w:kinsoku/>
        <w:wordWrap/>
        <w:overflowPunct/>
        <w:topLinePunct w:val="0"/>
        <w:autoSpaceDE/>
        <w:autoSpaceDN/>
        <w:bidi w:val="0"/>
        <w:adjustRightInd/>
        <w:spacing w:line="560" w:lineRule="exact"/>
        <w:ind w:firstLine="570" w:firstLineChars="200"/>
        <w:textAlignment w:val="auto"/>
        <w:rPr>
          <w:rFonts w:hint="eastAsia" w:ascii="Times New Roman" w:hAnsi="Times New Roman" w:eastAsia="宋体" w:cs="宋体"/>
          <w:b/>
          <w:bCs/>
          <w:color w:val="auto"/>
          <w:sz w:val="28"/>
          <w:szCs w:val="28"/>
          <w:highlight w:val="none"/>
          <w:lang w:val="en-US" w:eastAsia="zh-CN"/>
        </w:rPr>
      </w:pPr>
      <w:r>
        <w:rPr>
          <w:rFonts w:hint="eastAsia" w:ascii="Times New Roman" w:hAnsi="Times New Roman" w:eastAsia="宋体" w:cs="宋体"/>
          <w:b/>
          <w:bCs/>
          <w:color w:val="auto"/>
          <w:sz w:val="28"/>
          <w:szCs w:val="28"/>
          <w:highlight w:val="none"/>
          <w:lang w:val="en-US" w:eastAsia="zh-CN"/>
        </w:rPr>
        <w:t>2、分段凿岩阶段矿房法</w:t>
      </w:r>
    </w:p>
    <w:p w14:paraId="76CCC7CA">
      <w:pPr>
        <w:keepNext w:val="0"/>
        <w:keepLines w:val="0"/>
        <w:pageBreakBefore w:val="0"/>
        <w:widowControl w:val="0"/>
        <w:kinsoku/>
        <w:wordWrap/>
        <w:overflowPunct/>
        <w:topLinePunct w:val="0"/>
        <w:autoSpaceDE/>
        <w:autoSpaceDN/>
        <w:bidi w:val="0"/>
        <w:adjustRightInd/>
        <w:spacing w:line="560" w:lineRule="exact"/>
        <w:ind w:firstLine="570" w:firstLineChars="200"/>
        <w:textAlignment w:val="auto"/>
        <w:rPr>
          <w:rFonts w:hint="eastAsia" w:ascii="Times New Roman" w:hAnsi="Times New Roman" w:eastAsia="宋体" w:cs="宋体"/>
          <w:b w:val="0"/>
          <w:bCs w:val="0"/>
          <w:color w:val="auto"/>
          <w:sz w:val="28"/>
          <w:szCs w:val="28"/>
          <w:highlight w:val="none"/>
        </w:rPr>
      </w:pPr>
      <w:r>
        <w:rPr>
          <w:rFonts w:hint="eastAsia" w:ascii="Times New Roman" w:hAnsi="Times New Roman" w:eastAsia="宋体" w:cs="宋体"/>
          <w:b w:val="0"/>
          <w:bCs w:val="0"/>
          <w:color w:val="auto"/>
          <w:sz w:val="28"/>
          <w:szCs w:val="28"/>
          <w:highlight w:val="none"/>
        </w:rPr>
        <w:t>(1)矿块构成要素</w:t>
      </w:r>
    </w:p>
    <w:p w14:paraId="1863FC0F">
      <w:pPr>
        <w:keepNext w:val="0"/>
        <w:keepLines w:val="0"/>
        <w:pageBreakBefore w:val="0"/>
        <w:widowControl w:val="0"/>
        <w:kinsoku/>
        <w:wordWrap/>
        <w:overflowPunct/>
        <w:topLinePunct w:val="0"/>
        <w:autoSpaceDE/>
        <w:autoSpaceDN/>
        <w:bidi w:val="0"/>
        <w:adjustRightInd/>
        <w:spacing w:line="560" w:lineRule="exact"/>
        <w:ind w:firstLine="570" w:firstLineChars="200"/>
        <w:textAlignment w:val="auto"/>
        <w:rPr>
          <w:rFonts w:hint="eastAsia" w:ascii="Times New Roman" w:hAnsi="Times New Roman" w:eastAsia="宋体" w:cs="宋体"/>
          <w:b w:val="0"/>
          <w:bCs w:val="0"/>
          <w:color w:val="auto"/>
          <w:sz w:val="28"/>
          <w:szCs w:val="28"/>
          <w:highlight w:val="none"/>
        </w:rPr>
      </w:pPr>
      <w:r>
        <w:rPr>
          <w:rFonts w:hint="eastAsia" w:ascii="Times New Roman" w:hAnsi="Times New Roman" w:eastAsia="宋体" w:cs="宋体"/>
          <w:b w:val="0"/>
          <w:bCs w:val="0"/>
          <w:color w:val="auto"/>
          <w:sz w:val="28"/>
          <w:szCs w:val="28"/>
          <w:highlight w:val="none"/>
        </w:rPr>
        <w:t>设计矿块布置参数</w:t>
      </w:r>
      <w:r>
        <w:rPr>
          <w:rFonts w:hint="eastAsia" w:ascii="Times New Roman" w:hAnsi="Times New Roman" w:eastAsia="宋体" w:cs="宋体"/>
          <w:b w:val="0"/>
          <w:bCs w:val="0"/>
          <w:color w:val="auto"/>
          <w:sz w:val="28"/>
          <w:szCs w:val="28"/>
          <w:highlight w:val="none"/>
          <w:lang w:eastAsia="zh-CN"/>
        </w:rPr>
        <w:t>见下</w:t>
      </w:r>
      <w:r>
        <w:rPr>
          <w:rFonts w:hint="eastAsia" w:ascii="Times New Roman" w:hAnsi="Times New Roman" w:eastAsia="宋体" w:cs="宋体"/>
          <w:b w:val="0"/>
          <w:bCs w:val="0"/>
          <w:color w:val="auto"/>
          <w:sz w:val="28"/>
          <w:szCs w:val="28"/>
          <w:highlight w:val="none"/>
        </w:rPr>
        <w:t>表：</w:t>
      </w:r>
      <w:r>
        <w:rPr>
          <w:rFonts w:hint="eastAsia" w:ascii="Times New Roman" w:hAnsi="Times New Roman" w:eastAsia="宋体" w:cs="宋体"/>
          <w:b w:val="0"/>
          <w:bCs w:val="0"/>
          <w:color w:val="auto"/>
          <w:sz w:val="28"/>
          <w:szCs w:val="28"/>
          <w:highlight w:val="none"/>
          <w:lang w:val="en-US" w:eastAsia="zh-CN"/>
        </w:rPr>
        <w:t>4</w:t>
      </w:r>
      <w:r>
        <w:rPr>
          <w:rFonts w:hint="eastAsia" w:ascii="Times New Roman" w:hAnsi="Times New Roman" w:eastAsia="宋体" w:cs="宋体"/>
          <w:b w:val="0"/>
          <w:bCs w:val="0"/>
          <w:color w:val="auto"/>
          <w:sz w:val="28"/>
          <w:szCs w:val="28"/>
          <w:highlight w:val="none"/>
        </w:rPr>
        <w:t>-</w:t>
      </w:r>
      <w:r>
        <w:rPr>
          <w:rFonts w:hint="eastAsia" w:ascii="Times New Roman" w:hAnsi="Times New Roman" w:eastAsia="宋体" w:cs="宋体"/>
          <w:b w:val="0"/>
          <w:bCs w:val="0"/>
          <w:color w:val="auto"/>
          <w:sz w:val="28"/>
          <w:szCs w:val="28"/>
          <w:highlight w:val="none"/>
          <w:lang w:val="en-US" w:eastAsia="zh-CN"/>
        </w:rPr>
        <w:t>2</w:t>
      </w:r>
      <w:r>
        <w:rPr>
          <w:rFonts w:hint="eastAsia" w:ascii="Times New Roman" w:hAnsi="Times New Roman" w:eastAsia="宋体" w:cs="宋体"/>
          <w:b w:val="0"/>
          <w:bCs w:val="0"/>
          <w:color w:val="auto"/>
          <w:sz w:val="28"/>
          <w:szCs w:val="28"/>
          <w:highlight w:val="none"/>
        </w:rPr>
        <w:t>。</w:t>
      </w:r>
    </w:p>
    <w:p w14:paraId="5C6FBFB4">
      <w:pPr>
        <w:keepNext w:val="0"/>
        <w:keepLines w:val="0"/>
        <w:pageBreakBefore w:val="0"/>
        <w:widowControl w:val="0"/>
        <w:kinsoku/>
        <w:wordWrap/>
        <w:overflowPunct/>
        <w:topLinePunct w:val="0"/>
        <w:autoSpaceDE/>
        <w:autoSpaceDN/>
        <w:bidi w:val="0"/>
        <w:adjustRightInd/>
        <w:spacing w:line="560" w:lineRule="exact"/>
        <w:ind w:left="0" w:leftChars="0" w:firstLine="0" w:firstLineChars="0"/>
        <w:jc w:val="right"/>
        <w:textAlignment w:val="auto"/>
        <w:rPr>
          <w:rFonts w:ascii="Times New Roman" w:hAnsi="Times New Roman" w:eastAsia="宋体"/>
          <w:snapToGrid w:val="0"/>
          <w:color w:val="auto"/>
          <w:szCs w:val="28"/>
          <w:highlight w:val="none"/>
        </w:rPr>
      </w:pPr>
      <w:r>
        <w:rPr>
          <w:rFonts w:hint="eastAsia" w:ascii="Times New Roman" w:hAnsi="Times New Roman" w:eastAsia="宋体" w:cs="宋体"/>
          <w:b w:val="0"/>
          <w:bCs w:val="0"/>
          <w:color w:val="auto"/>
          <w:sz w:val="28"/>
          <w:szCs w:val="28"/>
          <w:highlight w:val="none"/>
        </w:rPr>
        <w:t xml:space="preserve">                    矿块布置参数表</w:t>
      </w:r>
      <w:r>
        <w:rPr>
          <w:rFonts w:hint="eastAsia" w:ascii="Times New Roman" w:hAnsi="Times New Roman" w:eastAsia="宋体" w:cs="宋体"/>
          <w:b w:val="0"/>
          <w:bCs w:val="0"/>
          <w:color w:val="auto"/>
          <w:sz w:val="28"/>
          <w:szCs w:val="28"/>
          <w:highlight w:val="none"/>
          <w:lang w:val="en-US" w:eastAsia="zh-CN"/>
        </w:rPr>
        <w:t xml:space="preserve">              </w:t>
      </w:r>
      <w:r>
        <w:rPr>
          <w:rFonts w:hint="eastAsia" w:ascii="Times New Roman" w:hAnsi="Times New Roman" w:eastAsia="宋体" w:cs="宋体"/>
          <w:b w:val="0"/>
          <w:bCs w:val="0"/>
          <w:color w:val="auto"/>
          <w:sz w:val="28"/>
          <w:szCs w:val="28"/>
          <w:highlight w:val="none"/>
        </w:rPr>
        <w:t>表：</w:t>
      </w:r>
      <w:r>
        <w:rPr>
          <w:rFonts w:hint="eastAsia" w:ascii="Times New Roman" w:hAnsi="Times New Roman" w:cs="宋体"/>
          <w:b w:val="0"/>
          <w:bCs w:val="0"/>
          <w:color w:val="auto"/>
          <w:sz w:val="28"/>
          <w:szCs w:val="28"/>
          <w:highlight w:val="none"/>
          <w:lang w:val="en-US" w:eastAsia="zh-CN"/>
        </w:rPr>
        <w:t>4</w:t>
      </w:r>
      <w:r>
        <w:rPr>
          <w:rFonts w:hint="eastAsia" w:ascii="Times New Roman" w:hAnsi="Times New Roman" w:eastAsia="宋体" w:cs="宋体"/>
          <w:b w:val="0"/>
          <w:bCs w:val="0"/>
          <w:color w:val="auto"/>
          <w:sz w:val="28"/>
          <w:szCs w:val="28"/>
          <w:highlight w:val="none"/>
        </w:rPr>
        <w:t>-</w:t>
      </w:r>
      <w:r>
        <w:rPr>
          <w:rFonts w:hint="eastAsia" w:ascii="Times New Roman" w:hAnsi="Times New Roman" w:eastAsia="宋体" w:cs="宋体"/>
          <w:b w:val="0"/>
          <w:bCs w:val="0"/>
          <w:color w:val="auto"/>
          <w:sz w:val="28"/>
          <w:szCs w:val="28"/>
          <w:highlight w:val="none"/>
          <w:lang w:val="en-US" w:eastAsia="zh-CN"/>
        </w:rPr>
        <w:t>2</w:t>
      </w:r>
      <w:r>
        <w:rPr>
          <w:rFonts w:hint="eastAsia" w:ascii="Times New Roman" w:hAnsi="Times New Roman" w:eastAsia="宋体" w:cs="宋体"/>
          <w:b w:val="0"/>
          <w:bCs w:val="0"/>
          <w:color w:val="auto"/>
          <w:sz w:val="28"/>
          <w:szCs w:val="28"/>
          <w:highlight w:val="none"/>
        </w:rPr>
        <w:t xml:space="preserve">       </w:t>
      </w:r>
      <w:r>
        <w:rPr>
          <w:rFonts w:ascii="Times New Roman" w:hAnsi="Times New Roman" w:eastAsia="宋体"/>
          <w:snapToGrid w:val="0"/>
          <w:color w:val="auto"/>
          <w:szCs w:val="28"/>
          <w:highlight w:val="none"/>
        </w:rPr>
        <w:t xml:space="preserve">            </w:t>
      </w:r>
    </w:p>
    <w:tbl>
      <w:tblPr>
        <w:tblStyle w:val="18"/>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7"/>
        <w:gridCol w:w="2675"/>
        <w:gridCol w:w="2431"/>
      </w:tblGrid>
      <w:tr w14:paraId="7648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767" w:type="dxa"/>
            <w:tcBorders>
              <w:top w:val="single" w:color="auto" w:sz="4" w:space="0"/>
              <w:left w:val="single" w:color="auto" w:sz="4" w:space="0"/>
              <w:bottom w:val="single" w:color="auto" w:sz="4" w:space="0"/>
              <w:right w:val="single" w:color="auto" w:sz="4" w:space="0"/>
              <w:tl2br w:val="single" w:color="auto" w:sz="4" w:space="0"/>
            </w:tcBorders>
            <w:noWrap w:val="0"/>
            <w:vAlign w:val="top"/>
          </w:tcPr>
          <w:p w14:paraId="5B743C3E">
            <w:pPr>
              <w:tabs>
                <w:tab w:val="center" w:pos="4153"/>
                <w:tab w:val="right" w:pos="8306"/>
              </w:tabs>
              <w:snapToGrid w:val="0"/>
              <w:spacing w:line="400" w:lineRule="exact"/>
              <w:ind w:firstLine="480"/>
              <w:jc w:val="right"/>
              <w:rPr>
                <w:rFonts w:hint="eastAsia" w:ascii="Times New Roman" w:hAnsi="Times New Roman" w:eastAsia="宋体" w:cs="宋体"/>
                <w:snapToGrid w:val="0"/>
                <w:color w:val="auto"/>
                <w:sz w:val="24"/>
                <w:szCs w:val="24"/>
                <w:highlight w:val="none"/>
              </w:rPr>
            </w:pPr>
            <w:r>
              <w:rPr>
                <w:rFonts w:hint="eastAsia" w:ascii="Times New Roman" w:hAnsi="Times New Roman" w:eastAsia="宋体" w:cs="宋体"/>
                <w:snapToGrid w:val="0"/>
                <w:color w:val="auto"/>
                <w:sz w:val="24"/>
                <w:szCs w:val="24"/>
                <w:highlight w:val="none"/>
              </w:rPr>
              <w:t>采矿方法</w:t>
            </w:r>
          </w:p>
          <w:p w14:paraId="6E3C6D24">
            <w:pPr>
              <w:spacing w:line="400" w:lineRule="exact"/>
              <w:jc w:val="both"/>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项目名称</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15A2DAD6">
            <w:pPr>
              <w:spacing w:line="400" w:lineRule="exact"/>
              <w:jc w:val="center"/>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分段采矿法</w:t>
            </w:r>
          </w:p>
        </w:tc>
        <w:tc>
          <w:tcPr>
            <w:tcW w:w="2431" w:type="dxa"/>
            <w:tcBorders>
              <w:top w:val="single" w:color="auto" w:sz="4" w:space="0"/>
              <w:left w:val="single" w:color="auto" w:sz="4" w:space="0"/>
              <w:bottom w:val="single" w:color="auto" w:sz="4" w:space="0"/>
              <w:right w:val="single" w:color="auto" w:sz="4" w:space="0"/>
            </w:tcBorders>
            <w:noWrap w:val="0"/>
            <w:vAlign w:val="center"/>
          </w:tcPr>
          <w:p w14:paraId="01AF59FC">
            <w:pPr>
              <w:spacing w:line="400" w:lineRule="exact"/>
              <w:jc w:val="center"/>
              <w:rPr>
                <w:rFonts w:hint="eastAsia" w:ascii="Times New Roman" w:hAnsi="Times New Roman" w:eastAsia="宋体" w:cs="宋体"/>
                <w:snapToGrid w:val="0"/>
                <w:color w:val="auto"/>
                <w:kern w:val="0"/>
                <w:sz w:val="24"/>
                <w:szCs w:val="24"/>
                <w:highlight w:val="none"/>
                <w:lang w:eastAsia="zh-CN"/>
              </w:rPr>
            </w:pPr>
            <w:r>
              <w:rPr>
                <w:rFonts w:hint="eastAsia" w:ascii="Times New Roman" w:hAnsi="Times New Roman" w:eastAsia="宋体" w:cs="宋体"/>
                <w:snapToGrid w:val="0"/>
                <w:color w:val="auto"/>
                <w:kern w:val="0"/>
                <w:sz w:val="24"/>
                <w:szCs w:val="24"/>
                <w:highlight w:val="none"/>
                <w:lang w:eastAsia="zh-CN"/>
              </w:rPr>
              <w:t>备注</w:t>
            </w:r>
          </w:p>
        </w:tc>
      </w:tr>
      <w:tr w14:paraId="1090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67" w:type="dxa"/>
            <w:tcBorders>
              <w:top w:val="single" w:color="auto" w:sz="4" w:space="0"/>
              <w:left w:val="single" w:color="auto" w:sz="4" w:space="0"/>
              <w:bottom w:val="single" w:color="auto" w:sz="4" w:space="0"/>
              <w:right w:val="single" w:color="auto" w:sz="4" w:space="0"/>
            </w:tcBorders>
            <w:noWrap w:val="0"/>
            <w:vAlign w:val="center"/>
          </w:tcPr>
          <w:p w14:paraId="4115E0B1">
            <w:pPr>
              <w:spacing w:line="400" w:lineRule="exact"/>
              <w:jc w:val="both"/>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中段高度（m）</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09B2B457">
            <w:pPr>
              <w:spacing w:line="400" w:lineRule="exact"/>
              <w:jc w:val="center"/>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50</w:t>
            </w:r>
          </w:p>
        </w:tc>
        <w:tc>
          <w:tcPr>
            <w:tcW w:w="2431" w:type="dxa"/>
            <w:tcBorders>
              <w:top w:val="single" w:color="auto" w:sz="4" w:space="0"/>
              <w:left w:val="single" w:color="auto" w:sz="4" w:space="0"/>
              <w:bottom w:val="single" w:color="auto" w:sz="4" w:space="0"/>
              <w:right w:val="single" w:color="auto" w:sz="4" w:space="0"/>
            </w:tcBorders>
            <w:noWrap w:val="0"/>
            <w:vAlign w:val="center"/>
          </w:tcPr>
          <w:p w14:paraId="5A2C139A">
            <w:pPr>
              <w:spacing w:line="400" w:lineRule="exact"/>
              <w:jc w:val="center"/>
              <w:rPr>
                <w:rFonts w:hint="eastAsia" w:ascii="Times New Roman" w:hAnsi="Times New Roman" w:eastAsia="宋体" w:cs="宋体"/>
                <w:snapToGrid w:val="0"/>
                <w:color w:val="auto"/>
                <w:kern w:val="0"/>
                <w:sz w:val="24"/>
                <w:szCs w:val="24"/>
                <w:highlight w:val="none"/>
              </w:rPr>
            </w:pPr>
          </w:p>
        </w:tc>
      </w:tr>
      <w:tr w14:paraId="1282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67" w:type="dxa"/>
            <w:tcBorders>
              <w:top w:val="single" w:color="auto" w:sz="4" w:space="0"/>
              <w:left w:val="single" w:color="auto" w:sz="4" w:space="0"/>
              <w:bottom w:val="single" w:color="auto" w:sz="4" w:space="0"/>
              <w:right w:val="single" w:color="auto" w:sz="4" w:space="0"/>
            </w:tcBorders>
            <w:noWrap w:val="0"/>
            <w:vAlign w:val="center"/>
          </w:tcPr>
          <w:p w14:paraId="76F131FD">
            <w:pPr>
              <w:spacing w:line="400" w:lineRule="exact"/>
              <w:jc w:val="both"/>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矿块长度（m）</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5C4B7B67">
            <w:pPr>
              <w:spacing w:line="400" w:lineRule="exact"/>
              <w:jc w:val="center"/>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lang w:val="en-US" w:eastAsia="zh-CN"/>
              </w:rPr>
              <w:t>50－</w:t>
            </w:r>
            <w:r>
              <w:rPr>
                <w:rFonts w:hint="eastAsia" w:ascii="Times New Roman" w:hAnsi="Times New Roman" w:eastAsia="宋体" w:cs="宋体"/>
                <w:snapToGrid w:val="0"/>
                <w:color w:val="auto"/>
                <w:kern w:val="0"/>
                <w:sz w:val="24"/>
                <w:szCs w:val="24"/>
                <w:highlight w:val="none"/>
              </w:rPr>
              <w:t>60</w:t>
            </w:r>
          </w:p>
        </w:tc>
        <w:tc>
          <w:tcPr>
            <w:tcW w:w="2431" w:type="dxa"/>
            <w:tcBorders>
              <w:top w:val="single" w:color="auto" w:sz="4" w:space="0"/>
              <w:left w:val="single" w:color="auto" w:sz="4" w:space="0"/>
              <w:bottom w:val="single" w:color="auto" w:sz="4" w:space="0"/>
              <w:right w:val="single" w:color="auto" w:sz="4" w:space="0"/>
            </w:tcBorders>
            <w:noWrap w:val="0"/>
            <w:vAlign w:val="center"/>
          </w:tcPr>
          <w:p w14:paraId="17013716">
            <w:pPr>
              <w:spacing w:line="400" w:lineRule="exact"/>
              <w:jc w:val="center"/>
              <w:rPr>
                <w:rFonts w:hint="eastAsia" w:ascii="Times New Roman" w:hAnsi="Times New Roman" w:eastAsia="宋体" w:cs="宋体"/>
                <w:snapToGrid w:val="0"/>
                <w:color w:val="auto"/>
                <w:kern w:val="0"/>
                <w:sz w:val="24"/>
                <w:szCs w:val="24"/>
                <w:highlight w:val="none"/>
              </w:rPr>
            </w:pPr>
          </w:p>
        </w:tc>
      </w:tr>
      <w:tr w14:paraId="1EDD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67" w:type="dxa"/>
            <w:tcBorders>
              <w:top w:val="single" w:color="auto" w:sz="4" w:space="0"/>
              <w:left w:val="single" w:color="auto" w:sz="4" w:space="0"/>
              <w:bottom w:val="single" w:color="auto" w:sz="4" w:space="0"/>
              <w:right w:val="single" w:color="auto" w:sz="4" w:space="0"/>
            </w:tcBorders>
            <w:noWrap w:val="0"/>
            <w:vAlign w:val="center"/>
          </w:tcPr>
          <w:p w14:paraId="4266D3E5">
            <w:pPr>
              <w:spacing w:line="400" w:lineRule="exact"/>
              <w:jc w:val="both"/>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矿房宽度（m）</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16C63DB3">
            <w:pPr>
              <w:spacing w:line="400" w:lineRule="exact"/>
              <w:jc w:val="center"/>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15</w:t>
            </w:r>
          </w:p>
        </w:tc>
        <w:tc>
          <w:tcPr>
            <w:tcW w:w="2431" w:type="dxa"/>
            <w:tcBorders>
              <w:top w:val="single" w:color="auto" w:sz="4" w:space="0"/>
              <w:left w:val="single" w:color="auto" w:sz="4" w:space="0"/>
              <w:bottom w:val="single" w:color="auto" w:sz="4" w:space="0"/>
              <w:right w:val="single" w:color="auto" w:sz="4" w:space="0"/>
            </w:tcBorders>
            <w:noWrap w:val="0"/>
            <w:vAlign w:val="center"/>
          </w:tcPr>
          <w:p w14:paraId="37EA5CA4">
            <w:pPr>
              <w:spacing w:line="400" w:lineRule="exact"/>
              <w:jc w:val="center"/>
              <w:rPr>
                <w:rFonts w:hint="eastAsia" w:ascii="Times New Roman" w:hAnsi="Times New Roman" w:eastAsia="宋体" w:cs="宋体"/>
                <w:snapToGrid w:val="0"/>
                <w:color w:val="auto"/>
                <w:kern w:val="0"/>
                <w:sz w:val="24"/>
                <w:szCs w:val="24"/>
                <w:highlight w:val="none"/>
              </w:rPr>
            </w:pPr>
          </w:p>
        </w:tc>
      </w:tr>
      <w:tr w14:paraId="7B7A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67" w:type="dxa"/>
            <w:tcBorders>
              <w:top w:val="single" w:color="auto" w:sz="4" w:space="0"/>
              <w:left w:val="single" w:color="auto" w:sz="4" w:space="0"/>
              <w:bottom w:val="single" w:color="auto" w:sz="4" w:space="0"/>
              <w:right w:val="single" w:color="auto" w:sz="4" w:space="0"/>
            </w:tcBorders>
            <w:noWrap w:val="0"/>
            <w:vAlign w:val="center"/>
          </w:tcPr>
          <w:p w14:paraId="17872D1A">
            <w:pPr>
              <w:spacing w:line="400" w:lineRule="exact"/>
              <w:jc w:val="both"/>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分段高度（m）</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0B14D778">
            <w:pPr>
              <w:spacing w:line="400" w:lineRule="exact"/>
              <w:jc w:val="center"/>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15</w:t>
            </w:r>
          </w:p>
        </w:tc>
        <w:tc>
          <w:tcPr>
            <w:tcW w:w="2431" w:type="dxa"/>
            <w:tcBorders>
              <w:top w:val="single" w:color="auto" w:sz="4" w:space="0"/>
              <w:left w:val="single" w:color="auto" w:sz="4" w:space="0"/>
              <w:bottom w:val="single" w:color="auto" w:sz="4" w:space="0"/>
              <w:right w:val="single" w:color="auto" w:sz="4" w:space="0"/>
            </w:tcBorders>
            <w:noWrap w:val="0"/>
            <w:vAlign w:val="center"/>
          </w:tcPr>
          <w:p w14:paraId="70A07EEF">
            <w:pPr>
              <w:spacing w:line="400" w:lineRule="exact"/>
              <w:jc w:val="center"/>
              <w:rPr>
                <w:rFonts w:hint="eastAsia" w:ascii="Times New Roman" w:hAnsi="Times New Roman" w:eastAsia="宋体" w:cs="宋体"/>
                <w:snapToGrid w:val="0"/>
                <w:color w:val="auto"/>
                <w:kern w:val="0"/>
                <w:sz w:val="24"/>
                <w:szCs w:val="24"/>
                <w:highlight w:val="none"/>
              </w:rPr>
            </w:pPr>
          </w:p>
        </w:tc>
      </w:tr>
      <w:tr w14:paraId="42F8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67" w:type="dxa"/>
            <w:tcBorders>
              <w:top w:val="single" w:color="auto" w:sz="4" w:space="0"/>
              <w:left w:val="single" w:color="auto" w:sz="4" w:space="0"/>
              <w:bottom w:val="single" w:color="auto" w:sz="4" w:space="0"/>
              <w:right w:val="single" w:color="auto" w:sz="4" w:space="0"/>
            </w:tcBorders>
            <w:noWrap w:val="0"/>
            <w:vAlign w:val="center"/>
          </w:tcPr>
          <w:p w14:paraId="377AFE02">
            <w:pPr>
              <w:spacing w:line="400" w:lineRule="exact"/>
              <w:jc w:val="both"/>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间柱厚度（m）</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659B867F">
            <w:pPr>
              <w:spacing w:line="400" w:lineRule="exact"/>
              <w:jc w:val="center"/>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10</w:t>
            </w:r>
          </w:p>
        </w:tc>
        <w:tc>
          <w:tcPr>
            <w:tcW w:w="2431" w:type="dxa"/>
            <w:tcBorders>
              <w:top w:val="single" w:color="auto" w:sz="4" w:space="0"/>
              <w:left w:val="single" w:color="auto" w:sz="4" w:space="0"/>
              <w:bottom w:val="single" w:color="auto" w:sz="4" w:space="0"/>
              <w:right w:val="single" w:color="auto" w:sz="4" w:space="0"/>
            </w:tcBorders>
            <w:noWrap w:val="0"/>
            <w:vAlign w:val="center"/>
          </w:tcPr>
          <w:p w14:paraId="0ED0B13E">
            <w:pPr>
              <w:spacing w:line="400" w:lineRule="exact"/>
              <w:jc w:val="center"/>
              <w:rPr>
                <w:rFonts w:hint="eastAsia" w:ascii="Times New Roman" w:hAnsi="Times New Roman" w:eastAsia="宋体" w:cs="宋体"/>
                <w:snapToGrid w:val="0"/>
                <w:color w:val="auto"/>
                <w:kern w:val="0"/>
                <w:sz w:val="24"/>
                <w:szCs w:val="24"/>
                <w:highlight w:val="none"/>
              </w:rPr>
            </w:pPr>
          </w:p>
        </w:tc>
      </w:tr>
      <w:tr w14:paraId="4688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67" w:type="dxa"/>
            <w:tcBorders>
              <w:top w:val="single" w:color="auto" w:sz="4" w:space="0"/>
              <w:left w:val="single" w:color="auto" w:sz="4" w:space="0"/>
              <w:bottom w:val="single" w:color="auto" w:sz="4" w:space="0"/>
              <w:right w:val="single" w:color="auto" w:sz="4" w:space="0"/>
            </w:tcBorders>
            <w:noWrap w:val="0"/>
            <w:vAlign w:val="center"/>
          </w:tcPr>
          <w:p w14:paraId="4C9F7D30">
            <w:pPr>
              <w:spacing w:line="400" w:lineRule="exact"/>
              <w:jc w:val="both"/>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顶柱厚度（m）</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31E4488D">
            <w:pPr>
              <w:spacing w:line="400" w:lineRule="exact"/>
              <w:jc w:val="center"/>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5</w:t>
            </w:r>
          </w:p>
        </w:tc>
        <w:tc>
          <w:tcPr>
            <w:tcW w:w="2431" w:type="dxa"/>
            <w:tcBorders>
              <w:top w:val="single" w:color="auto" w:sz="4" w:space="0"/>
              <w:left w:val="single" w:color="auto" w:sz="4" w:space="0"/>
              <w:bottom w:val="single" w:color="auto" w:sz="4" w:space="0"/>
              <w:right w:val="single" w:color="auto" w:sz="4" w:space="0"/>
            </w:tcBorders>
            <w:noWrap w:val="0"/>
            <w:vAlign w:val="center"/>
          </w:tcPr>
          <w:p w14:paraId="2D67A1CE">
            <w:pPr>
              <w:spacing w:line="400" w:lineRule="exact"/>
              <w:jc w:val="center"/>
              <w:rPr>
                <w:rFonts w:hint="eastAsia" w:ascii="Times New Roman" w:hAnsi="Times New Roman" w:eastAsia="宋体" w:cs="宋体"/>
                <w:snapToGrid w:val="0"/>
                <w:color w:val="auto"/>
                <w:kern w:val="0"/>
                <w:sz w:val="24"/>
                <w:szCs w:val="24"/>
                <w:highlight w:val="none"/>
              </w:rPr>
            </w:pPr>
          </w:p>
        </w:tc>
      </w:tr>
      <w:tr w14:paraId="3FEB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767" w:type="dxa"/>
            <w:tcBorders>
              <w:top w:val="single" w:color="auto" w:sz="4" w:space="0"/>
              <w:left w:val="single" w:color="auto" w:sz="4" w:space="0"/>
              <w:bottom w:val="single" w:color="auto" w:sz="4" w:space="0"/>
              <w:right w:val="single" w:color="auto" w:sz="4" w:space="0"/>
            </w:tcBorders>
            <w:noWrap w:val="0"/>
            <w:vAlign w:val="center"/>
          </w:tcPr>
          <w:p w14:paraId="70C4E1E1">
            <w:pPr>
              <w:spacing w:line="400" w:lineRule="exact"/>
              <w:jc w:val="both"/>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装矿进路间距（m）</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1C17F258">
            <w:pPr>
              <w:spacing w:line="400" w:lineRule="exact"/>
              <w:jc w:val="center"/>
              <w:rPr>
                <w:rFonts w:hint="eastAsia" w:ascii="Times New Roman" w:hAnsi="Times New Roman" w:eastAsia="宋体" w:cs="宋体"/>
                <w:snapToGrid w:val="0"/>
                <w:color w:val="auto"/>
                <w:kern w:val="0"/>
                <w:sz w:val="24"/>
                <w:szCs w:val="24"/>
                <w:highlight w:val="none"/>
              </w:rPr>
            </w:pPr>
            <w:r>
              <w:rPr>
                <w:rFonts w:hint="eastAsia" w:ascii="Times New Roman" w:hAnsi="Times New Roman" w:eastAsia="宋体" w:cs="宋体"/>
                <w:snapToGrid w:val="0"/>
                <w:color w:val="auto"/>
                <w:kern w:val="0"/>
                <w:sz w:val="24"/>
                <w:szCs w:val="24"/>
                <w:highlight w:val="none"/>
              </w:rPr>
              <w:t>10</w:t>
            </w:r>
          </w:p>
        </w:tc>
        <w:tc>
          <w:tcPr>
            <w:tcW w:w="2431" w:type="dxa"/>
            <w:tcBorders>
              <w:top w:val="single" w:color="auto" w:sz="4" w:space="0"/>
              <w:left w:val="single" w:color="auto" w:sz="4" w:space="0"/>
              <w:bottom w:val="single" w:color="auto" w:sz="4" w:space="0"/>
              <w:right w:val="single" w:color="auto" w:sz="4" w:space="0"/>
            </w:tcBorders>
            <w:noWrap w:val="0"/>
            <w:vAlign w:val="center"/>
          </w:tcPr>
          <w:p w14:paraId="0A3E9FDE">
            <w:pPr>
              <w:spacing w:line="400" w:lineRule="exact"/>
              <w:jc w:val="center"/>
              <w:rPr>
                <w:rFonts w:hint="eastAsia" w:ascii="Times New Roman" w:hAnsi="Times New Roman" w:eastAsia="宋体" w:cs="宋体"/>
                <w:snapToGrid w:val="0"/>
                <w:color w:val="auto"/>
                <w:kern w:val="0"/>
                <w:sz w:val="24"/>
                <w:szCs w:val="24"/>
                <w:highlight w:val="none"/>
              </w:rPr>
            </w:pPr>
          </w:p>
        </w:tc>
      </w:tr>
    </w:tbl>
    <w:p w14:paraId="37938E66">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ascii="Times New Roman" w:hAnsi="Times New Roman" w:eastAsia="宋体" w:cs="仿宋"/>
          <w:color w:val="auto"/>
          <w:sz w:val="28"/>
          <w:szCs w:val="28"/>
          <w:highlight w:val="none"/>
        </w:rPr>
        <w:t xml:space="preserve">⑵ </w:t>
      </w:r>
      <w:r>
        <w:rPr>
          <w:rFonts w:hint="eastAsia" w:ascii="Times New Roman" w:hAnsi="Times New Roman" w:eastAsia="宋体" w:cs="仿宋"/>
          <w:color w:val="auto"/>
          <w:sz w:val="28"/>
          <w:szCs w:val="28"/>
          <w:highlight w:val="none"/>
        </w:rPr>
        <w:t>采准切割</w:t>
      </w:r>
    </w:p>
    <w:p w14:paraId="199E3E19">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宋体"/>
          <w:b w:val="0"/>
          <w:bCs w:val="0"/>
          <w:color w:val="auto"/>
          <w:sz w:val="28"/>
          <w:szCs w:val="28"/>
          <w:highlight w:val="none"/>
        </w:rPr>
        <w:drawing>
          <wp:anchor distT="0" distB="0" distL="114300" distR="114300" simplePos="0" relativeHeight="251659264" behindDoc="1" locked="0" layoutInCell="1" allowOverlap="1">
            <wp:simplePos x="0" y="0"/>
            <wp:positionH relativeFrom="column">
              <wp:posOffset>2411730</wp:posOffset>
            </wp:positionH>
            <wp:positionV relativeFrom="paragraph">
              <wp:posOffset>863600</wp:posOffset>
            </wp:positionV>
            <wp:extent cx="3670300" cy="3901440"/>
            <wp:effectExtent l="0" t="0" r="6350" b="3810"/>
            <wp:wrapTight wrapText="bothSides">
              <wp:wrapPolygon>
                <wp:start x="21592" y="-2"/>
                <wp:lineTo x="0" y="0"/>
                <wp:lineTo x="0" y="21600"/>
                <wp:lineTo x="21592" y="21602"/>
                <wp:lineTo x="8" y="21602"/>
                <wp:lineTo x="21600" y="21600"/>
                <wp:lineTo x="21600" y="0"/>
                <wp:lineTo x="8" y="-2"/>
                <wp:lineTo x="21592" y="-2"/>
              </wp:wrapPolygon>
            </wp:wrapTight>
            <wp:docPr id="1" name="图片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3"/>
                    <pic:cNvPicPr>
                      <a:picLocks noChangeAspect="1"/>
                    </pic:cNvPicPr>
                  </pic:nvPicPr>
                  <pic:blipFill>
                    <a:blip r:embed="rId26"/>
                    <a:stretch>
                      <a:fillRect/>
                    </a:stretch>
                  </pic:blipFill>
                  <pic:spPr>
                    <a:xfrm>
                      <a:off x="0" y="0"/>
                      <a:ext cx="3670300" cy="3901440"/>
                    </a:xfrm>
                    <a:prstGeom prst="rect">
                      <a:avLst/>
                    </a:prstGeom>
                    <a:noFill/>
                    <a:ln>
                      <a:noFill/>
                    </a:ln>
                  </pic:spPr>
                </pic:pic>
              </a:graphicData>
            </a:graphic>
          </wp:anchor>
        </w:drawing>
      </w:r>
      <w:r>
        <w:rPr>
          <w:rFonts w:hint="eastAsia" w:ascii="Times New Roman" w:hAnsi="Times New Roman" w:eastAsia="宋体" w:cs="仿宋"/>
          <w:color w:val="auto"/>
          <w:sz w:val="28"/>
          <w:szCs w:val="28"/>
          <w:highlight w:val="none"/>
        </w:rPr>
        <w:t>本次设计均由斜坡道进入各分段，设备及人员由斜坡道进入各分段辅助沿脉平巷，各辅助沿脉平巷与分段（凿岩）巷道相连结，故本次设计不采用天井进入工作面。</w:t>
      </w:r>
    </w:p>
    <w:p w14:paraId="4FE1A263">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设计采用装载机装矿，采场底部结构为单堑沟双侧出矿结构，切割立槽布置在矿房一侧（或中间）的位置。先在矿房一侧（或中间）位置掘进切割天井，同时掘进切割横巷，并与切割天井相贯通，用以凿岩、爆破，形成切割槽，使切割槽的大小与矿房的高度和宽度相一致。</w:t>
      </w:r>
    </w:p>
    <w:p w14:paraId="43764AF7">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矿房拉底水平用底部堑沟拉底平巷进行拉底，一般随</w:t>
      </w:r>
      <w:r>
        <w:rPr>
          <w:rFonts w:hint="eastAsia" w:ascii="Times New Roman" w:hAnsi="Times New Roman" w:cs="仿宋"/>
          <w:color w:val="auto"/>
          <w:sz w:val="28"/>
          <w:szCs w:val="28"/>
          <w:highlight w:val="none"/>
          <w:lang w:val="en-US" w:eastAsia="zh-CN"/>
        </w:rPr>
        <w:t xml:space="preserve">              </w:t>
      </w:r>
      <w:r>
        <w:rPr>
          <w:rFonts w:hint="eastAsia" w:ascii="Times New Roman" w:hAnsi="Times New Roman" w:eastAsia="宋体" w:cs="宋体"/>
          <w:b/>
          <w:snapToGrid w:val="0"/>
          <w:color w:val="auto"/>
          <w:sz w:val="28"/>
          <w:szCs w:val="28"/>
          <w:highlight w:val="none"/>
        </w:rPr>
        <w:t>炮孔布置</w:t>
      </w:r>
      <w:r>
        <w:rPr>
          <w:rFonts w:hint="eastAsia" w:ascii="Times New Roman" w:hAnsi="Times New Roman" w:eastAsia="宋体" w:cs="宋体"/>
          <w:b/>
          <w:snapToGrid w:val="0"/>
          <w:color w:val="auto"/>
          <w:sz w:val="28"/>
          <w:szCs w:val="28"/>
          <w:highlight w:val="none"/>
          <w:lang w:eastAsia="zh-CN"/>
        </w:rPr>
        <w:t>示意</w:t>
      </w:r>
      <w:r>
        <w:rPr>
          <w:rFonts w:hint="eastAsia" w:ascii="Times New Roman" w:hAnsi="Times New Roman" w:eastAsia="宋体" w:cs="宋体"/>
          <w:b/>
          <w:snapToGrid w:val="0"/>
          <w:color w:val="auto"/>
          <w:sz w:val="28"/>
          <w:szCs w:val="28"/>
          <w:highlight w:val="none"/>
        </w:rPr>
        <w:t>图</w:t>
      </w:r>
    </w:p>
    <w:p w14:paraId="5AD995AA">
      <w:pPr>
        <w:adjustRightInd w:val="0"/>
        <w:snapToGrid w:val="0"/>
        <w:spacing w:line="360" w:lineRule="auto"/>
        <w:rPr>
          <w:rFonts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着回采的推进，逐步</w:t>
      </w:r>
      <w:r>
        <w:rPr>
          <w:rFonts w:hint="eastAsia" w:ascii="Times New Roman" w:hAnsi="Times New Roman" w:cs="仿宋"/>
          <w:color w:val="auto"/>
          <w:sz w:val="28"/>
          <w:szCs w:val="28"/>
          <w:highlight w:val="none"/>
          <w:lang w:eastAsia="zh-CN"/>
        </w:rPr>
        <w:t>把</w:t>
      </w:r>
      <w:r>
        <w:rPr>
          <w:rFonts w:hint="eastAsia" w:ascii="Times New Roman" w:hAnsi="Times New Roman" w:eastAsia="宋体" w:cs="仿宋"/>
          <w:color w:val="auto"/>
          <w:sz w:val="28"/>
          <w:szCs w:val="28"/>
          <w:highlight w:val="none"/>
        </w:rPr>
        <w:t>底层拉开。</w:t>
      </w:r>
    </w:p>
    <w:p w14:paraId="20AA2C15">
      <w:pPr>
        <w:keepNext w:val="0"/>
        <w:keepLines w:val="0"/>
        <w:pageBreakBefore w:val="0"/>
        <w:widowControl w:val="0"/>
        <w:kinsoku/>
        <w:wordWrap/>
        <w:overflowPunct/>
        <w:topLinePunct w:val="0"/>
        <w:autoSpaceDE/>
        <w:autoSpaceDN/>
        <w:bidi w:val="0"/>
        <w:adjustRightInd/>
        <w:spacing w:line="560" w:lineRule="exact"/>
        <w:ind w:firstLine="570" w:firstLineChars="200"/>
        <w:textAlignment w:val="auto"/>
        <w:rPr>
          <w:rFonts w:hint="eastAsia" w:ascii="Times New Roman" w:hAnsi="Times New Roman" w:eastAsia="宋体" w:cs="宋体"/>
          <w:b w:val="0"/>
          <w:bCs w:val="0"/>
          <w:color w:val="auto"/>
          <w:sz w:val="28"/>
          <w:szCs w:val="28"/>
          <w:highlight w:val="none"/>
        </w:rPr>
      </w:pPr>
      <w:r>
        <w:rPr>
          <w:rFonts w:hint="eastAsia" w:ascii="Times New Roman" w:hAnsi="Times New Roman" w:eastAsia="宋体" w:cs="仿宋"/>
          <w:color w:val="auto"/>
          <w:sz w:val="28"/>
          <w:szCs w:val="28"/>
          <w:highlight w:val="none"/>
        </w:rPr>
        <w:t>(</w:t>
      </w:r>
      <w:r>
        <w:rPr>
          <w:rFonts w:hint="eastAsia" w:ascii="Times New Roman" w:hAnsi="Times New Roman" w:eastAsia="宋体" w:cs="宋体"/>
          <w:b w:val="0"/>
          <w:bCs w:val="0"/>
          <w:color w:val="auto"/>
          <w:sz w:val="28"/>
          <w:szCs w:val="28"/>
          <w:highlight w:val="none"/>
        </w:rPr>
        <w:t>3)回采</w:t>
      </w:r>
    </w:p>
    <w:p w14:paraId="4B423A43">
      <w:pPr>
        <w:keepNext w:val="0"/>
        <w:keepLines w:val="0"/>
        <w:pageBreakBefore w:val="0"/>
        <w:widowControl w:val="0"/>
        <w:kinsoku/>
        <w:wordWrap/>
        <w:overflowPunct/>
        <w:topLinePunct w:val="0"/>
        <w:autoSpaceDE/>
        <w:autoSpaceDN/>
        <w:bidi w:val="0"/>
        <w:adjustRightInd/>
        <w:spacing w:line="560" w:lineRule="exact"/>
        <w:ind w:firstLine="570" w:firstLineChars="200"/>
        <w:textAlignment w:val="auto"/>
        <w:rPr>
          <w:rFonts w:hint="eastAsia" w:ascii="Times New Roman" w:hAnsi="Times New Roman" w:eastAsia="宋体" w:cs="宋体"/>
          <w:b/>
          <w:snapToGrid w:val="0"/>
          <w:color w:val="auto"/>
          <w:sz w:val="28"/>
          <w:szCs w:val="28"/>
          <w:highlight w:val="none"/>
        </w:rPr>
      </w:pPr>
      <w:r>
        <w:rPr>
          <w:rFonts w:hint="eastAsia" w:ascii="Times New Roman" w:hAnsi="Times New Roman" w:eastAsia="宋体" w:cs="宋体"/>
          <w:b w:val="0"/>
          <w:bCs w:val="0"/>
          <w:color w:val="auto"/>
          <w:sz w:val="28"/>
          <w:szCs w:val="28"/>
          <w:highlight w:val="none"/>
        </w:rPr>
        <w:t>采用垂直扇形中深孔落矿，炮孔向前倾斜8</w:t>
      </w:r>
      <w:r>
        <w:rPr>
          <w:rFonts w:hint="eastAsia" w:ascii="Times New Roman" w:hAnsi="Times New Roman" w:eastAsia="宋体" w:cs="宋体"/>
          <w:b w:val="0"/>
          <w:bCs w:val="0"/>
          <w:color w:val="auto"/>
          <w:sz w:val="28"/>
          <w:szCs w:val="28"/>
          <w:highlight w:val="none"/>
          <w:lang w:val="en-US" w:eastAsia="zh-CN"/>
        </w:rPr>
        <w:t>-</w:t>
      </w:r>
      <w:r>
        <w:rPr>
          <w:rFonts w:hint="eastAsia" w:ascii="Times New Roman" w:hAnsi="Times New Roman" w:eastAsia="宋体" w:cs="宋体"/>
          <w:b w:val="0"/>
          <w:bCs w:val="0"/>
          <w:color w:val="auto"/>
          <w:sz w:val="28"/>
          <w:szCs w:val="28"/>
          <w:highlight w:val="none"/>
        </w:rPr>
        <w:t>10°，采用YZ-90型高风压钻机凿岩，炮孔直径75</w:t>
      </w:r>
      <w:r>
        <w:rPr>
          <w:rFonts w:hint="eastAsia" w:ascii="Times New Roman" w:hAnsi="Times New Roman" w:eastAsia="宋体" w:cs="宋体"/>
          <w:b w:val="0"/>
          <w:bCs w:val="0"/>
          <w:color w:val="auto"/>
          <w:sz w:val="28"/>
          <w:szCs w:val="28"/>
          <w:highlight w:val="none"/>
          <w:lang w:val="en-US" w:eastAsia="zh-CN"/>
        </w:rPr>
        <w:t>-</w:t>
      </w:r>
      <w:r>
        <w:rPr>
          <w:rFonts w:hint="eastAsia" w:ascii="Times New Roman" w:hAnsi="Times New Roman" w:eastAsia="宋体" w:cs="宋体"/>
          <w:b w:val="0"/>
          <w:bCs w:val="0"/>
          <w:color w:val="auto"/>
          <w:sz w:val="28"/>
          <w:szCs w:val="28"/>
          <w:highlight w:val="none"/>
        </w:rPr>
        <w:t>90mm，孔底距1.8</w:t>
      </w:r>
      <w:r>
        <w:rPr>
          <w:rFonts w:hint="eastAsia" w:ascii="Times New Roman" w:hAnsi="Times New Roman" w:eastAsia="宋体" w:cs="宋体"/>
          <w:b w:val="0"/>
          <w:bCs w:val="0"/>
          <w:color w:val="auto"/>
          <w:sz w:val="28"/>
          <w:szCs w:val="28"/>
          <w:highlight w:val="none"/>
          <w:lang w:val="en-US" w:eastAsia="zh-CN"/>
        </w:rPr>
        <w:t>-</w:t>
      </w:r>
      <w:r>
        <w:rPr>
          <w:rFonts w:hint="eastAsia" w:ascii="Times New Roman" w:hAnsi="Times New Roman" w:eastAsia="宋体" w:cs="宋体"/>
          <w:b w:val="0"/>
          <w:bCs w:val="0"/>
          <w:color w:val="auto"/>
          <w:sz w:val="28"/>
          <w:szCs w:val="28"/>
          <w:highlight w:val="none"/>
        </w:rPr>
        <w:t>2.4m，最大孔深约12.6m，每排15个孔，炮孔排距2m。</w:t>
      </w:r>
      <w:r>
        <w:rPr>
          <w:rFonts w:hint="eastAsia" w:ascii="Times New Roman" w:hAnsi="Times New Roman" w:eastAsia="宋体"/>
          <w:b/>
          <w:snapToGrid w:val="0"/>
          <w:color w:val="auto"/>
          <w:sz w:val="28"/>
          <w:szCs w:val="28"/>
          <w:highlight w:val="none"/>
        </w:rPr>
        <w:t xml:space="preserve">                               </w:t>
      </w:r>
    </w:p>
    <w:p w14:paraId="2701E9DE">
      <w:pPr>
        <w:adjustRightInd w:val="0"/>
        <w:snapToGrid w:val="0"/>
        <w:spacing w:line="360" w:lineRule="auto"/>
        <w:ind w:firstLine="560"/>
        <w:rPr>
          <w:rFonts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(4)</w:t>
      </w:r>
      <w:r>
        <w:rPr>
          <w:rFonts w:ascii="Times New Roman" w:hAnsi="Times New Roman" w:eastAsia="宋体" w:cs="仿宋"/>
          <w:color w:val="auto"/>
          <w:sz w:val="28"/>
          <w:szCs w:val="28"/>
          <w:highlight w:val="none"/>
        </w:rPr>
        <w:t>出矿结构</w:t>
      </w:r>
    </w:p>
    <w:p w14:paraId="200D52A3">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本次设计的采场底部结构中的出矿结构为单堑沟双侧出矿结构，由拉底堑沟、出矿巷道、装矿进路、运输平巷组成。装矿进路斜交于出矿巷道，交角45~50°，进路间距10m。</w:t>
      </w:r>
    </w:p>
    <w:p w14:paraId="0CD6643B">
      <w:pPr>
        <w:adjustRightInd w:val="0"/>
        <w:snapToGrid w:val="0"/>
        <w:spacing w:line="360" w:lineRule="auto"/>
        <w:ind w:firstLine="560"/>
        <w:rPr>
          <w:rFonts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回采进路中崩落的矿石采用ZL-50轮式装载机装车，装载机经进路、出矿巷道，在中段运输巷道，将矿岩装入井下矿用自卸车，由汽车外运。</w:t>
      </w:r>
    </w:p>
    <w:p w14:paraId="6EC5D42A">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(5)爆破参数及起爆方式</w:t>
      </w:r>
    </w:p>
    <w:p w14:paraId="0368DE8A">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中深孔爆破参数：</w:t>
      </w:r>
    </w:p>
    <w:p w14:paraId="194925EE">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排距2.0m，孔底距1.8~2.4m，一次爆破2~3排炮孔。</w:t>
      </w:r>
    </w:p>
    <w:p w14:paraId="2D606D78">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设计一次爆破2~3排炮孔，因此上分段爆破应超前下分段2~3排炮孔，以保障下分段作业安全。</w:t>
      </w:r>
    </w:p>
    <w:p w14:paraId="0A1A00E5">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设计采用硝铵炸药，中深孔爆破采用BQ-100型装药器装药，为了避免孔口段药量过于集中，相邻炮孔装药位置和填塞长度应相互错开。</w:t>
      </w:r>
    </w:p>
    <w:p w14:paraId="3D1D2DFE">
      <w:pPr>
        <w:adjustRightInd w:val="0"/>
        <w:snapToGrid w:val="0"/>
        <w:spacing w:line="360" w:lineRule="auto"/>
        <w:ind w:firstLine="560"/>
        <w:rPr>
          <w:rFonts w:hint="eastAsia" w:ascii="Times New Roman" w:hAnsi="Times New Roman" w:eastAsia="宋体" w:cs="仿宋"/>
          <w:color w:val="auto"/>
          <w:sz w:val="28"/>
          <w:szCs w:val="28"/>
          <w:highlight w:val="none"/>
          <w:lang w:eastAsia="zh-CN"/>
        </w:rPr>
      </w:pPr>
      <w:r>
        <w:rPr>
          <w:rFonts w:hint="eastAsia" w:ascii="Times New Roman" w:hAnsi="Times New Roman" w:eastAsia="宋体" w:cs="仿宋"/>
          <w:color w:val="auto"/>
          <w:sz w:val="28"/>
          <w:szCs w:val="28"/>
          <w:highlight w:val="none"/>
        </w:rPr>
        <w:t>起爆材料采用数码电子雷管起爆</w:t>
      </w:r>
      <w:r>
        <w:rPr>
          <w:rFonts w:hint="eastAsia" w:ascii="Times New Roman" w:hAnsi="Times New Roman" w:eastAsia="宋体" w:cs="仿宋"/>
          <w:color w:val="auto"/>
          <w:sz w:val="28"/>
          <w:szCs w:val="28"/>
          <w:highlight w:val="none"/>
          <w:lang w:eastAsia="zh-CN"/>
        </w:rPr>
        <w:t>。</w:t>
      </w:r>
    </w:p>
    <w:p w14:paraId="76643361">
      <w:pPr>
        <w:adjustRightInd w:val="0"/>
        <w:snapToGrid w:val="0"/>
        <w:spacing w:line="360" w:lineRule="auto"/>
        <w:ind w:firstLine="560"/>
        <w:rPr>
          <w:rFonts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为了保证爆破效果，在大于9m的中深孔中装两个起爆荮包，两个</w:t>
      </w:r>
      <w:r>
        <w:rPr>
          <w:rFonts w:hint="eastAsia" w:ascii="Times New Roman" w:hAnsi="Times New Roman" w:cs="仿宋"/>
          <w:color w:val="auto"/>
          <w:sz w:val="28"/>
          <w:szCs w:val="28"/>
          <w:highlight w:val="none"/>
          <w:lang w:eastAsia="zh-CN"/>
        </w:rPr>
        <w:t>起爆药包</w:t>
      </w:r>
      <w:r>
        <w:rPr>
          <w:rFonts w:hint="eastAsia" w:ascii="Times New Roman" w:hAnsi="Times New Roman" w:eastAsia="宋体" w:cs="仿宋"/>
          <w:color w:val="auto"/>
          <w:sz w:val="28"/>
          <w:szCs w:val="28"/>
          <w:highlight w:val="none"/>
        </w:rPr>
        <w:t>应大于3m。</w:t>
      </w:r>
    </w:p>
    <w:p w14:paraId="0F9F5FCC">
      <w:pPr>
        <w:adjustRightInd w:val="0"/>
        <w:snapToGrid w:val="0"/>
        <w:spacing w:line="360" w:lineRule="auto"/>
        <w:ind w:firstLine="560"/>
        <w:rPr>
          <w:rFonts w:hint="eastAsia" w:ascii="Times New Roman" w:hAnsi="Times New Roman" w:eastAsia="宋体" w:cs="仿宋"/>
          <w:b/>
          <w:color w:val="auto"/>
          <w:sz w:val="28"/>
          <w:highlight w:val="none"/>
        </w:rPr>
      </w:pPr>
      <w:r>
        <w:rPr>
          <w:rFonts w:hint="eastAsia" w:ascii="Times New Roman" w:hAnsi="Times New Roman" w:cs="仿宋"/>
          <w:b w:val="0"/>
          <w:bCs/>
          <w:color w:val="auto"/>
          <w:sz w:val="28"/>
          <w:highlight w:val="none"/>
          <w:lang w:eastAsia="zh-CN"/>
        </w:rPr>
        <w:t>（三）</w:t>
      </w:r>
      <w:r>
        <w:rPr>
          <w:rFonts w:hint="eastAsia" w:ascii="Times New Roman" w:hAnsi="Times New Roman" w:eastAsia="宋体" w:cs="仿宋"/>
          <w:b w:val="0"/>
          <w:bCs/>
          <w:color w:val="auto"/>
          <w:sz w:val="28"/>
          <w:highlight w:val="none"/>
        </w:rPr>
        <w:t>主要技术指标</w:t>
      </w:r>
    </w:p>
    <w:p w14:paraId="75712958">
      <w:pPr>
        <w:adjustRightInd w:val="0"/>
        <w:snapToGrid w:val="0"/>
        <w:spacing w:line="360" w:lineRule="auto"/>
        <w:ind w:firstLine="564"/>
        <w:jc w:val="left"/>
        <w:textAlignment w:val="baseline"/>
        <w:rPr>
          <w:rFonts w:hint="eastAsia" w:ascii="Times New Roman" w:hAnsi="Times New Roman" w:eastAsia="宋体" w:cs="仿宋"/>
          <w:color w:val="auto"/>
          <w:sz w:val="28"/>
          <w:highlight w:val="none"/>
        </w:rPr>
      </w:pPr>
      <w:r>
        <w:rPr>
          <w:rFonts w:hint="eastAsia" w:ascii="Times New Roman" w:hAnsi="Times New Roman" w:eastAsia="宋体" w:cs="仿宋"/>
          <w:color w:val="auto"/>
          <w:sz w:val="28"/>
          <w:highlight w:val="none"/>
        </w:rPr>
        <w:t>矿块生产能力： 房柱采矿法</w:t>
      </w:r>
      <w:r>
        <w:rPr>
          <w:rFonts w:hint="eastAsia" w:ascii="Times New Roman" w:hAnsi="Times New Roman" w:cs="仿宋"/>
          <w:color w:val="auto"/>
          <w:sz w:val="28"/>
          <w:highlight w:val="none"/>
          <w:lang w:val="en-US" w:eastAsia="zh-CN"/>
        </w:rPr>
        <w:t>35</w:t>
      </w:r>
      <w:r>
        <w:rPr>
          <w:rFonts w:hint="eastAsia" w:ascii="Times New Roman" w:hAnsi="Times New Roman" w:eastAsia="宋体" w:cs="仿宋"/>
          <w:color w:val="auto"/>
          <w:sz w:val="28"/>
          <w:highlight w:val="none"/>
          <w:lang w:val="en-US" w:eastAsia="zh-CN"/>
        </w:rPr>
        <w:t>0</w:t>
      </w:r>
      <w:r>
        <w:rPr>
          <w:rFonts w:hint="eastAsia" w:ascii="Times New Roman" w:hAnsi="Times New Roman" w:eastAsia="宋体" w:cs="仿宋"/>
          <w:color w:val="auto"/>
          <w:sz w:val="28"/>
          <w:highlight w:val="none"/>
        </w:rPr>
        <w:t>t/d；</w:t>
      </w:r>
    </w:p>
    <w:p w14:paraId="67CAEFF9">
      <w:pPr>
        <w:adjustRightInd w:val="0"/>
        <w:snapToGrid w:val="0"/>
        <w:spacing w:line="360" w:lineRule="auto"/>
        <w:ind w:firstLine="2755" w:firstLineChars="967"/>
        <w:jc w:val="left"/>
        <w:textAlignment w:val="baseline"/>
        <w:rPr>
          <w:rFonts w:hint="eastAsia" w:ascii="Times New Roman" w:hAnsi="Times New Roman" w:eastAsia="宋体" w:cs="仿宋"/>
          <w:color w:val="auto"/>
          <w:sz w:val="28"/>
          <w:highlight w:val="none"/>
        </w:rPr>
      </w:pPr>
      <w:r>
        <w:rPr>
          <w:rFonts w:hint="eastAsia" w:ascii="Times New Roman" w:hAnsi="Times New Roman" w:eastAsia="宋体" w:cs="仿宋"/>
          <w:color w:val="auto"/>
          <w:sz w:val="28"/>
          <w:highlight w:val="none"/>
        </w:rPr>
        <w:t>分段凿岩阶段矿房法</w:t>
      </w:r>
      <w:r>
        <w:rPr>
          <w:rFonts w:hint="eastAsia" w:ascii="Times New Roman" w:hAnsi="Times New Roman" w:eastAsia="宋体" w:cs="仿宋"/>
          <w:color w:val="auto"/>
          <w:sz w:val="28"/>
          <w:highlight w:val="none"/>
          <w:lang w:val="en-US" w:eastAsia="zh-CN"/>
        </w:rPr>
        <w:t>1000</w:t>
      </w:r>
      <w:r>
        <w:rPr>
          <w:rFonts w:hint="eastAsia" w:ascii="Times New Roman" w:hAnsi="Times New Roman" w:eastAsia="宋体" w:cs="仿宋"/>
          <w:color w:val="auto"/>
          <w:sz w:val="28"/>
          <w:highlight w:val="none"/>
        </w:rPr>
        <w:t>t/d；</w:t>
      </w:r>
    </w:p>
    <w:p w14:paraId="70A8DE91">
      <w:pPr>
        <w:adjustRightInd w:val="0"/>
        <w:snapToGrid w:val="0"/>
        <w:spacing w:line="360" w:lineRule="auto"/>
        <w:ind w:firstLine="564"/>
        <w:jc w:val="left"/>
        <w:textAlignment w:val="baseline"/>
        <w:rPr>
          <w:rFonts w:hint="eastAsia" w:ascii="Times New Roman" w:hAnsi="Times New Roman" w:eastAsia="宋体" w:cs="仿宋"/>
          <w:color w:val="auto"/>
          <w:sz w:val="28"/>
          <w:highlight w:val="none"/>
        </w:rPr>
      </w:pPr>
      <w:r>
        <w:rPr>
          <w:rFonts w:hint="eastAsia" w:ascii="Times New Roman" w:hAnsi="Times New Roman" w:eastAsia="宋体" w:cs="仿宋"/>
          <w:color w:val="auto"/>
          <w:sz w:val="28"/>
          <w:highlight w:val="none"/>
        </w:rPr>
        <w:t>矿块综合回采率：</w:t>
      </w:r>
      <w:r>
        <w:rPr>
          <w:rFonts w:hint="eastAsia" w:ascii="Times New Roman" w:hAnsi="Times New Roman" w:cs="仿宋"/>
          <w:color w:val="auto"/>
          <w:sz w:val="28"/>
          <w:highlight w:val="none"/>
          <w:lang w:val="en-US" w:eastAsia="zh-CN"/>
        </w:rPr>
        <w:t>75</w:t>
      </w:r>
      <w:r>
        <w:rPr>
          <w:rFonts w:hint="eastAsia" w:ascii="Times New Roman" w:hAnsi="Times New Roman" w:eastAsia="宋体" w:cs="仿宋"/>
          <w:color w:val="auto"/>
          <w:sz w:val="28"/>
          <w:highlight w:val="none"/>
        </w:rPr>
        <w:t>%；</w:t>
      </w:r>
    </w:p>
    <w:p w14:paraId="6FD20820">
      <w:pPr>
        <w:adjustRightInd w:val="0"/>
        <w:snapToGrid w:val="0"/>
        <w:spacing w:line="360" w:lineRule="auto"/>
        <w:ind w:firstLine="564"/>
        <w:jc w:val="left"/>
        <w:textAlignment w:val="baseline"/>
        <w:rPr>
          <w:rFonts w:ascii="Times New Roman" w:hAnsi="Times New Roman" w:eastAsia="宋体" w:cs="仿宋"/>
          <w:color w:val="auto"/>
          <w:sz w:val="28"/>
          <w:highlight w:val="none"/>
        </w:rPr>
      </w:pPr>
      <w:r>
        <w:rPr>
          <w:rFonts w:hint="eastAsia" w:ascii="Times New Roman" w:hAnsi="Times New Roman" w:eastAsia="宋体" w:cs="仿宋"/>
          <w:color w:val="auto"/>
          <w:sz w:val="28"/>
          <w:highlight w:val="none"/>
        </w:rPr>
        <w:t>废石综合利用率：100%。</w:t>
      </w:r>
    </w:p>
    <w:p w14:paraId="6BC96C8F">
      <w:pPr>
        <w:adjustRightInd w:val="0"/>
        <w:snapToGrid w:val="0"/>
        <w:spacing w:line="360" w:lineRule="auto"/>
        <w:ind w:firstLine="564"/>
        <w:jc w:val="left"/>
        <w:textAlignment w:val="baseline"/>
        <w:rPr>
          <w:rFonts w:hint="eastAsia" w:ascii="Times New Roman" w:hAnsi="Times New Roman" w:eastAsia="宋体" w:cs="仿宋"/>
          <w:b w:val="0"/>
          <w:bCs/>
          <w:color w:val="auto"/>
          <w:sz w:val="28"/>
          <w:highlight w:val="none"/>
        </w:rPr>
      </w:pPr>
      <w:r>
        <w:rPr>
          <w:rFonts w:hint="eastAsia" w:ascii="Times New Roman" w:hAnsi="Times New Roman" w:cs="仿宋"/>
          <w:b w:val="0"/>
          <w:bCs/>
          <w:color w:val="auto"/>
          <w:sz w:val="28"/>
          <w:highlight w:val="none"/>
          <w:lang w:eastAsia="zh-CN"/>
        </w:rPr>
        <w:t>（四）</w:t>
      </w:r>
      <w:r>
        <w:rPr>
          <w:rFonts w:hint="eastAsia" w:ascii="Times New Roman" w:hAnsi="Times New Roman" w:eastAsia="宋体" w:cs="仿宋"/>
          <w:b w:val="0"/>
          <w:bCs/>
          <w:color w:val="auto"/>
          <w:sz w:val="28"/>
          <w:highlight w:val="none"/>
        </w:rPr>
        <w:t>废石处理</w:t>
      </w:r>
    </w:p>
    <w:p w14:paraId="51F31A06">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根据整个矿山开拓工程分布情况和废石排放的需要，本次拟将矿山产生的废石约</w:t>
      </w:r>
      <w:r>
        <w:rPr>
          <w:rFonts w:hint="eastAsia" w:ascii="宋体" w:hAnsi="宋体" w:eastAsia="宋体" w:cs="宋体"/>
          <w:color w:val="auto"/>
          <w:sz w:val="28"/>
          <w:szCs w:val="28"/>
          <w:highlight w:val="none"/>
          <w:lang w:val="en-US" w:eastAsia="zh-CN"/>
        </w:rPr>
        <w:t>4.04</w:t>
      </w:r>
      <w:r>
        <w:rPr>
          <w:rFonts w:hint="eastAsia" w:ascii="Times New Roman" w:hAnsi="Times New Roman" w:eastAsia="宋体" w:cs="仿宋"/>
          <w:color w:val="auto"/>
          <w:sz w:val="28"/>
          <w:szCs w:val="28"/>
          <w:highlight w:val="none"/>
        </w:rPr>
        <w:t>万m</w:t>
      </w:r>
      <w:r>
        <w:rPr>
          <w:rFonts w:hint="eastAsia" w:ascii="Times New Roman" w:hAnsi="Times New Roman" w:eastAsia="宋体" w:cs="仿宋"/>
          <w:color w:val="auto"/>
          <w:sz w:val="28"/>
          <w:szCs w:val="28"/>
          <w:highlight w:val="none"/>
          <w:vertAlign w:val="superscript"/>
        </w:rPr>
        <w:t>3</w:t>
      </w:r>
      <w:r>
        <w:rPr>
          <w:rFonts w:hint="eastAsia" w:ascii="Times New Roman" w:hAnsi="Times New Roman" w:eastAsia="宋体" w:cs="仿宋"/>
          <w:color w:val="auto"/>
          <w:sz w:val="28"/>
          <w:szCs w:val="28"/>
          <w:highlight w:val="none"/>
        </w:rPr>
        <w:t>全部内排采空区。</w:t>
      </w:r>
    </w:p>
    <w:p w14:paraId="799054D2">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bookmarkStart w:id="167" w:name="_Toc69247758"/>
      <w:bookmarkStart w:id="168" w:name="_Toc164869348"/>
      <w:r>
        <w:rPr>
          <w:rFonts w:hint="eastAsia" w:ascii="宋体" w:hAnsi="宋体" w:eastAsia="宋体" w:cs="宋体"/>
          <w:b/>
          <w:bCs/>
          <w:color w:val="auto"/>
          <w:sz w:val="28"/>
          <w:szCs w:val="28"/>
          <w:highlight w:val="none"/>
          <w:lang w:val="en-US" w:eastAsia="zh-CN"/>
        </w:rPr>
        <w:t>4.2.4开拓运输方案</w:t>
      </w:r>
      <w:bookmarkEnd w:id="167"/>
      <w:bookmarkEnd w:id="168"/>
    </w:p>
    <w:p w14:paraId="545B9BA1">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Times New Roman" w:hAnsi="Times New Roman" w:eastAsia="宋体" w:cs="华文楷体"/>
          <w:color w:val="auto"/>
          <w:kern w:val="2"/>
          <w:szCs w:val="28"/>
          <w:highlight w:val="none"/>
        </w:rPr>
      </w:pPr>
      <w:r>
        <w:rPr>
          <w:rFonts w:hint="eastAsia" w:ascii="Times New Roman" w:hAnsi="Times New Roman" w:eastAsia="宋体" w:cs="华文楷体"/>
          <w:color w:val="auto"/>
          <w:kern w:val="2"/>
          <w:szCs w:val="28"/>
          <w:highlight w:val="none"/>
        </w:rPr>
        <w:t>1、开拓系统的选择</w:t>
      </w:r>
    </w:p>
    <w:p w14:paraId="5E5E3EB9">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Times New Roman" w:hAnsi="Times New Roman" w:eastAsia="宋体" w:cs="华文楷体"/>
          <w:snapToGrid w:val="0"/>
          <w:color w:val="auto"/>
          <w:szCs w:val="28"/>
          <w:highlight w:val="none"/>
        </w:rPr>
      </w:pPr>
      <w:r>
        <w:rPr>
          <w:rFonts w:hint="eastAsia" w:ascii="Times New Roman" w:hAnsi="Times New Roman" w:eastAsia="宋体" w:cs="华文楷体"/>
          <w:snapToGrid w:val="0"/>
          <w:color w:val="auto"/>
          <w:szCs w:val="28"/>
          <w:highlight w:val="none"/>
        </w:rPr>
        <w:t>目前矿山开拓方式采用斜坡道开拓，已开拓了450m、430m、410m、390m</w:t>
      </w:r>
      <w:r>
        <w:rPr>
          <w:rFonts w:hint="eastAsia" w:ascii="Times New Roman" w:hAnsi="Times New Roman" w:cs="华文楷体"/>
          <w:snapToGrid w:val="0"/>
          <w:color w:val="auto"/>
          <w:szCs w:val="28"/>
          <w:highlight w:val="none"/>
          <w:lang w:eastAsia="zh-CN"/>
        </w:rPr>
        <w:t>四</w:t>
      </w:r>
      <w:r>
        <w:rPr>
          <w:rFonts w:hint="eastAsia" w:ascii="Times New Roman" w:hAnsi="Times New Roman" w:eastAsia="宋体" w:cs="华文楷体"/>
          <w:snapToGrid w:val="0"/>
          <w:color w:val="auto"/>
          <w:szCs w:val="28"/>
          <w:highlight w:val="none"/>
        </w:rPr>
        <w:t>个中段，已掘进主</w:t>
      </w:r>
      <w:r>
        <w:rPr>
          <w:rFonts w:hint="eastAsia" w:ascii="Times New Roman" w:hAnsi="Times New Roman" w:cs="华文楷体"/>
          <w:snapToGrid w:val="0"/>
          <w:color w:val="auto"/>
          <w:szCs w:val="28"/>
          <w:highlight w:val="none"/>
          <w:lang w:eastAsia="zh-CN"/>
        </w:rPr>
        <w:t>斜坡道</w:t>
      </w:r>
      <w:r>
        <w:rPr>
          <w:rFonts w:hint="eastAsia" w:ascii="Times New Roman" w:hAnsi="Times New Roman" w:cs="华文楷体"/>
          <w:snapToGrid w:val="0"/>
          <w:color w:val="auto"/>
          <w:szCs w:val="28"/>
          <w:highlight w:val="none"/>
          <w:lang w:val="en-US" w:eastAsia="zh-CN"/>
        </w:rPr>
        <w:t>X</w:t>
      </w:r>
      <w:r>
        <w:rPr>
          <w:rFonts w:hint="eastAsia" w:ascii="Times New Roman" w:hAnsi="Times New Roman" w:eastAsia="宋体" w:cs="华文楷体"/>
          <w:snapToGrid w:val="0"/>
          <w:color w:val="auto"/>
          <w:szCs w:val="28"/>
          <w:highlight w:val="none"/>
        </w:rPr>
        <w:t>PD</w:t>
      </w:r>
      <w:r>
        <w:rPr>
          <w:rFonts w:hint="eastAsia" w:ascii="Times New Roman" w:hAnsi="Times New Roman" w:cs="华文楷体"/>
          <w:snapToGrid w:val="0"/>
          <w:color w:val="auto"/>
          <w:szCs w:val="28"/>
          <w:highlight w:val="none"/>
          <w:lang w:val="en-US" w:eastAsia="zh-CN"/>
        </w:rPr>
        <w:t>456</w:t>
      </w:r>
      <w:r>
        <w:rPr>
          <w:rFonts w:hint="eastAsia" w:ascii="Times New Roman" w:hAnsi="Times New Roman" w:eastAsia="宋体" w:cs="华文楷体"/>
          <w:snapToGrid w:val="0"/>
          <w:color w:val="auto"/>
          <w:szCs w:val="28"/>
          <w:highlight w:val="none"/>
        </w:rPr>
        <w:t>、回风</w:t>
      </w:r>
      <w:r>
        <w:rPr>
          <w:rFonts w:hint="eastAsia" w:ascii="Times New Roman" w:hAnsi="Times New Roman" w:cs="华文楷体"/>
          <w:snapToGrid w:val="0"/>
          <w:color w:val="auto"/>
          <w:szCs w:val="28"/>
          <w:highlight w:val="none"/>
          <w:lang w:eastAsia="zh-CN"/>
        </w:rPr>
        <w:t>斜井</w:t>
      </w:r>
      <w:r>
        <w:rPr>
          <w:rFonts w:hint="eastAsia" w:ascii="Times New Roman" w:hAnsi="Times New Roman" w:cs="华文楷体"/>
          <w:snapToGrid w:val="0"/>
          <w:color w:val="auto"/>
          <w:szCs w:val="28"/>
          <w:highlight w:val="none"/>
          <w:lang w:val="en-US" w:eastAsia="zh-CN"/>
        </w:rPr>
        <w:t>XJ472两个</w:t>
      </w:r>
      <w:r>
        <w:rPr>
          <w:rFonts w:hint="eastAsia" w:ascii="Times New Roman" w:hAnsi="Times New Roman" w:eastAsia="宋体" w:cs="华文楷体"/>
          <w:snapToGrid w:val="0"/>
          <w:color w:val="auto"/>
          <w:szCs w:val="28"/>
          <w:highlight w:val="none"/>
        </w:rPr>
        <w:t>硐口，其中</w:t>
      </w:r>
      <w:r>
        <w:rPr>
          <w:rFonts w:hint="eastAsia" w:ascii="Times New Roman" w:hAnsi="Times New Roman" w:cs="华文楷体"/>
          <w:snapToGrid w:val="0"/>
          <w:color w:val="auto"/>
          <w:szCs w:val="28"/>
          <w:highlight w:val="none"/>
          <w:lang w:val="en-US" w:eastAsia="zh-CN"/>
        </w:rPr>
        <w:t>41</w:t>
      </w:r>
      <w:r>
        <w:rPr>
          <w:rFonts w:hint="eastAsia" w:ascii="Times New Roman" w:hAnsi="Times New Roman" w:eastAsia="宋体" w:cs="华文楷体"/>
          <w:snapToGrid w:val="0"/>
          <w:color w:val="auto"/>
          <w:szCs w:val="28"/>
          <w:highlight w:val="none"/>
        </w:rPr>
        <w:t>0m中段以上已</w:t>
      </w:r>
      <w:r>
        <w:rPr>
          <w:rFonts w:hint="eastAsia" w:ascii="Times New Roman" w:hAnsi="Times New Roman" w:cs="华文楷体"/>
          <w:snapToGrid w:val="0"/>
          <w:color w:val="auto"/>
          <w:szCs w:val="28"/>
          <w:highlight w:val="none"/>
          <w:lang w:eastAsia="zh-CN"/>
        </w:rPr>
        <w:t>全部</w:t>
      </w:r>
      <w:r>
        <w:rPr>
          <w:rFonts w:hint="eastAsia" w:ascii="Times New Roman" w:hAnsi="Times New Roman" w:eastAsia="宋体" w:cs="华文楷体"/>
          <w:snapToGrid w:val="0"/>
          <w:color w:val="auto"/>
          <w:szCs w:val="28"/>
          <w:highlight w:val="none"/>
        </w:rPr>
        <w:t>采空，目前正在390m中段</w:t>
      </w:r>
      <w:r>
        <w:rPr>
          <w:rFonts w:hint="eastAsia" w:ascii="Times New Roman" w:hAnsi="Times New Roman" w:cs="华文楷体"/>
          <w:snapToGrid w:val="0"/>
          <w:color w:val="auto"/>
          <w:szCs w:val="28"/>
          <w:highlight w:val="none"/>
          <w:lang w:val="en-US" w:eastAsia="zh-CN"/>
        </w:rPr>
        <w:t>5线以东开采</w:t>
      </w:r>
      <w:r>
        <w:rPr>
          <w:rFonts w:hint="eastAsia" w:ascii="Times New Roman" w:hAnsi="Times New Roman" w:eastAsia="宋体" w:cs="华文楷体"/>
          <w:snapToGrid w:val="0"/>
          <w:color w:val="auto"/>
          <w:szCs w:val="28"/>
          <w:highlight w:val="none"/>
        </w:rPr>
        <w:t>，已形成完整的开拓运输系统。</w:t>
      </w:r>
    </w:p>
    <w:p w14:paraId="17935489">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Times New Roman" w:hAnsi="Times New Roman" w:eastAsia="宋体" w:cs="华文楷体"/>
          <w:color w:val="auto"/>
          <w:kern w:val="2"/>
          <w:szCs w:val="28"/>
          <w:highlight w:val="none"/>
        </w:rPr>
      </w:pPr>
      <w:r>
        <w:rPr>
          <w:rFonts w:hint="eastAsia" w:ascii="Times New Roman" w:hAnsi="Times New Roman" w:eastAsia="宋体" w:cs="华文楷体"/>
          <w:color w:val="auto"/>
          <w:kern w:val="2"/>
          <w:szCs w:val="28"/>
          <w:highlight w:val="none"/>
        </w:rPr>
        <w:t>根据矿体赋存状态、开采现状及业主委托，</w:t>
      </w:r>
      <w:r>
        <w:rPr>
          <w:rFonts w:hint="eastAsia" w:ascii="Times New Roman" w:hAnsi="Times New Roman" w:cs="华文楷体"/>
          <w:color w:val="auto"/>
          <w:kern w:val="2"/>
          <w:szCs w:val="28"/>
          <w:highlight w:val="none"/>
          <w:lang w:val="en-US" w:eastAsia="zh-CN"/>
        </w:rPr>
        <w:t>39</w:t>
      </w:r>
      <w:r>
        <w:rPr>
          <w:rFonts w:hint="eastAsia" w:ascii="Times New Roman" w:hAnsi="Times New Roman" w:eastAsia="宋体" w:cs="华文楷体"/>
          <w:color w:val="auto"/>
          <w:kern w:val="2"/>
          <w:szCs w:val="28"/>
          <w:highlight w:val="none"/>
        </w:rPr>
        <w:t>0m标高以下矿体</w:t>
      </w:r>
      <w:r>
        <w:rPr>
          <w:rFonts w:hint="eastAsia" w:ascii="Times New Roman" w:hAnsi="Times New Roman" w:cs="华文楷体"/>
          <w:color w:val="auto"/>
          <w:kern w:val="2"/>
          <w:szCs w:val="28"/>
          <w:highlight w:val="none"/>
          <w:lang w:eastAsia="zh-CN"/>
        </w:rPr>
        <w:t>全部</w:t>
      </w:r>
      <w:r>
        <w:rPr>
          <w:rFonts w:hint="eastAsia" w:ascii="Times New Roman" w:hAnsi="Times New Roman" w:eastAsia="宋体" w:cs="华文楷体"/>
          <w:color w:val="auto"/>
          <w:kern w:val="2"/>
          <w:szCs w:val="28"/>
          <w:highlight w:val="none"/>
        </w:rPr>
        <w:t>位于当地侵蚀基准面以下，无法采用平硐开拓，本次设计在竖井、斜井、斜坡道三个开拓方案中比较选择(详见开拓方案比较表)。经比较，因矿山设计生产能力较大，矿石利润不高，宜采用机械化高的生产设备，且目前矿山井下已采用装载机装车，自卸汽车运输，斜坡道开拓方案优势明显。故本次设计</w:t>
      </w:r>
      <w:r>
        <w:rPr>
          <w:rFonts w:hint="eastAsia" w:ascii="Times New Roman" w:hAnsi="Times New Roman" w:cs="华文楷体"/>
          <w:color w:val="auto"/>
          <w:kern w:val="2"/>
          <w:szCs w:val="28"/>
          <w:highlight w:val="none"/>
          <w:lang w:val="en-US" w:eastAsia="zh-CN"/>
        </w:rPr>
        <w:t>390</w:t>
      </w:r>
      <w:r>
        <w:rPr>
          <w:rFonts w:hint="eastAsia" w:ascii="Times New Roman" w:hAnsi="Times New Roman" w:eastAsia="宋体" w:cs="华文楷体"/>
          <w:color w:val="auto"/>
          <w:kern w:val="2"/>
          <w:szCs w:val="28"/>
          <w:highlight w:val="none"/>
        </w:rPr>
        <w:t>m标高以下采用平硐－斜坡道开拓。</w:t>
      </w:r>
    </w:p>
    <w:p w14:paraId="71D3F050">
      <w:pPr>
        <w:autoSpaceDE w:val="0"/>
        <w:autoSpaceDN w:val="0"/>
        <w:adjustRightInd w:val="0"/>
        <w:snapToGrid w:val="0"/>
        <w:ind w:firstLine="2850" w:firstLineChars="1000"/>
        <w:jc w:val="both"/>
        <w:rPr>
          <w:rFonts w:hint="eastAsia" w:ascii="Times New Roman" w:hAnsi="Times New Roman" w:eastAsia="宋体"/>
          <w:b/>
          <w:color w:val="auto"/>
          <w:sz w:val="28"/>
          <w:highlight w:val="none"/>
          <w:lang w:val="en-US" w:eastAsia="zh-CN"/>
        </w:rPr>
      </w:pPr>
      <w:r>
        <w:rPr>
          <w:rFonts w:hint="eastAsia" w:ascii="Times New Roman" w:hAnsi="Times New Roman" w:eastAsia="宋体"/>
          <w:b/>
          <w:color w:val="auto"/>
          <w:sz w:val="28"/>
          <w:highlight w:val="none"/>
        </w:rPr>
        <w:t xml:space="preserve">开拓方案比较表      </w:t>
      </w:r>
      <w:r>
        <w:rPr>
          <w:rFonts w:hint="eastAsia" w:ascii="Times New Roman" w:hAnsi="Times New Roman" w:eastAsia="宋体"/>
          <w:b/>
          <w:color w:val="auto"/>
          <w:sz w:val="28"/>
          <w:highlight w:val="none"/>
          <w:lang w:val="en-US" w:eastAsia="zh-CN"/>
        </w:rPr>
        <w:t xml:space="preserve"> </w:t>
      </w:r>
      <w:r>
        <w:rPr>
          <w:rFonts w:hint="eastAsia" w:ascii="Times New Roman" w:hAnsi="Times New Roman" w:eastAsia="宋体"/>
          <w:b/>
          <w:color w:val="auto"/>
          <w:sz w:val="28"/>
          <w:highlight w:val="none"/>
        </w:rPr>
        <w:t xml:space="preserve">           表</w:t>
      </w:r>
      <w:r>
        <w:rPr>
          <w:rFonts w:hint="eastAsia" w:ascii="Times New Roman" w:hAnsi="Times New Roman"/>
          <w:b/>
          <w:color w:val="auto"/>
          <w:sz w:val="28"/>
          <w:highlight w:val="none"/>
          <w:lang w:val="en-US" w:eastAsia="zh-CN"/>
        </w:rPr>
        <w:t>4</w:t>
      </w:r>
      <w:r>
        <w:rPr>
          <w:rFonts w:hint="eastAsia" w:ascii="Times New Roman" w:hAnsi="Times New Roman" w:eastAsia="宋体"/>
          <w:b/>
          <w:color w:val="auto"/>
          <w:sz w:val="28"/>
          <w:highlight w:val="none"/>
        </w:rPr>
        <w:t>-</w:t>
      </w:r>
      <w:r>
        <w:rPr>
          <w:rFonts w:hint="eastAsia" w:ascii="Times New Roman" w:hAnsi="Times New Roman"/>
          <w:b/>
          <w:color w:val="auto"/>
          <w:sz w:val="28"/>
          <w:highlight w:val="none"/>
          <w:lang w:val="en-US" w:eastAsia="zh-CN"/>
        </w:rPr>
        <w:t>3</w:t>
      </w:r>
    </w:p>
    <w:tbl>
      <w:tblPr>
        <w:tblStyle w:val="18"/>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2379"/>
        <w:gridCol w:w="2481"/>
        <w:gridCol w:w="2699"/>
      </w:tblGrid>
      <w:tr w14:paraId="7FEB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459" w:type="dxa"/>
            <w:tcBorders>
              <w:tl2br w:val="single" w:color="auto" w:sz="4" w:space="0"/>
            </w:tcBorders>
            <w:noWrap w:val="0"/>
            <w:vAlign w:val="top"/>
          </w:tcPr>
          <w:p w14:paraId="1A2AF0AD">
            <w:pPr>
              <w:autoSpaceDE w:val="0"/>
              <w:autoSpaceDN w:val="0"/>
              <w:adjustRightInd w:val="0"/>
              <w:snapToGrid w:val="0"/>
              <w:jc w:val="right"/>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方案</w:t>
            </w:r>
          </w:p>
          <w:p w14:paraId="7124E93A">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优缺点</w:t>
            </w:r>
          </w:p>
        </w:tc>
        <w:tc>
          <w:tcPr>
            <w:tcW w:w="2379" w:type="dxa"/>
            <w:noWrap w:val="0"/>
            <w:vAlign w:val="center"/>
          </w:tcPr>
          <w:p w14:paraId="74238355">
            <w:pPr>
              <w:autoSpaceDE w:val="0"/>
              <w:autoSpaceDN w:val="0"/>
              <w:adjustRightInd w:val="0"/>
              <w:snapToGrid w:val="0"/>
              <w:jc w:val="center"/>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竖井</w:t>
            </w:r>
          </w:p>
        </w:tc>
        <w:tc>
          <w:tcPr>
            <w:tcW w:w="2481" w:type="dxa"/>
            <w:noWrap w:val="0"/>
            <w:vAlign w:val="center"/>
          </w:tcPr>
          <w:p w14:paraId="0129C82A">
            <w:pPr>
              <w:autoSpaceDE w:val="0"/>
              <w:autoSpaceDN w:val="0"/>
              <w:adjustRightInd w:val="0"/>
              <w:snapToGrid w:val="0"/>
              <w:jc w:val="center"/>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斜井</w:t>
            </w:r>
          </w:p>
        </w:tc>
        <w:tc>
          <w:tcPr>
            <w:tcW w:w="2699" w:type="dxa"/>
            <w:noWrap w:val="0"/>
            <w:vAlign w:val="center"/>
          </w:tcPr>
          <w:p w14:paraId="0434C311">
            <w:pPr>
              <w:autoSpaceDE w:val="0"/>
              <w:autoSpaceDN w:val="0"/>
              <w:adjustRightInd w:val="0"/>
              <w:snapToGrid w:val="0"/>
              <w:jc w:val="center"/>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斜坡道</w:t>
            </w:r>
          </w:p>
        </w:tc>
      </w:tr>
      <w:tr w14:paraId="0AD9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59" w:type="dxa"/>
            <w:noWrap w:val="0"/>
            <w:vAlign w:val="center"/>
          </w:tcPr>
          <w:p w14:paraId="17193444">
            <w:pPr>
              <w:autoSpaceDE w:val="0"/>
              <w:autoSpaceDN w:val="0"/>
              <w:adjustRightInd w:val="0"/>
              <w:snapToGrid w:val="0"/>
              <w:jc w:val="center"/>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优点</w:t>
            </w:r>
          </w:p>
        </w:tc>
        <w:tc>
          <w:tcPr>
            <w:tcW w:w="2379" w:type="dxa"/>
            <w:noWrap w:val="0"/>
            <w:vAlign w:val="top"/>
          </w:tcPr>
          <w:p w14:paraId="70A5D350">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(1)开拓工程量小</w:t>
            </w:r>
          </w:p>
          <w:p w14:paraId="16D3BD2D">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(2)投资费用小</w:t>
            </w:r>
          </w:p>
          <w:p w14:paraId="6877DFB9">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(3)建设速度快</w:t>
            </w:r>
          </w:p>
          <w:p w14:paraId="3BC277A9">
            <w:pPr>
              <w:autoSpaceDE w:val="0"/>
              <w:autoSpaceDN w:val="0"/>
              <w:adjustRightInd w:val="0"/>
              <w:snapToGrid w:val="0"/>
              <w:rPr>
                <w:rFonts w:hint="eastAsia" w:ascii="Times New Roman" w:hAnsi="Times New Roman" w:eastAsia="宋体" w:cs="仿宋"/>
                <w:color w:val="auto"/>
                <w:sz w:val="24"/>
                <w:highlight w:val="none"/>
              </w:rPr>
            </w:pPr>
          </w:p>
        </w:tc>
        <w:tc>
          <w:tcPr>
            <w:tcW w:w="2481" w:type="dxa"/>
            <w:noWrap w:val="0"/>
            <w:vAlign w:val="top"/>
          </w:tcPr>
          <w:p w14:paraId="211DA248">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(1)开拓工程量较小</w:t>
            </w:r>
          </w:p>
          <w:p w14:paraId="59D4976C">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(2)投资费用较小</w:t>
            </w:r>
          </w:p>
          <w:p w14:paraId="044DB44F">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(3)施工较简单</w:t>
            </w:r>
          </w:p>
        </w:tc>
        <w:tc>
          <w:tcPr>
            <w:tcW w:w="2699" w:type="dxa"/>
            <w:noWrap w:val="0"/>
            <w:vAlign w:val="top"/>
          </w:tcPr>
          <w:p w14:paraId="46233C49">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(1)便于无轨设备上下</w:t>
            </w:r>
          </w:p>
          <w:p w14:paraId="498C46BF">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(2)施工简单</w:t>
            </w:r>
          </w:p>
          <w:p w14:paraId="3CE51DD5">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(3)管理简单</w:t>
            </w:r>
          </w:p>
          <w:p w14:paraId="1E77D076">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(4)经营费用小</w:t>
            </w:r>
          </w:p>
          <w:p w14:paraId="74B5586B">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(5)生产能力大</w:t>
            </w:r>
          </w:p>
        </w:tc>
      </w:tr>
      <w:tr w14:paraId="3C5C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459" w:type="dxa"/>
            <w:noWrap w:val="0"/>
            <w:vAlign w:val="center"/>
          </w:tcPr>
          <w:p w14:paraId="3F6180EA">
            <w:pPr>
              <w:autoSpaceDE w:val="0"/>
              <w:autoSpaceDN w:val="0"/>
              <w:adjustRightInd w:val="0"/>
              <w:snapToGrid w:val="0"/>
              <w:jc w:val="center"/>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缺点</w:t>
            </w:r>
          </w:p>
        </w:tc>
        <w:tc>
          <w:tcPr>
            <w:tcW w:w="2379" w:type="dxa"/>
            <w:noWrap w:val="0"/>
            <w:vAlign w:val="top"/>
          </w:tcPr>
          <w:p w14:paraId="5C589DE1">
            <w:pPr>
              <w:autoSpaceDE w:val="0"/>
              <w:autoSpaceDN w:val="0"/>
              <w:adjustRightInd w:val="0"/>
              <w:snapToGrid w:val="0"/>
              <w:ind w:left="15" w:leftChars="-51" w:hanging="124" w:hangingChars="51"/>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(1)提升能力受限制</w:t>
            </w:r>
          </w:p>
          <w:p w14:paraId="71E2792A">
            <w:pPr>
              <w:autoSpaceDE w:val="0"/>
              <w:autoSpaceDN w:val="0"/>
              <w:adjustRightInd w:val="0"/>
              <w:snapToGrid w:val="0"/>
              <w:ind w:left="15" w:leftChars="-51" w:hanging="124" w:hangingChars="51"/>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(2)经营费用高</w:t>
            </w:r>
          </w:p>
          <w:p w14:paraId="57856E4E">
            <w:pPr>
              <w:autoSpaceDE w:val="0"/>
              <w:autoSpaceDN w:val="0"/>
              <w:adjustRightInd w:val="0"/>
              <w:snapToGrid w:val="0"/>
              <w:ind w:left="15" w:leftChars="-51" w:hanging="124" w:hangingChars="51"/>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(3)施工、管理复杂</w:t>
            </w:r>
          </w:p>
        </w:tc>
        <w:tc>
          <w:tcPr>
            <w:tcW w:w="2481" w:type="dxa"/>
            <w:noWrap w:val="0"/>
            <w:vAlign w:val="top"/>
          </w:tcPr>
          <w:p w14:paraId="6402E1E3">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(1)提升能力受限制</w:t>
            </w:r>
          </w:p>
          <w:p w14:paraId="2C11E739">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(2)经营费用高</w:t>
            </w:r>
          </w:p>
          <w:p w14:paraId="05CB2113">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(3)管理复杂</w:t>
            </w:r>
          </w:p>
        </w:tc>
        <w:tc>
          <w:tcPr>
            <w:tcW w:w="2699" w:type="dxa"/>
            <w:noWrap w:val="0"/>
            <w:vAlign w:val="top"/>
          </w:tcPr>
          <w:p w14:paraId="5ADFAB83">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(1)工程量大</w:t>
            </w:r>
          </w:p>
          <w:p w14:paraId="52CB0848">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(2)建设速度慢</w:t>
            </w:r>
          </w:p>
          <w:p w14:paraId="54836542">
            <w:pPr>
              <w:autoSpaceDE w:val="0"/>
              <w:autoSpaceDN w:val="0"/>
              <w:adjustRightInd w:val="0"/>
              <w:snapToGrid w:val="0"/>
              <w:rPr>
                <w:rFonts w:hint="eastAsia" w:ascii="Times New Roman" w:hAnsi="Times New Roman" w:eastAsia="宋体" w:cs="仿宋"/>
                <w:color w:val="auto"/>
                <w:sz w:val="24"/>
                <w:highlight w:val="none"/>
              </w:rPr>
            </w:pPr>
            <w:r>
              <w:rPr>
                <w:rFonts w:hint="eastAsia" w:ascii="Times New Roman" w:hAnsi="Times New Roman" w:eastAsia="宋体" w:cs="仿宋"/>
                <w:color w:val="auto"/>
                <w:sz w:val="24"/>
                <w:highlight w:val="none"/>
              </w:rPr>
              <w:t>(3)井下空气受柴油设备影响，需加强井下通风</w:t>
            </w:r>
          </w:p>
        </w:tc>
      </w:tr>
    </w:tbl>
    <w:p w14:paraId="6B13C9D3">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2、开拓工程的布置</w:t>
      </w:r>
    </w:p>
    <w:p w14:paraId="624DCF27">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为充分利用现在设施，根据矿山开采现状、矿体赋存情况及开采技术条件，本次设计410m标高以下布置390m、340m、290mm共三个中段，中段高度20-50m，410m中段仍作为回风中段，并利用现有</w:t>
      </w:r>
      <w:r>
        <w:rPr>
          <w:rFonts w:hint="eastAsia" w:ascii="Times New Roman" w:hAnsi="Times New Roman" w:eastAsia="宋体" w:cs="华文楷体"/>
          <w:snapToGrid w:val="0"/>
          <w:color w:val="auto"/>
          <w:szCs w:val="28"/>
          <w:highlight w:val="none"/>
        </w:rPr>
        <w:t>回风</w:t>
      </w:r>
      <w:r>
        <w:rPr>
          <w:rFonts w:hint="eastAsia" w:ascii="Times New Roman" w:hAnsi="Times New Roman" w:cs="华文楷体"/>
          <w:snapToGrid w:val="0"/>
          <w:color w:val="auto"/>
          <w:szCs w:val="28"/>
          <w:highlight w:val="none"/>
          <w:lang w:eastAsia="zh-CN"/>
        </w:rPr>
        <w:t>斜井</w:t>
      </w:r>
      <w:r>
        <w:rPr>
          <w:rFonts w:hint="eastAsia" w:ascii="Times New Roman" w:hAnsi="Times New Roman" w:cs="华文楷体"/>
          <w:snapToGrid w:val="0"/>
          <w:color w:val="auto"/>
          <w:szCs w:val="28"/>
          <w:highlight w:val="none"/>
          <w:lang w:val="en-US" w:eastAsia="zh-CN"/>
        </w:rPr>
        <w:t>XJ472</w:t>
      </w:r>
      <w:r>
        <w:rPr>
          <w:rFonts w:hint="eastAsia" w:ascii="宋体" w:hAnsi="宋体" w:eastAsia="宋体" w:cs="宋体"/>
          <w:color w:val="auto"/>
          <w:kern w:val="2"/>
          <w:sz w:val="28"/>
          <w:szCs w:val="28"/>
          <w:highlight w:val="none"/>
          <w:lang w:val="en-US" w:eastAsia="zh-CN" w:bidi="ar-SA"/>
        </w:rPr>
        <w:t>作为通风井。</w:t>
      </w:r>
    </w:p>
    <w:p w14:paraId="78882466">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Times New Roman" w:hAnsi="Times New Roman" w:eastAsia="宋体" w:cs="华文楷体"/>
          <w:snapToGrid w:val="0"/>
          <w:color w:val="auto"/>
          <w:szCs w:val="28"/>
          <w:highlight w:val="none"/>
          <w:lang w:eastAsia="zh-CN"/>
        </w:rPr>
      </w:pPr>
      <w:r>
        <w:rPr>
          <w:rFonts w:hint="eastAsia" w:ascii="Times New Roman" w:hAnsi="Times New Roman" w:eastAsia="宋体" w:cs="华文楷体"/>
          <w:snapToGrid w:val="0"/>
          <w:color w:val="auto"/>
          <w:szCs w:val="28"/>
          <w:highlight w:val="none"/>
        </w:rPr>
        <w:t>XPD456斜坡道线路从+390m水平中段上部穿过，根据巷道平面布置图</w:t>
      </w:r>
      <w:r>
        <w:rPr>
          <w:rFonts w:hint="eastAsia" w:ascii="Times New Roman" w:hAnsi="Times New Roman" w:eastAsia="宋体" w:cs="华文楷体"/>
          <w:snapToGrid w:val="0"/>
          <w:color w:val="auto"/>
          <w:szCs w:val="28"/>
          <w:highlight w:val="none"/>
          <w:lang w:eastAsia="zh-CN"/>
        </w:rPr>
        <w:t>及现场</w:t>
      </w:r>
      <w:r>
        <w:rPr>
          <w:rFonts w:hint="eastAsia" w:ascii="Times New Roman" w:hAnsi="Times New Roman" w:eastAsia="宋体" w:cs="华文楷体"/>
          <w:snapToGrid w:val="0"/>
          <w:color w:val="auto"/>
          <w:szCs w:val="28"/>
          <w:highlight w:val="none"/>
        </w:rPr>
        <w:t>核实，斜坡道途经范围内局部已形成采空区；该采空区对斜坡道整体围岩稳定性、通行安全存在安全隐患；若维持现有斜坡道继续服务生产，需开展充填、支护、监测等系统性采空区治理措施，治理工程量大、运维安全风险高；综合技术经济及安全管控条件，</w:t>
      </w:r>
      <w:r>
        <w:rPr>
          <w:rFonts w:hint="eastAsia" w:ascii="Times New Roman" w:hAnsi="Times New Roman" w:eastAsia="宋体" w:cs="华文楷体"/>
          <w:snapToGrid w:val="0"/>
          <w:color w:val="auto"/>
          <w:szCs w:val="28"/>
          <w:highlight w:val="none"/>
          <w:lang w:eastAsia="zh-CN"/>
        </w:rPr>
        <w:t>本次设计</w:t>
      </w:r>
      <w:r>
        <w:rPr>
          <w:rFonts w:hint="eastAsia" w:ascii="Times New Roman" w:hAnsi="Times New Roman" w:eastAsia="宋体" w:cs="华文楷体"/>
          <w:snapToGrid w:val="0"/>
          <w:color w:val="auto"/>
          <w:szCs w:val="28"/>
          <w:highlight w:val="none"/>
        </w:rPr>
        <w:t>该斜坡道不再纳入开拓运输系统使用，</w:t>
      </w:r>
      <w:r>
        <w:rPr>
          <w:rFonts w:hint="eastAsia" w:ascii="Times New Roman" w:hAnsi="Times New Roman" w:eastAsia="宋体" w:cs="华文楷体"/>
          <w:snapToGrid w:val="0"/>
          <w:color w:val="auto"/>
          <w:szCs w:val="28"/>
          <w:highlight w:val="none"/>
          <w:lang w:eastAsia="zh-CN"/>
        </w:rPr>
        <w:t>仅保留作为安全出口。</w:t>
      </w:r>
    </w:p>
    <w:p w14:paraId="4FFA5029">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经现场核实，本次设计在2线附近大致坐标为（X=2923890，Y=39524378,H=443）位置设置为主平硐PD443硐口，该位置须从现有矿山公路往山体方向推进，硐口距现有矿山公路15米，并对硐口及周边采取相应的防护措施，然后往北西350°方位掘进主平硐PD443（矿区历史最高洪水位标高约440m）约30m后，再往北东方向向下掘进折返斜坡道至290m标高，而后分别在390m、340m、290m标高处，向东南方向掘进石门到达矿体下盘，再沿矿体下盘往北东、西南两侧(390m中段往西南侧)掘进脉外运输（回风）平巷至矿体边界，再沿矿体边界往南掘进联络巷道至矿体上盘，最后沿矿体留设的保安矿柱附近将两侧脉外运输（回风）平巷贯通，形成环形运输系统，中段间采用行人通风天井贯通，使各中段形成完整的开拓、运输、通风系统。开拓工程布置详见“总平面布置图”、“开拓系统纵投影图”和各中段开拓平面布置。</w:t>
      </w:r>
    </w:p>
    <w:p w14:paraId="782148DC">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3.运输系统</w:t>
      </w:r>
    </w:p>
    <w:p w14:paraId="642486E5">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根据矿山实际情况，目前矿山井下采用ZL50型装载机装车，自卸汽车运输，即井下矿石经ZL50型装载机装上自卸汽车后，经中段运输平巷、石门、主斜坡道、主平硐运出硐口，直接外运矿石加工厂。本次设计继续采用现有的装载机装车，自卸汽车运输的方式，即井下矿石采用矿用自卸汽车经中段运输平巷、石门、主斜坡道、主平硐运出硐口至矿石中转场，然后用自卸汽车转运至矿石加工厂。废石全部直接内排采空区。人员和材料、设备均由主平硐（斜坡道）到达井下各中段各作业点。</w:t>
      </w:r>
    </w:p>
    <w:p w14:paraId="3DE5DED9">
      <w:pPr>
        <w:keepNext w:val="0"/>
        <w:keepLines w:val="0"/>
        <w:pageBreakBefore w:val="0"/>
        <w:widowControl w:val="0"/>
        <w:kinsoku/>
        <w:wordWrap/>
        <w:overflowPunct/>
        <w:topLinePunct w:val="0"/>
        <w:autoSpaceDE/>
        <w:autoSpaceDN/>
        <w:bidi w:val="0"/>
        <w:adjustRightInd w:val="0"/>
        <w:snapToGrid w:val="0"/>
        <w:spacing w:line="360" w:lineRule="auto"/>
        <w:ind w:left="125" w:firstLine="570" w:firstLineChars="200"/>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4.通风系统</w:t>
      </w:r>
    </w:p>
    <w:p w14:paraId="4209616C">
      <w:pPr>
        <w:keepNext w:val="0"/>
        <w:keepLines w:val="0"/>
        <w:pageBreakBefore w:val="0"/>
        <w:widowControl w:val="0"/>
        <w:kinsoku/>
        <w:wordWrap/>
        <w:overflowPunct/>
        <w:topLinePunct w:val="0"/>
        <w:autoSpaceDE/>
        <w:autoSpaceDN/>
        <w:bidi w:val="0"/>
        <w:adjustRightInd w:val="0"/>
        <w:snapToGrid w:val="0"/>
        <w:spacing w:line="360" w:lineRule="auto"/>
        <w:ind w:left="125" w:firstLine="570" w:firstLineChars="200"/>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根据矿山的开拓工程布置情况，本次设计390m标高以下也采用抽出式通风系统，即新鲜风流从主平硐PD443m平硐口进入，经斜坡道、各中段运输平巷和采准巷道到达采场各工作面，污风由行人通风天井汇集到410m中段回风平巷，最后从XJ472回风斜井口排出地表。</w:t>
      </w:r>
    </w:p>
    <w:p w14:paraId="50E40A17">
      <w:pPr>
        <w:keepNext w:val="0"/>
        <w:keepLines w:val="0"/>
        <w:pageBreakBefore w:val="0"/>
        <w:widowControl w:val="0"/>
        <w:kinsoku/>
        <w:wordWrap/>
        <w:overflowPunct/>
        <w:topLinePunct w:val="0"/>
        <w:autoSpaceDE/>
        <w:autoSpaceDN/>
        <w:bidi w:val="0"/>
        <w:adjustRightInd w:val="0"/>
        <w:snapToGrid w:val="0"/>
        <w:spacing w:line="360" w:lineRule="auto"/>
        <w:ind w:left="125" w:firstLine="570" w:firstLineChars="200"/>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井下需风量和风机选型由初步设计时另行设计。</w:t>
      </w:r>
    </w:p>
    <w:p w14:paraId="1A1630E0">
      <w:pPr>
        <w:keepNext w:val="0"/>
        <w:keepLines w:val="0"/>
        <w:pageBreakBefore w:val="0"/>
        <w:widowControl w:val="0"/>
        <w:kinsoku/>
        <w:wordWrap/>
        <w:overflowPunct/>
        <w:topLinePunct w:val="0"/>
        <w:autoSpaceDE/>
        <w:autoSpaceDN/>
        <w:bidi w:val="0"/>
        <w:adjustRightInd w:val="0"/>
        <w:snapToGrid w:val="0"/>
        <w:spacing w:line="360" w:lineRule="auto"/>
        <w:ind w:left="125" w:firstLine="570" w:firstLineChars="200"/>
        <w:textAlignment w:val="baseline"/>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5.供水、供电系统</w:t>
      </w:r>
    </w:p>
    <w:p w14:paraId="0A44508F">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矿山开采采用机械化铲装，矿山生产用水、用电很少。矿山附近有供水水源及供电设施，矿山供水、供电没有问题。目前矿山已在</w:t>
      </w:r>
      <w:r>
        <w:rPr>
          <w:rFonts w:hint="eastAsia" w:ascii="宋体" w:hAnsi="宋体" w:eastAsia="宋体" w:cs="宋体"/>
          <w:color w:val="auto"/>
          <w:sz w:val="28"/>
          <w:szCs w:val="28"/>
          <w:highlight w:val="none"/>
          <w:lang w:val="en-US" w:eastAsia="zh-CN"/>
        </w:rPr>
        <w:t>XJ472</w:t>
      </w:r>
      <w:r>
        <w:rPr>
          <w:rFonts w:hint="eastAsia" w:ascii="宋体" w:hAnsi="宋体" w:eastAsia="宋体" w:cs="宋体"/>
          <w:color w:val="auto"/>
          <w:sz w:val="28"/>
          <w:szCs w:val="28"/>
          <w:highlight w:val="none"/>
        </w:rPr>
        <w:t>回风</w:t>
      </w:r>
      <w:r>
        <w:rPr>
          <w:rFonts w:hint="eastAsia" w:ascii="宋体" w:hAnsi="宋体" w:eastAsia="宋体" w:cs="宋体"/>
          <w:color w:val="auto"/>
          <w:sz w:val="28"/>
          <w:szCs w:val="28"/>
          <w:highlight w:val="none"/>
          <w:lang w:eastAsia="zh-CN"/>
        </w:rPr>
        <w:t>斜井</w:t>
      </w:r>
      <w:r>
        <w:rPr>
          <w:rFonts w:hint="eastAsia" w:ascii="宋体" w:hAnsi="宋体" w:eastAsia="宋体" w:cs="宋体"/>
          <w:color w:val="auto"/>
          <w:sz w:val="28"/>
          <w:szCs w:val="28"/>
          <w:highlight w:val="none"/>
        </w:rPr>
        <w:t>口东</w:t>
      </w:r>
      <w:r>
        <w:rPr>
          <w:rFonts w:hint="eastAsia" w:ascii="宋体" w:hAnsi="宋体" w:eastAsia="宋体" w:cs="宋体"/>
          <w:color w:val="auto"/>
          <w:sz w:val="28"/>
          <w:szCs w:val="28"/>
          <w:highlight w:val="none"/>
          <w:lang w:eastAsia="zh-CN"/>
        </w:rPr>
        <w:t>南</w:t>
      </w:r>
      <w:r>
        <w:rPr>
          <w:rFonts w:hint="eastAsia" w:ascii="宋体" w:hAnsi="宋体" w:eastAsia="宋体" w:cs="宋体"/>
          <w:color w:val="auto"/>
          <w:sz w:val="28"/>
          <w:szCs w:val="28"/>
          <w:highlight w:val="none"/>
        </w:rPr>
        <w:t>侧距硐口约</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0米</w:t>
      </w:r>
      <w:r>
        <w:rPr>
          <w:rFonts w:hint="eastAsia" w:ascii="宋体" w:hAnsi="宋体" w:eastAsia="宋体" w:cs="宋体"/>
          <w:color w:val="auto"/>
          <w:sz w:val="28"/>
          <w:szCs w:val="28"/>
          <w:highlight w:val="none"/>
          <w:lang w:val="en-US" w:eastAsia="zh-CN"/>
        </w:rPr>
        <w:t>472</w:t>
      </w:r>
      <w:r>
        <w:rPr>
          <w:rFonts w:hint="eastAsia" w:ascii="宋体" w:hAnsi="宋体" w:eastAsia="宋体" w:cs="宋体"/>
          <w:color w:val="auto"/>
          <w:sz w:val="28"/>
          <w:szCs w:val="28"/>
          <w:highlight w:val="none"/>
        </w:rPr>
        <w:t>m标高处设一座高位水池，高位水池容量为200m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。本次设计继续利用，水源取自矿区附近溪沟水用高压泵扬送到高位水池，水质能够满足要求；再由高位水池引出DN80的供水管道供应井下各生产用水点，给水管道呈树枝状布置。</w:t>
      </w:r>
    </w:p>
    <w:p w14:paraId="3B6762A3">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4.2.5设计利用资源量及可采储量</w:t>
      </w:r>
    </w:p>
    <w:p w14:paraId="7EF90EC3">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1、矿区范围内查明(保有)资源储量</w:t>
      </w:r>
    </w:p>
    <w:p w14:paraId="73ED4675">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根据</w:t>
      </w:r>
      <w:r>
        <w:rPr>
          <w:rFonts w:hint="eastAsia" w:ascii="宋体" w:hAnsi="宋体" w:eastAsia="宋体" w:cs="宋体"/>
          <w:color w:val="auto"/>
          <w:sz w:val="28"/>
          <w:szCs w:val="28"/>
          <w:highlight w:val="none"/>
        </w:rPr>
        <w:t>中化地质矿山总局福建地质勘查院于2025年8月提交的《福建省明溪县上龙坑矿区方解石矿资源储量核实暨深部详查地质报告（2025年）》</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福建省自然资源评审中心于202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rPr>
        <w:t>日出具的《福建省明溪县上龙坑矿区方解石矿资源储量核实暨深部</w:t>
      </w:r>
      <w:r>
        <w:rPr>
          <w:rFonts w:hint="eastAsia" w:ascii="宋体" w:hAnsi="宋体" w:eastAsia="宋体" w:cs="宋体"/>
          <w:color w:val="auto"/>
          <w:sz w:val="28"/>
          <w:szCs w:val="28"/>
          <w:highlight w:val="none"/>
          <w:lang w:eastAsia="zh-CN"/>
        </w:rPr>
        <w:t>勘探</w:t>
      </w:r>
      <w:r>
        <w:rPr>
          <w:rFonts w:hint="eastAsia" w:ascii="宋体" w:hAnsi="宋体" w:eastAsia="宋体" w:cs="宋体"/>
          <w:color w:val="auto"/>
          <w:sz w:val="28"/>
          <w:szCs w:val="28"/>
          <w:highlight w:val="none"/>
        </w:rPr>
        <w:t>地质报告（2025年）矿产资源储量评审意见书》（闽自然资储评字〔202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14</w:t>
      </w:r>
      <w:r>
        <w:rPr>
          <w:rFonts w:hint="eastAsia" w:ascii="宋体" w:hAnsi="宋体" w:eastAsia="宋体" w:cs="宋体"/>
          <w:color w:val="auto"/>
          <w:sz w:val="28"/>
          <w:szCs w:val="28"/>
          <w:highlight w:val="none"/>
        </w:rPr>
        <w:t>号）</w:t>
      </w:r>
      <w:r>
        <w:rPr>
          <w:rFonts w:hint="eastAsia" w:ascii="宋体" w:hAnsi="宋体" w:eastAsia="宋体" w:cs="宋体"/>
          <w:color w:val="auto"/>
          <w:sz w:val="28"/>
          <w:szCs w:val="28"/>
          <w:highlight w:val="none"/>
          <w:lang w:eastAsia="zh-CN"/>
        </w:rPr>
        <w:t>，查明</w:t>
      </w:r>
      <w:r>
        <w:rPr>
          <w:rFonts w:hint="eastAsia" w:ascii="宋体" w:hAnsi="宋体" w:eastAsia="宋体" w:cs="宋体"/>
          <w:color w:val="auto"/>
          <w:sz w:val="28"/>
          <w:szCs w:val="28"/>
          <w:highlight w:val="none"/>
          <w:lang w:val="en-US" w:eastAsia="zh-CN"/>
        </w:rPr>
        <w:t>截至</w:t>
      </w:r>
      <w:r>
        <w:rPr>
          <w:rFonts w:hint="eastAsia" w:ascii="宋体" w:hAnsi="宋体" w:eastAsia="宋体" w:cs="宋体"/>
          <w:color w:val="auto"/>
          <w:sz w:val="28"/>
          <w:szCs w:val="28"/>
          <w:highlight w:val="none"/>
          <w:lang w:eastAsia="zh-CN"/>
        </w:rPr>
        <w:t>2025年4月30日，拟申请矿区范围内（+480～+2</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eastAsia="zh-CN"/>
        </w:rPr>
        <w:t>0m）保有方解石矿、白云石方解石矿总矿石资源量为</w:t>
      </w:r>
      <w:r>
        <w:rPr>
          <w:rFonts w:hint="eastAsia" w:ascii="宋体" w:hAnsi="宋体" w:eastAsia="宋体" w:cs="宋体"/>
          <w:color w:val="auto"/>
          <w:spacing w:val="-2"/>
          <w:sz w:val="28"/>
          <w:szCs w:val="28"/>
          <w:highlight w:val="none"/>
        </w:rPr>
        <w:t>1721.56万吨，其中探明资源量为258.80万吨，控制资源量为538.05万吨，推断资源量为924.71万吨</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其中</w:t>
      </w:r>
      <w:r>
        <w:rPr>
          <w:rFonts w:hint="eastAsia" w:ascii="宋体" w:hAnsi="宋体" w:eastAsia="宋体" w:cs="宋体"/>
          <w:color w:val="auto"/>
          <w:spacing w:val="-2"/>
          <w:sz w:val="28"/>
          <w:szCs w:val="28"/>
          <w:highlight w:val="none"/>
        </w:rPr>
        <w:t>保有方解石矿（探明+控制+推断）矿石资源量为1047.29万吨，其中探明资源量为181.44万吨；控制资源量为427.72万吨；推断资源量为438.13万吨</w:t>
      </w:r>
      <w:r>
        <w:rPr>
          <w:rFonts w:hint="eastAsia" w:ascii="宋体" w:hAnsi="宋体" w:eastAsia="宋体" w:cs="宋体"/>
          <w:color w:val="auto"/>
          <w:sz w:val="28"/>
          <w:szCs w:val="28"/>
          <w:highlight w:val="none"/>
        </w:rPr>
        <w:t>。</w:t>
      </w:r>
      <w:r>
        <w:rPr>
          <w:rFonts w:hint="eastAsia" w:ascii="宋体" w:hAnsi="宋体" w:eastAsia="宋体" w:cs="宋体"/>
          <w:color w:val="auto"/>
          <w:spacing w:val="-2"/>
          <w:sz w:val="28"/>
          <w:szCs w:val="28"/>
          <w:highlight w:val="none"/>
        </w:rPr>
        <w:t>保有白云石方解石矿（探明+控制+推断）矿石资源量为674.27万吨</w:t>
      </w:r>
      <w:r>
        <w:rPr>
          <w:rFonts w:hint="eastAsia" w:ascii="宋体" w:hAnsi="宋体" w:eastAsia="宋体" w:cs="宋体"/>
          <w:color w:val="auto"/>
          <w:spacing w:val="-2"/>
          <w:sz w:val="28"/>
          <w:szCs w:val="28"/>
          <w:highlight w:val="none"/>
          <w:lang w:eastAsia="zh-CN"/>
        </w:rPr>
        <w:t>，</w:t>
      </w:r>
      <w:r>
        <w:rPr>
          <w:rFonts w:hint="eastAsia" w:ascii="宋体" w:hAnsi="宋体" w:eastAsia="宋体" w:cs="宋体"/>
          <w:color w:val="auto"/>
          <w:spacing w:val="-2"/>
          <w:sz w:val="28"/>
          <w:szCs w:val="28"/>
          <w:highlight w:val="none"/>
        </w:rPr>
        <w:t>其中探明资源量为77.36万吨；控制资源量为110.33万吨；推断资源量为486.58吨。</w:t>
      </w:r>
    </w:p>
    <w:p w14:paraId="49F40428">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根据业主提供的数据，从202</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eastAsia="zh-CN"/>
        </w:rPr>
        <w:t>年</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eastAsia="zh-CN"/>
        </w:rPr>
        <w:t>月至202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lang w:eastAsia="zh-CN"/>
        </w:rPr>
        <w:t>年</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lang w:eastAsia="zh-CN"/>
        </w:rPr>
        <w:t>月，矿山共动用方解石矿资源量（矿石量）</w:t>
      </w:r>
      <w:r>
        <w:rPr>
          <w:rFonts w:hint="eastAsia" w:ascii="宋体" w:hAnsi="宋体" w:eastAsia="宋体" w:cs="宋体"/>
          <w:color w:val="auto"/>
          <w:sz w:val="28"/>
          <w:szCs w:val="28"/>
          <w:highlight w:val="none"/>
          <w:lang w:val="en-US" w:eastAsia="zh-CN"/>
        </w:rPr>
        <w:t>6.41</w:t>
      </w:r>
      <w:r>
        <w:rPr>
          <w:rFonts w:hint="eastAsia" w:ascii="宋体" w:hAnsi="宋体" w:eastAsia="宋体" w:cs="宋体"/>
          <w:color w:val="auto"/>
          <w:sz w:val="28"/>
          <w:szCs w:val="28"/>
          <w:highlight w:val="none"/>
          <w:lang w:eastAsia="zh-CN"/>
        </w:rPr>
        <w:t>万吨，均为控制资源量。</w:t>
      </w:r>
    </w:p>
    <w:p w14:paraId="2047CDEA">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故</w:t>
      </w:r>
      <w:r>
        <w:rPr>
          <w:rFonts w:hint="eastAsia" w:ascii="宋体" w:hAnsi="宋体" w:eastAsia="宋体" w:cs="宋体"/>
          <w:color w:val="auto"/>
          <w:sz w:val="28"/>
          <w:szCs w:val="28"/>
          <w:highlight w:val="none"/>
          <w:lang w:val="en-US" w:eastAsia="zh-CN"/>
        </w:rPr>
        <w:t>截至</w:t>
      </w:r>
      <w:r>
        <w:rPr>
          <w:rFonts w:hint="eastAsia" w:ascii="宋体" w:hAnsi="宋体" w:eastAsia="宋体" w:cs="宋体"/>
          <w:color w:val="auto"/>
          <w:sz w:val="28"/>
          <w:szCs w:val="28"/>
          <w:highlight w:val="none"/>
          <w:lang w:eastAsia="zh-CN"/>
        </w:rPr>
        <w:t>202</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lang w:eastAsia="zh-CN"/>
        </w:rPr>
        <w:t>年</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lang w:eastAsia="zh-CN"/>
        </w:rPr>
        <w:t>月底，拟申请矿区范围内（+480～+2</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eastAsia="zh-CN"/>
        </w:rPr>
        <w:t>0m）保有方解石矿、白云石方解石矿总矿石资源量为</w:t>
      </w:r>
      <w:r>
        <w:rPr>
          <w:rFonts w:hint="eastAsia" w:ascii="宋体" w:hAnsi="宋体" w:eastAsia="宋体" w:cs="宋体"/>
          <w:color w:val="auto"/>
          <w:sz w:val="28"/>
          <w:szCs w:val="28"/>
          <w:highlight w:val="none"/>
          <w:lang w:val="en-US" w:eastAsia="zh-CN"/>
        </w:rPr>
        <w:t>1715.15</w:t>
      </w:r>
      <w:r>
        <w:rPr>
          <w:rFonts w:hint="eastAsia" w:ascii="宋体" w:hAnsi="宋体" w:eastAsia="宋体" w:cs="宋体"/>
          <w:color w:val="auto"/>
          <w:sz w:val="28"/>
          <w:szCs w:val="28"/>
          <w:highlight w:val="none"/>
          <w:lang w:eastAsia="zh-CN"/>
        </w:rPr>
        <w:t>万吨</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eastAsia="zh-CN"/>
        </w:rPr>
        <w:t>方解石</w:t>
      </w:r>
      <w:r>
        <w:rPr>
          <w:rFonts w:hint="eastAsia" w:ascii="宋体" w:hAnsi="宋体" w:eastAsia="宋体" w:cs="宋体"/>
          <w:color w:val="auto"/>
          <w:sz w:val="28"/>
          <w:szCs w:val="28"/>
          <w:highlight w:val="none"/>
          <w:lang w:val="en-US" w:eastAsia="zh-CN"/>
        </w:rPr>
        <w:t>1040.88</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674.27万吨）</w:t>
      </w:r>
      <w:r>
        <w:rPr>
          <w:rFonts w:hint="eastAsia" w:ascii="宋体" w:hAnsi="宋体" w:eastAsia="宋体" w:cs="宋体"/>
          <w:color w:val="auto"/>
          <w:sz w:val="28"/>
          <w:szCs w:val="28"/>
          <w:highlight w:val="none"/>
          <w:lang w:eastAsia="zh-CN"/>
        </w:rPr>
        <w:t>，其中探明资源量为258.80万吨</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eastAsia="zh-CN"/>
        </w:rPr>
        <w:t>方解石</w:t>
      </w:r>
      <w:r>
        <w:rPr>
          <w:rFonts w:hint="eastAsia" w:ascii="宋体" w:hAnsi="宋体" w:eastAsia="宋体" w:cs="宋体"/>
          <w:color w:val="auto"/>
          <w:spacing w:val="-2"/>
          <w:sz w:val="28"/>
          <w:szCs w:val="28"/>
          <w:highlight w:val="none"/>
        </w:rPr>
        <w:t>181.44</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pacing w:val="-2"/>
          <w:sz w:val="28"/>
          <w:szCs w:val="28"/>
          <w:highlight w:val="none"/>
        </w:rPr>
        <w:t>77.36</w:t>
      </w:r>
      <w:r>
        <w:rPr>
          <w:rFonts w:hint="eastAsia" w:ascii="宋体" w:hAnsi="宋体" w:eastAsia="宋体" w:cs="宋体"/>
          <w:color w:val="auto"/>
          <w:sz w:val="28"/>
          <w:szCs w:val="28"/>
          <w:highlight w:val="none"/>
          <w:lang w:val="en-US" w:eastAsia="zh-CN"/>
        </w:rPr>
        <w:t>万吨）</w:t>
      </w:r>
      <w:r>
        <w:rPr>
          <w:rFonts w:hint="eastAsia" w:ascii="宋体" w:hAnsi="宋体" w:eastAsia="宋体" w:cs="宋体"/>
          <w:color w:val="auto"/>
          <w:sz w:val="28"/>
          <w:szCs w:val="28"/>
          <w:highlight w:val="none"/>
          <w:lang w:eastAsia="zh-CN"/>
        </w:rPr>
        <w:t>，控制资源量为</w:t>
      </w:r>
      <w:r>
        <w:rPr>
          <w:rFonts w:hint="eastAsia" w:ascii="宋体" w:hAnsi="宋体" w:eastAsia="宋体" w:cs="宋体"/>
          <w:color w:val="auto"/>
          <w:sz w:val="28"/>
          <w:szCs w:val="28"/>
          <w:highlight w:val="none"/>
          <w:lang w:val="en-US" w:eastAsia="zh-CN"/>
        </w:rPr>
        <w:t>531.64</w:t>
      </w:r>
      <w:r>
        <w:rPr>
          <w:rFonts w:hint="eastAsia" w:ascii="宋体" w:hAnsi="宋体" w:eastAsia="宋体" w:cs="宋体"/>
          <w:color w:val="auto"/>
          <w:sz w:val="28"/>
          <w:szCs w:val="28"/>
          <w:highlight w:val="none"/>
          <w:lang w:eastAsia="zh-CN"/>
        </w:rPr>
        <w:t>万吨</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eastAsia="zh-CN"/>
        </w:rPr>
        <w:t>方解石</w:t>
      </w:r>
      <w:r>
        <w:rPr>
          <w:rFonts w:hint="eastAsia" w:ascii="宋体" w:hAnsi="宋体" w:eastAsia="宋体" w:cs="宋体"/>
          <w:color w:val="auto"/>
          <w:sz w:val="28"/>
          <w:szCs w:val="28"/>
          <w:highlight w:val="none"/>
          <w:lang w:val="en-US" w:eastAsia="zh-CN"/>
        </w:rPr>
        <w:t>421.31</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pacing w:val="-2"/>
          <w:sz w:val="28"/>
          <w:szCs w:val="28"/>
          <w:highlight w:val="none"/>
        </w:rPr>
        <w:t>110.33</w:t>
      </w:r>
      <w:r>
        <w:rPr>
          <w:rFonts w:hint="eastAsia" w:ascii="宋体" w:hAnsi="宋体" w:eastAsia="宋体" w:cs="宋体"/>
          <w:color w:val="auto"/>
          <w:sz w:val="28"/>
          <w:szCs w:val="28"/>
          <w:highlight w:val="none"/>
          <w:lang w:val="en-US" w:eastAsia="zh-CN"/>
        </w:rPr>
        <w:t>万吨）</w:t>
      </w:r>
      <w:r>
        <w:rPr>
          <w:rFonts w:hint="eastAsia" w:ascii="宋体" w:hAnsi="宋体" w:eastAsia="宋体" w:cs="宋体"/>
          <w:color w:val="auto"/>
          <w:sz w:val="28"/>
          <w:szCs w:val="28"/>
          <w:highlight w:val="none"/>
          <w:lang w:eastAsia="zh-CN"/>
        </w:rPr>
        <w:t>，推断资源量为924.71万吨</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eastAsia="zh-CN"/>
        </w:rPr>
        <w:t>方解石</w:t>
      </w:r>
      <w:r>
        <w:rPr>
          <w:rFonts w:hint="eastAsia" w:ascii="宋体" w:hAnsi="宋体" w:eastAsia="宋体" w:cs="宋体"/>
          <w:color w:val="auto"/>
          <w:spacing w:val="-2"/>
          <w:sz w:val="28"/>
          <w:szCs w:val="28"/>
          <w:highlight w:val="none"/>
        </w:rPr>
        <w:t>438.13</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pacing w:val="-2"/>
          <w:sz w:val="28"/>
          <w:szCs w:val="28"/>
          <w:highlight w:val="none"/>
        </w:rPr>
        <w:t>486.58</w:t>
      </w:r>
      <w:r>
        <w:rPr>
          <w:rFonts w:hint="eastAsia" w:ascii="宋体" w:hAnsi="宋体" w:eastAsia="宋体" w:cs="宋体"/>
          <w:color w:val="auto"/>
          <w:sz w:val="28"/>
          <w:szCs w:val="28"/>
          <w:highlight w:val="none"/>
          <w:lang w:val="en-US" w:eastAsia="zh-CN"/>
        </w:rPr>
        <w:t>万吨）</w:t>
      </w:r>
      <w:r>
        <w:rPr>
          <w:rFonts w:hint="eastAsia" w:ascii="宋体" w:hAnsi="宋体" w:eastAsia="宋体" w:cs="宋体"/>
          <w:color w:val="auto"/>
          <w:sz w:val="28"/>
          <w:szCs w:val="28"/>
          <w:highlight w:val="none"/>
          <w:lang w:eastAsia="zh-CN"/>
        </w:rPr>
        <w:t>。</w:t>
      </w:r>
    </w:p>
    <w:p w14:paraId="05CC5F00">
      <w:pPr>
        <w:adjustRightInd w:val="0"/>
        <w:spacing w:line="360" w:lineRule="auto"/>
        <w:ind w:firstLine="564"/>
        <w:jc w:val="left"/>
        <w:textAlignment w:val="baseline"/>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2、设计损失</w:t>
      </w:r>
    </w:p>
    <w:p w14:paraId="4E6BD1CB">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目前，</w:t>
      </w:r>
      <w:r>
        <w:rPr>
          <w:rFonts w:hint="eastAsia" w:ascii="宋体" w:hAnsi="宋体" w:eastAsia="宋体" w:cs="宋体"/>
          <w:color w:val="auto"/>
          <w:sz w:val="28"/>
          <w:szCs w:val="28"/>
          <w:highlight w:val="none"/>
        </w:rPr>
        <w:t>410m中段以上可采</w:t>
      </w:r>
      <w:r>
        <w:rPr>
          <w:rFonts w:hint="eastAsia" w:ascii="宋体" w:hAnsi="宋体" w:eastAsia="宋体" w:cs="宋体"/>
          <w:color w:val="auto"/>
          <w:sz w:val="28"/>
          <w:szCs w:val="28"/>
          <w:highlight w:val="none"/>
          <w:lang w:eastAsia="zh-CN"/>
        </w:rPr>
        <w:t>储</w:t>
      </w:r>
      <w:r>
        <w:rPr>
          <w:rFonts w:hint="eastAsia" w:ascii="宋体" w:hAnsi="宋体" w:eastAsia="宋体" w:cs="宋体"/>
          <w:color w:val="auto"/>
          <w:sz w:val="28"/>
          <w:szCs w:val="28"/>
          <w:highlight w:val="none"/>
        </w:rPr>
        <w:t>量已</w:t>
      </w:r>
      <w:r>
        <w:rPr>
          <w:rFonts w:hint="eastAsia" w:ascii="宋体" w:hAnsi="宋体" w:eastAsia="宋体" w:cs="宋体"/>
          <w:color w:val="auto"/>
          <w:sz w:val="28"/>
          <w:szCs w:val="28"/>
          <w:highlight w:val="none"/>
          <w:lang w:eastAsia="zh-CN"/>
        </w:rPr>
        <w:t>全部</w:t>
      </w:r>
      <w:r>
        <w:rPr>
          <w:rFonts w:hint="eastAsia" w:ascii="宋体" w:hAnsi="宋体" w:eastAsia="宋体" w:cs="宋体"/>
          <w:color w:val="auto"/>
          <w:sz w:val="28"/>
          <w:szCs w:val="28"/>
          <w:highlight w:val="none"/>
        </w:rPr>
        <w:t>采空，剩余的矿体为地表保护层及矿柱无法开采，本次作为设计损失不予利用</w:t>
      </w:r>
      <w:r>
        <w:rPr>
          <w:rFonts w:hint="eastAsia" w:ascii="宋体" w:hAnsi="宋体" w:eastAsia="宋体" w:cs="宋体"/>
          <w:color w:val="auto"/>
          <w:sz w:val="28"/>
          <w:szCs w:val="28"/>
          <w:highlight w:val="none"/>
          <w:lang w:eastAsia="zh-CN"/>
        </w:rPr>
        <w:t>，经估算，</w:t>
      </w:r>
      <w:r>
        <w:rPr>
          <w:rFonts w:hint="eastAsia" w:ascii="宋体" w:hAnsi="宋体" w:eastAsia="宋体" w:cs="宋体"/>
          <w:color w:val="auto"/>
          <w:sz w:val="28"/>
          <w:szCs w:val="28"/>
          <w:highlight w:val="none"/>
          <w:lang w:val="en-US" w:eastAsia="zh-CN"/>
        </w:rPr>
        <w:t>410m标高以上压占</w:t>
      </w:r>
      <w:r>
        <w:rPr>
          <w:rFonts w:hint="eastAsia" w:ascii="宋体" w:hAnsi="宋体" w:eastAsia="宋体" w:cs="宋体"/>
          <w:color w:val="auto"/>
          <w:sz w:val="28"/>
          <w:szCs w:val="28"/>
          <w:highlight w:val="none"/>
          <w:lang w:eastAsia="zh-CN"/>
        </w:rPr>
        <w:t>方解石矿、白云石方解石矿总矿石</w:t>
      </w:r>
      <w:r>
        <w:rPr>
          <w:rFonts w:hint="eastAsia" w:ascii="宋体" w:hAnsi="宋体" w:eastAsia="宋体" w:cs="宋体"/>
          <w:color w:val="auto"/>
          <w:sz w:val="28"/>
          <w:szCs w:val="28"/>
          <w:highlight w:val="none"/>
          <w:lang w:val="en-US" w:eastAsia="zh-CN"/>
        </w:rPr>
        <w:t>资源量约117.48万吨（</w:t>
      </w:r>
      <w:r>
        <w:rPr>
          <w:rFonts w:hint="eastAsia" w:ascii="宋体" w:hAnsi="宋体" w:eastAsia="宋体" w:cs="宋体"/>
          <w:color w:val="auto"/>
          <w:sz w:val="28"/>
          <w:szCs w:val="28"/>
          <w:highlight w:val="none"/>
          <w:lang w:eastAsia="zh-CN"/>
        </w:rPr>
        <w:t>方解石</w:t>
      </w:r>
      <w:r>
        <w:rPr>
          <w:rFonts w:hint="eastAsia" w:ascii="宋体" w:hAnsi="宋体" w:eastAsia="宋体" w:cs="宋体"/>
          <w:color w:val="auto"/>
          <w:sz w:val="28"/>
          <w:szCs w:val="28"/>
          <w:highlight w:val="none"/>
          <w:lang w:val="en-US" w:eastAsia="zh-CN"/>
        </w:rPr>
        <w:t>113.73</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3.75万吨），其中控制资源量约96.63万吨（</w:t>
      </w:r>
      <w:r>
        <w:rPr>
          <w:rFonts w:hint="eastAsia" w:ascii="宋体" w:hAnsi="宋体" w:eastAsia="宋体" w:cs="宋体"/>
          <w:color w:val="auto"/>
          <w:sz w:val="28"/>
          <w:szCs w:val="28"/>
          <w:highlight w:val="none"/>
          <w:lang w:eastAsia="zh-CN"/>
        </w:rPr>
        <w:t>方解石</w:t>
      </w:r>
      <w:r>
        <w:rPr>
          <w:rFonts w:hint="eastAsia" w:ascii="宋体" w:hAnsi="宋体" w:eastAsia="宋体" w:cs="宋体"/>
          <w:color w:val="auto"/>
          <w:sz w:val="28"/>
          <w:szCs w:val="28"/>
          <w:highlight w:val="none"/>
          <w:lang w:val="en-US" w:eastAsia="zh-CN"/>
        </w:rPr>
        <w:t>96.63</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0万吨），推断资源量约20.85万吨（</w:t>
      </w:r>
      <w:r>
        <w:rPr>
          <w:rFonts w:hint="eastAsia" w:ascii="宋体" w:hAnsi="宋体" w:eastAsia="宋体" w:cs="宋体"/>
          <w:color w:val="auto"/>
          <w:sz w:val="28"/>
          <w:szCs w:val="28"/>
          <w:highlight w:val="none"/>
          <w:lang w:eastAsia="zh-CN"/>
        </w:rPr>
        <w:t>方解石</w:t>
      </w:r>
      <w:r>
        <w:rPr>
          <w:rFonts w:hint="eastAsia" w:ascii="宋体" w:hAnsi="宋体" w:eastAsia="宋体" w:cs="宋体"/>
          <w:color w:val="auto"/>
          <w:sz w:val="28"/>
          <w:szCs w:val="28"/>
          <w:highlight w:val="none"/>
          <w:lang w:val="en-US" w:eastAsia="zh-CN"/>
        </w:rPr>
        <w:t>17.1</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3.75万吨）</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为了确保</w:t>
      </w:r>
      <w:r>
        <w:rPr>
          <w:rFonts w:hint="eastAsia" w:ascii="宋体" w:hAnsi="宋体" w:eastAsia="宋体" w:cs="宋体"/>
          <w:color w:val="auto"/>
          <w:sz w:val="28"/>
          <w:szCs w:val="28"/>
          <w:highlight w:val="none"/>
          <w:lang w:eastAsia="zh-CN"/>
        </w:rPr>
        <w:t>办公生活区〔拟建办公楼（原炸药库）</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生活区、</w:t>
      </w:r>
      <w:r>
        <w:rPr>
          <w:rFonts w:hint="eastAsia" w:ascii="宋体" w:hAnsi="宋体" w:eastAsia="宋体" w:cs="宋体"/>
          <w:color w:val="auto"/>
          <w:sz w:val="28"/>
          <w:szCs w:val="28"/>
          <w:highlight w:val="none"/>
        </w:rPr>
        <w:t>监控室</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，并预防上龙坑溪水灌入采空区，本次设计在</w:t>
      </w:r>
      <w:r>
        <w:rPr>
          <w:rFonts w:hint="eastAsia" w:ascii="宋体" w:hAnsi="宋体" w:eastAsia="宋体" w:cs="宋体"/>
          <w:color w:val="auto"/>
          <w:sz w:val="28"/>
          <w:szCs w:val="28"/>
          <w:highlight w:val="none"/>
          <w:lang w:eastAsia="zh-CN"/>
        </w:rPr>
        <w:t>办公生活区</w:t>
      </w:r>
      <w:r>
        <w:rPr>
          <w:rFonts w:hint="eastAsia" w:ascii="宋体" w:hAnsi="宋体" w:eastAsia="宋体" w:cs="宋体"/>
          <w:color w:val="auto"/>
          <w:sz w:val="28"/>
          <w:szCs w:val="28"/>
          <w:highlight w:val="none"/>
        </w:rPr>
        <w:t>周边留设20m保安矿柱</w:t>
      </w:r>
      <w:r>
        <w:rPr>
          <w:rFonts w:hint="eastAsia" w:ascii="宋体" w:hAnsi="宋体" w:eastAsia="宋体" w:cs="宋体"/>
          <w:color w:val="auto"/>
          <w:sz w:val="28"/>
          <w:szCs w:val="28"/>
          <w:highlight w:val="none"/>
          <w:lang w:eastAsia="zh-CN"/>
        </w:rPr>
        <w:t>；为了确保矿石地面运输及人员往来的安全，设计在矿山公路南侧、北侧</w:t>
      </w:r>
      <w:r>
        <w:rPr>
          <w:rFonts w:hint="eastAsia" w:ascii="宋体" w:hAnsi="宋体" w:eastAsia="宋体" w:cs="宋体"/>
          <w:color w:val="auto"/>
          <w:sz w:val="28"/>
          <w:szCs w:val="28"/>
          <w:highlight w:val="none"/>
          <w:lang w:val="en-US" w:eastAsia="zh-CN"/>
        </w:rPr>
        <w:t>10m范围内</w:t>
      </w:r>
      <w:r>
        <w:rPr>
          <w:rFonts w:hint="eastAsia" w:ascii="宋体" w:hAnsi="宋体" w:eastAsia="宋体" w:cs="宋体"/>
          <w:color w:val="auto"/>
          <w:sz w:val="28"/>
          <w:szCs w:val="28"/>
          <w:highlight w:val="none"/>
          <w:lang w:eastAsia="zh-CN"/>
        </w:rPr>
        <w:t>也留设为保安矿柱。</w:t>
      </w:r>
      <w:r>
        <w:rPr>
          <w:rFonts w:hint="eastAsia" w:ascii="Times New Roman" w:hAnsi="Times New Roman" w:eastAsia="宋体" w:cs="宋体"/>
          <w:bCs/>
          <w:color w:val="auto"/>
          <w:sz w:val="28"/>
          <w:szCs w:val="28"/>
          <w:highlight w:val="none"/>
        </w:rPr>
        <w:t>经估算</w:t>
      </w:r>
      <w:r>
        <w:rPr>
          <w:rFonts w:hint="eastAsia" w:ascii="Times New Roman" w:hAnsi="Times New Roman" w:cs="宋体"/>
          <w:bCs/>
          <w:color w:val="auto"/>
          <w:sz w:val="28"/>
          <w:szCs w:val="28"/>
          <w:highlight w:val="none"/>
          <w:lang w:eastAsia="zh-CN"/>
        </w:rPr>
        <w:t>，以上</w:t>
      </w:r>
      <w:r>
        <w:rPr>
          <w:rFonts w:hint="eastAsia" w:ascii="Times New Roman" w:hAnsi="Times New Roman" w:cs="宋体"/>
          <w:bCs/>
          <w:color w:val="auto"/>
          <w:sz w:val="28"/>
          <w:szCs w:val="28"/>
          <w:highlight w:val="none"/>
          <w:lang w:val="en-US" w:eastAsia="zh-CN"/>
        </w:rPr>
        <w:t>2处</w:t>
      </w:r>
      <w:r>
        <w:rPr>
          <w:rFonts w:hint="eastAsia" w:ascii="Times New Roman" w:hAnsi="Times New Roman" w:eastAsia="宋体" w:cs="宋体"/>
          <w:bCs/>
          <w:color w:val="auto"/>
          <w:sz w:val="28"/>
          <w:szCs w:val="28"/>
          <w:highlight w:val="none"/>
        </w:rPr>
        <w:t>保安矿柱</w:t>
      </w:r>
      <w:r>
        <w:rPr>
          <w:rFonts w:hint="eastAsia" w:ascii="Times New Roman" w:hAnsi="Times New Roman" w:cs="宋体"/>
          <w:bCs/>
          <w:color w:val="auto"/>
          <w:sz w:val="28"/>
          <w:szCs w:val="28"/>
          <w:highlight w:val="none"/>
          <w:lang w:eastAsia="zh-CN"/>
        </w:rPr>
        <w:t>（</w:t>
      </w:r>
      <w:r>
        <w:rPr>
          <w:rFonts w:hint="eastAsia" w:ascii="宋体" w:hAnsi="宋体" w:eastAsia="宋体" w:cs="宋体"/>
          <w:color w:val="auto"/>
          <w:sz w:val="28"/>
          <w:szCs w:val="28"/>
          <w:highlight w:val="none"/>
          <w:lang w:eastAsia="zh-CN"/>
        </w:rPr>
        <w:t>办公生活区保安矿柱</w:t>
      </w:r>
      <w:r>
        <w:rPr>
          <w:rFonts w:hint="eastAsia" w:ascii="Times New Roman" w:hAnsi="Times New Roman" w:cs="宋体"/>
          <w:bCs/>
          <w:color w:val="auto"/>
          <w:sz w:val="28"/>
          <w:szCs w:val="28"/>
          <w:highlight w:val="none"/>
          <w:lang w:eastAsia="zh-CN"/>
        </w:rPr>
        <w:t>包含了</w:t>
      </w:r>
      <w:r>
        <w:rPr>
          <w:rFonts w:hint="eastAsia" w:ascii="Times New Roman" w:hAnsi="Times New Roman" w:cs="宋体"/>
          <w:bCs/>
          <w:color w:val="auto"/>
          <w:sz w:val="28"/>
          <w:szCs w:val="28"/>
          <w:highlight w:val="none"/>
          <w:lang w:val="en-US" w:eastAsia="zh-CN"/>
        </w:rPr>
        <w:t>290m标高以下压占的矿石量</w:t>
      </w:r>
      <w:r>
        <w:rPr>
          <w:rFonts w:hint="eastAsia" w:ascii="Times New Roman" w:hAnsi="Times New Roman" w:cs="宋体"/>
          <w:bCs/>
          <w:color w:val="auto"/>
          <w:sz w:val="28"/>
          <w:szCs w:val="28"/>
          <w:highlight w:val="none"/>
          <w:lang w:eastAsia="zh-CN"/>
        </w:rPr>
        <w:t>）</w:t>
      </w:r>
      <w:r>
        <w:rPr>
          <w:rFonts w:hint="eastAsia" w:ascii="Times New Roman" w:hAnsi="Times New Roman" w:eastAsia="宋体" w:cs="宋体"/>
          <w:bCs/>
          <w:color w:val="auto"/>
          <w:sz w:val="28"/>
          <w:szCs w:val="28"/>
          <w:highlight w:val="none"/>
        </w:rPr>
        <w:t>压占</w:t>
      </w:r>
      <w:r>
        <w:rPr>
          <w:rFonts w:hint="eastAsia" w:ascii="宋体" w:hAnsi="宋体" w:eastAsia="宋体" w:cs="宋体"/>
          <w:color w:val="auto"/>
          <w:sz w:val="28"/>
          <w:szCs w:val="28"/>
          <w:highlight w:val="none"/>
          <w:lang w:eastAsia="zh-CN"/>
        </w:rPr>
        <w:t>方解石矿、白云石方解石矿总矿石资源量约</w:t>
      </w:r>
      <w:r>
        <w:rPr>
          <w:rFonts w:hint="eastAsia" w:ascii="宋体" w:hAnsi="宋体" w:eastAsia="宋体" w:cs="宋体"/>
          <w:color w:val="auto"/>
          <w:sz w:val="28"/>
          <w:szCs w:val="28"/>
          <w:highlight w:val="none"/>
          <w:lang w:val="en-US" w:eastAsia="zh-CN"/>
        </w:rPr>
        <w:t>656.94</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431.78</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225.16万吨</w:t>
      </w:r>
      <w:r>
        <w:rPr>
          <w:rFonts w:hint="eastAsia" w:ascii="宋体" w:hAnsi="宋体" w:eastAsia="宋体" w:cs="宋体"/>
          <w:color w:val="auto"/>
          <w:sz w:val="28"/>
          <w:szCs w:val="28"/>
          <w:highlight w:val="none"/>
          <w:lang w:eastAsia="zh-CN"/>
        </w:rPr>
        <w:t>），其中探明资源量为</w:t>
      </w:r>
      <w:r>
        <w:rPr>
          <w:rFonts w:hint="eastAsia" w:ascii="宋体" w:hAnsi="宋体" w:eastAsia="宋体" w:cs="宋体"/>
          <w:color w:val="auto"/>
          <w:sz w:val="28"/>
          <w:szCs w:val="28"/>
          <w:highlight w:val="none"/>
          <w:lang w:val="en-US" w:eastAsia="zh-CN"/>
        </w:rPr>
        <w:t>71.74</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71.74</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0万吨</w:t>
      </w:r>
      <w:r>
        <w:rPr>
          <w:rFonts w:hint="eastAsia" w:ascii="宋体" w:hAnsi="宋体" w:eastAsia="宋体" w:cs="宋体"/>
          <w:color w:val="auto"/>
          <w:sz w:val="28"/>
          <w:szCs w:val="28"/>
          <w:highlight w:val="none"/>
          <w:lang w:eastAsia="zh-CN"/>
        </w:rPr>
        <w:t>），控制资源量为</w:t>
      </w:r>
      <w:r>
        <w:rPr>
          <w:rFonts w:hint="eastAsia" w:ascii="宋体" w:hAnsi="宋体" w:eastAsia="宋体" w:cs="宋体"/>
          <w:color w:val="auto"/>
          <w:sz w:val="28"/>
          <w:szCs w:val="28"/>
          <w:highlight w:val="none"/>
          <w:lang w:val="en-US" w:eastAsia="zh-CN"/>
        </w:rPr>
        <w:t>107.93</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86.58</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21.35万吨</w:t>
      </w:r>
      <w:r>
        <w:rPr>
          <w:rFonts w:hint="eastAsia" w:ascii="宋体" w:hAnsi="宋体" w:eastAsia="宋体" w:cs="宋体"/>
          <w:color w:val="auto"/>
          <w:sz w:val="28"/>
          <w:szCs w:val="28"/>
          <w:highlight w:val="none"/>
          <w:lang w:eastAsia="zh-CN"/>
        </w:rPr>
        <w:t>），推断资源量为</w:t>
      </w:r>
      <w:r>
        <w:rPr>
          <w:rFonts w:hint="eastAsia" w:ascii="宋体" w:hAnsi="宋体" w:eastAsia="宋体" w:cs="宋体"/>
          <w:color w:val="auto"/>
          <w:sz w:val="28"/>
          <w:szCs w:val="28"/>
          <w:highlight w:val="none"/>
          <w:lang w:val="en-US" w:eastAsia="zh-CN"/>
        </w:rPr>
        <w:t>477.27</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273.46</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203.81万吨</w:t>
      </w:r>
      <w:r>
        <w:rPr>
          <w:rFonts w:hint="eastAsia" w:ascii="宋体" w:hAnsi="宋体" w:eastAsia="宋体" w:cs="宋体"/>
          <w:color w:val="auto"/>
          <w:sz w:val="28"/>
          <w:szCs w:val="28"/>
          <w:highlight w:val="none"/>
          <w:lang w:eastAsia="zh-CN"/>
        </w:rPr>
        <w:t>）；为了确保</w:t>
      </w:r>
      <w:r>
        <w:rPr>
          <w:rFonts w:hint="eastAsia" w:ascii="宋体" w:hAnsi="宋体" w:eastAsia="宋体" w:cs="宋体"/>
          <w:color w:val="auto"/>
          <w:sz w:val="28"/>
          <w:szCs w:val="28"/>
          <w:highlight w:val="none"/>
        </w:rPr>
        <w:t>主</w:t>
      </w:r>
      <w:r>
        <w:rPr>
          <w:rFonts w:hint="eastAsia" w:ascii="宋体" w:hAnsi="宋体" w:eastAsia="宋体" w:cs="宋体"/>
          <w:color w:val="auto"/>
          <w:sz w:val="28"/>
          <w:szCs w:val="28"/>
          <w:highlight w:val="none"/>
          <w:lang w:eastAsia="zh-CN"/>
        </w:rPr>
        <w:t>平硐</w:t>
      </w:r>
      <w:r>
        <w:rPr>
          <w:rFonts w:hint="eastAsia" w:ascii="宋体" w:hAnsi="宋体" w:eastAsia="宋体" w:cs="宋体"/>
          <w:color w:val="auto"/>
          <w:sz w:val="28"/>
          <w:szCs w:val="28"/>
          <w:highlight w:val="none"/>
          <w:lang w:val="en-US" w:eastAsia="zh-CN"/>
        </w:rPr>
        <w:t>PD443的运输安全，本次设计在PD443</w:t>
      </w:r>
      <w:r>
        <w:rPr>
          <w:rFonts w:hint="eastAsia" w:ascii="宋体" w:hAnsi="宋体" w:eastAsia="宋体" w:cs="宋体"/>
          <w:color w:val="auto"/>
          <w:sz w:val="28"/>
          <w:szCs w:val="28"/>
          <w:highlight w:val="none"/>
        </w:rPr>
        <w:t>主</w:t>
      </w:r>
      <w:r>
        <w:rPr>
          <w:rFonts w:hint="eastAsia" w:ascii="宋体" w:hAnsi="宋体" w:eastAsia="宋体" w:cs="宋体"/>
          <w:color w:val="auto"/>
          <w:sz w:val="28"/>
          <w:szCs w:val="28"/>
          <w:highlight w:val="none"/>
          <w:lang w:eastAsia="zh-CN"/>
        </w:rPr>
        <w:t>平硐</w:t>
      </w:r>
      <w:r>
        <w:rPr>
          <w:rFonts w:hint="eastAsia" w:ascii="宋体" w:hAnsi="宋体" w:eastAsia="宋体" w:cs="宋体"/>
          <w:color w:val="auto"/>
          <w:sz w:val="28"/>
          <w:szCs w:val="28"/>
          <w:highlight w:val="none"/>
        </w:rPr>
        <w:t>两侧</w:t>
      </w:r>
      <w:r>
        <w:rPr>
          <w:rFonts w:hint="eastAsia" w:ascii="宋体" w:hAnsi="宋体" w:eastAsia="宋体" w:cs="宋体"/>
          <w:color w:val="auto"/>
          <w:sz w:val="28"/>
          <w:szCs w:val="28"/>
          <w:highlight w:val="none"/>
          <w:lang w:eastAsia="zh-CN"/>
        </w:rPr>
        <w:t>各留设</w:t>
      </w:r>
      <w:r>
        <w:rPr>
          <w:rFonts w:hint="eastAsia" w:ascii="宋体" w:hAnsi="宋体" w:eastAsia="宋体" w:cs="宋体"/>
          <w:color w:val="auto"/>
          <w:sz w:val="28"/>
          <w:szCs w:val="28"/>
          <w:highlight w:val="none"/>
          <w:lang w:val="en-US" w:eastAsia="zh-CN"/>
        </w:rPr>
        <w:t>20m的保安矿柱，留设该保安矿柱后，PD443</w:t>
      </w:r>
      <w:r>
        <w:rPr>
          <w:rFonts w:hint="eastAsia" w:ascii="宋体" w:hAnsi="宋体" w:eastAsia="宋体" w:cs="宋体"/>
          <w:color w:val="auto"/>
          <w:sz w:val="28"/>
          <w:szCs w:val="28"/>
          <w:highlight w:val="none"/>
        </w:rPr>
        <w:t>主</w:t>
      </w:r>
      <w:r>
        <w:rPr>
          <w:rFonts w:hint="eastAsia" w:ascii="宋体" w:hAnsi="宋体" w:eastAsia="宋体" w:cs="宋体"/>
          <w:color w:val="auto"/>
          <w:sz w:val="28"/>
          <w:szCs w:val="28"/>
          <w:highlight w:val="none"/>
          <w:lang w:eastAsia="zh-CN"/>
        </w:rPr>
        <w:t>平硐西侧及东侧</w:t>
      </w:r>
      <w:r>
        <w:rPr>
          <w:rFonts w:hint="eastAsia" w:ascii="宋体" w:hAnsi="宋体" w:eastAsia="宋体" w:cs="宋体"/>
          <w:color w:val="auto"/>
          <w:sz w:val="28"/>
          <w:szCs w:val="28"/>
          <w:highlight w:val="none"/>
          <w:lang w:val="en-US" w:eastAsia="zh-CN"/>
        </w:rPr>
        <w:t>120m范围受空间限制，运输巷道曲率半径偏小，无法布置采场，本次作为设计损失不予利用，另外4线以西距4线88m至5线间390m标高以下压占部分矿石，经估算，PD443</w:t>
      </w:r>
      <w:r>
        <w:rPr>
          <w:rFonts w:hint="eastAsia" w:ascii="宋体" w:hAnsi="宋体" w:eastAsia="宋体" w:cs="宋体"/>
          <w:color w:val="auto"/>
          <w:sz w:val="28"/>
          <w:szCs w:val="28"/>
          <w:highlight w:val="none"/>
        </w:rPr>
        <w:t>主</w:t>
      </w:r>
      <w:r>
        <w:rPr>
          <w:rFonts w:hint="eastAsia" w:ascii="宋体" w:hAnsi="宋体" w:eastAsia="宋体" w:cs="宋体"/>
          <w:color w:val="auto"/>
          <w:sz w:val="28"/>
          <w:szCs w:val="28"/>
          <w:highlight w:val="none"/>
          <w:lang w:eastAsia="zh-CN"/>
        </w:rPr>
        <w:t>平硐</w:t>
      </w:r>
      <w:r>
        <w:rPr>
          <w:rFonts w:hint="eastAsia" w:ascii="宋体" w:hAnsi="宋体" w:eastAsia="宋体" w:cs="宋体"/>
          <w:color w:val="auto"/>
          <w:sz w:val="28"/>
          <w:szCs w:val="28"/>
          <w:highlight w:val="none"/>
        </w:rPr>
        <w:t>两侧</w:t>
      </w:r>
      <w:r>
        <w:rPr>
          <w:rFonts w:hint="eastAsia" w:ascii="宋体" w:hAnsi="宋体" w:eastAsia="宋体" w:cs="宋体"/>
          <w:color w:val="auto"/>
          <w:sz w:val="28"/>
          <w:szCs w:val="28"/>
          <w:highlight w:val="none"/>
          <w:lang w:eastAsia="zh-CN"/>
        </w:rPr>
        <w:t>及</w:t>
      </w:r>
      <w:r>
        <w:rPr>
          <w:rFonts w:hint="eastAsia" w:ascii="宋体" w:hAnsi="宋体" w:eastAsia="宋体" w:cs="宋体"/>
          <w:color w:val="auto"/>
          <w:sz w:val="28"/>
          <w:szCs w:val="28"/>
          <w:highlight w:val="none"/>
          <w:lang w:val="en-US" w:eastAsia="zh-CN"/>
        </w:rPr>
        <w:t>4线以西距4线88m至5线间390m标高以下共压占</w:t>
      </w:r>
      <w:r>
        <w:rPr>
          <w:rFonts w:hint="eastAsia" w:ascii="宋体" w:hAnsi="宋体" w:eastAsia="宋体" w:cs="宋体"/>
          <w:color w:val="auto"/>
          <w:sz w:val="28"/>
          <w:szCs w:val="28"/>
          <w:highlight w:val="none"/>
          <w:lang w:eastAsia="zh-CN"/>
        </w:rPr>
        <w:t>方解石矿、白云石方解石矿总矿石</w:t>
      </w:r>
      <w:r>
        <w:rPr>
          <w:rFonts w:hint="eastAsia" w:ascii="宋体" w:hAnsi="宋体" w:eastAsia="宋体" w:cs="宋体"/>
          <w:color w:val="auto"/>
          <w:sz w:val="28"/>
          <w:szCs w:val="28"/>
          <w:highlight w:val="none"/>
          <w:lang w:val="en-US" w:eastAsia="zh-CN"/>
        </w:rPr>
        <w:t>资源量约139.24万吨（</w:t>
      </w:r>
      <w:r>
        <w:rPr>
          <w:rFonts w:hint="eastAsia" w:ascii="宋体" w:hAnsi="宋体" w:eastAsia="宋体" w:cs="宋体"/>
          <w:color w:val="auto"/>
          <w:sz w:val="28"/>
          <w:szCs w:val="28"/>
          <w:highlight w:val="none"/>
          <w:lang w:eastAsia="zh-CN"/>
        </w:rPr>
        <w:t>方解石</w:t>
      </w:r>
      <w:r>
        <w:rPr>
          <w:rFonts w:hint="eastAsia" w:ascii="宋体" w:hAnsi="宋体" w:eastAsia="宋体" w:cs="宋体"/>
          <w:color w:val="auto"/>
          <w:sz w:val="28"/>
          <w:szCs w:val="28"/>
          <w:highlight w:val="none"/>
          <w:lang w:val="en-US" w:eastAsia="zh-CN"/>
        </w:rPr>
        <w:t>75.19</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64.05万吨），其中控制资源量约8.75万吨（</w:t>
      </w:r>
      <w:r>
        <w:rPr>
          <w:rFonts w:hint="eastAsia" w:ascii="宋体" w:hAnsi="宋体" w:eastAsia="宋体" w:cs="宋体"/>
          <w:color w:val="auto"/>
          <w:sz w:val="28"/>
          <w:szCs w:val="28"/>
          <w:highlight w:val="none"/>
          <w:lang w:eastAsia="zh-CN"/>
        </w:rPr>
        <w:t>方解石</w:t>
      </w:r>
      <w:r>
        <w:rPr>
          <w:rFonts w:hint="eastAsia" w:ascii="宋体" w:hAnsi="宋体" w:eastAsia="宋体" w:cs="宋体"/>
          <w:color w:val="auto"/>
          <w:sz w:val="28"/>
          <w:szCs w:val="28"/>
          <w:highlight w:val="none"/>
          <w:lang w:val="en-US" w:eastAsia="zh-CN"/>
        </w:rPr>
        <w:t>4.72</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4.03万吨），推断资源量约130.49万吨（</w:t>
      </w:r>
      <w:r>
        <w:rPr>
          <w:rFonts w:hint="eastAsia" w:ascii="宋体" w:hAnsi="宋体" w:eastAsia="宋体" w:cs="宋体"/>
          <w:color w:val="auto"/>
          <w:sz w:val="28"/>
          <w:szCs w:val="28"/>
          <w:highlight w:val="none"/>
          <w:lang w:eastAsia="zh-CN"/>
        </w:rPr>
        <w:t>方解石</w:t>
      </w:r>
      <w:r>
        <w:rPr>
          <w:rFonts w:hint="eastAsia" w:ascii="宋体" w:hAnsi="宋体" w:eastAsia="宋体" w:cs="宋体"/>
          <w:color w:val="auto"/>
          <w:sz w:val="28"/>
          <w:szCs w:val="28"/>
          <w:highlight w:val="none"/>
          <w:lang w:val="en-US" w:eastAsia="zh-CN"/>
        </w:rPr>
        <w:t>70.47</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60.02万吨）；</w:t>
      </w:r>
      <w:r>
        <w:rPr>
          <w:rFonts w:hint="eastAsia" w:ascii="宋体" w:hAnsi="宋体" w:eastAsia="宋体" w:cs="宋体"/>
          <w:color w:val="auto"/>
          <w:sz w:val="28"/>
          <w:szCs w:val="28"/>
          <w:highlight w:val="none"/>
          <w:lang w:eastAsia="zh-CN"/>
        </w:rPr>
        <w:t>为了确保</w:t>
      </w:r>
      <w:r>
        <w:rPr>
          <w:rFonts w:hint="eastAsia" w:ascii="宋体" w:hAnsi="宋体" w:eastAsia="宋体" w:cs="宋体"/>
          <w:color w:val="auto"/>
          <w:sz w:val="28"/>
          <w:szCs w:val="28"/>
          <w:highlight w:val="none"/>
        </w:rPr>
        <w:t>矿山通风的安全</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本次设计在回风</w:t>
      </w:r>
      <w:r>
        <w:rPr>
          <w:rFonts w:hint="eastAsia" w:ascii="宋体" w:hAnsi="宋体" w:eastAsia="宋体" w:cs="宋体"/>
          <w:color w:val="auto"/>
          <w:sz w:val="28"/>
          <w:szCs w:val="28"/>
          <w:highlight w:val="none"/>
          <w:lang w:eastAsia="zh-CN"/>
        </w:rPr>
        <w:t>斜井</w:t>
      </w:r>
      <w:r>
        <w:rPr>
          <w:rFonts w:hint="eastAsia" w:ascii="宋体" w:hAnsi="宋体" w:eastAsia="宋体" w:cs="宋体"/>
          <w:color w:val="auto"/>
          <w:sz w:val="28"/>
          <w:szCs w:val="28"/>
          <w:highlight w:val="none"/>
          <w:lang w:val="en-US" w:eastAsia="zh-CN"/>
        </w:rPr>
        <w:t>XJ472</w:t>
      </w:r>
      <w:r>
        <w:rPr>
          <w:rFonts w:hint="eastAsia" w:ascii="宋体" w:hAnsi="宋体" w:eastAsia="宋体" w:cs="宋体"/>
          <w:color w:val="auto"/>
          <w:sz w:val="28"/>
          <w:szCs w:val="28"/>
          <w:highlight w:val="none"/>
        </w:rPr>
        <w:t>周边均留设20m保安矿柱</w:t>
      </w:r>
      <w:r>
        <w:rPr>
          <w:rFonts w:hint="eastAsia" w:ascii="宋体" w:hAnsi="宋体" w:eastAsia="宋体" w:cs="宋体"/>
          <w:color w:val="auto"/>
          <w:sz w:val="28"/>
          <w:szCs w:val="28"/>
          <w:highlight w:val="none"/>
          <w:lang w:eastAsia="zh-CN"/>
        </w:rPr>
        <w:t>，经估算，该保安矿柱压占方解石矿、白云石方解石矿总矿石资源量约</w:t>
      </w:r>
      <w:r>
        <w:rPr>
          <w:rFonts w:hint="eastAsia" w:ascii="宋体" w:hAnsi="宋体" w:eastAsia="宋体" w:cs="宋体"/>
          <w:color w:val="auto"/>
          <w:sz w:val="28"/>
          <w:szCs w:val="28"/>
          <w:highlight w:val="none"/>
          <w:lang w:val="en-US" w:eastAsia="zh-CN"/>
        </w:rPr>
        <w:t>56.63</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31.15</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25.48万吨</w:t>
      </w:r>
      <w:r>
        <w:rPr>
          <w:rFonts w:hint="eastAsia" w:ascii="宋体" w:hAnsi="宋体" w:eastAsia="宋体" w:cs="宋体"/>
          <w:color w:val="auto"/>
          <w:sz w:val="28"/>
          <w:szCs w:val="28"/>
          <w:highlight w:val="none"/>
          <w:lang w:eastAsia="zh-CN"/>
        </w:rPr>
        <w:t>），其中控制资源量为</w:t>
      </w:r>
      <w:r>
        <w:rPr>
          <w:rFonts w:hint="eastAsia" w:ascii="宋体" w:hAnsi="宋体" w:eastAsia="宋体" w:cs="宋体"/>
          <w:color w:val="auto"/>
          <w:sz w:val="28"/>
          <w:szCs w:val="28"/>
          <w:highlight w:val="none"/>
          <w:lang w:val="en-US" w:eastAsia="zh-CN"/>
        </w:rPr>
        <w:t>27.75</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12.46</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15.29万吨</w:t>
      </w:r>
      <w:r>
        <w:rPr>
          <w:rFonts w:hint="eastAsia" w:ascii="宋体" w:hAnsi="宋体" w:eastAsia="宋体" w:cs="宋体"/>
          <w:color w:val="auto"/>
          <w:sz w:val="28"/>
          <w:szCs w:val="28"/>
          <w:highlight w:val="none"/>
          <w:lang w:eastAsia="zh-CN"/>
        </w:rPr>
        <w:t>），推断资源量为</w:t>
      </w:r>
      <w:r>
        <w:rPr>
          <w:rFonts w:hint="eastAsia" w:ascii="宋体" w:hAnsi="宋体" w:eastAsia="宋体" w:cs="宋体"/>
          <w:color w:val="auto"/>
          <w:sz w:val="28"/>
          <w:szCs w:val="28"/>
          <w:highlight w:val="none"/>
          <w:lang w:val="en-US" w:eastAsia="zh-CN"/>
        </w:rPr>
        <w:t>28.88</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18.69</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10.19万吨</w:t>
      </w:r>
      <w:r>
        <w:rPr>
          <w:rFonts w:hint="eastAsia" w:ascii="宋体" w:hAnsi="宋体" w:eastAsia="宋体" w:cs="宋体"/>
          <w:color w:val="auto"/>
          <w:sz w:val="28"/>
          <w:szCs w:val="28"/>
          <w:highlight w:val="none"/>
          <w:lang w:eastAsia="zh-CN"/>
        </w:rPr>
        <w:t>）</w:t>
      </w:r>
    </w:p>
    <w:p w14:paraId="4A01A122">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综上所述，本次设计损失总矿石资源量为</w:t>
      </w:r>
      <w:r>
        <w:rPr>
          <w:rFonts w:hint="eastAsia" w:ascii="宋体" w:hAnsi="宋体" w:eastAsia="宋体" w:cs="宋体"/>
          <w:color w:val="auto"/>
          <w:sz w:val="28"/>
          <w:szCs w:val="28"/>
          <w:highlight w:val="none"/>
          <w:lang w:val="en-US" w:eastAsia="zh-CN"/>
        </w:rPr>
        <w:t>970.29</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651.85</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318.44万吨</w:t>
      </w:r>
      <w:r>
        <w:rPr>
          <w:rFonts w:hint="eastAsia" w:ascii="宋体" w:hAnsi="宋体" w:eastAsia="宋体" w:cs="宋体"/>
          <w:color w:val="auto"/>
          <w:sz w:val="28"/>
          <w:szCs w:val="28"/>
          <w:highlight w:val="none"/>
          <w:lang w:eastAsia="zh-CN"/>
        </w:rPr>
        <w:t>），其中探明资源量为</w:t>
      </w:r>
      <w:r>
        <w:rPr>
          <w:rFonts w:hint="eastAsia" w:ascii="宋体" w:hAnsi="宋体" w:eastAsia="宋体" w:cs="宋体"/>
          <w:color w:val="auto"/>
          <w:sz w:val="28"/>
          <w:szCs w:val="28"/>
          <w:highlight w:val="none"/>
          <w:lang w:val="en-US" w:eastAsia="zh-CN"/>
        </w:rPr>
        <w:t>71.74</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71.74</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0万吨</w:t>
      </w:r>
      <w:r>
        <w:rPr>
          <w:rFonts w:hint="eastAsia" w:ascii="宋体" w:hAnsi="宋体" w:eastAsia="宋体" w:cs="宋体"/>
          <w:color w:val="auto"/>
          <w:sz w:val="28"/>
          <w:szCs w:val="28"/>
          <w:highlight w:val="none"/>
          <w:lang w:eastAsia="zh-CN"/>
        </w:rPr>
        <w:t>），控制资源量为</w:t>
      </w:r>
      <w:r>
        <w:rPr>
          <w:rFonts w:hint="eastAsia" w:ascii="宋体" w:hAnsi="宋体" w:eastAsia="宋体" w:cs="宋体"/>
          <w:color w:val="auto"/>
          <w:sz w:val="28"/>
          <w:szCs w:val="28"/>
          <w:highlight w:val="none"/>
          <w:lang w:val="en-US" w:eastAsia="zh-CN"/>
        </w:rPr>
        <w:t>241.06</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200.39</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40.67万吨</w:t>
      </w:r>
      <w:r>
        <w:rPr>
          <w:rFonts w:hint="eastAsia" w:ascii="宋体" w:hAnsi="宋体" w:eastAsia="宋体" w:cs="宋体"/>
          <w:color w:val="auto"/>
          <w:sz w:val="28"/>
          <w:szCs w:val="28"/>
          <w:highlight w:val="none"/>
          <w:lang w:eastAsia="zh-CN"/>
        </w:rPr>
        <w:t>），推断资源量为</w:t>
      </w:r>
      <w:r>
        <w:rPr>
          <w:rFonts w:hint="eastAsia" w:ascii="宋体" w:hAnsi="宋体" w:eastAsia="宋体" w:cs="宋体"/>
          <w:color w:val="auto"/>
          <w:sz w:val="28"/>
          <w:szCs w:val="28"/>
          <w:highlight w:val="none"/>
          <w:lang w:val="en-US" w:eastAsia="zh-CN"/>
        </w:rPr>
        <w:t>657.49</w:t>
      </w:r>
      <w:r>
        <w:rPr>
          <w:rFonts w:hint="eastAsia" w:ascii="宋体" w:hAnsi="宋体" w:eastAsia="宋体" w:cs="宋体"/>
          <w:color w:val="auto"/>
          <w:sz w:val="28"/>
          <w:szCs w:val="28"/>
          <w:highlight w:val="none"/>
          <w:lang w:eastAsia="zh-CN"/>
        </w:rPr>
        <w:t>万吨（方解石</w:t>
      </w:r>
      <w:r>
        <w:rPr>
          <w:rFonts w:hint="eastAsia" w:ascii="宋体" w:hAnsi="宋体" w:eastAsia="宋体" w:cs="宋体"/>
          <w:color w:val="auto"/>
          <w:sz w:val="28"/>
          <w:szCs w:val="28"/>
          <w:highlight w:val="none"/>
          <w:lang w:val="en-US" w:eastAsia="zh-CN"/>
        </w:rPr>
        <w:t>379.72</w:t>
      </w:r>
      <w:r>
        <w:rPr>
          <w:rFonts w:hint="eastAsia" w:ascii="宋体" w:hAnsi="宋体" w:eastAsia="宋体" w:cs="宋体"/>
          <w:color w:val="auto"/>
          <w:sz w:val="28"/>
          <w:szCs w:val="28"/>
          <w:highlight w:val="none"/>
          <w:lang w:eastAsia="zh-CN"/>
        </w:rPr>
        <w:t>万吨，白云石方解石</w:t>
      </w:r>
      <w:r>
        <w:rPr>
          <w:rFonts w:hint="eastAsia" w:ascii="宋体" w:hAnsi="宋体" w:eastAsia="宋体" w:cs="宋体"/>
          <w:color w:val="auto"/>
          <w:sz w:val="28"/>
          <w:szCs w:val="28"/>
          <w:highlight w:val="none"/>
          <w:lang w:val="en-US" w:eastAsia="zh-CN"/>
        </w:rPr>
        <w:t>277.77万吨</w:t>
      </w:r>
      <w:r>
        <w:rPr>
          <w:rFonts w:hint="eastAsia" w:ascii="宋体" w:hAnsi="宋体" w:eastAsia="宋体" w:cs="宋体"/>
          <w:color w:val="auto"/>
          <w:sz w:val="28"/>
          <w:szCs w:val="28"/>
          <w:highlight w:val="none"/>
          <w:lang w:eastAsia="zh-CN"/>
        </w:rPr>
        <w:t>）。</w:t>
      </w:r>
    </w:p>
    <w:p w14:paraId="314716A2">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3、设计利用储量</w:t>
      </w:r>
    </w:p>
    <w:p w14:paraId="0A901E55">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探明资源量可靠程度高，控制资源量可靠程度较高，本次设计均全部利用；推断资源量可靠程度相对较低，鉴于该矿属开采多年的矿山，本次可信度系数取0.8。</w:t>
      </w:r>
    </w:p>
    <w:p w14:paraId="552FC9E3">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设计利用储量=（探明资源量</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eastAsia="zh-CN"/>
        </w:rPr>
        <w:t>控制资源量+推断资源量</w:t>
      </w:r>
      <w:r>
        <w:rPr>
          <w:rFonts w:hint="default" w:ascii="Arial" w:hAnsi="Arial" w:eastAsia="宋体" w:cs="Arial"/>
          <w:color w:val="auto"/>
          <w:sz w:val="28"/>
          <w:szCs w:val="28"/>
          <w:highlight w:val="none"/>
          <w:lang w:eastAsia="zh-CN"/>
        </w:rPr>
        <w:t>×</w:t>
      </w:r>
      <w:r>
        <w:rPr>
          <w:rFonts w:hint="eastAsia" w:ascii="宋体" w:hAnsi="宋体" w:eastAsia="宋体" w:cs="宋体"/>
          <w:color w:val="auto"/>
          <w:sz w:val="28"/>
          <w:szCs w:val="28"/>
          <w:highlight w:val="none"/>
          <w:lang w:eastAsia="zh-CN"/>
        </w:rPr>
        <w:t>可信度）-</w:t>
      </w:r>
    </w:p>
    <w:p w14:paraId="427989B3">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设计损失</w:t>
      </w:r>
    </w:p>
    <w:p w14:paraId="5D3778E4">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258.8</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531.64+924.71</w:t>
      </w:r>
      <w:r>
        <w:rPr>
          <w:rFonts w:hint="default" w:ascii="Arial" w:hAnsi="Arial" w:eastAsia="宋体" w:cs="Arial"/>
          <w:color w:val="auto"/>
          <w:sz w:val="28"/>
          <w:szCs w:val="28"/>
          <w:highlight w:val="none"/>
          <w:lang w:eastAsia="zh-CN"/>
        </w:rPr>
        <w:t>×</w:t>
      </w:r>
      <w:r>
        <w:rPr>
          <w:rFonts w:hint="eastAsia" w:ascii="宋体" w:hAnsi="宋体" w:eastAsia="宋体" w:cs="宋体"/>
          <w:color w:val="auto"/>
          <w:sz w:val="28"/>
          <w:szCs w:val="28"/>
          <w:highlight w:val="none"/>
          <w:lang w:eastAsia="zh-CN"/>
        </w:rPr>
        <w:t>0.8）-（</w:t>
      </w:r>
      <w:r>
        <w:rPr>
          <w:rFonts w:hint="eastAsia" w:ascii="宋体" w:hAnsi="宋体" w:eastAsia="宋体" w:cs="宋体"/>
          <w:color w:val="auto"/>
          <w:sz w:val="28"/>
          <w:szCs w:val="28"/>
          <w:highlight w:val="none"/>
          <w:lang w:val="en-US" w:eastAsia="zh-CN"/>
        </w:rPr>
        <w:t>71.74</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241.06+657.49</w:t>
      </w:r>
    </w:p>
    <w:p w14:paraId="1DC2A1F9">
      <w:pPr>
        <w:keepNext w:val="0"/>
        <w:keepLines w:val="0"/>
        <w:pageBreakBefore w:val="0"/>
        <w:widowControl w:val="0"/>
        <w:kinsoku/>
        <w:wordWrap/>
        <w:overflowPunct/>
        <w:topLinePunct w:val="0"/>
        <w:autoSpaceDE/>
        <w:autoSpaceDN/>
        <w:bidi w:val="0"/>
        <w:adjustRightInd w:val="0"/>
        <w:snapToGrid w:val="0"/>
        <w:spacing w:line="360" w:lineRule="auto"/>
        <w:ind w:firstLine="2470" w:firstLineChars="867"/>
        <w:textAlignment w:val="baseline"/>
        <w:rPr>
          <w:rFonts w:hint="eastAsia" w:ascii="宋体" w:hAnsi="宋体" w:eastAsia="宋体" w:cs="宋体"/>
          <w:color w:val="auto"/>
          <w:sz w:val="28"/>
          <w:szCs w:val="28"/>
          <w:highlight w:val="none"/>
          <w:lang w:eastAsia="zh-CN"/>
        </w:rPr>
      </w:pPr>
      <w:r>
        <w:rPr>
          <w:rFonts w:hint="default" w:ascii="Arial" w:hAnsi="Arial" w:eastAsia="宋体" w:cs="Arial"/>
          <w:color w:val="auto"/>
          <w:sz w:val="28"/>
          <w:szCs w:val="28"/>
          <w:highlight w:val="none"/>
          <w:lang w:eastAsia="zh-CN"/>
        </w:rPr>
        <w:t>×</w:t>
      </w:r>
      <w:r>
        <w:rPr>
          <w:rFonts w:hint="eastAsia" w:ascii="宋体" w:hAnsi="宋体" w:eastAsia="宋体" w:cs="宋体"/>
          <w:color w:val="auto"/>
          <w:sz w:val="28"/>
          <w:szCs w:val="28"/>
          <w:highlight w:val="none"/>
          <w:lang w:eastAsia="zh-CN"/>
        </w:rPr>
        <w:t>0.8）</w:t>
      </w:r>
    </w:p>
    <w:p w14:paraId="74AF3325">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　　　　　　=</w:t>
      </w:r>
      <w:r>
        <w:rPr>
          <w:rFonts w:hint="eastAsia" w:ascii="宋体" w:hAnsi="宋体" w:eastAsia="宋体" w:cs="宋体"/>
          <w:color w:val="auto"/>
          <w:sz w:val="28"/>
          <w:szCs w:val="28"/>
          <w:highlight w:val="none"/>
          <w:lang w:val="en-US" w:eastAsia="zh-CN"/>
        </w:rPr>
        <w:t>1530.21</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838.79</w:t>
      </w:r>
    </w:p>
    <w:p w14:paraId="0C9300E3">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w:t>
      </w:r>
      <w:r>
        <w:rPr>
          <w:rFonts w:hint="eastAsia" w:ascii="宋体" w:hAnsi="宋体" w:eastAsia="宋体" w:cs="宋体"/>
          <w:color w:val="auto"/>
          <w:sz w:val="28"/>
          <w:szCs w:val="28"/>
          <w:highlight w:val="none"/>
          <w:lang w:val="en-US" w:eastAsia="zh-CN"/>
        </w:rPr>
        <w:t>691.42</w:t>
      </w:r>
      <w:r>
        <w:rPr>
          <w:rFonts w:hint="eastAsia" w:ascii="宋体" w:hAnsi="宋体" w:eastAsia="宋体" w:cs="宋体"/>
          <w:color w:val="auto"/>
          <w:sz w:val="28"/>
          <w:szCs w:val="28"/>
          <w:highlight w:val="none"/>
          <w:lang w:eastAsia="zh-CN"/>
        </w:rPr>
        <w:t>万吨</w:t>
      </w:r>
    </w:p>
    <w:p w14:paraId="151BDEB7">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根据计算结果，本次设计利用储量为</w:t>
      </w:r>
      <w:r>
        <w:rPr>
          <w:rFonts w:hint="eastAsia" w:ascii="宋体" w:hAnsi="宋体" w:eastAsia="宋体" w:cs="宋体"/>
          <w:color w:val="auto"/>
          <w:sz w:val="28"/>
          <w:szCs w:val="28"/>
          <w:highlight w:val="none"/>
          <w:lang w:val="en-US" w:eastAsia="zh-CN"/>
        </w:rPr>
        <w:t>691.42万吨。其中</w:t>
      </w:r>
      <w:r>
        <w:rPr>
          <w:rFonts w:hint="eastAsia" w:ascii="宋体" w:hAnsi="宋体" w:eastAsia="宋体" w:cs="宋体"/>
          <w:color w:val="auto"/>
          <w:sz w:val="28"/>
          <w:szCs w:val="28"/>
          <w:highlight w:val="none"/>
          <w:lang w:eastAsia="zh-CN"/>
        </w:rPr>
        <w:t>方解石矿</w:t>
      </w:r>
      <w:r>
        <w:rPr>
          <w:rFonts w:hint="eastAsia" w:ascii="宋体" w:hAnsi="宋体" w:eastAsia="宋体" w:cs="宋体"/>
          <w:color w:val="auto"/>
          <w:sz w:val="28"/>
          <w:szCs w:val="28"/>
          <w:highlight w:val="none"/>
          <w:lang w:val="en-US" w:eastAsia="zh-CN"/>
        </w:rPr>
        <w:t>377.35万吨，</w:t>
      </w:r>
      <w:r>
        <w:rPr>
          <w:rFonts w:hint="eastAsia" w:ascii="宋体" w:hAnsi="宋体" w:eastAsia="宋体" w:cs="宋体"/>
          <w:color w:val="auto"/>
          <w:sz w:val="28"/>
          <w:szCs w:val="28"/>
          <w:highlight w:val="none"/>
          <w:lang w:eastAsia="zh-CN"/>
        </w:rPr>
        <w:t>白云石方解石矿</w:t>
      </w:r>
      <w:r>
        <w:rPr>
          <w:rFonts w:hint="eastAsia" w:ascii="宋体" w:hAnsi="宋体" w:eastAsia="宋体" w:cs="宋体"/>
          <w:color w:val="auto"/>
          <w:sz w:val="28"/>
          <w:szCs w:val="28"/>
          <w:highlight w:val="none"/>
          <w:lang w:val="en-US" w:eastAsia="zh-CN"/>
        </w:rPr>
        <w:t>314.07万吨。</w:t>
      </w:r>
    </w:p>
    <w:p w14:paraId="02C74AAD">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4、可采储量</w:t>
      </w:r>
    </w:p>
    <w:p w14:paraId="6DB2F077">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eastAsia="zh-CN"/>
        </w:rPr>
      </w:pPr>
      <w:r>
        <w:rPr>
          <w:rFonts w:hint="eastAsia" w:ascii="宋体" w:hAnsi="宋体" w:eastAsia="宋体" w:cs="宋体"/>
          <w:color w:val="auto"/>
          <w:spacing w:val="-2"/>
          <w:sz w:val="28"/>
          <w:szCs w:val="28"/>
          <w:highlight w:val="none"/>
          <w:lang w:eastAsia="zh-CN"/>
        </w:rPr>
        <w:t>本次设计利用资源量为</w:t>
      </w:r>
      <w:r>
        <w:rPr>
          <w:rFonts w:hint="eastAsia" w:ascii="宋体" w:hAnsi="宋体" w:eastAsia="宋体" w:cs="宋体"/>
          <w:color w:val="auto"/>
          <w:sz w:val="28"/>
          <w:szCs w:val="28"/>
          <w:highlight w:val="none"/>
          <w:lang w:val="en-US" w:eastAsia="zh-CN"/>
        </w:rPr>
        <w:t>691.42</w:t>
      </w:r>
      <w:r>
        <w:rPr>
          <w:rFonts w:hint="eastAsia" w:ascii="宋体" w:hAnsi="宋体" w:eastAsia="宋体" w:cs="宋体"/>
          <w:color w:val="auto"/>
          <w:spacing w:val="-2"/>
          <w:sz w:val="28"/>
          <w:szCs w:val="28"/>
          <w:highlight w:val="none"/>
          <w:lang w:eastAsia="zh-CN"/>
        </w:rPr>
        <w:t>万吨。根据《矿产资源“三率”指标要求 第6部分：石墨等26种非金属矿产》（DZ/T 0462.</w:t>
      </w:r>
      <w:r>
        <w:rPr>
          <w:rFonts w:hint="eastAsia" w:ascii="宋体" w:hAnsi="宋体" w:eastAsia="宋体" w:cs="宋体"/>
          <w:color w:val="auto"/>
          <w:spacing w:val="-2"/>
          <w:sz w:val="28"/>
          <w:szCs w:val="28"/>
          <w:highlight w:val="none"/>
          <w:lang w:val="en-US" w:eastAsia="zh-CN"/>
        </w:rPr>
        <w:t>6</w:t>
      </w:r>
      <w:r>
        <w:rPr>
          <w:rFonts w:hint="eastAsia" w:ascii="宋体" w:hAnsi="宋体" w:eastAsia="宋体" w:cs="宋体"/>
          <w:color w:val="auto"/>
          <w:spacing w:val="-2"/>
          <w:sz w:val="28"/>
          <w:szCs w:val="28"/>
          <w:highlight w:val="none"/>
          <w:lang w:eastAsia="zh-CN"/>
        </w:rPr>
        <w:t>-2024</w:t>
      </w:r>
      <w:r>
        <w:rPr>
          <w:rFonts w:hint="eastAsia" w:ascii="宋体" w:hAnsi="宋体" w:eastAsia="宋体" w:cs="宋体"/>
          <w:color w:val="auto"/>
          <w:spacing w:val="-2"/>
          <w:sz w:val="28"/>
          <w:szCs w:val="28"/>
          <w:highlight w:val="none"/>
          <w:lang w:eastAsia="zh-CN"/>
        </w:rPr>
        <w:tab/>
      </w:r>
      <w:r>
        <w:rPr>
          <w:rFonts w:hint="eastAsia" w:ascii="宋体" w:hAnsi="宋体" w:eastAsia="宋体" w:cs="宋体"/>
          <w:color w:val="auto"/>
          <w:spacing w:val="-2"/>
          <w:sz w:val="28"/>
          <w:szCs w:val="28"/>
          <w:highlight w:val="none"/>
          <w:lang w:eastAsia="zh-CN"/>
        </w:rPr>
        <w:t>）和本矿两种采矿法的参数计算，本次采矿回采率按</w:t>
      </w:r>
      <w:r>
        <w:rPr>
          <w:rFonts w:hint="eastAsia" w:ascii="宋体" w:hAnsi="宋体" w:eastAsia="宋体" w:cs="宋体"/>
          <w:color w:val="auto"/>
          <w:spacing w:val="-2"/>
          <w:sz w:val="28"/>
          <w:szCs w:val="28"/>
          <w:highlight w:val="none"/>
          <w:lang w:val="en-US" w:eastAsia="zh-CN"/>
        </w:rPr>
        <w:t>75</w:t>
      </w:r>
      <w:r>
        <w:rPr>
          <w:rFonts w:hint="eastAsia" w:ascii="宋体" w:hAnsi="宋体" w:eastAsia="宋体" w:cs="宋体"/>
          <w:color w:val="auto"/>
          <w:spacing w:val="-2"/>
          <w:sz w:val="28"/>
          <w:szCs w:val="28"/>
          <w:highlight w:val="none"/>
          <w:lang w:eastAsia="zh-CN"/>
        </w:rPr>
        <w:t>％计算，确定本矿的可采储量为</w:t>
      </w:r>
      <w:r>
        <w:rPr>
          <w:rFonts w:hint="eastAsia" w:ascii="宋体" w:hAnsi="宋体" w:eastAsia="宋体" w:cs="宋体"/>
          <w:color w:val="auto"/>
          <w:spacing w:val="-2"/>
          <w:sz w:val="28"/>
          <w:szCs w:val="28"/>
          <w:highlight w:val="none"/>
          <w:lang w:val="en-US" w:eastAsia="zh-CN"/>
        </w:rPr>
        <w:t>518.57</w:t>
      </w:r>
      <w:r>
        <w:rPr>
          <w:rFonts w:hint="eastAsia" w:ascii="宋体" w:hAnsi="宋体" w:eastAsia="宋体" w:cs="宋体"/>
          <w:color w:val="auto"/>
          <w:spacing w:val="-2"/>
          <w:sz w:val="28"/>
          <w:szCs w:val="28"/>
          <w:highlight w:val="none"/>
          <w:lang w:eastAsia="zh-CN"/>
        </w:rPr>
        <w:t>万吨，</w:t>
      </w:r>
      <w:r>
        <w:rPr>
          <w:rFonts w:hint="eastAsia" w:ascii="宋体" w:hAnsi="宋体" w:eastAsia="宋体" w:cs="宋体"/>
          <w:color w:val="auto"/>
          <w:spacing w:val="-2"/>
          <w:sz w:val="28"/>
          <w:szCs w:val="28"/>
          <w:highlight w:val="none"/>
          <w:lang w:val="en-US" w:eastAsia="zh-CN"/>
        </w:rPr>
        <w:t>其中</w:t>
      </w:r>
      <w:r>
        <w:rPr>
          <w:rFonts w:hint="eastAsia" w:ascii="宋体" w:hAnsi="宋体" w:eastAsia="宋体" w:cs="宋体"/>
          <w:color w:val="auto"/>
          <w:spacing w:val="-2"/>
          <w:sz w:val="28"/>
          <w:szCs w:val="28"/>
          <w:highlight w:val="none"/>
          <w:lang w:eastAsia="zh-CN"/>
        </w:rPr>
        <w:t>方解石矿</w:t>
      </w:r>
      <w:r>
        <w:rPr>
          <w:rFonts w:hint="eastAsia" w:ascii="宋体" w:hAnsi="宋体" w:eastAsia="宋体" w:cs="宋体"/>
          <w:color w:val="auto"/>
          <w:spacing w:val="-2"/>
          <w:sz w:val="28"/>
          <w:szCs w:val="28"/>
          <w:highlight w:val="none"/>
          <w:lang w:val="en-US" w:eastAsia="zh-CN"/>
        </w:rPr>
        <w:t>283.01万吨，</w:t>
      </w:r>
      <w:r>
        <w:rPr>
          <w:rFonts w:hint="eastAsia" w:ascii="宋体" w:hAnsi="宋体" w:eastAsia="宋体" w:cs="宋体"/>
          <w:color w:val="auto"/>
          <w:spacing w:val="-2"/>
          <w:sz w:val="28"/>
          <w:szCs w:val="28"/>
          <w:highlight w:val="none"/>
          <w:lang w:eastAsia="zh-CN"/>
        </w:rPr>
        <w:t>白云石方解石矿</w:t>
      </w:r>
      <w:r>
        <w:rPr>
          <w:rFonts w:hint="eastAsia" w:ascii="宋体" w:hAnsi="宋体" w:eastAsia="宋体" w:cs="宋体"/>
          <w:color w:val="auto"/>
          <w:spacing w:val="-2"/>
          <w:sz w:val="28"/>
          <w:szCs w:val="28"/>
          <w:highlight w:val="none"/>
          <w:lang w:val="en-US" w:eastAsia="zh-CN"/>
        </w:rPr>
        <w:t>235.56万吨；</w:t>
      </w:r>
      <w:r>
        <w:rPr>
          <w:rFonts w:hint="eastAsia" w:ascii="宋体" w:hAnsi="宋体" w:eastAsia="宋体" w:cs="宋体"/>
          <w:color w:val="auto"/>
          <w:spacing w:val="-2"/>
          <w:sz w:val="28"/>
          <w:szCs w:val="28"/>
          <w:highlight w:val="none"/>
          <w:lang w:eastAsia="zh-CN"/>
        </w:rPr>
        <w:t>采矿损失量为</w:t>
      </w:r>
      <w:r>
        <w:rPr>
          <w:rFonts w:hint="eastAsia" w:ascii="宋体" w:hAnsi="宋体" w:eastAsia="宋体" w:cs="宋体"/>
          <w:color w:val="auto"/>
          <w:spacing w:val="-2"/>
          <w:sz w:val="28"/>
          <w:szCs w:val="28"/>
          <w:highlight w:val="none"/>
          <w:lang w:val="en-US" w:eastAsia="zh-CN"/>
        </w:rPr>
        <w:t>172.85</w:t>
      </w:r>
      <w:r>
        <w:rPr>
          <w:rFonts w:hint="eastAsia" w:ascii="宋体" w:hAnsi="宋体" w:eastAsia="宋体" w:cs="宋体"/>
          <w:color w:val="auto"/>
          <w:spacing w:val="-2"/>
          <w:sz w:val="28"/>
          <w:szCs w:val="28"/>
          <w:highlight w:val="none"/>
          <w:lang w:eastAsia="zh-CN"/>
        </w:rPr>
        <w:t>万吨，</w:t>
      </w:r>
      <w:r>
        <w:rPr>
          <w:rFonts w:hint="eastAsia" w:ascii="宋体" w:hAnsi="宋体" w:eastAsia="宋体" w:cs="宋体"/>
          <w:color w:val="auto"/>
          <w:spacing w:val="-2"/>
          <w:sz w:val="28"/>
          <w:szCs w:val="28"/>
          <w:highlight w:val="none"/>
          <w:lang w:val="en-US" w:eastAsia="zh-CN"/>
        </w:rPr>
        <w:t>其中</w:t>
      </w:r>
      <w:r>
        <w:rPr>
          <w:rFonts w:hint="eastAsia" w:ascii="宋体" w:hAnsi="宋体" w:eastAsia="宋体" w:cs="宋体"/>
          <w:color w:val="auto"/>
          <w:spacing w:val="-2"/>
          <w:sz w:val="28"/>
          <w:szCs w:val="28"/>
          <w:highlight w:val="none"/>
          <w:lang w:eastAsia="zh-CN"/>
        </w:rPr>
        <w:t>方解石矿</w:t>
      </w:r>
      <w:r>
        <w:rPr>
          <w:rFonts w:hint="eastAsia" w:ascii="宋体" w:hAnsi="宋体" w:eastAsia="宋体" w:cs="宋体"/>
          <w:color w:val="auto"/>
          <w:spacing w:val="-2"/>
          <w:sz w:val="28"/>
          <w:szCs w:val="28"/>
          <w:highlight w:val="none"/>
          <w:lang w:val="en-US" w:eastAsia="zh-CN"/>
        </w:rPr>
        <w:t>94.34万吨，</w:t>
      </w:r>
      <w:r>
        <w:rPr>
          <w:rFonts w:hint="eastAsia" w:ascii="宋体" w:hAnsi="宋体" w:eastAsia="宋体" w:cs="宋体"/>
          <w:color w:val="auto"/>
          <w:spacing w:val="-2"/>
          <w:sz w:val="28"/>
          <w:szCs w:val="28"/>
          <w:highlight w:val="none"/>
          <w:lang w:eastAsia="zh-CN"/>
        </w:rPr>
        <w:t>白云石方解石矿</w:t>
      </w:r>
      <w:r>
        <w:rPr>
          <w:rFonts w:hint="eastAsia" w:ascii="宋体" w:hAnsi="宋体" w:eastAsia="宋体" w:cs="宋体"/>
          <w:color w:val="auto"/>
          <w:spacing w:val="-2"/>
          <w:sz w:val="28"/>
          <w:szCs w:val="28"/>
          <w:highlight w:val="none"/>
          <w:lang w:val="en-US" w:eastAsia="zh-CN"/>
        </w:rPr>
        <w:t>78.51万吨。</w:t>
      </w:r>
    </w:p>
    <w:p w14:paraId="13A33768">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eastAsia="zh-CN"/>
        </w:rPr>
      </w:pPr>
      <w:r>
        <w:rPr>
          <w:rFonts w:hint="eastAsia" w:ascii="宋体" w:hAnsi="宋体" w:eastAsia="宋体" w:cs="宋体"/>
          <w:color w:val="auto"/>
          <w:spacing w:val="-2"/>
          <w:sz w:val="28"/>
          <w:szCs w:val="28"/>
          <w:highlight w:val="none"/>
          <w:lang w:eastAsia="zh-CN"/>
        </w:rPr>
        <w:t>根据矿山地采的需要，将本矿井按垂直标高划分为+</w:t>
      </w:r>
      <w:r>
        <w:rPr>
          <w:rFonts w:hint="eastAsia" w:ascii="宋体" w:hAnsi="宋体" w:eastAsia="宋体" w:cs="宋体"/>
          <w:color w:val="auto"/>
          <w:spacing w:val="-2"/>
          <w:sz w:val="28"/>
          <w:szCs w:val="28"/>
          <w:highlight w:val="none"/>
          <w:lang w:val="en-US" w:eastAsia="zh-CN"/>
        </w:rPr>
        <w:t>390</w:t>
      </w:r>
      <w:r>
        <w:rPr>
          <w:rFonts w:hint="eastAsia" w:ascii="宋体" w:hAnsi="宋体" w:eastAsia="宋体" w:cs="宋体"/>
          <w:color w:val="auto"/>
          <w:spacing w:val="-2"/>
          <w:sz w:val="28"/>
          <w:szCs w:val="28"/>
          <w:highlight w:val="none"/>
          <w:lang w:eastAsia="zh-CN"/>
        </w:rPr>
        <w:t>、+</w:t>
      </w:r>
      <w:r>
        <w:rPr>
          <w:rFonts w:hint="eastAsia" w:ascii="宋体" w:hAnsi="宋体" w:eastAsia="宋体" w:cs="宋体"/>
          <w:color w:val="auto"/>
          <w:spacing w:val="-2"/>
          <w:sz w:val="28"/>
          <w:szCs w:val="28"/>
          <w:highlight w:val="none"/>
          <w:lang w:val="en-US" w:eastAsia="zh-CN"/>
        </w:rPr>
        <w:t>340</w:t>
      </w:r>
      <w:r>
        <w:rPr>
          <w:rFonts w:hint="eastAsia" w:ascii="宋体" w:hAnsi="宋体" w:eastAsia="宋体" w:cs="宋体"/>
          <w:color w:val="auto"/>
          <w:spacing w:val="-2"/>
          <w:sz w:val="28"/>
          <w:szCs w:val="28"/>
          <w:highlight w:val="none"/>
          <w:lang w:eastAsia="zh-CN"/>
        </w:rPr>
        <w:t>m、+</w:t>
      </w:r>
      <w:r>
        <w:rPr>
          <w:rFonts w:hint="eastAsia" w:ascii="宋体" w:hAnsi="宋体" w:eastAsia="宋体" w:cs="宋体"/>
          <w:color w:val="auto"/>
          <w:spacing w:val="-2"/>
          <w:sz w:val="28"/>
          <w:szCs w:val="28"/>
          <w:highlight w:val="none"/>
          <w:lang w:val="en-US" w:eastAsia="zh-CN"/>
        </w:rPr>
        <w:t>290</w:t>
      </w:r>
      <w:r>
        <w:rPr>
          <w:rFonts w:hint="eastAsia" w:ascii="宋体" w:hAnsi="宋体" w:eastAsia="宋体" w:cs="宋体"/>
          <w:color w:val="auto"/>
          <w:spacing w:val="-2"/>
          <w:sz w:val="28"/>
          <w:szCs w:val="28"/>
          <w:highlight w:val="none"/>
          <w:lang w:eastAsia="zh-CN"/>
        </w:rPr>
        <w:t>m三个中段，各中段的可采储量估算结果详见表</w:t>
      </w:r>
      <w:r>
        <w:rPr>
          <w:rFonts w:hint="eastAsia" w:ascii="宋体" w:hAnsi="宋体" w:eastAsia="宋体" w:cs="宋体"/>
          <w:color w:val="auto"/>
          <w:spacing w:val="-2"/>
          <w:sz w:val="28"/>
          <w:szCs w:val="28"/>
          <w:highlight w:val="none"/>
          <w:lang w:val="en-US" w:eastAsia="zh-CN"/>
        </w:rPr>
        <w:t>4</w:t>
      </w:r>
      <w:r>
        <w:rPr>
          <w:rFonts w:hint="eastAsia" w:ascii="宋体" w:hAnsi="宋体" w:eastAsia="宋体" w:cs="宋体"/>
          <w:color w:val="auto"/>
          <w:spacing w:val="-2"/>
          <w:sz w:val="28"/>
          <w:szCs w:val="28"/>
          <w:highlight w:val="none"/>
          <w:lang w:eastAsia="zh-CN"/>
        </w:rPr>
        <w:t>-</w:t>
      </w:r>
      <w:r>
        <w:rPr>
          <w:rFonts w:hint="eastAsia" w:ascii="宋体" w:hAnsi="宋体" w:eastAsia="宋体" w:cs="宋体"/>
          <w:color w:val="auto"/>
          <w:spacing w:val="-2"/>
          <w:sz w:val="28"/>
          <w:szCs w:val="28"/>
          <w:highlight w:val="none"/>
          <w:lang w:val="en-US" w:eastAsia="zh-CN"/>
        </w:rPr>
        <w:t>4</w:t>
      </w:r>
      <w:r>
        <w:rPr>
          <w:rFonts w:hint="eastAsia" w:ascii="宋体" w:hAnsi="宋体" w:eastAsia="宋体" w:cs="宋体"/>
          <w:color w:val="auto"/>
          <w:spacing w:val="-2"/>
          <w:sz w:val="28"/>
          <w:szCs w:val="28"/>
          <w:highlight w:val="none"/>
          <w:lang w:eastAsia="zh-CN"/>
        </w:rPr>
        <w:t>。</w:t>
      </w:r>
    </w:p>
    <w:p w14:paraId="6D47F02D">
      <w:pPr>
        <w:keepNext w:val="0"/>
        <w:keepLines w:val="0"/>
        <w:pageBreakBefore w:val="0"/>
        <w:widowControl w:val="0"/>
        <w:kinsoku/>
        <w:wordWrap/>
        <w:overflowPunct/>
        <w:topLinePunct w:val="0"/>
        <w:autoSpaceDE/>
        <w:autoSpaceDN/>
        <w:bidi w:val="0"/>
        <w:adjustRightInd w:val="0"/>
        <w:snapToGrid w:val="0"/>
        <w:spacing w:line="240" w:lineRule="auto"/>
        <w:ind w:firstLine="3325" w:firstLineChars="1167"/>
        <w:textAlignment w:val="baseline"/>
        <w:rPr>
          <w:rFonts w:hint="eastAsia" w:ascii="Times New Roman" w:hAnsi="Times New Roman" w:eastAsia="宋体" w:cs="华文楷体"/>
          <w:color w:val="auto"/>
          <w:sz w:val="28"/>
          <w:szCs w:val="28"/>
          <w:highlight w:val="none"/>
        </w:rPr>
      </w:pPr>
      <w:r>
        <w:rPr>
          <w:rFonts w:hint="eastAsia" w:ascii="Times New Roman" w:hAnsi="Times New Roman" w:eastAsia="宋体" w:cs="Times New Roman"/>
          <w:b/>
          <w:bCs/>
          <w:color w:val="auto"/>
          <w:sz w:val="28"/>
          <w:szCs w:val="28"/>
          <w:highlight w:val="none"/>
        </w:rPr>
        <w:t>各中段</w:t>
      </w:r>
      <w:r>
        <w:rPr>
          <w:rFonts w:hint="eastAsia" w:ascii="Times New Roman" w:hAnsi="Times New Roman" w:eastAsia="宋体" w:cs="Times New Roman"/>
          <w:b/>
          <w:bCs/>
          <w:color w:val="auto"/>
          <w:sz w:val="28"/>
          <w:szCs w:val="28"/>
          <w:highlight w:val="none"/>
          <w:lang w:eastAsia="zh-CN"/>
        </w:rPr>
        <w:t>可采储量</w:t>
      </w:r>
      <w:r>
        <w:rPr>
          <w:rFonts w:hint="eastAsia" w:ascii="Times New Roman" w:hAnsi="Times New Roman" w:eastAsia="宋体" w:cs="Times New Roman"/>
          <w:b/>
          <w:bCs/>
          <w:color w:val="auto"/>
          <w:sz w:val="28"/>
          <w:szCs w:val="28"/>
          <w:highlight w:val="none"/>
        </w:rPr>
        <w:t>表</w:t>
      </w:r>
      <w:r>
        <w:rPr>
          <w:rFonts w:hint="eastAsia" w:ascii="Times New Roman" w:hAnsi="Times New Roman" w:eastAsia="宋体" w:cs="Times New Roman"/>
          <w:b/>
          <w:bCs/>
          <w:color w:val="auto"/>
          <w:sz w:val="28"/>
          <w:szCs w:val="28"/>
          <w:highlight w:val="none"/>
          <w:lang w:val="en-US" w:eastAsia="zh-CN"/>
        </w:rPr>
        <w:t xml:space="preserve">                  </w:t>
      </w:r>
      <w:r>
        <w:rPr>
          <w:rFonts w:hint="eastAsia" w:ascii="Times New Roman" w:hAnsi="Times New Roman" w:eastAsia="宋体" w:cs="Times New Roman"/>
          <w:b/>
          <w:bCs/>
          <w:color w:val="auto"/>
          <w:sz w:val="28"/>
          <w:szCs w:val="28"/>
          <w:highlight w:val="none"/>
        </w:rPr>
        <w:t>表</w:t>
      </w:r>
      <w:r>
        <w:rPr>
          <w:rFonts w:hint="eastAsia" w:ascii="Times New Roman" w:hAnsi="Times New Roman" w:eastAsia="宋体" w:cs="Times New Roman"/>
          <w:b/>
          <w:bCs/>
          <w:color w:val="auto"/>
          <w:sz w:val="28"/>
          <w:szCs w:val="28"/>
          <w:highlight w:val="none"/>
          <w:lang w:val="en-US" w:eastAsia="zh-CN"/>
        </w:rPr>
        <w:t>4</w:t>
      </w:r>
      <w:r>
        <w:rPr>
          <w:rFonts w:hint="eastAsia" w:ascii="Times New Roman" w:hAnsi="Times New Roman" w:eastAsia="宋体" w:cs="Times New Roman"/>
          <w:b/>
          <w:bCs/>
          <w:color w:val="auto"/>
          <w:sz w:val="28"/>
          <w:szCs w:val="28"/>
          <w:highlight w:val="none"/>
        </w:rPr>
        <w:t>-</w:t>
      </w:r>
      <w:r>
        <w:rPr>
          <w:rFonts w:hint="eastAsia" w:ascii="Times New Roman" w:hAnsi="Times New Roman" w:eastAsia="宋体" w:cs="Times New Roman"/>
          <w:b/>
          <w:bCs/>
          <w:color w:val="auto"/>
          <w:sz w:val="28"/>
          <w:szCs w:val="28"/>
          <w:highlight w:val="none"/>
          <w:lang w:val="en-US" w:eastAsia="zh-CN"/>
        </w:rPr>
        <w:t>4</w:t>
      </w:r>
      <w:r>
        <w:rPr>
          <w:rFonts w:hint="eastAsia" w:ascii="Times New Roman" w:hAnsi="Times New Roman" w:eastAsia="宋体" w:cs="华文楷体"/>
          <w:color w:val="auto"/>
          <w:sz w:val="28"/>
          <w:szCs w:val="28"/>
          <w:highlight w:val="none"/>
        </w:rPr>
        <w:t xml:space="preserve"> </w:t>
      </w:r>
    </w:p>
    <w:tbl>
      <w:tblPr>
        <w:tblStyle w:val="18"/>
        <w:tblW w:w="91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0"/>
        <w:gridCol w:w="2048"/>
        <w:gridCol w:w="2085"/>
        <w:gridCol w:w="2070"/>
        <w:gridCol w:w="2035"/>
      </w:tblGrid>
      <w:tr w14:paraId="1322A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571E03B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b w:val="0"/>
                <w:bCs w:val="0"/>
                <w:color w:val="auto"/>
                <w:sz w:val="24"/>
                <w:szCs w:val="24"/>
                <w:highlight w:val="none"/>
              </w:rPr>
            </w:pPr>
            <w:r>
              <w:rPr>
                <w:rFonts w:hint="eastAsia" w:ascii="Times New Roman" w:hAnsi="Times New Roman" w:eastAsia="宋体" w:cs="宋体"/>
                <w:b w:val="0"/>
                <w:bCs w:val="0"/>
                <w:color w:val="auto"/>
                <w:sz w:val="24"/>
                <w:szCs w:val="24"/>
                <w:highlight w:val="none"/>
              </w:rPr>
              <w:t>序号</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00DEB01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b w:val="0"/>
                <w:bCs w:val="0"/>
                <w:color w:val="auto"/>
                <w:sz w:val="24"/>
                <w:szCs w:val="24"/>
                <w:highlight w:val="none"/>
              </w:rPr>
            </w:pPr>
            <w:r>
              <w:rPr>
                <w:rFonts w:hint="eastAsia" w:ascii="Times New Roman" w:hAnsi="Times New Roman" w:eastAsia="宋体" w:cs="宋体"/>
                <w:b w:val="0"/>
                <w:bCs w:val="0"/>
                <w:color w:val="auto"/>
                <w:spacing w:val="2"/>
                <w:sz w:val="24"/>
                <w:szCs w:val="24"/>
                <w:highlight w:val="none"/>
              </w:rPr>
              <w:t>中段名称</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29B4EFF6">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eastAsia" w:ascii="Times New Roman" w:hAnsi="Times New Roman" w:eastAsia="宋体" w:cs="宋体"/>
                <w:b w:val="0"/>
                <w:bCs w:val="0"/>
                <w:color w:val="auto"/>
                <w:sz w:val="24"/>
                <w:szCs w:val="24"/>
                <w:highlight w:val="none"/>
              </w:rPr>
            </w:pPr>
            <w:r>
              <w:rPr>
                <w:rFonts w:hint="eastAsia" w:ascii="Times New Roman" w:hAnsi="Times New Roman" w:eastAsia="宋体" w:cs="宋体"/>
                <w:b w:val="0"/>
                <w:bCs w:val="0"/>
                <w:color w:val="auto"/>
                <w:sz w:val="24"/>
                <w:szCs w:val="24"/>
                <w:highlight w:val="none"/>
                <w:vertAlign w:val="baseline"/>
                <w:lang w:val="en-US" w:eastAsia="zh-CN"/>
              </w:rPr>
              <w:t>方解石</w:t>
            </w:r>
          </w:p>
        </w:tc>
        <w:tc>
          <w:tcPr>
            <w:tcW w:w="2070" w:type="dxa"/>
            <w:tcBorders>
              <w:top w:val="single" w:color="auto" w:sz="4" w:space="0"/>
              <w:left w:val="single" w:color="auto" w:sz="4" w:space="0"/>
              <w:bottom w:val="single" w:color="auto" w:sz="4" w:space="0"/>
              <w:right w:val="single" w:color="auto" w:sz="4" w:space="0"/>
            </w:tcBorders>
            <w:noWrap w:val="0"/>
            <w:vAlign w:val="center"/>
          </w:tcPr>
          <w:p w14:paraId="11530B0E">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eastAsia" w:ascii="Times New Roman" w:hAnsi="Times New Roman" w:eastAsia="宋体" w:cs="宋体"/>
                <w:b w:val="0"/>
                <w:bCs w:val="0"/>
                <w:color w:val="auto"/>
                <w:sz w:val="24"/>
                <w:szCs w:val="24"/>
                <w:highlight w:val="none"/>
                <w:lang w:val="en-US" w:eastAsia="zh-CN"/>
              </w:rPr>
            </w:pPr>
            <w:r>
              <w:rPr>
                <w:rFonts w:hint="eastAsia" w:ascii="Times New Roman" w:hAnsi="Times New Roman" w:eastAsia="宋体" w:cs="宋体"/>
                <w:b w:val="0"/>
                <w:bCs w:val="0"/>
                <w:color w:val="auto"/>
                <w:sz w:val="24"/>
                <w:szCs w:val="24"/>
                <w:highlight w:val="none"/>
                <w:vertAlign w:val="baseline"/>
                <w:lang w:val="en-US" w:eastAsia="zh-CN"/>
              </w:rPr>
              <w:t>白云石方解石</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399D4423">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eastAsia" w:ascii="Times New Roman" w:hAnsi="Times New Roman" w:eastAsia="宋体" w:cs="宋体"/>
                <w:b w:val="0"/>
                <w:bCs w:val="0"/>
                <w:color w:val="auto"/>
                <w:sz w:val="24"/>
                <w:szCs w:val="24"/>
                <w:highlight w:val="none"/>
                <w:vertAlign w:val="baseline"/>
                <w:lang w:val="en-US" w:eastAsia="zh-CN"/>
              </w:rPr>
            </w:pPr>
            <w:r>
              <w:rPr>
                <w:rFonts w:hint="eastAsia" w:ascii="Times New Roman" w:hAnsi="Times New Roman" w:eastAsia="宋体" w:cs="宋体"/>
                <w:b w:val="0"/>
                <w:bCs w:val="0"/>
                <w:color w:val="auto"/>
                <w:sz w:val="24"/>
                <w:szCs w:val="24"/>
                <w:highlight w:val="none"/>
                <w:vertAlign w:val="baseline"/>
                <w:lang w:val="en-US" w:eastAsia="zh-CN"/>
              </w:rPr>
              <w:t>合计</w:t>
            </w:r>
          </w:p>
        </w:tc>
      </w:tr>
      <w:tr w14:paraId="4D17A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1C499B5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b w:val="0"/>
                <w:bCs w:val="0"/>
                <w:color w:val="auto"/>
                <w:sz w:val="24"/>
                <w:szCs w:val="24"/>
                <w:highlight w:val="none"/>
              </w:rPr>
            </w:pPr>
            <w:r>
              <w:rPr>
                <w:rFonts w:hint="eastAsia" w:ascii="Times New Roman" w:hAnsi="Times New Roman" w:eastAsia="宋体" w:cs="宋体"/>
                <w:b w:val="0"/>
                <w:bCs w:val="0"/>
                <w:color w:val="auto"/>
                <w:sz w:val="24"/>
                <w:szCs w:val="24"/>
                <w:highlight w:val="none"/>
              </w:rPr>
              <w:t>1</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513E9D27">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eastAsia" w:ascii="Times New Roman" w:hAnsi="Times New Roman" w:eastAsia="宋体" w:cs="宋体"/>
                <w:b w:val="0"/>
                <w:bCs w:val="0"/>
                <w:color w:val="auto"/>
                <w:sz w:val="24"/>
                <w:szCs w:val="24"/>
                <w:highlight w:val="none"/>
              </w:rPr>
            </w:pPr>
            <w:r>
              <w:rPr>
                <w:rFonts w:hint="eastAsia" w:ascii="Times New Roman" w:hAnsi="Times New Roman" w:eastAsia="宋体" w:cs="宋体"/>
                <w:b w:val="0"/>
                <w:bCs w:val="0"/>
                <w:color w:val="auto"/>
                <w:sz w:val="24"/>
                <w:szCs w:val="24"/>
                <w:highlight w:val="none"/>
                <w:vertAlign w:val="baseline"/>
                <w:lang w:val="en-US" w:eastAsia="zh-CN"/>
              </w:rPr>
              <w:t>3</w:t>
            </w:r>
            <w:r>
              <w:rPr>
                <w:rFonts w:hint="eastAsia" w:ascii="Times New Roman" w:hAnsi="Times New Roman" w:cs="宋体"/>
                <w:b w:val="0"/>
                <w:bCs w:val="0"/>
                <w:color w:val="auto"/>
                <w:sz w:val="24"/>
                <w:szCs w:val="24"/>
                <w:highlight w:val="none"/>
                <w:vertAlign w:val="baseline"/>
                <w:lang w:val="en-US" w:eastAsia="zh-CN"/>
              </w:rPr>
              <w:t>9</w:t>
            </w:r>
            <w:r>
              <w:rPr>
                <w:rFonts w:hint="eastAsia" w:ascii="Times New Roman" w:hAnsi="Times New Roman" w:eastAsia="宋体" w:cs="宋体"/>
                <w:b w:val="0"/>
                <w:bCs w:val="0"/>
                <w:color w:val="auto"/>
                <w:sz w:val="24"/>
                <w:szCs w:val="24"/>
                <w:highlight w:val="none"/>
                <w:vertAlign w:val="baseline"/>
                <w:lang w:val="en-US" w:eastAsia="zh-CN"/>
              </w:rPr>
              <w:t>0m中段</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15BB4FDE">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default" w:ascii="Times New Roman" w:hAnsi="Times New Roman" w:eastAsia="宋体" w:cs="宋体"/>
                <w:b w:val="0"/>
                <w:bCs w:val="0"/>
                <w:color w:val="auto"/>
                <w:sz w:val="24"/>
                <w:szCs w:val="24"/>
                <w:highlight w:val="none"/>
                <w:lang w:val="en-US" w:eastAsia="zh-CN"/>
              </w:rPr>
            </w:pPr>
            <w:r>
              <w:rPr>
                <w:rFonts w:hint="eastAsia" w:ascii="Times New Roman" w:hAnsi="Times New Roman" w:cs="宋体"/>
                <w:b w:val="0"/>
                <w:bCs w:val="0"/>
                <w:color w:val="auto"/>
                <w:sz w:val="24"/>
                <w:szCs w:val="24"/>
                <w:highlight w:val="none"/>
                <w:lang w:val="en-US" w:eastAsia="zh-CN"/>
              </w:rPr>
              <w:t>101.93</w:t>
            </w:r>
          </w:p>
        </w:tc>
        <w:tc>
          <w:tcPr>
            <w:tcW w:w="2070" w:type="dxa"/>
            <w:tcBorders>
              <w:top w:val="single" w:color="auto" w:sz="4" w:space="0"/>
              <w:left w:val="single" w:color="auto" w:sz="4" w:space="0"/>
              <w:bottom w:val="single" w:color="auto" w:sz="4" w:space="0"/>
              <w:right w:val="single" w:color="auto" w:sz="4" w:space="0"/>
            </w:tcBorders>
            <w:noWrap w:val="0"/>
            <w:vAlign w:val="center"/>
          </w:tcPr>
          <w:p w14:paraId="6A839704">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default" w:ascii="Times New Roman" w:hAnsi="Times New Roman" w:eastAsia="宋体" w:cs="宋体"/>
                <w:b w:val="0"/>
                <w:bCs w:val="0"/>
                <w:color w:val="auto"/>
                <w:sz w:val="24"/>
                <w:szCs w:val="24"/>
                <w:highlight w:val="none"/>
                <w:lang w:val="en-US" w:eastAsia="zh-CN"/>
              </w:rPr>
            </w:pPr>
            <w:r>
              <w:rPr>
                <w:rFonts w:hint="eastAsia" w:ascii="Times New Roman" w:hAnsi="Times New Roman" w:cs="宋体"/>
                <w:b w:val="0"/>
                <w:bCs w:val="0"/>
                <w:color w:val="auto"/>
                <w:sz w:val="24"/>
                <w:szCs w:val="24"/>
                <w:highlight w:val="none"/>
                <w:lang w:val="en-US" w:eastAsia="zh-CN"/>
              </w:rPr>
              <w:t>84.75</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6BE7DFFD">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default" w:ascii="Times New Roman" w:hAnsi="Times New Roman" w:eastAsia="宋体" w:cs="宋体"/>
                <w:b w:val="0"/>
                <w:bCs w:val="0"/>
                <w:color w:val="auto"/>
                <w:sz w:val="24"/>
                <w:szCs w:val="24"/>
                <w:highlight w:val="none"/>
                <w:vertAlign w:val="baseline"/>
                <w:lang w:val="en-US" w:eastAsia="zh-CN"/>
              </w:rPr>
            </w:pPr>
            <w:r>
              <w:rPr>
                <w:rFonts w:hint="eastAsia" w:ascii="Times New Roman" w:hAnsi="Times New Roman" w:cs="宋体"/>
                <w:b w:val="0"/>
                <w:bCs w:val="0"/>
                <w:color w:val="auto"/>
                <w:sz w:val="24"/>
                <w:szCs w:val="24"/>
                <w:highlight w:val="none"/>
                <w:vertAlign w:val="baseline"/>
                <w:lang w:val="en-US" w:eastAsia="zh-CN"/>
              </w:rPr>
              <w:t>186.68</w:t>
            </w:r>
          </w:p>
        </w:tc>
      </w:tr>
      <w:tr w14:paraId="35980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3C2FD1C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b w:val="0"/>
                <w:bCs w:val="0"/>
                <w:color w:val="auto"/>
                <w:spacing w:val="-2"/>
                <w:sz w:val="24"/>
                <w:szCs w:val="24"/>
                <w:highlight w:val="none"/>
              </w:rPr>
            </w:pPr>
            <w:r>
              <w:rPr>
                <w:rFonts w:hint="eastAsia" w:ascii="Times New Roman" w:hAnsi="Times New Roman" w:eastAsia="宋体" w:cs="宋体"/>
                <w:b w:val="0"/>
                <w:bCs w:val="0"/>
                <w:color w:val="auto"/>
                <w:spacing w:val="-2"/>
                <w:sz w:val="24"/>
                <w:szCs w:val="24"/>
                <w:highlight w:val="none"/>
              </w:rPr>
              <w:t>2</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40D594CA">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eastAsia" w:ascii="Times New Roman" w:hAnsi="Times New Roman" w:eastAsia="宋体" w:cs="宋体"/>
                <w:b w:val="0"/>
                <w:bCs w:val="0"/>
                <w:color w:val="auto"/>
                <w:spacing w:val="2"/>
                <w:sz w:val="24"/>
                <w:szCs w:val="24"/>
                <w:highlight w:val="none"/>
              </w:rPr>
            </w:pPr>
            <w:r>
              <w:rPr>
                <w:rFonts w:hint="eastAsia" w:ascii="Times New Roman" w:hAnsi="Times New Roman" w:eastAsia="宋体" w:cs="宋体"/>
                <w:b w:val="0"/>
                <w:bCs w:val="0"/>
                <w:color w:val="auto"/>
                <w:sz w:val="24"/>
                <w:szCs w:val="24"/>
                <w:highlight w:val="none"/>
                <w:vertAlign w:val="baseline"/>
                <w:lang w:val="en-US" w:eastAsia="zh-CN"/>
              </w:rPr>
              <w:t>3</w:t>
            </w:r>
            <w:r>
              <w:rPr>
                <w:rFonts w:hint="eastAsia" w:ascii="Times New Roman" w:hAnsi="Times New Roman" w:cs="宋体"/>
                <w:b w:val="0"/>
                <w:bCs w:val="0"/>
                <w:color w:val="auto"/>
                <w:sz w:val="24"/>
                <w:szCs w:val="24"/>
                <w:highlight w:val="none"/>
                <w:vertAlign w:val="baseline"/>
                <w:lang w:val="en-US" w:eastAsia="zh-CN"/>
              </w:rPr>
              <w:t>4</w:t>
            </w:r>
            <w:r>
              <w:rPr>
                <w:rFonts w:hint="eastAsia" w:ascii="Times New Roman" w:hAnsi="Times New Roman" w:eastAsia="宋体" w:cs="宋体"/>
                <w:b w:val="0"/>
                <w:bCs w:val="0"/>
                <w:color w:val="auto"/>
                <w:sz w:val="24"/>
                <w:szCs w:val="24"/>
                <w:highlight w:val="none"/>
                <w:vertAlign w:val="baseline"/>
                <w:lang w:val="en-US" w:eastAsia="zh-CN"/>
              </w:rPr>
              <w:t>0m中段</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0C3D1C0D">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default" w:ascii="Times New Roman" w:hAnsi="Times New Roman" w:eastAsia="宋体" w:cs="宋体"/>
                <w:b w:val="0"/>
                <w:bCs w:val="0"/>
                <w:color w:val="auto"/>
                <w:sz w:val="24"/>
                <w:szCs w:val="24"/>
                <w:highlight w:val="none"/>
                <w:lang w:val="en-US" w:eastAsia="zh-CN"/>
              </w:rPr>
            </w:pPr>
            <w:r>
              <w:rPr>
                <w:rFonts w:hint="eastAsia" w:ascii="Times New Roman" w:hAnsi="Times New Roman" w:cs="宋体"/>
                <w:b w:val="0"/>
                <w:bCs w:val="0"/>
                <w:color w:val="auto"/>
                <w:sz w:val="24"/>
                <w:szCs w:val="24"/>
                <w:highlight w:val="none"/>
                <w:lang w:val="en-US" w:eastAsia="zh-CN"/>
              </w:rPr>
              <w:t>129.88</w:t>
            </w:r>
          </w:p>
        </w:tc>
        <w:tc>
          <w:tcPr>
            <w:tcW w:w="2070" w:type="dxa"/>
            <w:tcBorders>
              <w:top w:val="single" w:color="auto" w:sz="4" w:space="0"/>
              <w:left w:val="single" w:color="auto" w:sz="4" w:space="0"/>
              <w:bottom w:val="single" w:color="auto" w:sz="4" w:space="0"/>
              <w:right w:val="single" w:color="auto" w:sz="4" w:space="0"/>
            </w:tcBorders>
            <w:noWrap w:val="0"/>
            <w:vAlign w:val="center"/>
          </w:tcPr>
          <w:p w14:paraId="5F47BD62">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default" w:ascii="Times New Roman" w:hAnsi="Times New Roman" w:eastAsia="宋体" w:cs="宋体"/>
                <w:b w:val="0"/>
                <w:bCs w:val="0"/>
                <w:color w:val="auto"/>
                <w:spacing w:val="-1"/>
                <w:sz w:val="24"/>
                <w:szCs w:val="24"/>
                <w:highlight w:val="none"/>
                <w:lang w:val="en-US" w:eastAsia="zh-CN"/>
              </w:rPr>
            </w:pPr>
            <w:r>
              <w:rPr>
                <w:rFonts w:hint="eastAsia" w:ascii="Times New Roman" w:hAnsi="Times New Roman" w:cs="宋体"/>
                <w:b w:val="0"/>
                <w:bCs w:val="0"/>
                <w:color w:val="auto"/>
                <w:spacing w:val="-1"/>
                <w:sz w:val="24"/>
                <w:szCs w:val="24"/>
                <w:highlight w:val="none"/>
                <w:lang w:val="en-US" w:eastAsia="zh-CN"/>
              </w:rPr>
              <w:t>108.44</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2D6471A2">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default" w:ascii="Times New Roman" w:hAnsi="Times New Roman" w:eastAsia="宋体" w:cs="宋体"/>
                <w:b w:val="0"/>
                <w:bCs w:val="0"/>
                <w:color w:val="auto"/>
                <w:sz w:val="24"/>
                <w:szCs w:val="24"/>
                <w:highlight w:val="none"/>
                <w:vertAlign w:val="baseline"/>
                <w:lang w:val="en-US" w:eastAsia="zh-CN"/>
              </w:rPr>
            </w:pPr>
            <w:r>
              <w:rPr>
                <w:rFonts w:hint="eastAsia" w:ascii="Times New Roman" w:hAnsi="Times New Roman" w:cs="宋体"/>
                <w:b w:val="0"/>
                <w:bCs w:val="0"/>
                <w:color w:val="auto"/>
                <w:sz w:val="24"/>
                <w:szCs w:val="24"/>
                <w:highlight w:val="none"/>
                <w:vertAlign w:val="baseline"/>
                <w:lang w:val="en-US" w:eastAsia="zh-CN"/>
              </w:rPr>
              <w:t>238.32</w:t>
            </w:r>
          </w:p>
        </w:tc>
      </w:tr>
      <w:tr w14:paraId="2F4AA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12ABFAB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b w:val="0"/>
                <w:bCs w:val="0"/>
                <w:color w:val="auto"/>
                <w:spacing w:val="-2"/>
                <w:sz w:val="24"/>
                <w:szCs w:val="24"/>
                <w:highlight w:val="none"/>
              </w:rPr>
            </w:pPr>
            <w:r>
              <w:rPr>
                <w:rFonts w:hint="eastAsia" w:ascii="Times New Roman" w:hAnsi="Times New Roman" w:eastAsia="宋体" w:cs="宋体"/>
                <w:b w:val="0"/>
                <w:bCs w:val="0"/>
                <w:color w:val="auto"/>
                <w:spacing w:val="-2"/>
                <w:sz w:val="24"/>
                <w:szCs w:val="24"/>
                <w:highlight w:val="none"/>
              </w:rPr>
              <w:t>3</w:t>
            </w:r>
          </w:p>
        </w:tc>
        <w:tc>
          <w:tcPr>
            <w:tcW w:w="2048" w:type="dxa"/>
            <w:tcBorders>
              <w:top w:val="single" w:color="auto" w:sz="4" w:space="0"/>
              <w:left w:val="single" w:color="auto" w:sz="4" w:space="0"/>
              <w:bottom w:val="single" w:color="auto" w:sz="4" w:space="0"/>
              <w:right w:val="single" w:color="auto" w:sz="4" w:space="0"/>
            </w:tcBorders>
            <w:noWrap w:val="0"/>
            <w:vAlign w:val="center"/>
          </w:tcPr>
          <w:p w14:paraId="448B326D">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eastAsia" w:ascii="Times New Roman" w:hAnsi="Times New Roman" w:eastAsia="宋体" w:cs="宋体"/>
                <w:b w:val="0"/>
                <w:bCs w:val="0"/>
                <w:color w:val="auto"/>
                <w:spacing w:val="2"/>
                <w:sz w:val="24"/>
                <w:szCs w:val="24"/>
                <w:highlight w:val="none"/>
              </w:rPr>
            </w:pPr>
            <w:r>
              <w:rPr>
                <w:rFonts w:hint="eastAsia" w:ascii="Times New Roman" w:hAnsi="Times New Roman" w:eastAsia="宋体" w:cs="宋体"/>
                <w:b w:val="0"/>
                <w:bCs w:val="0"/>
                <w:color w:val="auto"/>
                <w:sz w:val="24"/>
                <w:szCs w:val="24"/>
                <w:highlight w:val="none"/>
                <w:vertAlign w:val="baseline"/>
                <w:lang w:val="en-US" w:eastAsia="zh-CN"/>
              </w:rPr>
              <w:t>2</w:t>
            </w:r>
            <w:r>
              <w:rPr>
                <w:rFonts w:hint="eastAsia" w:ascii="Times New Roman" w:hAnsi="Times New Roman" w:cs="宋体"/>
                <w:b w:val="0"/>
                <w:bCs w:val="0"/>
                <w:color w:val="auto"/>
                <w:sz w:val="24"/>
                <w:szCs w:val="24"/>
                <w:highlight w:val="none"/>
                <w:vertAlign w:val="baseline"/>
                <w:lang w:val="en-US" w:eastAsia="zh-CN"/>
              </w:rPr>
              <w:t>9</w:t>
            </w:r>
            <w:r>
              <w:rPr>
                <w:rFonts w:hint="eastAsia" w:ascii="Times New Roman" w:hAnsi="Times New Roman" w:eastAsia="宋体" w:cs="宋体"/>
                <w:b w:val="0"/>
                <w:bCs w:val="0"/>
                <w:color w:val="auto"/>
                <w:sz w:val="24"/>
                <w:szCs w:val="24"/>
                <w:highlight w:val="none"/>
                <w:vertAlign w:val="baseline"/>
                <w:lang w:val="en-US" w:eastAsia="zh-CN"/>
              </w:rPr>
              <w:t>0m中段</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22E503FE">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default" w:ascii="Times New Roman" w:hAnsi="Times New Roman" w:eastAsia="宋体" w:cs="宋体"/>
                <w:b w:val="0"/>
                <w:bCs w:val="0"/>
                <w:color w:val="auto"/>
                <w:sz w:val="24"/>
                <w:szCs w:val="24"/>
                <w:highlight w:val="none"/>
                <w:lang w:val="en-US" w:eastAsia="zh-CN"/>
              </w:rPr>
            </w:pPr>
            <w:r>
              <w:rPr>
                <w:rFonts w:hint="eastAsia" w:ascii="Times New Roman" w:hAnsi="Times New Roman" w:cs="宋体"/>
                <w:b w:val="0"/>
                <w:bCs w:val="0"/>
                <w:color w:val="auto"/>
                <w:sz w:val="24"/>
                <w:szCs w:val="24"/>
                <w:highlight w:val="none"/>
                <w:lang w:val="en-US" w:eastAsia="zh-CN"/>
              </w:rPr>
              <w:t>51.20</w:t>
            </w:r>
          </w:p>
        </w:tc>
        <w:tc>
          <w:tcPr>
            <w:tcW w:w="2070" w:type="dxa"/>
            <w:tcBorders>
              <w:top w:val="single" w:color="auto" w:sz="4" w:space="0"/>
              <w:left w:val="single" w:color="auto" w:sz="4" w:space="0"/>
              <w:bottom w:val="single" w:color="auto" w:sz="4" w:space="0"/>
              <w:right w:val="single" w:color="auto" w:sz="4" w:space="0"/>
            </w:tcBorders>
            <w:noWrap w:val="0"/>
            <w:vAlign w:val="center"/>
          </w:tcPr>
          <w:p w14:paraId="3AF3180D">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default" w:ascii="Times New Roman" w:hAnsi="Times New Roman" w:eastAsia="宋体" w:cs="宋体"/>
                <w:b w:val="0"/>
                <w:bCs w:val="0"/>
                <w:color w:val="auto"/>
                <w:spacing w:val="-1"/>
                <w:sz w:val="24"/>
                <w:szCs w:val="24"/>
                <w:highlight w:val="none"/>
                <w:lang w:val="en-US" w:eastAsia="zh-CN"/>
              </w:rPr>
            </w:pPr>
            <w:r>
              <w:rPr>
                <w:rFonts w:hint="eastAsia" w:ascii="Times New Roman" w:hAnsi="Times New Roman" w:cs="宋体"/>
                <w:b w:val="0"/>
                <w:bCs w:val="0"/>
                <w:color w:val="auto"/>
                <w:spacing w:val="-1"/>
                <w:sz w:val="24"/>
                <w:szCs w:val="24"/>
                <w:highlight w:val="none"/>
                <w:lang w:val="en-US" w:eastAsia="zh-CN"/>
              </w:rPr>
              <w:t>42.37</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1D018BAB">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hint="default" w:ascii="Times New Roman" w:hAnsi="Times New Roman" w:eastAsia="宋体" w:cs="宋体"/>
                <w:b w:val="0"/>
                <w:bCs w:val="0"/>
                <w:color w:val="auto"/>
                <w:sz w:val="24"/>
                <w:szCs w:val="24"/>
                <w:highlight w:val="none"/>
                <w:vertAlign w:val="baseline"/>
                <w:lang w:val="en-US" w:eastAsia="zh-CN"/>
              </w:rPr>
            </w:pPr>
            <w:r>
              <w:rPr>
                <w:rFonts w:hint="eastAsia" w:ascii="Times New Roman" w:hAnsi="Times New Roman" w:cs="宋体"/>
                <w:b w:val="0"/>
                <w:bCs w:val="0"/>
                <w:color w:val="auto"/>
                <w:sz w:val="24"/>
                <w:szCs w:val="24"/>
                <w:highlight w:val="none"/>
                <w:vertAlign w:val="baseline"/>
                <w:lang w:val="en-US" w:eastAsia="zh-CN"/>
              </w:rPr>
              <w:t>93.57</w:t>
            </w:r>
          </w:p>
        </w:tc>
      </w:tr>
      <w:tr w14:paraId="51062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55EB302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b w:val="0"/>
                <w:bCs w:val="0"/>
                <w:color w:val="auto"/>
                <w:spacing w:val="-2"/>
                <w:sz w:val="24"/>
                <w:szCs w:val="24"/>
                <w:highlight w:val="none"/>
                <w:lang w:val="en-US" w:eastAsia="zh-CN"/>
              </w:rPr>
            </w:pPr>
          </w:p>
        </w:tc>
        <w:tc>
          <w:tcPr>
            <w:tcW w:w="2048" w:type="dxa"/>
            <w:tcBorders>
              <w:top w:val="single" w:color="auto" w:sz="4" w:space="0"/>
              <w:left w:val="single" w:color="auto" w:sz="4" w:space="0"/>
              <w:bottom w:val="single" w:color="auto" w:sz="4" w:space="0"/>
              <w:right w:val="single" w:color="auto" w:sz="4" w:space="0"/>
            </w:tcBorders>
            <w:noWrap w:val="0"/>
            <w:vAlign w:val="center"/>
          </w:tcPr>
          <w:p w14:paraId="1D93C87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b w:val="0"/>
                <w:bCs w:val="0"/>
                <w:color w:val="auto"/>
                <w:spacing w:val="2"/>
                <w:sz w:val="24"/>
                <w:szCs w:val="24"/>
                <w:highlight w:val="none"/>
              </w:rPr>
            </w:pPr>
            <w:r>
              <w:rPr>
                <w:rFonts w:hint="eastAsia" w:ascii="Times New Roman" w:hAnsi="Times New Roman" w:eastAsia="宋体" w:cs="宋体"/>
                <w:b w:val="0"/>
                <w:bCs w:val="0"/>
                <w:color w:val="auto"/>
                <w:sz w:val="24"/>
                <w:szCs w:val="24"/>
                <w:highlight w:val="none"/>
              </w:rPr>
              <w:t>合计</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7ABA75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宋体"/>
                <w:b w:val="0"/>
                <w:bCs w:val="0"/>
                <w:color w:val="auto"/>
                <w:sz w:val="24"/>
                <w:szCs w:val="24"/>
                <w:highlight w:val="none"/>
                <w:lang w:val="en-US" w:eastAsia="zh-CN"/>
              </w:rPr>
            </w:pPr>
            <w:r>
              <w:rPr>
                <w:rFonts w:hint="eastAsia" w:ascii="Times New Roman" w:hAnsi="Times New Roman" w:cs="宋体"/>
                <w:b w:val="0"/>
                <w:bCs w:val="0"/>
                <w:color w:val="auto"/>
                <w:sz w:val="24"/>
                <w:szCs w:val="24"/>
                <w:highlight w:val="none"/>
                <w:lang w:val="en-US" w:eastAsia="zh-CN"/>
              </w:rPr>
              <w:t>283.01</w:t>
            </w:r>
          </w:p>
        </w:tc>
        <w:tc>
          <w:tcPr>
            <w:tcW w:w="2070" w:type="dxa"/>
            <w:tcBorders>
              <w:top w:val="single" w:color="auto" w:sz="4" w:space="0"/>
              <w:left w:val="single" w:color="auto" w:sz="4" w:space="0"/>
              <w:bottom w:val="single" w:color="auto" w:sz="4" w:space="0"/>
              <w:right w:val="single" w:color="auto" w:sz="4" w:space="0"/>
            </w:tcBorders>
            <w:noWrap w:val="0"/>
            <w:vAlign w:val="center"/>
          </w:tcPr>
          <w:p w14:paraId="6024550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宋体"/>
                <w:b w:val="0"/>
                <w:bCs w:val="0"/>
                <w:color w:val="auto"/>
                <w:spacing w:val="-1"/>
                <w:sz w:val="24"/>
                <w:szCs w:val="24"/>
                <w:highlight w:val="none"/>
                <w:lang w:val="en-US" w:eastAsia="zh-CN"/>
              </w:rPr>
            </w:pPr>
            <w:r>
              <w:rPr>
                <w:rFonts w:hint="eastAsia" w:ascii="Times New Roman" w:hAnsi="Times New Roman" w:cs="宋体"/>
                <w:b w:val="0"/>
                <w:bCs w:val="0"/>
                <w:color w:val="auto"/>
                <w:spacing w:val="-1"/>
                <w:sz w:val="24"/>
                <w:szCs w:val="24"/>
                <w:highlight w:val="none"/>
                <w:lang w:val="en-US" w:eastAsia="zh-CN"/>
              </w:rPr>
              <w:t>235.56</w:t>
            </w:r>
          </w:p>
        </w:tc>
        <w:tc>
          <w:tcPr>
            <w:tcW w:w="2035" w:type="dxa"/>
            <w:tcBorders>
              <w:top w:val="single" w:color="auto" w:sz="4" w:space="0"/>
              <w:left w:val="single" w:color="auto" w:sz="4" w:space="0"/>
              <w:bottom w:val="single" w:color="auto" w:sz="4" w:space="0"/>
              <w:right w:val="single" w:color="auto" w:sz="4" w:space="0"/>
            </w:tcBorders>
            <w:noWrap w:val="0"/>
            <w:vAlign w:val="center"/>
          </w:tcPr>
          <w:p w14:paraId="07EFA9E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宋体"/>
                <w:b w:val="0"/>
                <w:bCs w:val="0"/>
                <w:color w:val="auto"/>
                <w:spacing w:val="-1"/>
                <w:sz w:val="24"/>
                <w:szCs w:val="24"/>
                <w:highlight w:val="none"/>
                <w:lang w:val="en-US" w:eastAsia="zh-CN"/>
              </w:rPr>
            </w:pPr>
            <w:r>
              <w:rPr>
                <w:rFonts w:hint="eastAsia" w:ascii="Times New Roman" w:hAnsi="Times New Roman" w:cs="宋体"/>
                <w:b w:val="0"/>
                <w:bCs w:val="0"/>
                <w:color w:val="auto"/>
                <w:spacing w:val="-1"/>
                <w:sz w:val="24"/>
                <w:szCs w:val="24"/>
                <w:highlight w:val="none"/>
                <w:lang w:val="en-US" w:eastAsia="zh-CN"/>
              </w:rPr>
              <w:t>518.57</w:t>
            </w:r>
          </w:p>
        </w:tc>
      </w:tr>
    </w:tbl>
    <w:p w14:paraId="0B6F4C66">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4.2.6确定开采回采率</w:t>
      </w:r>
    </w:p>
    <w:p w14:paraId="1A5033B6">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矿块回采率：≥75%；</w:t>
      </w:r>
    </w:p>
    <w:p w14:paraId="712A0C02">
      <w:pPr>
        <w:pageBreakBefore w:val="0"/>
        <w:widowControl w:val="0"/>
        <w:kinsoku/>
        <w:wordWrap/>
        <w:overflowPunct/>
        <w:topLinePunct w:val="0"/>
        <w:autoSpaceDE/>
        <w:autoSpaceDN/>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贫化率：5%；</w:t>
      </w:r>
    </w:p>
    <w:p w14:paraId="4C3C7D0C">
      <w:pPr>
        <w:kinsoku/>
        <w:wordWrap/>
        <w:overflowPunct/>
        <w:topLinePunct w:val="0"/>
        <w:bidi w:val="0"/>
        <w:snapToGrid w:val="0"/>
        <w:spacing w:line="360" w:lineRule="auto"/>
        <w:ind w:firstLine="57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综合利用率：</w:t>
      </w:r>
      <w:r>
        <w:rPr>
          <w:rFonts w:hint="eastAsia" w:ascii="宋体" w:hAnsi="宋体" w:eastAsia="宋体" w:cs="宋体"/>
          <w:color w:val="auto"/>
          <w:sz w:val="28"/>
          <w:szCs w:val="28"/>
          <w:highlight w:val="none"/>
          <w:lang w:val="en-US" w:eastAsia="zh-CN"/>
        </w:rPr>
        <w:t>100%。</w:t>
      </w:r>
    </w:p>
    <w:p w14:paraId="714370B0">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69" w:name="_Toc31605"/>
      <w:r>
        <w:rPr>
          <w:rFonts w:hint="eastAsia" w:ascii="宋体" w:hAnsi="宋体" w:eastAsia="宋体" w:cs="宋体"/>
          <w:b/>
          <w:bCs w:val="0"/>
          <w:snapToGrid w:val="0"/>
          <w:color w:val="auto"/>
          <w:kern w:val="0"/>
          <w:sz w:val="30"/>
          <w:szCs w:val="30"/>
          <w:highlight w:val="none"/>
          <w:lang w:val="en-US" w:eastAsia="zh-CN"/>
        </w:rPr>
        <w:t>4.3拟建生产规模及矿山服务年限</w:t>
      </w:r>
      <w:bookmarkEnd w:id="169"/>
    </w:p>
    <w:p w14:paraId="7F4E8A97">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4.3.1拟建生产规模</w:t>
      </w:r>
    </w:p>
    <w:p w14:paraId="421C00B8">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val="en-US" w:eastAsia="zh-CN"/>
        </w:rPr>
      </w:pPr>
      <w:r>
        <w:rPr>
          <w:rFonts w:hint="eastAsia" w:ascii="宋体" w:hAnsi="宋体" w:eastAsia="宋体" w:cs="宋体"/>
          <w:color w:val="auto"/>
          <w:spacing w:val="-2"/>
          <w:sz w:val="28"/>
          <w:szCs w:val="28"/>
          <w:highlight w:val="none"/>
          <w:lang w:val="en-US" w:eastAsia="zh-CN"/>
        </w:rPr>
        <w:t>1、拟建生产规模</w:t>
      </w:r>
    </w:p>
    <w:p w14:paraId="5A77ACF0">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val="en-US" w:eastAsia="zh-CN"/>
        </w:rPr>
      </w:pPr>
      <w:r>
        <w:rPr>
          <w:rFonts w:hint="eastAsia" w:ascii="宋体" w:hAnsi="宋体" w:eastAsia="宋体" w:cs="宋体"/>
          <w:color w:val="auto"/>
          <w:spacing w:val="-2"/>
          <w:sz w:val="28"/>
          <w:szCs w:val="28"/>
          <w:highlight w:val="none"/>
          <w:lang w:val="en-US" w:eastAsia="zh-CN"/>
        </w:rPr>
        <w:t>矿山原设计生产规模为5.0万t/年。根据矿区范围内矿石资源量、开采技术条件、业主委托和“闽政办﹝2024﹞24号文”，本次设计矿山拟建生产规模扩大为40万t/年。</w:t>
      </w:r>
    </w:p>
    <w:p w14:paraId="229AACC0">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eastAsia="zh-CN"/>
        </w:rPr>
      </w:pPr>
      <w:r>
        <w:rPr>
          <w:rFonts w:hint="eastAsia" w:ascii="宋体" w:hAnsi="宋体" w:eastAsia="宋体" w:cs="宋体"/>
          <w:color w:val="auto"/>
          <w:spacing w:val="-2"/>
          <w:sz w:val="28"/>
          <w:szCs w:val="28"/>
          <w:highlight w:val="none"/>
          <w:lang w:val="en-US" w:eastAsia="zh-CN"/>
        </w:rPr>
        <w:t>2、</w:t>
      </w:r>
      <w:r>
        <w:rPr>
          <w:rFonts w:hint="eastAsia" w:ascii="宋体" w:hAnsi="宋体" w:eastAsia="宋体" w:cs="宋体"/>
          <w:color w:val="auto"/>
          <w:spacing w:val="-2"/>
          <w:sz w:val="28"/>
          <w:szCs w:val="28"/>
          <w:highlight w:val="none"/>
          <w:lang w:eastAsia="zh-CN"/>
        </w:rPr>
        <w:t>工作制度</w:t>
      </w:r>
    </w:p>
    <w:p w14:paraId="054DF216">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eastAsia="zh-CN"/>
        </w:rPr>
      </w:pPr>
      <w:r>
        <w:rPr>
          <w:rFonts w:hint="eastAsia" w:ascii="宋体" w:hAnsi="宋体" w:eastAsia="宋体" w:cs="宋体"/>
          <w:color w:val="auto"/>
          <w:spacing w:val="-2"/>
          <w:sz w:val="28"/>
          <w:szCs w:val="28"/>
          <w:highlight w:val="none"/>
          <w:lang w:eastAsia="zh-CN"/>
        </w:rPr>
        <w:t>确定矿山采用的工作制度：每年工作</w:t>
      </w:r>
      <w:r>
        <w:rPr>
          <w:rFonts w:hint="eastAsia" w:ascii="宋体" w:hAnsi="宋体" w:eastAsia="宋体" w:cs="宋体"/>
          <w:color w:val="auto"/>
          <w:spacing w:val="-2"/>
          <w:sz w:val="28"/>
          <w:szCs w:val="28"/>
          <w:highlight w:val="none"/>
          <w:lang w:val="en-US" w:eastAsia="zh-CN"/>
        </w:rPr>
        <w:t>300</w:t>
      </w:r>
      <w:r>
        <w:rPr>
          <w:rFonts w:hint="eastAsia" w:ascii="宋体" w:hAnsi="宋体" w:eastAsia="宋体" w:cs="宋体"/>
          <w:color w:val="auto"/>
          <w:spacing w:val="-2"/>
          <w:sz w:val="28"/>
          <w:szCs w:val="28"/>
          <w:highlight w:val="none"/>
          <w:lang w:eastAsia="zh-CN"/>
        </w:rPr>
        <w:t>天，每天工作</w:t>
      </w:r>
      <w:r>
        <w:rPr>
          <w:rFonts w:hint="eastAsia" w:ascii="宋体" w:hAnsi="宋体" w:eastAsia="宋体" w:cs="宋体"/>
          <w:color w:val="auto"/>
          <w:spacing w:val="-2"/>
          <w:sz w:val="28"/>
          <w:szCs w:val="28"/>
          <w:highlight w:val="none"/>
          <w:lang w:val="en-US" w:eastAsia="zh-CN"/>
        </w:rPr>
        <w:t>2</w:t>
      </w:r>
      <w:r>
        <w:rPr>
          <w:rFonts w:hint="eastAsia" w:ascii="宋体" w:hAnsi="宋体" w:eastAsia="宋体" w:cs="宋体"/>
          <w:color w:val="auto"/>
          <w:spacing w:val="-2"/>
          <w:sz w:val="28"/>
          <w:szCs w:val="28"/>
          <w:highlight w:val="none"/>
          <w:lang w:eastAsia="zh-CN"/>
        </w:rPr>
        <w:t>班，每班工作8小时。</w:t>
      </w:r>
    </w:p>
    <w:p w14:paraId="29D0AC2A">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eastAsia="zh-CN"/>
        </w:rPr>
      </w:pPr>
      <w:r>
        <w:rPr>
          <w:rFonts w:hint="eastAsia" w:ascii="宋体" w:hAnsi="宋体" w:eastAsia="宋体" w:cs="宋体"/>
          <w:color w:val="auto"/>
          <w:spacing w:val="-2"/>
          <w:sz w:val="28"/>
          <w:szCs w:val="28"/>
          <w:highlight w:val="none"/>
          <w:lang w:val="en-US" w:eastAsia="zh-CN"/>
        </w:rPr>
        <w:t>3、</w:t>
      </w:r>
      <w:r>
        <w:rPr>
          <w:rFonts w:hint="eastAsia" w:ascii="宋体" w:hAnsi="宋体" w:eastAsia="宋体" w:cs="宋体"/>
          <w:color w:val="auto"/>
          <w:spacing w:val="-2"/>
          <w:sz w:val="28"/>
          <w:szCs w:val="28"/>
          <w:highlight w:val="none"/>
          <w:lang w:eastAsia="zh-CN"/>
        </w:rPr>
        <w:t>生产能力验证</w:t>
      </w:r>
    </w:p>
    <w:p w14:paraId="5CF472F8">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eastAsia="zh-CN"/>
        </w:rPr>
      </w:pPr>
      <w:r>
        <w:rPr>
          <w:rFonts w:hint="eastAsia" w:ascii="宋体" w:hAnsi="宋体" w:eastAsia="宋体" w:cs="宋体"/>
          <w:color w:val="auto"/>
          <w:spacing w:val="-2"/>
          <w:sz w:val="28"/>
          <w:szCs w:val="28"/>
          <w:highlight w:val="none"/>
          <w:lang w:val="en-US" w:eastAsia="zh-CN"/>
        </w:rPr>
        <w:t>矿山390m中段采矿方法设计采用房柱采矿法，390m标高以下</w:t>
      </w:r>
      <w:r>
        <w:rPr>
          <w:rFonts w:hint="eastAsia" w:ascii="宋体" w:hAnsi="宋体" w:eastAsia="宋体" w:cs="宋体"/>
          <w:color w:val="auto"/>
          <w:spacing w:val="-2"/>
          <w:sz w:val="28"/>
          <w:szCs w:val="28"/>
          <w:highlight w:val="none"/>
          <w:lang w:eastAsia="zh-CN"/>
        </w:rPr>
        <w:t>设计采用分段凿岩阶段矿房法，</w:t>
      </w:r>
      <w:r>
        <w:rPr>
          <w:rFonts w:hint="eastAsia" w:ascii="宋体" w:hAnsi="宋体" w:eastAsia="宋体" w:cs="宋体"/>
          <w:color w:val="auto"/>
          <w:spacing w:val="-2"/>
          <w:sz w:val="28"/>
          <w:szCs w:val="28"/>
          <w:highlight w:val="none"/>
          <w:lang w:val="en-US" w:eastAsia="zh-CN"/>
        </w:rPr>
        <w:t>39</w:t>
      </w:r>
      <w:r>
        <w:rPr>
          <w:rFonts w:hint="eastAsia" w:ascii="宋体" w:hAnsi="宋体" w:eastAsia="宋体" w:cs="宋体"/>
          <w:color w:val="auto"/>
          <w:spacing w:val="-2"/>
          <w:sz w:val="28"/>
          <w:szCs w:val="28"/>
          <w:highlight w:val="none"/>
          <w:lang w:eastAsia="zh-CN"/>
        </w:rPr>
        <w:t>0m中段走向长约</w:t>
      </w:r>
      <w:r>
        <w:rPr>
          <w:rFonts w:hint="eastAsia" w:ascii="宋体" w:hAnsi="宋体" w:eastAsia="宋体" w:cs="宋体"/>
          <w:color w:val="auto"/>
          <w:spacing w:val="-2"/>
          <w:sz w:val="28"/>
          <w:szCs w:val="28"/>
          <w:highlight w:val="none"/>
          <w:lang w:val="en-US" w:eastAsia="zh-CN"/>
        </w:rPr>
        <w:t>420m，340m中段走向长约230m，290m中段走向长约170m，</w:t>
      </w:r>
      <w:r>
        <w:rPr>
          <w:rFonts w:hint="eastAsia" w:ascii="宋体" w:hAnsi="宋体" w:eastAsia="宋体" w:cs="宋体"/>
          <w:color w:val="auto"/>
          <w:spacing w:val="-2"/>
          <w:sz w:val="28"/>
          <w:szCs w:val="28"/>
          <w:highlight w:val="none"/>
          <w:lang w:eastAsia="zh-CN"/>
        </w:rPr>
        <w:t>按每个矿块长50m计算，</w:t>
      </w:r>
      <w:r>
        <w:rPr>
          <w:rFonts w:hint="eastAsia" w:ascii="宋体" w:hAnsi="宋体" w:eastAsia="宋体" w:cs="宋体"/>
          <w:color w:val="auto"/>
          <w:spacing w:val="-2"/>
          <w:sz w:val="28"/>
          <w:szCs w:val="28"/>
          <w:highlight w:val="none"/>
          <w:lang w:val="en-US" w:eastAsia="zh-CN"/>
        </w:rPr>
        <w:t>390m中段</w:t>
      </w:r>
      <w:r>
        <w:rPr>
          <w:rFonts w:hint="eastAsia" w:ascii="宋体" w:hAnsi="宋体" w:eastAsia="宋体" w:cs="宋体"/>
          <w:color w:val="auto"/>
          <w:spacing w:val="-2"/>
          <w:sz w:val="28"/>
          <w:szCs w:val="28"/>
          <w:highlight w:val="none"/>
          <w:lang w:eastAsia="zh-CN"/>
        </w:rPr>
        <w:t>可布置矿块</w:t>
      </w:r>
      <w:r>
        <w:rPr>
          <w:rFonts w:hint="eastAsia" w:ascii="宋体" w:hAnsi="宋体" w:eastAsia="宋体" w:cs="宋体"/>
          <w:color w:val="auto"/>
          <w:spacing w:val="-2"/>
          <w:sz w:val="28"/>
          <w:szCs w:val="28"/>
          <w:highlight w:val="none"/>
          <w:lang w:val="en-US" w:eastAsia="zh-CN"/>
        </w:rPr>
        <w:t>8</w:t>
      </w:r>
      <w:r>
        <w:rPr>
          <w:rFonts w:hint="eastAsia" w:ascii="宋体" w:hAnsi="宋体" w:eastAsia="宋体" w:cs="宋体"/>
          <w:color w:val="auto"/>
          <w:spacing w:val="-2"/>
          <w:sz w:val="28"/>
          <w:szCs w:val="28"/>
          <w:highlight w:val="none"/>
          <w:lang w:eastAsia="zh-CN"/>
        </w:rPr>
        <w:t>个，</w:t>
      </w:r>
      <w:r>
        <w:rPr>
          <w:rFonts w:hint="eastAsia" w:ascii="宋体" w:hAnsi="宋体" w:eastAsia="宋体" w:cs="宋体"/>
          <w:color w:val="auto"/>
          <w:spacing w:val="-2"/>
          <w:sz w:val="28"/>
          <w:szCs w:val="28"/>
          <w:highlight w:val="none"/>
          <w:lang w:val="en-US" w:eastAsia="zh-CN"/>
        </w:rPr>
        <w:t>390m标高以下可布置矿块8个</w:t>
      </w:r>
      <w:r>
        <w:rPr>
          <w:rFonts w:hint="eastAsia" w:ascii="宋体" w:hAnsi="宋体" w:eastAsia="宋体" w:cs="宋体"/>
          <w:color w:val="auto"/>
          <w:spacing w:val="-2"/>
          <w:sz w:val="28"/>
          <w:szCs w:val="28"/>
          <w:highlight w:val="none"/>
          <w:lang w:eastAsia="zh-CN"/>
        </w:rPr>
        <w:t>，</w:t>
      </w:r>
      <w:r>
        <w:rPr>
          <w:rFonts w:hint="eastAsia" w:ascii="宋体" w:hAnsi="宋体" w:eastAsia="宋体" w:cs="宋体"/>
          <w:color w:val="auto"/>
          <w:spacing w:val="-2"/>
          <w:sz w:val="28"/>
          <w:szCs w:val="28"/>
          <w:highlight w:val="none"/>
          <w:lang w:val="en-US" w:eastAsia="zh-CN"/>
        </w:rPr>
        <w:t>房柱采矿法</w:t>
      </w:r>
      <w:r>
        <w:rPr>
          <w:rFonts w:hint="eastAsia" w:ascii="宋体" w:hAnsi="宋体" w:eastAsia="宋体" w:cs="宋体"/>
          <w:color w:val="auto"/>
          <w:spacing w:val="-2"/>
          <w:sz w:val="28"/>
          <w:szCs w:val="28"/>
          <w:highlight w:val="none"/>
          <w:lang w:eastAsia="zh-CN"/>
        </w:rPr>
        <w:t>矿块生产能力可达</w:t>
      </w:r>
      <w:r>
        <w:rPr>
          <w:rFonts w:hint="eastAsia" w:ascii="宋体" w:hAnsi="宋体" w:eastAsia="宋体" w:cs="宋体"/>
          <w:color w:val="auto"/>
          <w:spacing w:val="-2"/>
          <w:sz w:val="28"/>
          <w:szCs w:val="28"/>
          <w:highlight w:val="none"/>
          <w:lang w:val="en-US" w:eastAsia="zh-CN"/>
        </w:rPr>
        <w:t>350</w:t>
      </w:r>
      <w:r>
        <w:rPr>
          <w:rFonts w:hint="eastAsia" w:ascii="宋体" w:hAnsi="宋体" w:eastAsia="宋体" w:cs="宋体"/>
          <w:color w:val="auto"/>
          <w:spacing w:val="-2"/>
          <w:sz w:val="28"/>
          <w:szCs w:val="28"/>
          <w:highlight w:val="none"/>
          <w:lang w:eastAsia="zh-CN"/>
        </w:rPr>
        <w:t>t/d，分段凿岩阶段矿房法矿块生产能力可达</w:t>
      </w:r>
      <w:r>
        <w:rPr>
          <w:rFonts w:hint="eastAsia" w:ascii="宋体" w:hAnsi="宋体" w:eastAsia="宋体" w:cs="宋体"/>
          <w:color w:val="auto"/>
          <w:spacing w:val="-2"/>
          <w:sz w:val="28"/>
          <w:szCs w:val="28"/>
          <w:highlight w:val="none"/>
          <w:lang w:val="en-US" w:eastAsia="zh-CN"/>
        </w:rPr>
        <w:t>1000</w:t>
      </w:r>
      <w:r>
        <w:rPr>
          <w:rFonts w:hint="eastAsia" w:ascii="宋体" w:hAnsi="宋体" w:eastAsia="宋体" w:cs="宋体"/>
          <w:color w:val="auto"/>
          <w:spacing w:val="-2"/>
          <w:sz w:val="28"/>
          <w:szCs w:val="28"/>
          <w:highlight w:val="none"/>
          <w:lang w:eastAsia="zh-CN"/>
        </w:rPr>
        <w:t>t/d，按年产3</w:t>
      </w:r>
      <w:r>
        <w:rPr>
          <w:rFonts w:hint="eastAsia" w:ascii="宋体" w:hAnsi="宋体" w:eastAsia="宋体" w:cs="宋体"/>
          <w:color w:val="auto"/>
          <w:spacing w:val="-2"/>
          <w:sz w:val="28"/>
          <w:szCs w:val="28"/>
          <w:highlight w:val="none"/>
          <w:lang w:val="en-US" w:eastAsia="zh-CN"/>
        </w:rPr>
        <w:t>00</w:t>
      </w:r>
      <w:r>
        <w:rPr>
          <w:rFonts w:hint="eastAsia" w:ascii="宋体" w:hAnsi="宋体" w:eastAsia="宋体" w:cs="宋体"/>
          <w:color w:val="auto"/>
          <w:spacing w:val="-2"/>
          <w:sz w:val="28"/>
          <w:szCs w:val="28"/>
          <w:highlight w:val="none"/>
          <w:lang w:eastAsia="zh-CN"/>
        </w:rPr>
        <w:t>天计算，</w:t>
      </w:r>
      <w:r>
        <w:rPr>
          <w:rFonts w:hint="eastAsia" w:ascii="宋体" w:hAnsi="宋体" w:eastAsia="宋体" w:cs="宋体"/>
          <w:color w:val="auto"/>
          <w:spacing w:val="-2"/>
          <w:sz w:val="28"/>
          <w:szCs w:val="28"/>
          <w:highlight w:val="none"/>
          <w:lang w:val="en-US" w:eastAsia="zh-CN"/>
        </w:rPr>
        <w:t>390m中段开采时</w:t>
      </w:r>
      <w:r>
        <w:rPr>
          <w:rFonts w:hint="eastAsia" w:ascii="宋体" w:hAnsi="宋体" w:eastAsia="宋体" w:cs="宋体"/>
          <w:color w:val="auto"/>
          <w:spacing w:val="-2"/>
          <w:sz w:val="28"/>
          <w:szCs w:val="28"/>
          <w:highlight w:val="none"/>
          <w:lang w:eastAsia="zh-CN"/>
        </w:rPr>
        <w:t>设计布置</w:t>
      </w:r>
      <w:r>
        <w:rPr>
          <w:rFonts w:hint="eastAsia" w:ascii="宋体" w:hAnsi="宋体" w:eastAsia="宋体" w:cs="宋体"/>
          <w:color w:val="auto"/>
          <w:spacing w:val="-2"/>
          <w:sz w:val="28"/>
          <w:szCs w:val="28"/>
          <w:highlight w:val="none"/>
          <w:lang w:val="en-US" w:eastAsia="zh-CN"/>
        </w:rPr>
        <w:t>4个矿块</w:t>
      </w:r>
      <w:r>
        <w:rPr>
          <w:rFonts w:hint="eastAsia" w:ascii="宋体" w:hAnsi="宋体" w:eastAsia="宋体" w:cs="宋体"/>
          <w:color w:val="auto"/>
          <w:spacing w:val="-2"/>
          <w:sz w:val="28"/>
          <w:szCs w:val="28"/>
          <w:highlight w:val="none"/>
          <w:lang w:eastAsia="zh-CN"/>
        </w:rPr>
        <w:t>进行回采即可，</w:t>
      </w:r>
      <w:r>
        <w:rPr>
          <w:rFonts w:hint="eastAsia" w:ascii="宋体" w:hAnsi="宋体" w:eastAsia="宋体" w:cs="宋体"/>
          <w:color w:val="auto"/>
          <w:spacing w:val="-2"/>
          <w:sz w:val="28"/>
          <w:szCs w:val="28"/>
          <w:highlight w:val="none"/>
          <w:lang w:val="en-US" w:eastAsia="zh-CN"/>
        </w:rPr>
        <w:t>390m标高以下</w:t>
      </w:r>
      <w:r>
        <w:rPr>
          <w:rFonts w:hint="eastAsia" w:ascii="宋体" w:hAnsi="宋体" w:eastAsia="宋体" w:cs="宋体"/>
          <w:color w:val="auto"/>
          <w:spacing w:val="-2"/>
          <w:sz w:val="28"/>
          <w:szCs w:val="28"/>
          <w:highlight w:val="none"/>
          <w:lang w:eastAsia="zh-CN"/>
        </w:rPr>
        <w:t>设计布置</w:t>
      </w:r>
      <w:r>
        <w:rPr>
          <w:rFonts w:hint="eastAsia" w:ascii="宋体" w:hAnsi="宋体" w:eastAsia="宋体" w:cs="宋体"/>
          <w:color w:val="auto"/>
          <w:spacing w:val="-2"/>
          <w:sz w:val="28"/>
          <w:szCs w:val="28"/>
          <w:highlight w:val="none"/>
          <w:lang w:val="en-US" w:eastAsia="zh-CN"/>
        </w:rPr>
        <w:t>2</w:t>
      </w:r>
      <w:r>
        <w:rPr>
          <w:rFonts w:hint="eastAsia" w:ascii="宋体" w:hAnsi="宋体" w:eastAsia="宋体" w:cs="宋体"/>
          <w:color w:val="auto"/>
          <w:spacing w:val="-2"/>
          <w:sz w:val="28"/>
          <w:szCs w:val="28"/>
          <w:highlight w:val="none"/>
          <w:lang w:eastAsia="zh-CN"/>
        </w:rPr>
        <w:t>个矿块进行回采即可，则矿山年生产能力可达</w:t>
      </w:r>
      <w:r>
        <w:rPr>
          <w:rFonts w:hint="eastAsia" w:ascii="宋体" w:hAnsi="宋体" w:eastAsia="宋体" w:cs="宋体"/>
          <w:color w:val="auto"/>
          <w:spacing w:val="-2"/>
          <w:sz w:val="28"/>
          <w:szCs w:val="28"/>
          <w:highlight w:val="none"/>
          <w:lang w:val="en-US" w:eastAsia="zh-CN"/>
        </w:rPr>
        <w:t>42</w:t>
      </w:r>
      <w:r>
        <w:rPr>
          <w:rFonts w:hint="eastAsia" w:ascii="宋体" w:hAnsi="宋体" w:eastAsia="宋体" w:cs="宋体"/>
          <w:color w:val="auto"/>
          <w:spacing w:val="-2"/>
          <w:sz w:val="28"/>
          <w:szCs w:val="28"/>
          <w:highlight w:val="none"/>
          <w:lang w:eastAsia="zh-CN"/>
        </w:rPr>
        <w:t>万t/a（</w:t>
      </w:r>
      <w:r>
        <w:rPr>
          <w:rFonts w:hint="eastAsia" w:ascii="宋体" w:hAnsi="宋体" w:eastAsia="宋体" w:cs="宋体"/>
          <w:color w:val="auto"/>
          <w:spacing w:val="-2"/>
          <w:sz w:val="28"/>
          <w:szCs w:val="28"/>
          <w:highlight w:val="none"/>
          <w:lang w:val="en-US" w:eastAsia="zh-CN"/>
        </w:rPr>
        <w:t>60</w:t>
      </w:r>
      <w:r>
        <w:rPr>
          <w:rFonts w:hint="eastAsia" w:ascii="宋体" w:hAnsi="宋体" w:eastAsia="宋体" w:cs="宋体"/>
          <w:color w:val="auto"/>
          <w:spacing w:val="-2"/>
          <w:sz w:val="28"/>
          <w:szCs w:val="28"/>
          <w:highlight w:val="none"/>
          <w:lang w:eastAsia="zh-CN"/>
        </w:rPr>
        <w:t>万t/a）以上，因此矿山年生产</w:t>
      </w:r>
      <w:r>
        <w:rPr>
          <w:rFonts w:hint="eastAsia" w:ascii="宋体" w:hAnsi="宋体" w:eastAsia="宋体" w:cs="宋体"/>
          <w:color w:val="auto"/>
          <w:spacing w:val="-2"/>
          <w:sz w:val="28"/>
          <w:szCs w:val="28"/>
          <w:highlight w:val="none"/>
          <w:lang w:val="en-US" w:eastAsia="zh-CN"/>
        </w:rPr>
        <w:t>4</w:t>
      </w:r>
      <w:r>
        <w:rPr>
          <w:rFonts w:hint="eastAsia" w:ascii="宋体" w:hAnsi="宋体" w:eastAsia="宋体" w:cs="宋体"/>
          <w:color w:val="auto"/>
          <w:spacing w:val="-2"/>
          <w:sz w:val="28"/>
          <w:szCs w:val="28"/>
          <w:highlight w:val="none"/>
          <w:lang w:eastAsia="zh-CN"/>
        </w:rPr>
        <w:t>0万吨矿石的生产能力是可以达到的。</w:t>
      </w:r>
    </w:p>
    <w:p w14:paraId="62D11A39">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4.3.2矿山服务年限</w:t>
      </w:r>
    </w:p>
    <w:p w14:paraId="725403FB">
      <w:pPr>
        <w:kinsoku/>
        <w:wordWrap/>
        <w:overflowPunct/>
        <w:topLinePunct w:val="0"/>
        <w:bidi w:val="0"/>
        <w:snapToGrid w:val="0"/>
        <w:spacing w:line="360" w:lineRule="auto"/>
        <w:ind w:firstLine="570" w:firstLineChars="200"/>
        <w:rPr>
          <w:rFonts w:hint="default"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rPr>
        <w:t>T=Q•ε</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A（1－ρ）=</w:t>
      </w:r>
      <w:r>
        <w:rPr>
          <w:rFonts w:hint="eastAsia" w:ascii="宋体" w:hAnsi="宋体" w:eastAsia="宋体" w:cs="宋体"/>
          <w:color w:val="auto"/>
          <w:sz w:val="28"/>
          <w:szCs w:val="28"/>
          <w:highlight w:val="none"/>
          <w:lang w:val="en-US" w:eastAsia="zh-CN"/>
        </w:rPr>
        <w:t>691.42</w:t>
      </w: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val="en-US" w:eastAsia="zh-CN"/>
        </w:rPr>
        <w:t>75</w:t>
      </w: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val="en-US" w:eastAsia="zh-CN"/>
        </w:rPr>
        <w:t>4</w:t>
      </w:r>
      <w:r>
        <w:rPr>
          <w:rFonts w:hint="eastAsia" w:ascii="宋体" w:hAnsi="宋体" w:eastAsia="宋体" w:cs="宋体"/>
          <w:bCs/>
          <w:color w:val="auto"/>
          <w:sz w:val="28"/>
          <w:szCs w:val="28"/>
          <w:highlight w:val="none"/>
        </w:rPr>
        <w:t>0(1-</w:t>
      </w:r>
      <w:r>
        <w:rPr>
          <w:rFonts w:hint="eastAsia" w:ascii="宋体" w:hAnsi="宋体" w:eastAsia="宋体" w:cs="宋体"/>
          <w:bCs/>
          <w:color w:val="auto"/>
          <w:sz w:val="28"/>
          <w:szCs w:val="28"/>
          <w:highlight w:val="none"/>
          <w:lang w:val="en-US" w:eastAsia="zh-CN"/>
        </w:rPr>
        <w:t>5</w:t>
      </w:r>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val="en-US" w:eastAsia="zh-CN"/>
        </w:rPr>
        <w:t>13.6</w:t>
      </w:r>
    </w:p>
    <w:p w14:paraId="2DE7DAF8">
      <w:pPr>
        <w:kinsoku/>
        <w:wordWrap/>
        <w:overflowPunct/>
        <w:topLinePunct w:val="0"/>
        <w:bidi w:val="0"/>
        <w:snapToGrid w:val="0"/>
        <w:spacing w:line="360" w:lineRule="auto"/>
        <w:ind w:firstLine="57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式中：</w:t>
      </w:r>
    </w:p>
    <w:p w14:paraId="71C86458">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Q：设计利用资源储量，万t；</w:t>
      </w:r>
    </w:p>
    <w:p w14:paraId="39C3B89A">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ε：矿山回采率，取</w:t>
      </w:r>
      <w:r>
        <w:rPr>
          <w:rFonts w:hint="eastAsia" w:ascii="宋体" w:hAnsi="宋体" w:eastAsia="宋体" w:cs="宋体"/>
          <w:color w:val="auto"/>
          <w:sz w:val="28"/>
          <w:szCs w:val="28"/>
          <w:highlight w:val="none"/>
          <w:lang w:val="en-US" w:eastAsia="zh-CN"/>
        </w:rPr>
        <w:t>75</w:t>
      </w:r>
      <w:r>
        <w:rPr>
          <w:rFonts w:hint="eastAsia" w:ascii="宋体" w:hAnsi="宋体" w:eastAsia="宋体" w:cs="宋体"/>
          <w:color w:val="auto"/>
          <w:sz w:val="28"/>
          <w:szCs w:val="28"/>
          <w:highlight w:val="none"/>
          <w:lang w:eastAsia="zh-CN"/>
        </w:rPr>
        <w:t>%；</w:t>
      </w:r>
    </w:p>
    <w:p w14:paraId="05593339">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A：设计生产规模，</w:t>
      </w:r>
      <w:r>
        <w:rPr>
          <w:rFonts w:hint="eastAsia" w:ascii="宋体" w:hAnsi="宋体" w:eastAsia="宋体" w:cs="宋体"/>
          <w:color w:val="auto"/>
          <w:sz w:val="28"/>
          <w:szCs w:val="28"/>
          <w:highlight w:val="none"/>
          <w:lang w:val="en-US" w:eastAsia="zh-CN"/>
        </w:rPr>
        <w:t>40</w:t>
      </w:r>
      <w:r>
        <w:rPr>
          <w:rFonts w:hint="eastAsia" w:ascii="宋体" w:hAnsi="宋体" w:eastAsia="宋体" w:cs="宋体"/>
          <w:color w:val="auto"/>
          <w:sz w:val="28"/>
          <w:szCs w:val="28"/>
          <w:highlight w:val="none"/>
          <w:lang w:eastAsia="zh-CN"/>
        </w:rPr>
        <w:t>万t/年；</w:t>
      </w:r>
    </w:p>
    <w:p w14:paraId="4C60FF96">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ρ：贫化率，取</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eastAsia="zh-CN"/>
        </w:rPr>
        <w:t>%。</w:t>
      </w:r>
    </w:p>
    <w:p w14:paraId="502DAD7E">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从以上计算结果显示，矿山稳产期约</w:t>
      </w:r>
      <w:r>
        <w:rPr>
          <w:rFonts w:hint="eastAsia" w:ascii="宋体" w:hAnsi="宋体" w:eastAsia="宋体" w:cs="宋体"/>
          <w:color w:val="auto"/>
          <w:sz w:val="28"/>
          <w:szCs w:val="28"/>
          <w:highlight w:val="none"/>
          <w:lang w:val="en-US" w:eastAsia="zh-CN"/>
        </w:rPr>
        <w:t>13.0</w:t>
      </w:r>
      <w:r>
        <w:rPr>
          <w:rFonts w:hint="eastAsia" w:ascii="宋体" w:hAnsi="宋体" w:eastAsia="宋体" w:cs="宋体"/>
          <w:color w:val="auto"/>
          <w:sz w:val="28"/>
          <w:szCs w:val="28"/>
          <w:highlight w:val="none"/>
          <w:lang w:eastAsia="zh-CN"/>
        </w:rPr>
        <w:t>年，加上基建期</w:t>
      </w:r>
      <w:r>
        <w:rPr>
          <w:rFonts w:hint="eastAsia" w:ascii="宋体" w:hAnsi="宋体" w:eastAsia="宋体" w:cs="宋体"/>
          <w:color w:val="auto"/>
          <w:sz w:val="28"/>
          <w:szCs w:val="28"/>
          <w:highlight w:val="none"/>
          <w:lang w:val="en-US" w:eastAsia="zh-CN"/>
        </w:rPr>
        <w:t>2年，</w:t>
      </w:r>
      <w:r>
        <w:rPr>
          <w:rFonts w:hint="eastAsia" w:ascii="宋体" w:hAnsi="宋体" w:eastAsia="宋体" w:cs="宋体"/>
          <w:color w:val="auto"/>
          <w:sz w:val="28"/>
          <w:szCs w:val="28"/>
          <w:highlight w:val="none"/>
          <w:lang w:eastAsia="zh-CN"/>
        </w:rPr>
        <w:t>减产扫尾期约</w:t>
      </w:r>
      <w:r>
        <w:rPr>
          <w:rFonts w:hint="eastAsia" w:ascii="宋体" w:hAnsi="宋体" w:eastAsia="宋体" w:cs="宋体"/>
          <w:color w:val="auto"/>
          <w:sz w:val="28"/>
          <w:szCs w:val="28"/>
          <w:highlight w:val="none"/>
          <w:lang w:val="en-US" w:eastAsia="zh-CN"/>
        </w:rPr>
        <w:t>1.0</w:t>
      </w:r>
      <w:r>
        <w:rPr>
          <w:rFonts w:hint="eastAsia" w:ascii="宋体" w:hAnsi="宋体" w:eastAsia="宋体" w:cs="宋体"/>
          <w:color w:val="auto"/>
          <w:sz w:val="28"/>
          <w:szCs w:val="28"/>
          <w:highlight w:val="none"/>
          <w:lang w:eastAsia="zh-CN"/>
        </w:rPr>
        <w:t>年。故本设计矿山服务年限约</w:t>
      </w:r>
      <w:r>
        <w:rPr>
          <w:rFonts w:hint="eastAsia" w:ascii="宋体" w:hAnsi="宋体" w:eastAsia="宋体" w:cs="宋体"/>
          <w:color w:val="auto"/>
          <w:sz w:val="28"/>
          <w:szCs w:val="28"/>
          <w:highlight w:val="none"/>
          <w:lang w:val="en-US" w:eastAsia="zh-CN"/>
        </w:rPr>
        <w:t>16年</w:t>
      </w:r>
      <w:r>
        <w:rPr>
          <w:rFonts w:hint="eastAsia" w:ascii="宋体" w:hAnsi="宋体" w:eastAsia="宋体" w:cs="宋体"/>
          <w:color w:val="auto"/>
          <w:sz w:val="28"/>
          <w:szCs w:val="28"/>
          <w:highlight w:val="none"/>
          <w:lang w:eastAsia="zh-CN"/>
        </w:rPr>
        <w:t>。</w:t>
      </w:r>
    </w:p>
    <w:p w14:paraId="570E5881">
      <w:pPr>
        <w:pageBreakBefore w:val="0"/>
        <w:kinsoku/>
        <w:wordWrap/>
        <w:overflowPunct/>
        <w:topLinePunct w:val="0"/>
        <w:autoSpaceDE/>
        <w:autoSpaceDN/>
        <w:bidi w:val="0"/>
        <w:snapToGri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4.3.3生产计划</w:t>
      </w:r>
    </w:p>
    <w:p w14:paraId="6E92C9B0">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eastAsia="zh-CN"/>
        </w:rPr>
      </w:pPr>
      <w:r>
        <w:rPr>
          <w:rFonts w:hint="eastAsia" w:ascii="宋体" w:hAnsi="宋体" w:eastAsia="宋体" w:cs="宋体"/>
          <w:color w:val="auto"/>
          <w:spacing w:val="-2"/>
          <w:sz w:val="28"/>
          <w:szCs w:val="28"/>
          <w:highlight w:val="none"/>
          <w:lang w:val="en-US" w:eastAsia="zh-CN"/>
        </w:rPr>
        <w:t>1、</w:t>
      </w:r>
      <w:r>
        <w:rPr>
          <w:rFonts w:hint="eastAsia" w:ascii="宋体" w:hAnsi="宋体" w:eastAsia="宋体" w:cs="宋体"/>
          <w:color w:val="auto"/>
          <w:spacing w:val="-2"/>
          <w:sz w:val="28"/>
          <w:szCs w:val="28"/>
          <w:highlight w:val="none"/>
          <w:lang w:eastAsia="zh-CN"/>
        </w:rPr>
        <w:t>基建工程</w:t>
      </w:r>
    </w:p>
    <w:p w14:paraId="1915DB57">
      <w:pPr>
        <w:pStyle w:val="14"/>
        <w:keepNext w:val="0"/>
        <w:keepLines w:val="0"/>
        <w:pageBreakBefore w:val="0"/>
        <w:widowControl w:val="0"/>
        <w:kinsoku/>
        <w:wordWrap/>
        <w:overflowPunct/>
        <w:topLinePunct w:val="0"/>
        <w:autoSpaceDE/>
        <w:autoSpaceDN/>
        <w:bidi w:val="0"/>
        <w:adjustRightInd w:val="0"/>
        <w:snapToGrid w:val="0"/>
        <w:spacing w:line="360" w:lineRule="auto"/>
        <w:ind w:left="125" w:firstLine="560"/>
        <w:textAlignment w:val="baseline"/>
        <w:rPr>
          <w:rFonts w:hint="eastAsia" w:ascii="宋体" w:hAnsi="宋体" w:eastAsia="宋体" w:cs="宋体"/>
          <w:color w:val="auto"/>
          <w:spacing w:val="-2"/>
          <w:sz w:val="28"/>
          <w:szCs w:val="28"/>
          <w:highlight w:val="none"/>
          <w:lang w:eastAsia="zh-CN"/>
        </w:rPr>
      </w:pPr>
      <w:r>
        <w:rPr>
          <w:rFonts w:hint="eastAsia" w:ascii="Times New Roman" w:hAnsi="Times New Roman" w:eastAsia="宋体" w:cs="华文楷体"/>
          <w:snapToGrid w:val="0"/>
          <w:color w:val="auto"/>
          <w:szCs w:val="28"/>
          <w:highlight w:val="none"/>
          <w:lang w:eastAsia="zh-CN"/>
        </w:rPr>
        <w:t>本次设计</w:t>
      </w:r>
      <w:r>
        <w:rPr>
          <w:rFonts w:hint="eastAsia" w:ascii="Times New Roman" w:hAnsi="Times New Roman" w:eastAsia="宋体" w:cs="华文楷体"/>
          <w:snapToGrid w:val="0"/>
          <w:color w:val="auto"/>
          <w:szCs w:val="28"/>
          <w:highlight w:val="none"/>
        </w:rPr>
        <w:t>XPD456斜坡道不再纳入开拓运输系统使用，</w:t>
      </w:r>
      <w:r>
        <w:rPr>
          <w:rFonts w:hint="eastAsia" w:ascii="Times New Roman" w:hAnsi="Times New Roman" w:eastAsia="宋体" w:cs="华文楷体"/>
          <w:snapToGrid w:val="0"/>
          <w:color w:val="auto"/>
          <w:szCs w:val="28"/>
          <w:highlight w:val="none"/>
          <w:lang w:eastAsia="zh-CN"/>
        </w:rPr>
        <w:t>仅保留作为安全出口。</w:t>
      </w:r>
      <w:r>
        <w:rPr>
          <w:rFonts w:hint="eastAsia" w:ascii="宋体" w:hAnsi="宋体" w:eastAsia="宋体" w:cs="宋体"/>
          <w:color w:val="auto"/>
          <w:spacing w:val="-2"/>
          <w:sz w:val="28"/>
          <w:szCs w:val="28"/>
          <w:highlight w:val="none"/>
          <w:lang w:val="en-US" w:eastAsia="zh-CN"/>
        </w:rPr>
        <w:t>新增</w:t>
      </w:r>
      <w:r>
        <w:rPr>
          <w:rFonts w:hint="eastAsia" w:ascii="宋体" w:hAnsi="宋体" w:eastAsia="宋体" w:cs="宋体"/>
          <w:color w:val="auto"/>
          <w:kern w:val="2"/>
          <w:sz w:val="28"/>
          <w:szCs w:val="28"/>
          <w:highlight w:val="none"/>
          <w:lang w:val="en-US" w:eastAsia="zh-CN" w:bidi="ar-SA"/>
        </w:rPr>
        <w:t>PD443主平硐及斜坡道</w:t>
      </w:r>
      <w:r>
        <w:rPr>
          <w:rFonts w:hint="eastAsia" w:ascii="宋体" w:hAnsi="宋体" w:eastAsia="宋体" w:cs="宋体"/>
          <w:color w:val="auto"/>
          <w:spacing w:val="-2"/>
          <w:sz w:val="28"/>
          <w:szCs w:val="28"/>
          <w:highlight w:val="none"/>
          <w:lang w:val="en-US" w:eastAsia="zh-CN"/>
        </w:rPr>
        <w:t>长约1363m，各中段运输平巷、回风平巷、石门等合计约1738m，基建工期预计2.0年</w:t>
      </w:r>
      <w:r>
        <w:rPr>
          <w:rFonts w:hint="eastAsia" w:ascii="宋体" w:hAnsi="宋体" w:eastAsia="宋体" w:cs="宋体"/>
          <w:color w:val="auto"/>
          <w:spacing w:val="-2"/>
          <w:sz w:val="28"/>
          <w:szCs w:val="28"/>
          <w:highlight w:val="none"/>
          <w:lang w:eastAsia="zh-CN"/>
        </w:rPr>
        <w:t>。</w:t>
      </w:r>
    </w:p>
    <w:p w14:paraId="3B1DC52F">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eastAsia="zh-CN"/>
        </w:rPr>
      </w:pPr>
      <w:r>
        <w:rPr>
          <w:rFonts w:hint="eastAsia" w:ascii="宋体" w:hAnsi="宋体" w:eastAsia="宋体" w:cs="宋体"/>
          <w:color w:val="auto"/>
          <w:spacing w:val="-2"/>
          <w:sz w:val="28"/>
          <w:szCs w:val="28"/>
          <w:highlight w:val="none"/>
          <w:lang w:val="en-US" w:eastAsia="zh-CN"/>
        </w:rPr>
        <w:t>2、</w:t>
      </w:r>
      <w:r>
        <w:rPr>
          <w:rFonts w:hint="eastAsia" w:ascii="宋体" w:hAnsi="宋体" w:eastAsia="宋体" w:cs="宋体"/>
          <w:color w:val="auto"/>
          <w:spacing w:val="-2"/>
          <w:sz w:val="28"/>
          <w:szCs w:val="28"/>
          <w:highlight w:val="none"/>
          <w:lang w:eastAsia="zh-CN"/>
        </w:rPr>
        <w:t>生产计划</w:t>
      </w:r>
    </w:p>
    <w:p w14:paraId="51B25BFA">
      <w:pPr>
        <w:keepNext w:val="0"/>
        <w:keepLines w:val="0"/>
        <w:pageBreakBefore w:val="0"/>
        <w:widowControl w:val="0"/>
        <w:kinsoku/>
        <w:wordWrap/>
        <w:overflowPunct/>
        <w:topLinePunct w:val="0"/>
        <w:autoSpaceDE/>
        <w:autoSpaceDN/>
        <w:bidi w:val="0"/>
        <w:adjustRightInd w:val="0"/>
        <w:snapToGrid w:val="0"/>
        <w:spacing w:line="360" w:lineRule="auto"/>
        <w:ind w:firstLine="561"/>
        <w:textAlignment w:val="baseline"/>
        <w:rPr>
          <w:rFonts w:hint="eastAsia" w:ascii="宋体" w:hAnsi="宋体" w:eastAsia="宋体" w:cs="宋体"/>
          <w:color w:val="auto"/>
          <w:spacing w:val="-2"/>
          <w:sz w:val="28"/>
          <w:szCs w:val="28"/>
          <w:highlight w:val="none"/>
          <w:lang w:eastAsia="zh-CN"/>
        </w:rPr>
      </w:pPr>
      <w:r>
        <w:rPr>
          <w:rFonts w:hint="eastAsia" w:ascii="宋体" w:hAnsi="宋体" w:eastAsia="宋体" w:cs="宋体"/>
          <w:color w:val="auto"/>
          <w:spacing w:val="-2"/>
          <w:sz w:val="28"/>
          <w:szCs w:val="28"/>
          <w:highlight w:val="none"/>
          <w:lang w:eastAsia="zh-CN"/>
        </w:rPr>
        <w:t>本次设计矿山基建期约</w:t>
      </w:r>
      <w:r>
        <w:rPr>
          <w:rFonts w:hint="eastAsia" w:ascii="宋体" w:hAnsi="宋体" w:eastAsia="宋体" w:cs="宋体"/>
          <w:color w:val="auto"/>
          <w:spacing w:val="-2"/>
          <w:sz w:val="28"/>
          <w:szCs w:val="28"/>
          <w:highlight w:val="none"/>
          <w:lang w:val="en-US" w:eastAsia="zh-CN"/>
        </w:rPr>
        <w:t>2.0</w:t>
      </w:r>
      <w:r>
        <w:rPr>
          <w:rFonts w:hint="eastAsia" w:ascii="宋体" w:hAnsi="宋体" w:eastAsia="宋体" w:cs="宋体"/>
          <w:color w:val="auto"/>
          <w:spacing w:val="-2"/>
          <w:sz w:val="28"/>
          <w:szCs w:val="28"/>
          <w:highlight w:val="none"/>
          <w:lang w:eastAsia="zh-CN"/>
        </w:rPr>
        <w:t>年，第三年至第十五年矿山均正常生产，生产规模维持在</w:t>
      </w:r>
      <w:r>
        <w:rPr>
          <w:rFonts w:hint="eastAsia" w:ascii="宋体" w:hAnsi="宋体" w:eastAsia="宋体" w:cs="宋体"/>
          <w:color w:val="auto"/>
          <w:spacing w:val="-2"/>
          <w:sz w:val="28"/>
          <w:szCs w:val="28"/>
          <w:highlight w:val="none"/>
          <w:lang w:val="en-US" w:eastAsia="zh-CN"/>
        </w:rPr>
        <w:t>4</w:t>
      </w:r>
      <w:r>
        <w:rPr>
          <w:rFonts w:hint="eastAsia" w:ascii="宋体" w:hAnsi="宋体" w:eastAsia="宋体" w:cs="宋体"/>
          <w:color w:val="auto"/>
          <w:spacing w:val="-2"/>
          <w:sz w:val="28"/>
          <w:szCs w:val="28"/>
          <w:highlight w:val="none"/>
          <w:lang w:eastAsia="zh-CN"/>
        </w:rPr>
        <w:t>0万吨/年；第十六年矿山处于减产扫尾期，产量约</w:t>
      </w:r>
      <w:r>
        <w:rPr>
          <w:rFonts w:hint="eastAsia" w:ascii="宋体" w:hAnsi="宋体" w:eastAsia="宋体" w:cs="宋体"/>
          <w:color w:val="auto"/>
          <w:spacing w:val="-2"/>
          <w:sz w:val="28"/>
          <w:szCs w:val="28"/>
          <w:highlight w:val="none"/>
          <w:lang w:val="en-US" w:eastAsia="zh-CN"/>
        </w:rPr>
        <w:t>24万吨</w:t>
      </w:r>
      <w:r>
        <w:rPr>
          <w:rFonts w:hint="eastAsia" w:ascii="宋体" w:hAnsi="宋体" w:eastAsia="宋体" w:cs="宋体"/>
          <w:color w:val="auto"/>
          <w:spacing w:val="-2"/>
          <w:sz w:val="28"/>
          <w:szCs w:val="28"/>
          <w:highlight w:val="none"/>
          <w:lang w:eastAsia="zh-CN"/>
        </w:rPr>
        <w:t>。具体生产计划进度详见表</w:t>
      </w:r>
      <w:r>
        <w:rPr>
          <w:rFonts w:hint="eastAsia" w:ascii="宋体" w:hAnsi="宋体" w:eastAsia="宋体" w:cs="宋体"/>
          <w:color w:val="auto"/>
          <w:spacing w:val="-2"/>
          <w:sz w:val="28"/>
          <w:szCs w:val="28"/>
          <w:highlight w:val="none"/>
          <w:lang w:val="en-US" w:eastAsia="zh-CN"/>
        </w:rPr>
        <w:t>4</w:t>
      </w:r>
      <w:r>
        <w:rPr>
          <w:rFonts w:hint="eastAsia" w:ascii="宋体" w:hAnsi="宋体" w:eastAsia="宋体" w:cs="宋体"/>
          <w:color w:val="auto"/>
          <w:spacing w:val="-2"/>
          <w:sz w:val="28"/>
          <w:szCs w:val="28"/>
          <w:highlight w:val="none"/>
          <w:lang w:eastAsia="zh-CN"/>
        </w:rPr>
        <w:t>-</w:t>
      </w:r>
      <w:r>
        <w:rPr>
          <w:rFonts w:hint="eastAsia" w:ascii="宋体" w:hAnsi="宋体" w:eastAsia="宋体" w:cs="宋体"/>
          <w:color w:val="auto"/>
          <w:spacing w:val="-2"/>
          <w:sz w:val="28"/>
          <w:szCs w:val="28"/>
          <w:highlight w:val="none"/>
          <w:lang w:val="en-US" w:eastAsia="zh-CN"/>
        </w:rPr>
        <w:t>5</w:t>
      </w:r>
      <w:r>
        <w:rPr>
          <w:rFonts w:hint="eastAsia" w:ascii="宋体" w:hAnsi="宋体" w:eastAsia="宋体" w:cs="宋体"/>
          <w:color w:val="auto"/>
          <w:spacing w:val="-2"/>
          <w:sz w:val="28"/>
          <w:szCs w:val="28"/>
          <w:highlight w:val="none"/>
          <w:lang w:eastAsia="zh-CN"/>
        </w:rPr>
        <w:t xml:space="preserve"> 。</w:t>
      </w:r>
    </w:p>
    <w:p w14:paraId="5BAF888B">
      <w:pPr>
        <w:keepNext w:val="0"/>
        <w:keepLines w:val="0"/>
        <w:pageBreakBefore w:val="0"/>
        <w:widowControl w:val="0"/>
        <w:kinsoku/>
        <w:wordWrap/>
        <w:overflowPunct/>
        <w:topLinePunct w:val="0"/>
        <w:autoSpaceDE/>
        <w:autoSpaceDN/>
        <w:bidi w:val="0"/>
        <w:adjustRightInd w:val="0"/>
        <w:snapToGrid w:val="0"/>
        <w:spacing w:line="240" w:lineRule="auto"/>
        <w:ind w:firstLine="3135" w:firstLineChars="1100"/>
        <w:jc w:val="right"/>
        <w:textAlignment w:val="baseline"/>
        <w:rPr>
          <w:rFonts w:hint="eastAsia" w:ascii="Times New Roman" w:hAnsi="Times New Roman" w:eastAsia="宋体"/>
          <w:color w:val="auto"/>
          <w:sz w:val="28"/>
          <w:szCs w:val="28"/>
          <w:highlight w:val="none"/>
          <w:lang w:val="en-US" w:eastAsia="zh-CN"/>
        </w:rPr>
      </w:pPr>
      <w:r>
        <w:rPr>
          <w:rFonts w:ascii="Times New Roman" w:hAnsi="Times New Roman" w:eastAsia="宋体"/>
          <w:b/>
          <w:bCs/>
          <w:color w:val="auto"/>
          <w:sz w:val="28"/>
          <w:szCs w:val="28"/>
          <w:highlight w:val="none"/>
        </w:rPr>
        <w:t>生产计划进度表</w:t>
      </w:r>
      <w:r>
        <w:rPr>
          <w:rFonts w:hint="eastAsia" w:ascii="Times New Roman" w:hAnsi="Times New Roman" w:eastAsia="宋体"/>
          <w:b/>
          <w:bCs/>
          <w:color w:val="auto"/>
          <w:sz w:val="28"/>
          <w:szCs w:val="28"/>
          <w:highlight w:val="none"/>
          <w:lang w:val="en-US" w:eastAsia="zh-CN"/>
        </w:rPr>
        <w:t xml:space="preserve">      </w:t>
      </w:r>
      <w:r>
        <w:rPr>
          <w:rFonts w:hint="eastAsia" w:ascii="Times New Roman" w:hAnsi="Times New Roman"/>
          <w:b/>
          <w:bCs/>
          <w:color w:val="auto"/>
          <w:sz w:val="28"/>
          <w:szCs w:val="28"/>
          <w:highlight w:val="none"/>
          <w:lang w:val="en-US" w:eastAsia="zh-CN"/>
        </w:rPr>
        <w:t xml:space="preserve"> </w:t>
      </w:r>
      <w:r>
        <w:rPr>
          <w:rFonts w:hint="eastAsia" w:ascii="Times New Roman" w:hAnsi="Times New Roman" w:eastAsia="宋体"/>
          <w:b/>
          <w:bCs/>
          <w:color w:val="auto"/>
          <w:sz w:val="28"/>
          <w:szCs w:val="28"/>
          <w:highlight w:val="none"/>
          <w:lang w:val="en-US" w:eastAsia="zh-CN"/>
        </w:rPr>
        <w:t xml:space="preserve">            </w:t>
      </w:r>
      <w:r>
        <w:rPr>
          <w:rFonts w:ascii="Times New Roman" w:hAnsi="Times New Roman" w:eastAsia="宋体"/>
          <w:color w:val="auto"/>
          <w:sz w:val="28"/>
          <w:szCs w:val="28"/>
          <w:highlight w:val="none"/>
        </w:rPr>
        <w:t>表</w:t>
      </w:r>
      <w:r>
        <w:rPr>
          <w:rFonts w:hint="eastAsia" w:ascii="Times New Roman" w:hAnsi="Times New Roman"/>
          <w:color w:val="auto"/>
          <w:sz w:val="28"/>
          <w:szCs w:val="28"/>
          <w:highlight w:val="none"/>
          <w:lang w:val="en-US" w:eastAsia="zh-CN"/>
        </w:rPr>
        <w:t>4</w:t>
      </w:r>
      <w:r>
        <w:rPr>
          <w:rFonts w:ascii="Times New Roman" w:hAnsi="Times New Roman" w:eastAsia="宋体"/>
          <w:color w:val="auto"/>
          <w:sz w:val="28"/>
          <w:szCs w:val="28"/>
          <w:highlight w:val="none"/>
        </w:rPr>
        <w:t>-</w:t>
      </w:r>
      <w:r>
        <w:rPr>
          <w:rFonts w:hint="eastAsia" w:ascii="Times New Roman" w:hAnsi="Times New Roman"/>
          <w:color w:val="auto"/>
          <w:sz w:val="28"/>
          <w:szCs w:val="28"/>
          <w:highlight w:val="none"/>
          <w:lang w:val="en-US" w:eastAsia="zh-CN"/>
        </w:rPr>
        <w:t>5</w:t>
      </w:r>
    </w:p>
    <w:tbl>
      <w:tblPr>
        <w:tblStyle w:val="18"/>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973"/>
        <w:gridCol w:w="1140"/>
        <w:gridCol w:w="1005"/>
        <w:gridCol w:w="787"/>
        <w:gridCol w:w="960"/>
        <w:gridCol w:w="915"/>
        <w:gridCol w:w="870"/>
        <w:gridCol w:w="915"/>
        <w:gridCol w:w="793"/>
      </w:tblGrid>
      <w:tr w14:paraId="251F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noWrap w:val="0"/>
            <w:vAlign w:val="center"/>
          </w:tcPr>
          <w:p w14:paraId="28C3A502">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序</w:t>
            </w:r>
          </w:p>
          <w:p w14:paraId="24618BCE">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号</w:t>
            </w:r>
          </w:p>
        </w:tc>
        <w:tc>
          <w:tcPr>
            <w:tcW w:w="973" w:type="dxa"/>
            <w:noWrap w:val="0"/>
            <w:vAlign w:val="center"/>
          </w:tcPr>
          <w:p w14:paraId="487D593F">
            <w:pPr>
              <w:spacing w:line="240" w:lineRule="auto"/>
              <w:jc w:val="center"/>
              <w:rPr>
                <w:rFonts w:ascii="Times New Roman" w:hAnsi="Times New Roman" w:eastAsia="宋体"/>
                <w:b/>
                <w:bCs/>
                <w:color w:val="auto"/>
                <w:sz w:val="24"/>
                <w:szCs w:val="24"/>
                <w:highlight w:val="none"/>
              </w:rPr>
            </w:pPr>
            <w:r>
              <w:rPr>
                <w:rFonts w:ascii="Times New Roman" w:hAnsi="Times New Roman" w:eastAsia="宋体"/>
                <w:b/>
                <w:bCs/>
                <w:color w:val="auto"/>
                <w:sz w:val="24"/>
                <w:szCs w:val="24"/>
                <w:highlight w:val="none"/>
              </w:rPr>
              <w:t>中段</w:t>
            </w:r>
          </w:p>
          <w:p w14:paraId="7B39348D">
            <w:pPr>
              <w:spacing w:line="240" w:lineRule="auto"/>
              <w:jc w:val="center"/>
              <w:rPr>
                <w:rFonts w:ascii="Times New Roman" w:hAnsi="Times New Roman" w:eastAsia="宋体"/>
                <w:b/>
                <w:bCs/>
                <w:color w:val="auto"/>
                <w:sz w:val="24"/>
                <w:szCs w:val="24"/>
                <w:highlight w:val="none"/>
              </w:rPr>
            </w:pPr>
            <w:r>
              <w:rPr>
                <w:rFonts w:ascii="Times New Roman" w:hAnsi="Times New Roman" w:eastAsia="宋体"/>
                <w:b/>
                <w:bCs/>
                <w:color w:val="auto"/>
                <w:sz w:val="24"/>
                <w:szCs w:val="24"/>
                <w:highlight w:val="none"/>
              </w:rPr>
              <w:t>名称</w:t>
            </w:r>
          </w:p>
        </w:tc>
        <w:tc>
          <w:tcPr>
            <w:tcW w:w="1140" w:type="dxa"/>
            <w:noWrap w:val="0"/>
            <w:vAlign w:val="center"/>
          </w:tcPr>
          <w:p w14:paraId="6A5177D1">
            <w:pPr>
              <w:spacing w:line="240" w:lineRule="auto"/>
              <w:jc w:val="center"/>
              <w:rPr>
                <w:rFonts w:ascii="Times New Roman" w:hAnsi="Times New Roman" w:eastAsia="宋体"/>
                <w:b/>
                <w:bCs/>
                <w:color w:val="auto"/>
                <w:sz w:val="24"/>
                <w:szCs w:val="24"/>
                <w:highlight w:val="none"/>
              </w:rPr>
            </w:pPr>
            <w:r>
              <w:rPr>
                <w:rFonts w:hint="eastAsia" w:ascii="Times New Roman" w:hAnsi="Times New Roman" w:eastAsia="宋体"/>
                <w:b/>
                <w:bCs/>
                <w:color w:val="auto"/>
                <w:sz w:val="24"/>
                <w:szCs w:val="24"/>
                <w:highlight w:val="none"/>
                <w:lang w:eastAsia="zh-CN"/>
              </w:rPr>
              <w:t>可采矿石</w:t>
            </w:r>
            <w:r>
              <w:rPr>
                <w:rFonts w:ascii="Times New Roman" w:hAnsi="Times New Roman" w:eastAsia="宋体"/>
                <w:b/>
                <w:bCs/>
                <w:color w:val="auto"/>
                <w:sz w:val="24"/>
                <w:szCs w:val="24"/>
                <w:highlight w:val="none"/>
              </w:rPr>
              <w:t>量</w:t>
            </w:r>
          </w:p>
          <w:p w14:paraId="4F75F215">
            <w:pPr>
              <w:spacing w:line="240" w:lineRule="auto"/>
              <w:jc w:val="center"/>
              <w:rPr>
                <w:rFonts w:ascii="Times New Roman" w:hAnsi="Times New Roman" w:eastAsia="宋体"/>
                <w:b/>
                <w:bCs/>
                <w:color w:val="auto"/>
                <w:sz w:val="24"/>
                <w:szCs w:val="24"/>
                <w:highlight w:val="none"/>
              </w:rPr>
            </w:pPr>
            <w:r>
              <w:rPr>
                <w:rFonts w:ascii="Times New Roman" w:hAnsi="Times New Roman" w:eastAsia="宋体"/>
                <w:b/>
                <w:bCs/>
                <w:color w:val="auto"/>
                <w:sz w:val="24"/>
                <w:szCs w:val="24"/>
                <w:highlight w:val="none"/>
              </w:rPr>
              <w:t>(万吨)</w:t>
            </w:r>
          </w:p>
        </w:tc>
        <w:tc>
          <w:tcPr>
            <w:tcW w:w="1005" w:type="dxa"/>
            <w:noWrap w:val="0"/>
            <w:vAlign w:val="center"/>
          </w:tcPr>
          <w:p w14:paraId="6763B603">
            <w:pPr>
              <w:spacing w:line="240" w:lineRule="auto"/>
              <w:jc w:val="center"/>
              <w:rPr>
                <w:rFonts w:ascii="Times New Roman" w:hAnsi="Times New Roman" w:eastAsia="宋体"/>
                <w:b/>
                <w:bCs/>
                <w:color w:val="auto"/>
                <w:sz w:val="24"/>
                <w:szCs w:val="24"/>
                <w:highlight w:val="none"/>
              </w:rPr>
            </w:pPr>
            <w:r>
              <w:rPr>
                <w:rFonts w:ascii="Times New Roman" w:hAnsi="Times New Roman" w:eastAsia="宋体"/>
                <w:b/>
                <w:bCs/>
                <w:color w:val="auto"/>
                <w:sz w:val="24"/>
                <w:szCs w:val="24"/>
                <w:highlight w:val="none"/>
              </w:rPr>
              <w:t>回采时间(a)</w:t>
            </w:r>
          </w:p>
        </w:tc>
        <w:tc>
          <w:tcPr>
            <w:tcW w:w="787" w:type="dxa"/>
            <w:noWrap w:val="0"/>
            <w:vAlign w:val="center"/>
          </w:tcPr>
          <w:p w14:paraId="1ED1A2FF">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第</w:t>
            </w:r>
          </w:p>
          <w:p w14:paraId="4C03DEE6">
            <w:pPr>
              <w:spacing w:line="240" w:lineRule="auto"/>
              <w:jc w:val="center"/>
              <w:rPr>
                <w:rFonts w:hint="default" w:ascii="Times New Roman" w:hAnsi="Times New Roman" w:eastAsia="宋体"/>
                <w:b/>
                <w:bCs/>
                <w:snapToGrid w:val="0"/>
                <w:color w:val="auto"/>
                <w:spacing w:val="-4"/>
                <w:kern w:val="0"/>
                <w:sz w:val="24"/>
                <w:szCs w:val="24"/>
                <w:highlight w:val="none"/>
                <w:lang w:val="en-US" w:eastAsia="zh-CN"/>
              </w:rPr>
            </w:pPr>
            <w:r>
              <w:rPr>
                <w:rFonts w:ascii="Times New Roman" w:hAnsi="Times New Roman" w:eastAsia="宋体"/>
                <w:b/>
                <w:bCs/>
                <w:snapToGrid w:val="0"/>
                <w:color w:val="auto"/>
                <w:spacing w:val="-4"/>
                <w:kern w:val="0"/>
                <w:sz w:val="24"/>
                <w:szCs w:val="24"/>
                <w:highlight w:val="none"/>
              </w:rPr>
              <w:t>1</w:t>
            </w:r>
            <w:r>
              <w:rPr>
                <w:rFonts w:hint="eastAsia" w:ascii="Times New Roman" w:hAnsi="Times New Roman" w:eastAsia="宋体"/>
                <w:b/>
                <w:bCs/>
                <w:snapToGrid w:val="0"/>
                <w:color w:val="auto"/>
                <w:spacing w:val="-4"/>
                <w:kern w:val="0"/>
                <w:sz w:val="24"/>
                <w:szCs w:val="24"/>
                <w:highlight w:val="none"/>
                <w:lang w:val="en-US" w:eastAsia="zh-CN"/>
              </w:rPr>
              <w:t>-</w:t>
            </w:r>
            <w:r>
              <w:rPr>
                <w:rFonts w:hint="eastAsia" w:ascii="Times New Roman" w:hAnsi="Times New Roman"/>
                <w:b/>
                <w:bCs/>
                <w:snapToGrid w:val="0"/>
                <w:color w:val="auto"/>
                <w:spacing w:val="-4"/>
                <w:kern w:val="0"/>
                <w:sz w:val="24"/>
                <w:szCs w:val="24"/>
                <w:highlight w:val="none"/>
                <w:lang w:val="en-US" w:eastAsia="zh-CN"/>
              </w:rPr>
              <w:t>2</w:t>
            </w:r>
          </w:p>
          <w:p w14:paraId="559E56E1">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年</w:t>
            </w:r>
          </w:p>
        </w:tc>
        <w:tc>
          <w:tcPr>
            <w:tcW w:w="960" w:type="dxa"/>
            <w:noWrap w:val="0"/>
            <w:vAlign w:val="center"/>
          </w:tcPr>
          <w:p w14:paraId="6C90CA04">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第</w:t>
            </w:r>
          </w:p>
          <w:p w14:paraId="48D348A9">
            <w:pPr>
              <w:spacing w:line="240" w:lineRule="auto"/>
              <w:jc w:val="center"/>
              <w:rPr>
                <w:rFonts w:hint="default" w:ascii="Times New Roman" w:hAnsi="Times New Roman"/>
                <w:b/>
                <w:bCs/>
                <w:snapToGrid w:val="0"/>
                <w:color w:val="auto"/>
                <w:spacing w:val="-4"/>
                <w:kern w:val="0"/>
                <w:sz w:val="24"/>
                <w:szCs w:val="24"/>
                <w:highlight w:val="none"/>
                <w:lang w:val="en-US" w:eastAsia="zh-CN"/>
              </w:rPr>
            </w:pPr>
            <w:r>
              <w:rPr>
                <w:rFonts w:hint="eastAsia" w:ascii="Times New Roman" w:hAnsi="Times New Roman"/>
                <w:b/>
                <w:bCs/>
                <w:snapToGrid w:val="0"/>
                <w:color w:val="auto"/>
                <w:spacing w:val="-4"/>
                <w:kern w:val="0"/>
                <w:sz w:val="24"/>
                <w:szCs w:val="24"/>
                <w:highlight w:val="none"/>
                <w:lang w:val="en-US" w:eastAsia="zh-CN"/>
              </w:rPr>
              <w:t>3</w:t>
            </w:r>
            <w:r>
              <w:rPr>
                <w:rFonts w:hint="eastAsia" w:ascii="Times New Roman" w:hAnsi="Times New Roman" w:eastAsia="宋体"/>
                <w:b/>
                <w:bCs/>
                <w:snapToGrid w:val="0"/>
                <w:color w:val="auto"/>
                <w:spacing w:val="-4"/>
                <w:kern w:val="0"/>
                <w:sz w:val="24"/>
                <w:szCs w:val="24"/>
                <w:highlight w:val="none"/>
                <w:lang w:val="en-US" w:eastAsia="zh-CN"/>
              </w:rPr>
              <w:t>-</w:t>
            </w:r>
            <w:r>
              <w:rPr>
                <w:rFonts w:hint="eastAsia" w:ascii="Times New Roman" w:hAnsi="Times New Roman"/>
                <w:b/>
                <w:bCs/>
                <w:snapToGrid w:val="0"/>
                <w:color w:val="auto"/>
                <w:spacing w:val="-4"/>
                <w:kern w:val="0"/>
                <w:sz w:val="24"/>
                <w:szCs w:val="24"/>
                <w:highlight w:val="none"/>
                <w:lang w:val="en-US" w:eastAsia="zh-CN"/>
              </w:rPr>
              <w:t>5</w:t>
            </w:r>
          </w:p>
          <w:p w14:paraId="7C1D0923">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年</w:t>
            </w:r>
          </w:p>
        </w:tc>
        <w:tc>
          <w:tcPr>
            <w:tcW w:w="915" w:type="dxa"/>
            <w:noWrap w:val="0"/>
            <w:vAlign w:val="center"/>
          </w:tcPr>
          <w:p w14:paraId="703BD490">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第</w:t>
            </w:r>
          </w:p>
          <w:p w14:paraId="6FD5B717">
            <w:pPr>
              <w:spacing w:line="240" w:lineRule="auto"/>
              <w:jc w:val="center"/>
              <w:rPr>
                <w:rFonts w:hint="default" w:ascii="Times New Roman" w:hAnsi="Times New Roman"/>
                <w:b/>
                <w:bCs/>
                <w:snapToGrid w:val="0"/>
                <w:color w:val="auto"/>
                <w:spacing w:val="-4"/>
                <w:kern w:val="0"/>
                <w:sz w:val="24"/>
                <w:szCs w:val="24"/>
                <w:highlight w:val="none"/>
                <w:lang w:val="en-US" w:eastAsia="zh-CN"/>
              </w:rPr>
            </w:pPr>
            <w:r>
              <w:rPr>
                <w:rFonts w:hint="eastAsia" w:ascii="Times New Roman" w:hAnsi="Times New Roman"/>
                <w:b/>
                <w:bCs/>
                <w:snapToGrid w:val="0"/>
                <w:color w:val="auto"/>
                <w:spacing w:val="-4"/>
                <w:kern w:val="0"/>
                <w:sz w:val="24"/>
                <w:szCs w:val="24"/>
                <w:highlight w:val="none"/>
                <w:lang w:val="en-US" w:eastAsia="zh-CN"/>
              </w:rPr>
              <w:t>6</w:t>
            </w:r>
            <w:r>
              <w:rPr>
                <w:rFonts w:hint="eastAsia" w:ascii="Times New Roman" w:hAnsi="Times New Roman" w:eastAsia="宋体"/>
                <w:b/>
                <w:bCs/>
                <w:snapToGrid w:val="0"/>
                <w:color w:val="auto"/>
                <w:spacing w:val="-4"/>
                <w:kern w:val="0"/>
                <w:sz w:val="24"/>
                <w:szCs w:val="24"/>
                <w:highlight w:val="none"/>
                <w:lang w:val="en-US" w:eastAsia="zh-CN"/>
              </w:rPr>
              <w:t>-</w:t>
            </w:r>
            <w:r>
              <w:rPr>
                <w:rFonts w:hint="eastAsia" w:ascii="Times New Roman" w:hAnsi="Times New Roman"/>
                <w:b/>
                <w:bCs/>
                <w:snapToGrid w:val="0"/>
                <w:color w:val="auto"/>
                <w:spacing w:val="-4"/>
                <w:kern w:val="0"/>
                <w:sz w:val="24"/>
                <w:szCs w:val="24"/>
                <w:highlight w:val="none"/>
                <w:lang w:val="en-US" w:eastAsia="zh-CN"/>
              </w:rPr>
              <w:t>8</w:t>
            </w:r>
          </w:p>
          <w:p w14:paraId="744DE394">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年</w:t>
            </w:r>
          </w:p>
        </w:tc>
        <w:tc>
          <w:tcPr>
            <w:tcW w:w="870" w:type="dxa"/>
            <w:noWrap w:val="0"/>
            <w:vAlign w:val="center"/>
          </w:tcPr>
          <w:p w14:paraId="214AC289">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第</w:t>
            </w:r>
          </w:p>
          <w:p w14:paraId="0F66B24B">
            <w:pPr>
              <w:spacing w:line="240" w:lineRule="auto"/>
              <w:jc w:val="center"/>
              <w:rPr>
                <w:rFonts w:hint="eastAsia" w:ascii="Times New Roman" w:hAnsi="Times New Roman"/>
                <w:b/>
                <w:bCs/>
                <w:snapToGrid w:val="0"/>
                <w:color w:val="auto"/>
                <w:spacing w:val="-4"/>
                <w:kern w:val="0"/>
                <w:sz w:val="24"/>
                <w:szCs w:val="24"/>
                <w:highlight w:val="none"/>
                <w:lang w:val="en-US" w:eastAsia="zh-CN"/>
              </w:rPr>
            </w:pPr>
            <w:r>
              <w:rPr>
                <w:rFonts w:hint="eastAsia" w:ascii="Times New Roman" w:hAnsi="Times New Roman"/>
                <w:b/>
                <w:bCs/>
                <w:snapToGrid w:val="0"/>
                <w:color w:val="auto"/>
                <w:spacing w:val="-4"/>
                <w:kern w:val="0"/>
                <w:sz w:val="24"/>
                <w:szCs w:val="24"/>
                <w:highlight w:val="none"/>
                <w:lang w:val="en-US" w:eastAsia="zh-CN"/>
              </w:rPr>
              <w:t>9</w:t>
            </w:r>
            <w:r>
              <w:rPr>
                <w:rFonts w:hint="eastAsia" w:ascii="Times New Roman" w:hAnsi="Times New Roman" w:eastAsia="宋体"/>
                <w:b/>
                <w:bCs/>
                <w:snapToGrid w:val="0"/>
                <w:color w:val="auto"/>
                <w:spacing w:val="-4"/>
                <w:kern w:val="0"/>
                <w:sz w:val="24"/>
                <w:szCs w:val="24"/>
                <w:highlight w:val="none"/>
                <w:lang w:val="en-US" w:eastAsia="zh-CN"/>
              </w:rPr>
              <w:t>-</w:t>
            </w:r>
            <w:r>
              <w:rPr>
                <w:rFonts w:hint="eastAsia" w:ascii="Times New Roman" w:hAnsi="Times New Roman"/>
                <w:b/>
                <w:bCs/>
                <w:snapToGrid w:val="0"/>
                <w:color w:val="auto"/>
                <w:spacing w:val="-4"/>
                <w:kern w:val="0"/>
                <w:sz w:val="24"/>
                <w:szCs w:val="24"/>
                <w:highlight w:val="none"/>
                <w:lang w:val="en-US" w:eastAsia="zh-CN"/>
              </w:rPr>
              <w:t>11</w:t>
            </w:r>
          </w:p>
          <w:p w14:paraId="08854C6F">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年</w:t>
            </w:r>
          </w:p>
        </w:tc>
        <w:tc>
          <w:tcPr>
            <w:tcW w:w="915" w:type="dxa"/>
            <w:noWrap w:val="0"/>
            <w:vAlign w:val="center"/>
          </w:tcPr>
          <w:p w14:paraId="4A5E61DC">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第</w:t>
            </w:r>
          </w:p>
          <w:p w14:paraId="6F65BFF0">
            <w:pPr>
              <w:spacing w:line="240" w:lineRule="auto"/>
              <w:jc w:val="center"/>
              <w:rPr>
                <w:rFonts w:hint="default" w:ascii="Times New Roman" w:hAnsi="Times New Roman" w:eastAsia="宋体"/>
                <w:b/>
                <w:bCs/>
                <w:snapToGrid w:val="0"/>
                <w:color w:val="auto"/>
                <w:spacing w:val="-4"/>
                <w:kern w:val="0"/>
                <w:sz w:val="24"/>
                <w:szCs w:val="24"/>
                <w:highlight w:val="none"/>
                <w:lang w:val="en-US" w:eastAsia="zh-CN"/>
              </w:rPr>
            </w:pPr>
            <w:r>
              <w:rPr>
                <w:rFonts w:hint="eastAsia" w:ascii="Times New Roman" w:hAnsi="Times New Roman"/>
                <w:b/>
                <w:bCs/>
                <w:snapToGrid w:val="0"/>
                <w:color w:val="auto"/>
                <w:spacing w:val="-4"/>
                <w:kern w:val="0"/>
                <w:sz w:val="24"/>
                <w:szCs w:val="24"/>
                <w:highlight w:val="none"/>
                <w:lang w:val="en-US" w:eastAsia="zh-CN"/>
              </w:rPr>
              <w:t>12</w:t>
            </w:r>
            <w:r>
              <w:rPr>
                <w:rFonts w:hint="eastAsia" w:ascii="Times New Roman" w:hAnsi="Times New Roman" w:eastAsia="宋体"/>
                <w:b/>
                <w:bCs/>
                <w:snapToGrid w:val="0"/>
                <w:color w:val="auto"/>
                <w:spacing w:val="-4"/>
                <w:kern w:val="0"/>
                <w:sz w:val="24"/>
                <w:szCs w:val="24"/>
                <w:highlight w:val="none"/>
                <w:lang w:val="en-US" w:eastAsia="zh-CN"/>
              </w:rPr>
              <w:t>-</w:t>
            </w:r>
            <w:r>
              <w:rPr>
                <w:rFonts w:hint="eastAsia" w:ascii="Times New Roman" w:hAnsi="Times New Roman"/>
                <w:b/>
                <w:bCs/>
                <w:snapToGrid w:val="0"/>
                <w:color w:val="auto"/>
                <w:spacing w:val="-4"/>
                <w:kern w:val="0"/>
                <w:sz w:val="24"/>
                <w:szCs w:val="24"/>
                <w:highlight w:val="none"/>
                <w:lang w:val="en-US" w:eastAsia="zh-CN"/>
              </w:rPr>
              <w:t>14</w:t>
            </w:r>
          </w:p>
          <w:p w14:paraId="77402AA3">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年</w:t>
            </w:r>
          </w:p>
        </w:tc>
        <w:tc>
          <w:tcPr>
            <w:tcW w:w="793" w:type="dxa"/>
            <w:noWrap w:val="0"/>
            <w:vAlign w:val="center"/>
          </w:tcPr>
          <w:p w14:paraId="47AD6F67">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b/>
                <w:bCs/>
                <w:snapToGrid w:val="0"/>
                <w:color w:val="auto"/>
                <w:spacing w:val="-4"/>
                <w:kern w:val="0"/>
                <w:sz w:val="24"/>
                <w:szCs w:val="24"/>
                <w:highlight w:val="none"/>
              </w:rPr>
              <w:t>第</w:t>
            </w:r>
          </w:p>
          <w:p w14:paraId="51CF9CF1">
            <w:pPr>
              <w:spacing w:line="240" w:lineRule="auto"/>
              <w:jc w:val="center"/>
              <w:rPr>
                <w:rFonts w:ascii="Times New Roman" w:hAnsi="Times New Roman" w:eastAsia="宋体"/>
                <w:b/>
                <w:bCs/>
                <w:snapToGrid w:val="0"/>
                <w:color w:val="auto"/>
                <w:spacing w:val="-4"/>
                <w:kern w:val="0"/>
                <w:sz w:val="24"/>
                <w:szCs w:val="24"/>
                <w:highlight w:val="none"/>
              </w:rPr>
            </w:pPr>
            <w:r>
              <w:rPr>
                <w:rFonts w:hint="eastAsia" w:ascii="Times New Roman" w:hAnsi="Times New Roman"/>
                <w:b/>
                <w:bCs/>
                <w:snapToGrid w:val="0"/>
                <w:color w:val="auto"/>
                <w:spacing w:val="-4"/>
                <w:kern w:val="0"/>
                <w:sz w:val="24"/>
                <w:szCs w:val="24"/>
                <w:highlight w:val="none"/>
                <w:lang w:val="en-US" w:eastAsia="zh-CN"/>
              </w:rPr>
              <w:t>15-16</w:t>
            </w:r>
            <w:r>
              <w:rPr>
                <w:rFonts w:ascii="Times New Roman" w:hAnsi="Times New Roman" w:eastAsia="宋体"/>
                <w:b/>
                <w:bCs/>
                <w:snapToGrid w:val="0"/>
                <w:color w:val="auto"/>
                <w:spacing w:val="-4"/>
                <w:kern w:val="0"/>
                <w:sz w:val="24"/>
                <w:szCs w:val="24"/>
                <w:highlight w:val="none"/>
              </w:rPr>
              <w:t>年</w:t>
            </w:r>
          </w:p>
        </w:tc>
      </w:tr>
      <w:tr w14:paraId="10C6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noWrap w:val="0"/>
            <w:vAlign w:val="center"/>
          </w:tcPr>
          <w:p w14:paraId="05C5D28E">
            <w:pPr>
              <w:spacing w:line="240" w:lineRule="auto"/>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w:t>
            </w:r>
          </w:p>
        </w:tc>
        <w:tc>
          <w:tcPr>
            <w:tcW w:w="973" w:type="dxa"/>
            <w:noWrap w:val="0"/>
            <w:vAlign w:val="center"/>
          </w:tcPr>
          <w:p w14:paraId="49FC1080">
            <w:pPr>
              <w:spacing w:line="240" w:lineRule="auto"/>
              <w:jc w:val="center"/>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基建</w:t>
            </w:r>
          </w:p>
        </w:tc>
        <w:tc>
          <w:tcPr>
            <w:tcW w:w="1140" w:type="dxa"/>
            <w:noWrap w:val="0"/>
            <w:vAlign w:val="center"/>
          </w:tcPr>
          <w:p w14:paraId="3F9492CE">
            <w:pPr>
              <w:spacing w:line="240" w:lineRule="auto"/>
              <w:jc w:val="center"/>
              <w:rPr>
                <w:rFonts w:ascii="Times New Roman" w:hAnsi="Times New Roman" w:eastAsia="宋体"/>
                <w:b/>
                <w:bCs/>
                <w:color w:val="auto"/>
                <w:sz w:val="24"/>
                <w:szCs w:val="24"/>
                <w:highlight w:val="none"/>
              </w:rPr>
            </w:pPr>
          </w:p>
        </w:tc>
        <w:tc>
          <w:tcPr>
            <w:tcW w:w="1005" w:type="dxa"/>
            <w:noWrap w:val="0"/>
            <w:vAlign w:val="center"/>
          </w:tcPr>
          <w:p w14:paraId="3549B6D9">
            <w:pPr>
              <w:spacing w:line="240" w:lineRule="auto"/>
              <w:jc w:val="center"/>
              <w:rPr>
                <w:rFonts w:hint="default" w:ascii="Times New Roman" w:hAnsi="Times New Roman" w:eastAsia="宋体"/>
                <w:b/>
                <w:bCs/>
                <w:color w:val="auto"/>
                <w:sz w:val="24"/>
                <w:szCs w:val="24"/>
                <w:highlight w:val="none"/>
                <w:lang w:val="en-US" w:eastAsia="zh-CN"/>
              </w:rPr>
            </w:pPr>
            <w:r>
              <w:rPr>
                <w:rFonts w:hint="eastAsia" w:ascii="Times New Roman" w:hAnsi="Times New Roman"/>
                <w:b w:val="0"/>
                <w:bCs w:val="0"/>
                <w:color w:val="auto"/>
                <w:sz w:val="24"/>
                <w:szCs w:val="24"/>
                <w:highlight w:val="none"/>
                <w:lang w:val="en-US" w:eastAsia="zh-CN"/>
              </w:rPr>
              <w:t>2.0</w:t>
            </w:r>
          </w:p>
        </w:tc>
        <w:tc>
          <w:tcPr>
            <w:tcW w:w="787" w:type="dxa"/>
            <w:noWrap w:val="0"/>
            <w:vAlign w:val="center"/>
          </w:tcPr>
          <w:p w14:paraId="7B8A85B7">
            <w:pPr>
              <w:spacing w:line="240" w:lineRule="auto"/>
              <w:jc w:val="center"/>
              <w:rPr>
                <w:rFonts w:ascii="Times New Roman" w:hAnsi="Times New Roman" w:eastAsia="宋体"/>
                <w:b/>
                <w:bCs/>
                <w:snapToGrid w:val="0"/>
                <w:color w:val="auto"/>
                <w:spacing w:val="-4"/>
                <w:kern w:val="0"/>
                <w:sz w:val="24"/>
                <w:szCs w:val="24"/>
                <w:highlight w:val="none"/>
              </w:rPr>
            </w:pPr>
            <w:r>
              <w:rPr>
                <w:rFonts w:ascii="Times New Roman" w:hAnsi="Times New Roman" w:eastAsia="宋体"/>
                <w:color w:val="auto"/>
                <w:szCs w:val="21"/>
                <w:highlight w:val="none"/>
              </w:rPr>
              <mc:AlternateContent>
                <mc:Choice Requires="wps">
                  <w:drawing>
                    <wp:anchor distT="0" distB="0" distL="114300" distR="114300" simplePos="0" relativeHeight="251665408" behindDoc="0" locked="0" layoutInCell="1" allowOverlap="1">
                      <wp:simplePos x="0" y="0"/>
                      <wp:positionH relativeFrom="column">
                        <wp:posOffset>-67310</wp:posOffset>
                      </wp:positionH>
                      <wp:positionV relativeFrom="paragraph">
                        <wp:posOffset>173990</wp:posOffset>
                      </wp:positionV>
                      <wp:extent cx="488950" cy="5080"/>
                      <wp:effectExtent l="0" t="19050" r="6350" b="33020"/>
                      <wp:wrapNone/>
                      <wp:docPr id="7" name="自选图形 1028"/>
                      <wp:cNvGraphicFramePr/>
                      <a:graphic xmlns:a="http://schemas.openxmlformats.org/drawingml/2006/main">
                        <a:graphicData uri="http://schemas.microsoft.com/office/word/2010/wordprocessingShape">
                          <wps:wsp>
                            <wps:cNvCnPr/>
                            <wps:spPr>
                              <a:xfrm>
                                <a:off x="0" y="0"/>
                                <a:ext cx="488950" cy="508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1028" o:spid="_x0000_s1026" o:spt="32" type="#_x0000_t32" style="position:absolute;left:0pt;margin-left:-5.3pt;margin-top:13.7pt;height:0.4pt;width:38.5pt;z-index:251665408;mso-width-relative:page;mso-height-relative:page;" filled="f" stroked="t" coordsize="21600,21600" o:gfxdata="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Uw8lg1QAAAAgBAAAPAAAAAAAAAAEAIAAAACIAAABkcnMvZG93bnJldi54bWxQ&#10;SwECFAAUAAAACACHTuJAJXEWe/oBAADpAwAADgAAAAAAAAABACAAAAAkAQAAZHJzL2Uyb0RvYy54&#10;bWxQSwUGAAAAAAYABgBZAQAAkAUAAAAA&#10;">
                      <v:fill on="f" focussize="0,0"/>
                      <v:stroke weight="3pt" color="#000000" joinstyle="round"/>
                      <v:imagedata o:title=""/>
                      <o:lock v:ext="edit" aspectratio="f"/>
                    </v:shape>
                  </w:pict>
                </mc:Fallback>
              </mc:AlternateContent>
            </w:r>
          </w:p>
        </w:tc>
        <w:tc>
          <w:tcPr>
            <w:tcW w:w="960" w:type="dxa"/>
            <w:noWrap w:val="0"/>
            <w:vAlign w:val="center"/>
          </w:tcPr>
          <w:p w14:paraId="0ED77769">
            <w:pPr>
              <w:spacing w:line="240" w:lineRule="auto"/>
              <w:jc w:val="center"/>
              <w:rPr>
                <w:rFonts w:hint="eastAsia" w:ascii="Times New Roman" w:hAnsi="Times New Roman"/>
                <w:b/>
                <w:bCs/>
                <w:snapToGrid w:val="0"/>
                <w:color w:val="auto"/>
                <w:spacing w:val="-4"/>
                <w:kern w:val="0"/>
                <w:sz w:val="24"/>
                <w:szCs w:val="24"/>
                <w:highlight w:val="none"/>
                <w:lang w:val="en-US" w:eastAsia="zh-CN"/>
              </w:rPr>
            </w:pPr>
          </w:p>
        </w:tc>
        <w:tc>
          <w:tcPr>
            <w:tcW w:w="915" w:type="dxa"/>
            <w:noWrap w:val="0"/>
            <w:vAlign w:val="center"/>
          </w:tcPr>
          <w:p w14:paraId="06CFD8F2">
            <w:pPr>
              <w:spacing w:line="240" w:lineRule="auto"/>
              <w:jc w:val="center"/>
              <w:rPr>
                <w:rFonts w:hint="eastAsia" w:ascii="Times New Roman" w:hAnsi="Times New Roman"/>
                <w:b/>
                <w:bCs/>
                <w:snapToGrid w:val="0"/>
                <w:color w:val="auto"/>
                <w:spacing w:val="-4"/>
                <w:kern w:val="0"/>
                <w:sz w:val="24"/>
                <w:szCs w:val="24"/>
                <w:highlight w:val="none"/>
                <w:lang w:val="en-US" w:eastAsia="zh-CN"/>
              </w:rPr>
            </w:pPr>
          </w:p>
        </w:tc>
        <w:tc>
          <w:tcPr>
            <w:tcW w:w="870" w:type="dxa"/>
            <w:noWrap w:val="0"/>
            <w:vAlign w:val="center"/>
          </w:tcPr>
          <w:p w14:paraId="6501AA73">
            <w:pPr>
              <w:spacing w:line="240" w:lineRule="auto"/>
              <w:jc w:val="center"/>
              <w:rPr>
                <w:rFonts w:hint="eastAsia" w:ascii="Times New Roman" w:hAnsi="Times New Roman"/>
                <w:b/>
                <w:bCs/>
                <w:snapToGrid w:val="0"/>
                <w:color w:val="auto"/>
                <w:spacing w:val="-4"/>
                <w:kern w:val="0"/>
                <w:sz w:val="24"/>
                <w:szCs w:val="24"/>
                <w:highlight w:val="none"/>
                <w:lang w:val="en-US" w:eastAsia="zh-CN"/>
              </w:rPr>
            </w:pPr>
          </w:p>
        </w:tc>
        <w:tc>
          <w:tcPr>
            <w:tcW w:w="915" w:type="dxa"/>
            <w:noWrap w:val="0"/>
            <w:vAlign w:val="center"/>
          </w:tcPr>
          <w:p w14:paraId="356BBAD6">
            <w:pPr>
              <w:spacing w:line="240" w:lineRule="auto"/>
              <w:jc w:val="center"/>
              <w:rPr>
                <w:rFonts w:ascii="Times New Roman" w:hAnsi="Times New Roman" w:eastAsia="宋体"/>
                <w:b/>
                <w:bCs/>
                <w:snapToGrid w:val="0"/>
                <w:color w:val="auto"/>
                <w:spacing w:val="-4"/>
                <w:kern w:val="0"/>
                <w:sz w:val="24"/>
                <w:szCs w:val="24"/>
                <w:highlight w:val="none"/>
              </w:rPr>
            </w:pPr>
          </w:p>
        </w:tc>
        <w:tc>
          <w:tcPr>
            <w:tcW w:w="793" w:type="dxa"/>
            <w:noWrap w:val="0"/>
            <w:vAlign w:val="center"/>
          </w:tcPr>
          <w:p w14:paraId="5D30B008">
            <w:pPr>
              <w:spacing w:line="240" w:lineRule="auto"/>
              <w:jc w:val="center"/>
              <w:rPr>
                <w:rFonts w:hint="eastAsia" w:ascii="Times New Roman" w:hAnsi="Times New Roman"/>
                <w:b/>
                <w:bCs/>
                <w:snapToGrid w:val="0"/>
                <w:color w:val="auto"/>
                <w:spacing w:val="-4"/>
                <w:kern w:val="0"/>
                <w:sz w:val="24"/>
                <w:szCs w:val="24"/>
                <w:highlight w:val="none"/>
                <w:lang w:val="en-US" w:eastAsia="zh-CN"/>
              </w:rPr>
            </w:pPr>
          </w:p>
        </w:tc>
      </w:tr>
      <w:tr w14:paraId="0334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noWrap w:val="0"/>
            <w:vAlign w:val="center"/>
          </w:tcPr>
          <w:p w14:paraId="20E7A2B3">
            <w:pPr>
              <w:spacing w:line="240" w:lineRule="auto"/>
              <w:jc w:val="center"/>
              <w:rPr>
                <w:rFonts w:hint="eastAsia" w:ascii="Times New Roman" w:hAnsi="Times New Roman" w:eastAsia="宋体"/>
                <w:snapToGrid w:val="0"/>
                <w:color w:val="auto"/>
                <w:spacing w:val="-4"/>
                <w:kern w:val="0"/>
                <w:sz w:val="24"/>
                <w:szCs w:val="24"/>
                <w:highlight w:val="none"/>
                <w:lang w:eastAsia="zh-CN"/>
              </w:rPr>
            </w:pPr>
            <w:r>
              <w:rPr>
                <w:rFonts w:hint="eastAsia" w:ascii="Times New Roman" w:hAnsi="Times New Roman"/>
                <w:color w:val="auto"/>
                <w:sz w:val="24"/>
                <w:szCs w:val="24"/>
                <w:highlight w:val="none"/>
                <w:lang w:val="en-US" w:eastAsia="zh-CN"/>
              </w:rPr>
              <w:t>2</w:t>
            </w:r>
          </w:p>
        </w:tc>
        <w:tc>
          <w:tcPr>
            <w:tcW w:w="973" w:type="dxa"/>
            <w:noWrap w:val="0"/>
            <w:vAlign w:val="center"/>
          </w:tcPr>
          <w:p w14:paraId="2F25C64B">
            <w:pPr>
              <w:spacing w:line="240" w:lineRule="auto"/>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lang w:val="en-US" w:eastAsia="zh-CN"/>
              </w:rPr>
              <w:t>3</w:t>
            </w:r>
            <w:r>
              <w:rPr>
                <w:rFonts w:hint="eastAsia" w:ascii="Times New Roman" w:hAnsi="Times New Roman"/>
                <w:color w:val="auto"/>
                <w:sz w:val="24"/>
                <w:szCs w:val="24"/>
                <w:highlight w:val="none"/>
                <w:lang w:val="en-US" w:eastAsia="zh-CN"/>
              </w:rPr>
              <w:t>9</w:t>
            </w:r>
            <w:r>
              <w:rPr>
                <w:rFonts w:hint="eastAsia" w:ascii="Times New Roman" w:hAnsi="Times New Roman" w:eastAsia="宋体"/>
                <w:color w:val="auto"/>
                <w:sz w:val="24"/>
                <w:szCs w:val="24"/>
                <w:highlight w:val="none"/>
                <w:lang w:val="en-US" w:eastAsia="zh-CN"/>
              </w:rPr>
              <w:t>0</w:t>
            </w:r>
            <w:r>
              <w:rPr>
                <w:rFonts w:ascii="Times New Roman" w:hAnsi="Times New Roman" w:eastAsia="宋体"/>
                <w:color w:val="auto"/>
                <w:sz w:val="24"/>
                <w:szCs w:val="24"/>
                <w:highlight w:val="none"/>
              </w:rPr>
              <w:t>m</w:t>
            </w:r>
          </w:p>
        </w:tc>
        <w:tc>
          <w:tcPr>
            <w:tcW w:w="1140" w:type="dxa"/>
            <w:noWrap w:val="0"/>
            <w:vAlign w:val="center"/>
          </w:tcPr>
          <w:p w14:paraId="73671F2F">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ascii="Times New Roman" w:hAnsi="Times New Roman" w:eastAsia="宋体"/>
                <w:color w:val="auto"/>
                <w:sz w:val="24"/>
                <w:szCs w:val="24"/>
                <w:highlight w:val="none"/>
              </w:rPr>
            </w:pPr>
            <w:r>
              <w:rPr>
                <w:rFonts w:hint="eastAsia" w:ascii="Times New Roman" w:hAnsi="Times New Roman" w:cs="宋体"/>
                <w:b w:val="0"/>
                <w:bCs w:val="0"/>
                <w:color w:val="auto"/>
                <w:sz w:val="24"/>
                <w:szCs w:val="24"/>
                <w:highlight w:val="none"/>
                <w:vertAlign w:val="baseline"/>
                <w:lang w:val="en-US" w:eastAsia="zh-CN"/>
              </w:rPr>
              <w:t>186.68</w:t>
            </w:r>
          </w:p>
        </w:tc>
        <w:tc>
          <w:tcPr>
            <w:tcW w:w="1005" w:type="dxa"/>
            <w:noWrap w:val="0"/>
            <w:vAlign w:val="center"/>
          </w:tcPr>
          <w:p w14:paraId="072EE6E0">
            <w:pPr>
              <w:keepNext w:val="0"/>
              <w:keepLines w:val="0"/>
              <w:widowControl/>
              <w:suppressLineNumbers w:val="0"/>
              <w:spacing w:line="240" w:lineRule="auto"/>
              <w:jc w:val="center"/>
              <w:textAlignment w:val="center"/>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4.9</w:t>
            </w:r>
          </w:p>
        </w:tc>
        <w:tc>
          <w:tcPr>
            <w:tcW w:w="787" w:type="dxa"/>
            <w:noWrap w:val="0"/>
            <w:vAlign w:val="center"/>
          </w:tcPr>
          <w:p w14:paraId="57494EE5">
            <w:pPr>
              <w:spacing w:line="240" w:lineRule="auto"/>
              <w:jc w:val="center"/>
              <w:rPr>
                <w:rFonts w:hint="default" w:ascii="Times New Roman" w:hAnsi="Times New Roman" w:eastAsia="宋体"/>
                <w:snapToGrid w:val="0"/>
                <w:color w:val="auto"/>
                <w:spacing w:val="-4"/>
                <w:kern w:val="0"/>
                <w:sz w:val="24"/>
                <w:szCs w:val="24"/>
                <w:highlight w:val="none"/>
                <w:lang w:val="en-US"/>
              </w:rPr>
            </w:pPr>
            <w:r>
              <w:rPr>
                <w:rFonts w:ascii="Times New Roman" w:hAnsi="Times New Roman" w:eastAsia="宋体"/>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450215</wp:posOffset>
                      </wp:positionH>
                      <wp:positionV relativeFrom="paragraph">
                        <wp:posOffset>151130</wp:posOffset>
                      </wp:positionV>
                      <wp:extent cx="971550" cy="19050"/>
                      <wp:effectExtent l="635" t="19050" r="18415" b="19050"/>
                      <wp:wrapNone/>
                      <wp:docPr id="4" name="自选图形 1028"/>
                      <wp:cNvGraphicFramePr/>
                      <a:graphic xmlns:a="http://schemas.openxmlformats.org/drawingml/2006/main">
                        <a:graphicData uri="http://schemas.microsoft.com/office/word/2010/wordprocessingShape">
                          <wps:wsp>
                            <wps:cNvCnPr/>
                            <wps:spPr>
                              <a:xfrm flipV="1">
                                <a:off x="0" y="0"/>
                                <a:ext cx="971550"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1028" o:spid="_x0000_s1026" o:spt="32" type="#_x0000_t32" style="position:absolute;left:0pt;flip:y;margin-left:35.45pt;margin-top:11.9pt;height:1.5pt;width:76.5pt;z-index:251662336;mso-width-relative:page;mso-height-relative:page;" filled="f" stroked="t" coordsize="21600,21600" o:gfxdata="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DRVGjVAAAACAEAAA8AAAAAAAAAAQAgAAAAIgAAAGRycy9kb3ducmV2&#10;LnhtbFBLAQIUABQAAAAIAIdO4kCP4cSt/wEAAPQDAAAOAAAAAAAAAAEAIAAAACQBAABkcnMvZTJv&#10;RG9jLnhtbFBLBQYAAAAABgAGAFkBAACVBQAAAAA=&#10;">
                      <v:fill on="f" focussize="0,0"/>
                      <v:stroke weight="3pt" color="#000000" joinstyle="round"/>
                      <v:imagedata o:title=""/>
                      <o:lock v:ext="edit" aspectratio="f"/>
                    </v:shape>
                  </w:pict>
                </mc:Fallback>
              </mc:AlternateContent>
            </w:r>
            <w:r>
              <w:rPr>
                <w:rFonts w:hint="eastAsia" w:ascii="Times New Roman" w:hAnsi="Times New Roman"/>
                <w:snapToGrid w:val="0"/>
                <w:color w:val="auto"/>
                <w:spacing w:val="-4"/>
                <w:kern w:val="0"/>
                <w:sz w:val="24"/>
                <w:szCs w:val="24"/>
                <w:highlight w:val="none"/>
                <w:lang w:val="en-US" w:eastAsia="zh-CN"/>
              </w:rPr>
              <w:t xml:space="preserve">  </w:t>
            </w:r>
          </w:p>
        </w:tc>
        <w:tc>
          <w:tcPr>
            <w:tcW w:w="960" w:type="dxa"/>
            <w:noWrap w:val="0"/>
            <w:vAlign w:val="center"/>
          </w:tcPr>
          <w:p w14:paraId="74D04429">
            <w:pPr>
              <w:spacing w:line="240" w:lineRule="auto"/>
              <w:jc w:val="center"/>
              <w:rPr>
                <w:rFonts w:ascii="Times New Roman" w:hAnsi="Times New Roman" w:eastAsia="宋体"/>
                <w:snapToGrid w:val="0"/>
                <w:color w:val="auto"/>
                <w:spacing w:val="-4"/>
                <w:kern w:val="0"/>
                <w:sz w:val="24"/>
                <w:szCs w:val="24"/>
                <w:highlight w:val="none"/>
              </w:rPr>
            </w:pPr>
          </w:p>
        </w:tc>
        <w:tc>
          <w:tcPr>
            <w:tcW w:w="915" w:type="dxa"/>
            <w:noWrap w:val="0"/>
            <w:vAlign w:val="center"/>
          </w:tcPr>
          <w:p w14:paraId="01E1A2F0">
            <w:pPr>
              <w:spacing w:line="240" w:lineRule="auto"/>
              <w:ind w:firstLine="219" w:firstLineChars="102"/>
              <w:jc w:val="center"/>
              <w:rPr>
                <w:rFonts w:ascii="Times New Roman" w:hAnsi="Times New Roman" w:eastAsia="宋体"/>
                <w:snapToGrid w:val="0"/>
                <w:color w:val="auto"/>
                <w:spacing w:val="-4"/>
                <w:kern w:val="0"/>
                <w:szCs w:val="21"/>
                <w:highlight w:val="none"/>
              </w:rPr>
            </w:pPr>
            <w:r>
              <w:rPr>
                <w:rFonts w:ascii="Times New Roman" w:hAnsi="Times New Roman" w:eastAsia="宋体"/>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310515</wp:posOffset>
                      </wp:positionH>
                      <wp:positionV relativeFrom="paragraph">
                        <wp:posOffset>161925</wp:posOffset>
                      </wp:positionV>
                      <wp:extent cx="1905" cy="378460"/>
                      <wp:effectExtent l="4445" t="0" r="12700" b="2540"/>
                      <wp:wrapNone/>
                      <wp:docPr id="5" name="自选图形 1026"/>
                      <wp:cNvGraphicFramePr/>
                      <a:graphic xmlns:a="http://schemas.openxmlformats.org/drawingml/2006/main">
                        <a:graphicData uri="http://schemas.microsoft.com/office/word/2010/wordprocessingShape">
                          <wps:wsp>
                            <wps:cNvCnPr/>
                            <wps:spPr>
                              <a:xfrm>
                                <a:off x="0" y="0"/>
                                <a:ext cx="1905" cy="378460"/>
                              </a:xfrm>
                              <a:prstGeom prst="straightConnector1">
                                <a:avLst/>
                              </a:prstGeom>
                              <a:ln w="9525" cap="flat" cmpd="sng">
                                <a:solidFill>
                                  <a:srgbClr val="000000"/>
                                </a:solidFill>
                                <a:prstDash val="dash"/>
                                <a:headEnd type="none" w="med" len="med"/>
                                <a:tailEnd type="none" w="med" len="med"/>
                              </a:ln>
                            </wps:spPr>
                            <wps:bodyPr/>
                          </wps:wsp>
                        </a:graphicData>
                      </a:graphic>
                    </wp:anchor>
                  </w:drawing>
                </mc:Choice>
                <mc:Fallback>
                  <w:pict>
                    <v:shape id="自选图形 1026" o:spid="_x0000_s1026" o:spt="32" type="#_x0000_t32" style="position:absolute;left:0pt;margin-left:24.45pt;margin-top:12.75pt;height:29.8pt;width:0.15pt;z-index:251663360;mso-width-relative:page;mso-height-relative:page;" filled="f" stroked="t" coordsize="21600,21600" o:gfxdata="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cj12LXAAAABwEAAA8AAAAAAAAAAQAgAAAAIgAAAGRycy9kb3ducmV2Lnht&#10;bFBLAQIUABQAAAAIAIdO4kBVDjw0+gEAAOcDAAAOAAAAAAAAAAEAIAAAACYBAABkcnMvZTJvRG9j&#10;LnhtbFBLBQYAAAAABgAGAFkBAACSBQAAAAA=&#10;">
                      <v:fill on="f" focussize="0,0"/>
                      <v:stroke color="#000000" joinstyle="round" dashstyle="dash"/>
                      <v:imagedata o:title=""/>
                      <o:lock v:ext="edit" aspectratio="f"/>
                    </v:shape>
                  </w:pict>
                </mc:Fallback>
              </mc:AlternateContent>
            </w:r>
          </w:p>
        </w:tc>
        <w:tc>
          <w:tcPr>
            <w:tcW w:w="870" w:type="dxa"/>
            <w:noWrap w:val="0"/>
            <w:vAlign w:val="center"/>
          </w:tcPr>
          <w:p w14:paraId="0E9B935C">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915" w:type="dxa"/>
            <w:noWrap w:val="0"/>
            <w:vAlign w:val="center"/>
          </w:tcPr>
          <w:p w14:paraId="25A8DCE5">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793" w:type="dxa"/>
            <w:noWrap w:val="0"/>
            <w:vAlign w:val="center"/>
          </w:tcPr>
          <w:p w14:paraId="098C37BF">
            <w:pPr>
              <w:spacing w:line="240" w:lineRule="auto"/>
              <w:ind w:firstLine="211" w:firstLineChars="102"/>
              <w:jc w:val="center"/>
              <w:rPr>
                <w:rFonts w:ascii="Times New Roman" w:hAnsi="Times New Roman" w:eastAsia="宋体"/>
                <w:snapToGrid w:val="0"/>
                <w:color w:val="auto"/>
                <w:spacing w:val="-4"/>
                <w:kern w:val="0"/>
                <w:szCs w:val="21"/>
                <w:highlight w:val="none"/>
              </w:rPr>
            </w:pPr>
          </w:p>
        </w:tc>
      </w:tr>
      <w:tr w14:paraId="72D8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noWrap w:val="0"/>
            <w:vAlign w:val="center"/>
          </w:tcPr>
          <w:p w14:paraId="34E783FD">
            <w:pPr>
              <w:spacing w:line="240" w:lineRule="auto"/>
              <w:jc w:val="center"/>
              <w:rPr>
                <w:rFonts w:hint="eastAsia" w:ascii="Times New Roman" w:hAnsi="Times New Roman" w:eastAsia="宋体"/>
                <w:snapToGrid w:val="0"/>
                <w:color w:val="auto"/>
                <w:spacing w:val="-4"/>
                <w:kern w:val="0"/>
                <w:szCs w:val="21"/>
                <w:highlight w:val="none"/>
                <w:lang w:eastAsia="zh-CN"/>
              </w:rPr>
            </w:pPr>
            <w:r>
              <w:rPr>
                <w:rFonts w:hint="eastAsia" w:ascii="Times New Roman" w:hAnsi="Times New Roman"/>
                <w:color w:val="auto"/>
                <w:spacing w:val="-2"/>
                <w:sz w:val="24"/>
                <w:szCs w:val="24"/>
                <w:highlight w:val="none"/>
                <w:lang w:val="en-US" w:eastAsia="zh-CN"/>
              </w:rPr>
              <w:t>3</w:t>
            </w:r>
          </w:p>
        </w:tc>
        <w:tc>
          <w:tcPr>
            <w:tcW w:w="973" w:type="dxa"/>
            <w:noWrap w:val="0"/>
            <w:vAlign w:val="center"/>
          </w:tcPr>
          <w:p w14:paraId="3B46956E">
            <w:pPr>
              <w:spacing w:line="240" w:lineRule="auto"/>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lang w:val="en-US" w:eastAsia="zh-CN"/>
              </w:rPr>
              <w:t>3</w:t>
            </w:r>
            <w:r>
              <w:rPr>
                <w:rFonts w:hint="eastAsia" w:ascii="Times New Roman" w:hAnsi="Times New Roman"/>
                <w:color w:val="auto"/>
                <w:sz w:val="24"/>
                <w:szCs w:val="24"/>
                <w:highlight w:val="none"/>
                <w:lang w:val="en-US" w:eastAsia="zh-CN"/>
              </w:rPr>
              <w:t>4</w:t>
            </w:r>
            <w:r>
              <w:rPr>
                <w:rFonts w:hint="eastAsia" w:ascii="Times New Roman" w:hAnsi="Times New Roman" w:eastAsia="宋体"/>
                <w:color w:val="auto"/>
                <w:sz w:val="24"/>
                <w:szCs w:val="24"/>
                <w:highlight w:val="none"/>
                <w:lang w:val="en-US" w:eastAsia="zh-CN"/>
              </w:rPr>
              <w:t>0</w:t>
            </w:r>
            <w:r>
              <w:rPr>
                <w:rFonts w:ascii="Times New Roman" w:hAnsi="Times New Roman" w:eastAsia="宋体"/>
                <w:color w:val="auto"/>
                <w:sz w:val="24"/>
                <w:szCs w:val="24"/>
                <w:highlight w:val="none"/>
              </w:rPr>
              <w:t>m</w:t>
            </w:r>
          </w:p>
        </w:tc>
        <w:tc>
          <w:tcPr>
            <w:tcW w:w="1140" w:type="dxa"/>
            <w:noWrap w:val="0"/>
            <w:vAlign w:val="center"/>
          </w:tcPr>
          <w:p w14:paraId="6CF9BF01">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ascii="Times New Roman" w:hAnsi="Times New Roman" w:eastAsia="宋体"/>
                <w:color w:val="auto"/>
                <w:sz w:val="24"/>
                <w:szCs w:val="24"/>
                <w:highlight w:val="none"/>
              </w:rPr>
            </w:pPr>
            <w:r>
              <w:rPr>
                <w:rFonts w:hint="eastAsia" w:ascii="Times New Roman" w:hAnsi="Times New Roman" w:cs="宋体"/>
                <w:b w:val="0"/>
                <w:bCs w:val="0"/>
                <w:color w:val="auto"/>
                <w:sz w:val="24"/>
                <w:szCs w:val="24"/>
                <w:highlight w:val="none"/>
                <w:vertAlign w:val="baseline"/>
                <w:lang w:val="en-US" w:eastAsia="zh-CN"/>
              </w:rPr>
              <w:t>238.32</w:t>
            </w:r>
          </w:p>
        </w:tc>
        <w:tc>
          <w:tcPr>
            <w:tcW w:w="1005" w:type="dxa"/>
            <w:noWrap w:val="0"/>
            <w:vAlign w:val="center"/>
          </w:tcPr>
          <w:p w14:paraId="5EDF7659">
            <w:pPr>
              <w:keepNext w:val="0"/>
              <w:keepLines w:val="0"/>
              <w:widowControl/>
              <w:suppressLineNumbers w:val="0"/>
              <w:spacing w:line="240" w:lineRule="auto"/>
              <w:jc w:val="center"/>
              <w:textAlignment w:val="center"/>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6.3</w:t>
            </w:r>
          </w:p>
        </w:tc>
        <w:tc>
          <w:tcPr>
            <w:tcW w:w="787" w:type="dxa"/>
            <w:noWrap w:val="0"/>
            <w:vAlign w:val="center"/>
          </w:tcPr>
          <w:p w14:paraId="425E9D73">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960" w:type="dxa"/>
            <w:noWrap w:val="0"/>
            <w:vAlign w:val="center"/>
          </w:tcPr>
          <w:p w14:paraId="02DDD57F">
            <w:pPr>
              <w:spacing w:line="240" w:lineRule="auto"/>
              <w:ind w:firstLine="211" w:firstLineChars="102"/>
              <w:jc w:val="center"/>
              <w:rPr>
                <w:rFonts w:hint="default" w:ascii="Times New Roman" w:hAnsi="Times New Roman" w:eastAsia="宋体"/>
                <w:snapToGrid w:val="0"/>
                <w:color w:val="auto"/>
                <w:spacing w:val="-4"/>
                <w:kern w:val="0"/>
                <w:szCs w:val="21"/>
                <w:highlight w:val="none"/>
                <w:lang w:val="en-US"/>
              </w:rPr>
            </w:pPr>
            <w:r>
              <w:rPr>
                <w:rFonts w:hint="eastAsia" w:ascii="Times New Roman" w:hAnsi="Times New Roman" w:eastAsia="宋体"/>
                <w:snapToGrid w:val="0"/>
                <w:color w:val="auto"/>
                <w:spacing w:val="-4"/>
                <w:kern w:val="0"/>
                <w:szCs w:val="21"/>
                <w:highlight w:val="none"/>
                <w:lang w:val="en-US" w:eastAsia="zh-CN"/>
              </w:rPr>
              <w:t xml:space="preserve">  </w:t>
            </w:r>
          </w:p>
        </w:tc>
        <w:tc>
          <w:tcPr>
            <w:tcW w:w="915" w:type="dxa"/>
            <w:noWrap w:val="0"/>
            <w:vAlign w:val="center"/>
          </w:tcPr>
          <w:p w14:paraId="488FA5AF">
            <w:pPr>
              <w:spacing w:line="240" w:lineRule="auto"/>
              <w:ind w:firstLine="219" w:firstLineChars="102"/>
              <w:jc w:val="center"/>
              <w:rPr>
                <w:rFonts w:ascii="Times New Roman" w:hAnsi="Times New Roman" w:eastAsia="宋体"/>
                <w:snapToGrid w:val="0"/>
                <w:color w:val="auto"/>
                <w:spacing w:val="-4"/>
                <w:kern w:val="0"/>
                <w:szCs w:val="21"/>
                <w:highlight w:val="none"/>
              </w:rPr>
            </w:pPr>
            <w:r>
              <w:rPr>
                <w:rFonts w:ascii="Times New Roman" w:hAnsi="Times New Roman" w:eastAsia="宋体"/>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295910</wp:posOffset>
                      </wp:positionH>
                      <wp:positionV relativeFrom="paragraph">
                        <wp:posOffset>179705</wp:posOffset>
                      </wp:positionV>
                      <wp:extent cx="1140460" cy="0"/>
                      <wp:effectExtent l="0" t="19050" r="2540" b="19050"/>
                      <wp:wrapNone/>
                      <wp:docPr id="6" name="自选图形 1029"/>
                      <wp:cNvGraphicFramePr/>
                      <a:graphic xmlns:a="http://schemas.openxmlformats.org/drawingml/2006/main">
                        <a:graphicData uri="http://schemas.microsoft.com/office/word/2010/wordprocessingShape">
                          <wps:wsp>
                            <wps:cNvCnPr/>
                            <wps:spPr>
                              <a:xfrm>
                                <a:off x="0" y="0"/>
                                <a:ext cx="1140460" cy="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1029" o:spid="_x0000_s1026" o:spt="32" type="#_x0000_t32" style="position:absolute;left:0pt;margin-left:23.3pt;margin-top:14.15pt;height:0pt;width:89.8pt;z-index:251664384;mso-width-relative:page;mso-height-relative:page;" filled="f" stroked="t" coordsize="21600,21600" o:gfxdata="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xVA7HUAAAACAEAAA8AAAAAAAAAAQAgAAAAIgAAAGRycy9kb3ducmV2LnhtbFBLAQIU&#10;ABQAAAAIAIdO4kChPj3I9wEAAOcDAAAOAAAAAAAAAAEAIAAAACMBAABkcnMvZTJvRG9jLnhtbFBL&#10;BQYAAAAABgAGAFkBAACMBQAAAAA=&#10;">
                      <v:fill on="f" focussize="0,0"/>
                      <v:stroke weight="3pt" color="#000000" joinstyle="round"/>
                      <v:imagedata o:title=""/>
                      <o:lock v:ext="edit" aspectratio="f"/>
                    </v:shape>
                  </w:pict>
                </mc:Fallback>
              </mc:AlternateContent>
            </w:r>
          </w:p>
        </w:tc>
        <w:tc>
          <w:tcPr>
            <w:tcW w:w="870" w:type="dxa"/>
            <w:noWrap w:val="0"/>
            <w:vAlign w:val="center"/>
          </w:tcPr>
          <w:p w14:paraId="47F7B932">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915" w:type="dxa"/>
            <w:noWrap w:val="0"/>
            <w:vAlign w:val="center"/>
          </w:tcPr>
          <w:p w14:paraId="330E24B9">
            <w:pPr>
              <w:spacing w:line="240" w:lineRule="auto"/>
              <w:ind w:firstLine="219" w:firstLineChars="102"/>
              <w:jc w:val="center"/>
              <w:rPr>
                <w:rFonts w:ascii="Times New Roman" w:hAnsi="Times New Roman" w:eastAsia="宋体"/>
                <w:snapToGrid w:val="0"/>
                <w:color w:val="auto"/>
                <w:spacing w:val="-4"/>
                <w:kern w:val="0"/>
                <w:szCs w:val="21"/>
                <w:highlight w:val="none"/>
              </w:rPr>
            </w:pPr>
            <w:r>
              <w:rPr>
                <w:rFonts w:ascii="Times New Roman" w:hAnsi="Times New Roman" w:eastAsia="宋体"/>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288290</wp:posOffset>
                      </wp:positionH>
                      <wp:positionV relativeFrom="paragraph">
                        <wp:posOffset>176530</wp:posOffset>
                      </wp:positionV>
                      <wp:extent cx="0" cy="381000"/>
                      <wp:effectExtent l="4445" t="0" r="14605" b="0"/>
                      <wp:wrapNone/>
                      <wp:docPr id="3" name="直接连接符 13"/>
                      <wp:cNvGraphicFramePr/>
                      <a:graphic xmlns:a="http://schemas.openxmlformats.org/drawingml/2006/main">
                        <a:graphicData uri="http://schemas.microsoft.com/office/word/2010/wordprocessingShape">
                          <wps:wsp>
                            <wps:cNvCnPr/>
                            <wps:spPr>
                              <a:xfrm>
                                <a:off x="0" y="0"/>
                                <a:ext cx="0" cy="381000"/>
                              </a:xfrm>
                              <a:prstGeom prst="straightConnector1">
                                <a:avLst/>
                              </a:prstGeom>
                              <a:ln w="9525" cap="flat" cmpd="sng">
                                <a:solidFill>
                                  <a:srgbClr val="000000"/>
                                </a:solidFill>
                                <a:prstDash val="dash"/>
                                <a:headEnd type="none" w="med" len="med"/>
                                <a:tailEnd type="none" w="med" len="med"/>
                              </a:ln>
                            </wps:spPr>
                            <wps:bodyPr/>
                          </wps:wsp>
                        </a:graphicData>
                      </a:graphic>
                    </wp:anchor>
                  </w:drawing>
                </mc:Choice>
                <mc:Fallback>
                  <w:pict>
                    <v:shape id="直接连接符 13" o:spid="_x0000_s1026" o:spt="32" type="#_x0000_t32" style="position:absolute;left:0pt;margin-left:22.7pt;margin-top:13.9pt;height:30pt;width:0pt;z-index:251661312;mso-width-relative:page;mso-height-relative:page;" filled="f" stroked="t" coordsize="21600,21600" o:gfxdata="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9JM2DVAAAABwEAAA8AAAAAAAAAAQAgAAAAIgAAAGRycy9kb3ducmV2LnhtbFBLAQIU&#10;ABQAAAAIAIdO4kA65d5X9gEAAOUDAAAOAAAAAAAAAAEAIAAAACQBAABkcnMvZTJvRG9jLnhtbFBL&#10;BQYAAAAABgAGAFkBAACMBQAAAAA=&#10;">
                      <v:fill on="f" focussize="0,0"/>
                      <v:stroke color="#000000" joinstyle="round" dashstyle="dash"/>
                      <v:imagedata o:title=""/>
                      <o:lock v:ext="edit" aspectratio="f"/>
                    </v:shape>
                  </w:pict>
                </mc:Fallback>
              </mc:AlternateContent>
            </w:r>
          </w:p>
        </w:tc>
        <w:tc>
          <w:tcPr>
            <w:tcW w:w="793" w:type="dxa"/>
            <w:noWrap w:val="0"/>
            <w:vAlign w:val="center"/>
          </w:tcPr>
          <w:p w14:paraId="5D5502EC">
            <w:pPr>
              <w:spacing w:line="240" w:lineRule="auto"/>
              <w:ind w:firstLine="211" w:firstLineChars="102"/>
              <w:jc w:val="center"/>
              <w:rPr>
                <w:rFonts w:ascii="Times New Roman" w:hAnsi="Times New Roman" w:eastAsia="宋体"/>
                <w:snapToGrid w:val="0"/>
                <w:color w:val="auto"/>
                <w:spacing w:val="-4"/>
                <w:kern w:val="0"/>
                <w:szCs w:val="21"/>
                <w:highlight w:val="none"/>
              </w:rPr>
            </w:pPr>
          </w:p>
        </w:tc>
      </w:tr>
      <w:tr w14:paraId="16E8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noWrap w:val="0"/>
            <w:vAlign w:val="center"/>
          </w:tcPr>
          <w:p w14:paraId="6525CF61">
            <w:pPr>
              <w:spacing w:line="240" w:lineRule="auto"/>
              <w:jc w:val="center"/>
              <w:rPr>
                <w:rFonts w:hint="eastAsia" w:ascii="Times New Roman" w:hAnsi="Times New Roman" w:eastAsia="宋体"/>
                <w:snapToGrid w:val="0"/>
                <w:color w:val="auto"/>
                <w:spacing w:val="-4"/>
                <w:kern w:val="0"/>
                <w:szCs w:val="21"/>
                <w:highlight w:val="none"/>
                <w:lang w:eastAsia="zh-CN"/>
              </w:rPr>
            </w:pPr>
            <w:r>
              <w:rPr>
                <w:rFonts w:hint="eastAsia" w:ascii="Times New Roman" w:hAnsi="Times New Roman"/>
                <w:color w:val="auto"/>
                <w:spacing w:val="-2"/>
                <w:sz w:val="24"/>
                <w:szCs w:val="24"/>
                <w:highlight w:val="none"/>
                <w:lang w:val="en-US" w:eastAsia="zh-CN"/>
              </w:rPr>
              <w:t>4</w:t>
            </w:r>
          </w:p>
        </w:tc>
        <w:tc>
          <w:tcPr>
            <w:tcW w:w="973" w:type="dxa"/>
            <w:noWrap w:val="0"/>
            <w:vAlign w:val="center"/>
          </w:tcPr>
          <w:p w14:paraId="7A83AFE1">
            <w:pPr>
              <w:spacing w:line="240" w:lineRule="auto"/>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lang w:val="en-US" w:eastAsia="zh-CN"/>
              </w:rPr>
              <w:t>2</w:t>
            </w:r>
            <w:r>
              <w:rPr>
                <w:rFonts w:hint="eastAsia" w:ascii="Times New Roman" w:hAnsi="Times New Roman"/>
                <w:color w:val="auto"/>
                <w:sz w:val="24"/>
                <w:szCs w:val="24"/>
                <w:highlight w:val="none"/>
                <w:lang w:val="en-US" w:eastAsia="zh-CN"/>
              </w:rPr>
              <w:t>9</w:t>
            </w:r>
            <w:r>
              <w:rPr>
                <w:rFonts w:hint="eastAsia" w:ascii="Times New Roman" w:hAnsi="Times New Roman" w:eastAsia="宋体"/>
                <w:color w:val="auto"/>
                <w:sz w:val="24"/>
                <w:szCs w:val="24"/>
                <w:highlight w:val="none"/>
                <w:lang w:val="en-US" w:eastAsia="zh-CN"/>
              </w:rPr>
              <w:t>0</w:t>
            </w:r>
            <w:r>
              <w:rPr>
                <w:rFonts w:ascii="Times New Roman" w:hAnsi="Times New Roman" w:eastAsia="宋体"/>
                <w:color w:val="auto"/>
                <w:sz w:val="24"/>
                <w:szCs w:val="24"/>
                <w:highlight w:val="none"/>
              </w:rPr>
              <w:t>m</w:t>
            </w:r>
          </w:p>
        </w:tc>
        <w:tc>
          <w:tcPr>
            <w:tcW w:w="1140" w:type="dxa"/>
            <w:noWrap w:val="0"/>
            <w:vAlign w:val="center"/>
          </w:tcPr>
          <w:p w14:paraId="75D42F65">
            <w:pPr>
              <w:pStyle w:val="17"/>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jc w:val="center"/>
              <w:textAlignment w:val="auto"/>
              <w:rPr>
                <w:rFonts w:ascii="Times New Roman" w:hAnsi="Times New Roman" w:eastAsia="宋体"/>
                <w:color w:val="auto"/>
                <w:sz w:val="24"/>
                <w:szCs w:val="24"/>
                <w:highlight w:val="none"/>
              </w:rPr>
            </w:pPr>
            <w:r>
              <w:rPr>
                <w:rFonts w:hint="eastAsia" w:ascii="Times New Roman" w:hAnsi="Times New Roman" w:cs="宋体"/>
                <w:b w:val="0"/>
                <w:bCs w:val="0"/>
                <w:color w:val="auto"/>
                <w:sz w:val="24"/>
                <w:szCs w:val="24"/>
                <w:highlight w:val="none"/>
                <w:vertAlign w:val="baseline"/>
                <w:lang w:val="en-US" w:eastAsia="zh-CN"/>
              </w:rPr>
              <w:t>93.57</w:t>
            </w:r>
          </w:p>
        </w:tc>
        <w:tc>
          <w:tcPr>
            <w:tcW w:w="1005" w:type="dxa"/>
            <w:noWrap w:val="0"/>
            <w:vAlign w:val="center"/>
          </w:tcPr>
          <w:p w14:paraId="45291F89">
            <w:pPr>
              <w:keepNext w:val="0"/>
              <w:keepLines w:val="0"/>
              <w:widowControl/>
              <w:suppressLineNumbers w:val="0"/>
              <w:spacing w:line="240" w:lineRule="auto"/>
              <w:jc w:val="center"/>
              <w:textAlignment w:val="center"/>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2.8</w:t>
            </w:r>
          </w:p>
        </w:tc>
        <w:tc>
          <w:tcPr>
            <w:tcW w:w="787" w:type="dxa"/>
            <w:noWrap w:val="0"/>
            <w:vAlign w:val="center"/>
          </w:tcPr>
          <w:p w14:paraId="3FCF31E2">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960" w:type="dxa"/>
            <w:noWrap w:val="0"/>
            <w:vAlign w:val="center"/>
          </w:tcPr>
          <w:p w14:paraId="0E314607">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915" w:type="dxa"/>
            <w:noWrap w:val="0"/>
            <w:vAlign w:val="center"/>
          </w:tcPr>
          <w:p w14:paraId="7E130ADC">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870" w:type="dxa"/>
            <w:noWrap w:val="0"/>
            <w:vAlign w:val="center"/>
          </w:tcPr>
          <w:p w14:paraId="389DCB24">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915" w:type="dxa"/>
            <w:noWrap w:val="0"/>
            <w:vAlign w:val="center"/>
          </w:tcPr>
          <w:p w14:paraId="7DAAA81C">
            <w:pPr>
              <w:spacing w:line="240" w:lineRule="auto"/>
              <w:ind w:firstLine="219" w:firstLineChars="102"/>
              <w:jc w:val="center"/>
              <w:rPr>
                <w:rFonts w:ascii="Times New Roman" w:hAnsi="Times New Roman" w:eastAsia="宋体"/>
                <w:snapToGrid w:val="0"/>
                <w:color w:val="auto"/>
                <w:spacing w:val="-4"/>
                <w:kern w:val="0"/>
                <w:szCs w:val="21"/>
                <w:highlight w:val="none"/>
              </w:rPr>
            </w:pPr>
            <w:r>
              <w:rPr>
                <w:rFonts w:ascii="Times New Roman" w:hAnsi="Times New Roman" w:eastAsia="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274320</wp:posOffset>
                      </wp:positionH>
                      <wp:positionV relativeFrom="paragraph">
                        <wp:posOffset>160655</wp:posOffset>
                      </wp:positionV>
                      <wp:extent cx="742950" cy="9525"/>
                      <wp:effectExtent l="0" t="19050" r="19050" b="28575"/>
                      <wp:wrapNone/>
                      <wp:docPr id="2" name="直接连接符 29"/>
                      <wp:cNvGraphicFramePr/>
                      <a:graphic xmlns:a="http://schemas.openxmlformats.org/drawingml/2006/main">
                        <a:graphicData uri="http://schemas.microsoft.com/office/word/2010/wordprocessingShape">
                          <wps:wsp>
                            <wps:cNvCnPr/>
                            <wps:spPr>
                              <a:xfrm flipV="1">
                                <a:off x="0" y="0"/>
                                <a:ext cx="742950" cy="9525"/>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直接连接符 29" o:spid="_x0000_s1026" o:spt="32" type="#_x0000_t32" style="position:absolute;left:0pt;flip:y;margin-left:21.6pt;margin-top:12.65pt;height:0.75pt;width:58.5pt;z-index:251660288;mso-width-relative:page;mso-height-relative:page;" filled="f" stroked="t" coordsize="21600,21600" o:gfxdata="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CBCOPWAAAACAEAAA8AAAAAAAAAAQAgAAAAIgAAAGRycy9kb3ducmV2&#10;LnhtbFBLAQIUABQAAAAIAIdO4kBrw5pH/gEAAPQDAAAOAAAAAAAAAAEAIAAAACUBAABkcnMvZTJv&#10;RG9jLnhtbFBLBQYAAAAABgAGAFkBAACVBQAAAAA=&#10;">
                      <v:fill on="f" focussize="0,0"/>
                      <v:stroke weight="3pt" color="#000000" joinstyle="round"/>
                      <v:imagedata o:title=""/>
                      <o:lock v:ext="edit" aspectratio="f"/>
                    </v:shape>
                  </w:pict>
                </mc:Fallback>
              </mc:AlternateContent>
            </w:r>
          </w:p>
        </w:tc>
        <w:tc>
          <w:tcPr>
            <w:tcW w:w="793" w:type="dxa"/>
            <w:noWrap w:val="0"/>
            <w:vAlign w:val="center"/>
          </w:tcPr>
          <w:p w14:paraId="2E0EED5D">
            <w:pPr>
              <w:spacing w:line="240" w:lineRule="auto"/>
              <w:ind w:firstLine="211" w:firstLineChars="102"/>
              <w:jc w:val="center"/>
              <w:rPr>
                <w:rFonts w:ascii="Times New Roman" w:hAnsi="Times New Roman" w:eastAsia="宋体"/>
                <w:snapToGrid w:val="0"/>
                <w:color w:val="auto"/>
                <w:spacing w:val="-4"/>
                <w:kern w:val="0"/>
                <w:szCs w:val="21"/>
                <w:highlight w:val="none"/>
              </w:rPr>
            </w:pPr>
          </w:p>
        </w:tc>
      </w:tr>
      <w:tr w14:paraId="28D6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noWrap w:val="0"/>
            <w:vAlign w:val="center"/>
          </w:tcPr>
          <w:p w14:paraId="756D46A2">
            <w:pPr>
              <w:spacing w:line="240" w:lineRule="auto"/>
              <w:jc w:val="center"/>
              <w:rPr>
                <w:rFonts w:hint="eastAsia" w:ascii="Times New Roman" w:hAnsi="Times New Roman" w:eastAsia="宋体"/>
                <w:snapToGrid w:val="0"/>
                <w:color w:val="auto"/>
                <w:spacing w:val="-4"/>
                <w:kern w:val="0"/>
                <w:szCs w:val="21"/>
                <w:highlight w:val="none"/>
                <w:lang w:val="en-US" w:eastAsia="zh-CN"/>
              </w:rPr>
            </w:pPr>
            <w:r>
              <w:rPr>
                <w:rFonts w:hint="eastAsia" w:ascii="Times New Roman" w:hAnsi="Times New Roman" w:eastAsia="宋体"/>
                <w:snapToGrid w:val="0"/>
                <w:color w:val="auto"/>
                <w:spacing w:val="-4"/>
                <w:kern w:val="0"/>
                <w:szCs w:val="21"/>
                <w:highlight w:val="none"/>
                <w:lang w:val="en-US" w:eastAsia="zh-CN"/>
              </w:rPr>
              <w:t>5</w:t>
            </w:r>
          </w:p>
        </w:tc>
        <w:tc>
          <w:tcPr>
            <w:tcW w:w="973" w:type="dxa"/>
            <w:noWrap w:val="0"/>
            <w:vAlign w:val="center"/>
          </w:tcPr>
          <w:p w14:paraId="6A2DDA05">
            <w:pPr>
              <w:spacing w:line="240" w:lineRule="auto"/>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合计</w:t>
            </w:r>
          </w:p>
        </w:tc>
        <w:tc>
          <w:tcPr>
            <w:tcW w:w="1140" w:type="dxa"/>
            <w:noWrap w:val="0"/>
            <w:vAlign w:val="center"/>
          </w:tcPr>
          <w:p w14:paraId="4A49853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Times New Roman" w:hAnsi="Times New Roman" w:eastAsia="宋体"/>
                <w:color w:val="auto"/>
                <w:sz w:val="24"/>
                <w:szCs w:val="24"/>
                <w:highlight w:val="none"/>
              </w:rPr>
            </w:pPr>
            <w:r>
              <w:rPr>
                <w:rFonts w:hint="eastAsia" w:ascii="Times New Roman" w:hAnsi="Times New Roman" w:cs="宋体"/>
                <w:b w:val="0"/>
                <w:bCs w:val="0"/>
                <w:color w:val="auto"/>
                <w:spacing w:val="-1"/>
                <w:sz w:val="24"/>
                <w:szCs w:val="24"/>
                <w:highlight w:val="none"/>
                <w:lang w:val="en-US" w:eastAsia="zh-CN"/>
              </w:rPr>
              <w:t>518.57</w:t>
            </w:r>
          </w:p>
        </w:tc>
        <w:tc>
          <w:tcPr>
            <w:tcW w:w="1005" w:type="dxa"/>
            <w:noWrap w:val="0"/>
            <w:vAlign w:val="center"/>
          </w:tcPr>
          <w:p w14:paraId="7C76EEF8">
            <w:pPr>
              <w:keepNext w:val="0"/>
              <w:keepLines w:val="0"/>
              <w:widowControl/>
              <w:suppressLineNumbers w:val="0"/>
              <w:spacing w:line="240" w:lineRule="auto"/>
              <w:jc w:val="center"/>
              <w:textAlignment w:val="center"/>
              <w:rPr>
                <w:rFonts w:hint="default" w:ascii="Times New Roman" w:hAnsi="Times New Roman" w:eastAsia="宋体"/>
                <w:color w:val="auto"/>
                <w:sz w:val="24"/>
                <w:szCs w:val="24"/>
                <w:highlight w:val="none"/>
                <w:lang w:val="en-US"/>
              </w:rPr>
            </w:pPr>
            <w:r>
              <w:rPr>
                <w:rFonts w:hint="eastAsia" w:ascii="Times New Roman" w:hAnsi="Times New Roman" w:cs="Times New Roman"/>
                <w:i w:val="0"/>
                <w:iCs w:val="0"/>
                <w:color w:val="auto"/>
                <w:kern w:val="0"/>
                <w:sz w:val="24"/>
                <w:szCs w:val="24"/>
                <w:highlight w:val="none"/>
                <w:u w:val="none"/>
                <w:lang w:val="en-US" w:eastAsia="zh-CN" w:bidi="ar"/>
              </w:rPr>
              <w:t>16</w:t>
            </w:r>
          </w:p>
        </w:tc>
        <w:tc>
          <w:tcPr>
            <w:tcW w:w="787" w:type="dxa"/>
            <w:noWrap w:val="0"/>
            <w:vAlign w:val="center"/>
          </w:tcPr>
          <w:p w14:paraId="00ABD5EC">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960" w:type="dxa"/>
            <w:noWrap w:val="0"/>
            <w:vAlign w:val="center"/>
          </w:tcPr>
          <w:p w14:paraId="00120292">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915" w:type="dxa"/>
            <w:noWrap w:val="0"/>
            <w:vAlign w:val="center"/>
          </w:tcPr>
          <w:p w14:paraId="6532FF74">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870" w:type="dxa"/>
            <w:noWrap w:val="0"/>
            <w:vAlign w:val="center"/>
          </w:tcPr>
          <w:p w14:paraId="70595D00">
            <w:pPr>
              <w:spacing w:line="240" w:lineRule="auto"/>
              <w:ind w:firstLine="219" w:firstLineChars="102"/>
              <w:jc w:val="center"/>
              <w:rPr>
                <w:rFonts w:ascii="Times New Roman" w:hAnsi="Times New Roman" w:eastAsia="宋体"/>
                <w:color w:val="auto"/>
                <w:szCs w:val="21"/>
                <w:highlight w:val="none"/>
              </w:rPr>
            </w:pPr>
          </w:p>
        </w:tc>
        <w:tc>
          <w:tcPr>
            <w:tcW w:w="915" w:type="dxa"/>
            <w:noWrap w:val="0"/>
            <w:vAlign w:val="center"/>
          </w:tcPr>
          <w:p w14:paraId="2D2B34F4">
            <w:pPr>
              <w:spacing w:line="240" w:lineRule="auto"/>
              <w:ind w:firstLine="211" w:firstLineChars="102"/>
              <w:jc w:val="center"/>
              <w:rPr>
                <w:rFonts w:ascii="Times New Roman" w:hAnsi="Times New Roman" w:eastAsia="宋体"/>
                <w:snapToGrid w:val="0"/>
                <w:color w:val="auto"/>
                <w:spacing w:val="-4"/>
                <w:kern w:val="0"/>
                <w:szCs w:val="21"/>
                <w:highlight w:val="none"/>
              </w:rPr>
            </w:pPr>
          </w:p>
        </w:tc>
        <w:tc>
          <w:tcPr>
            <w:tcW w:w="793" w:type="dxa"/>
            <w:noWrap w:val="0"/>
            <w:vAlign w:val="center"/>
          </w:tcPr>
          <w:p w14:paraId="16667954">
            <w:pPr>
              <w:spacing w:line="240" w:lineRule="auto"/>
              <w:ind w:firstLine="219" w:firstLineChars="102"/>
              <w:jc w:val="center"/>
              <w:rPr>
                <w:rFonts w:ascii="Times New Roman" w:hAnsi="Times New Roman" w:eastAsia="宋体"/>
                <w:color w:val="auto"/>
                <w:szCs w:val="21"/>
                <w:highlight w:val="none"/>
              </w:rPr>
            </w:pPr>
          </w:p>
        </w:tc>
      </w:tr>
    </w:tbl>
    <w:p w14:paraId="0AB58B24">
      <w:pPr>
        <w:adjustRightInd w:val="0"/>
        <w:snapToGrid w:val="0"/>
        <w:spacing w:line="360" w:lineRule="auto"/>
        <w:ind w:firstLine="560"/>
        <w:rPr>
          <w:rFonts w:hint="eastAsia" w:ascii="Times New Roman" w:hAnsi="Times New Roman" w:eastAsia="宋体" w:cs="仿宋"/>
          <w:color w:val="auto"/>
          <w:sz w:val="28"/>
          <w:szCs w:val="28"/>
          <w:highlight w:val="none"/>
        </w:rPr>
      </w:pPr>
      <w:r>
        <w:rPr>
          <w:rFonts w:hint="eastAsia" w:ascii="Times New Roman" w:hAnsi="Times New Roman" w:eastAsia="宋体" w:cs="仿宋"/>
          <w:color w:val="auto"/>
          <w:sz w:val="28"/>
          <w:szCs w:val="28"/>
          <w:highlight w:val="none"/>
        </w:rPr>
        <w:t>鉴于矿山开采的不确定因素较多，设计要求业主应高度重视生产采</w:t>
      </w:r>
      <w:r>
        <w:rPr>
          <w:rFonts w:hint="eastAsia" w:ascii="Times New Roman" w:hAnsi="Times New Roman" w:eastAsia="宋体" w:cs="仿宋"/>
          <w:color w:val="auto"/>
          <w:sz w:val="28"/>
          <w:szCs w:val="28"/>
          <w:highlight w:val="none"/>
          <w:lang w:eastAsia="zh-CN"/>
        </w:rPr>
        <w:t>掘</w:t>
      </w:r>
      <w:r>
        <w:rPr>
          <w:rFonts w:hint="eastAsia" w:ascii="Times New Roman" w:hAnsi="Times New Roman" w:eastAsia="宋体" w:cs="仿宋"/>
          <w:color w:val="auto"/>
          <w:sz w:val="28"/>
          <w:szCs w:val="28"/>
          <w:highlight w:val="none"/>
        </w:rPr>
        <w:t>进度计划的编制并加强现场管理，努力做到按计划实施开拓、采准及开采作业，保持“三量”的平衡，确保生产的主动性。</w:t>
      </w:r>
    </w:p>
    <w:p w14:paraId="3EAF4E06">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70" w:name="_Toc391"/>
      <w:r>
        <w:rPr>
          <w:rFonts w:hint="eastAsia" w:ascii="宋体" w:hAnsi="宋体" w:eastAsia="宋体" w:cs="宋体"/>
          <w:b/>
          <w:bCs w:val="0"/>
          <w:snapToGrid w:val="0"/>
          <w:color w:val="auto"/>
          <w:kern w:val="0"/>
          <w:sz w:val="30"/>
          <w:szCs w:val="30"/>
          <w:highlight w:val="none"/>
          <w:lang w:val="en-US" w:eastAsia="zh-CN"/>
        </w:rPr>
        <w:t>4.4资源综合利用</w:t>
      </w:r>
      <w:bookmarkEnd w:id="170"/>
    </w:p>
    <w:p w14:paraId="2BEC053F">
      <w:pPr>
        <w:keepNext w:val="0"/>
        <w:keepLines w:val="0"/>
        <w:pageBreakBefore w:val="0"/>
        <w:widowControl w:val="0"/>
        <w:kinsoku/>
        <w:wordWrap/>
        <w:overflowPunct/>
        <w:topLinePunct w:val="0"/>
        <w:autoSpaceDE/>
        <w:autoSpaceDN/>
        <w:bidi w:val="0"/>
        <w:adjustRightInd w:val="0"/>
        <w:snapToGrid w:val="0"/>
        <w:spacing w:line="360" w:lineRule="auto"/>
        <w:ind w:left="125" w:firstLine="562"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pacing w:val="-2"/>
          <w:sz w:val="28"/>
          <w:szCs w:val="28"/>
          <w:highlight w:val="none"/>
          <w:lang w:val="en-US" w:eastAsia="zh-CN"/>
        </w:rPr>
        <w:t>本次设计矿山开采过程中产生的废石总量约4.04万</w:t>
      </w:r>
      <w:r>
        <w:rPr>
          <w:rFonts w:hint="eastAsia" w:ascii="宋体" w:hAnsi="宋体" w:eastAsia="宋体" w:cs="宋体"/>
          <w:color w:val="auto"/>
          <w:spacing w:val="-2"/>
          <w:sz w:val="28"/>
          <w:szCs w:val="28"/>
          <w:highlight w:val="none"/>
          <w:lang w:eastAsia="zh-CN"/>
        </w:rPr>
        <w:t>m</w:t>
      </w:r>
      <w:r>
        <w:rPr>
          <w:rFonts w:hint="eastAsia" w:ascii="宋体" w:hAnsi="宋体" w:eastAsia="宋体" w:cs="宋体"/>
          <w:color w:val="auto"/>
          <w:spacing w:val="-2"/>
          <w:sz w:val="28"/>
          <w:szCs w:val="28"/>
          <w:highlight w:val="none"/>
          <w:vertAlign w:val="superscript"/>
          <w:lang w:eastAsia="zh-CN"/>
        </w:rPr>
        <w:t>3</w:t>
      </w:r>
      <w:r>
        <w:rPr>
          <w:rFonts w:hint="eastAsia" w:ascii="宋体" w:hAnsi="宋体" w:eastAsia="宋体" w:cs="宋体"/>
          <w:color w:val="auto"/>
          <w:spacing w:val="-2"/>
          <w:sz w:val="28"/>
          <w:szCs w:val="28"/>
          <w:highlight w:val="none"/>
          <w:lang w:eastAsia="zh-CN"/>
        </w:rPr>
        <w:t>。</w:t>
      </w:r>
      <w:r>
        <w:rPr>
          <w:rFonts w:hint="eastAsia" w:ascii="宋体" w:hAnsi="宋体" w:eastAsia="宋体" w:cs="宋体"/>
          <w:color w:val="auto"/>
          <w:spacing w:val="-2"/>
          <w:sz w:val="28"/>
          <w:szCs w:val="28"/>
          <w:highlight w:val="none"/>
          <w:lang w:val="en-US" w:eastAsia="zh-CN"/>
        </w:rPr>
        <w:t>为了最大限度地保护矿山地质环境，减少矿山地表塌陷，本次设计矿山生产过程中产生的废石全部直接内排采空区，尤其要优先回填位于基本农田下方的采空区，废石回填应进行专项设计。故本次设计固体废弃物综合利用率达100%，以充分利用资源、减少堆放场地和提高经济效益，为建设绿色矿山作贡献。</w:t>
      </w:r>
    </w:p>
    <w:p w14:paraId="233EB615">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71" w:name="_Toc46"/>
      <w:r>
        <w:rPr>
          <w:rFonts w:hint="eastAsia" w:ascii="宋体" w:hAnsi="宋体" w:eastAsia="宋体" w:cs="宋体"/>
          <w:b/>
          <w:bCs w:val="0"/>
          <w:snapToGrid w:val="0"/>
          <w:color w:val="auto"/>
          <w:kern w:val="0"/>
          <w:sz w:val="30"/>
          <w:szCs w:val="30"/>
          <w:highlight w:val="none"/>
          <w:lang w:val="en-US" w:eastAsia="zh-CN"/>
        </w:rPr>
        <w:t>4.5功能区布置</w:t>
      </w:r>
      <w:bookmarkEnd w:id="171"/>
    </w:p>
    <w:p w14:paraId="0854577B">
      <w:pPr>
        <w:kinsoku/>
        <w:wordWrap/>
        <w:overflowPunct/>
        <w:topLinePunct w:val="0"/>
        <w:bidi w:val="0"/>
        <w:snapToGrid w:val="0"/>
        <w:spacing w:line="360" w:lineRule="auto"/>
        <w:ind w:firstLine="570" w:firstLineChars="200"/>
        <w:rPr>
          <w:rFonts w:hint="default"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1、工业场地</w:t>
      </w:r>
    </w:p>
    <w:p w14:paraId="462D2C92">
      <w:pPr>
        <w:kinsoku/>
        <w:wordWrap/>
        <w:overflowPunct/>
        <w:topLinePunct w:val="0"/>
        <w:bidi w:val="0"/>
        <w:snapToGrid w:val="0"/>
        <w:spacing w:line="360" w:lineRule="auto"/>
        <w:ind w:firstLine="570" w:firstLineChars="200"/>
        <w:rPr>
          <w:rFonts w:hint="default"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（1）办公生活区：位于XPD456斜坡道硐口附近公路旁的平缓地段，占地面积约0.194hm</w:t>
      </w:r>
      <w:r>
        <w:rPr>
          <w:rFonts w:hint="eastAsia" w:ascii="Times New Roman" w:hAnsi="Times New Roman" w:eastAsia="宋体" w:cs="宋体"/>
          <w:color w:val="auto"/>
          <w:sz w:val="28"/>
          <w:szCs w:val="28"/>
          <w:highlight w:val="none"/>
          <w:vertAlign w:val="superscript"/>
          <w:lang w:val="en-US" w:eastAsia="zh-CN"/>
        </w:rPr>
        <w:t>2</w:t>
      </w:r>
      <w:r>
        <w:rPr>
          <w:rFonts w:hint="eastAsia" w:ascii="Times New Roman" w:hAnsi="Times New Roman" w:eastAsia="宋体" w:cs="宋体"/>
          <w:color w:val="auto"/>
          <w:sz w:val="28"/>
          <w:szCs w:val="28"/>
          <w:highlight w:val="none"/>
          <w:lang w:val="en-US" w:eastAsia="zh-CN"/>
        </w:rPr>
        <w:t>，内设炸药库、监控室和办公生活区。本次拟将炸药库迁移至矿区南侧5-6线间距矿界5-6约110m的山坡上，现有炸药库拆迁后改建成办公楼，原办公室、会议室改造成生活区，监控室继续保留。该场地位于开采错动区范围外，原炸药库</w:t>
      </w:r>
      <w:r>
        <w:rPr>
          <w:rFonts w:hint="eastAsia" w:ascii="Times New Roman" w:hAnsi="Times New Roman" w:eastAsia="宋体" w:cs="宋体"/>
          <w:color w:val="auto"/>
          <w:sz w:val="28"/>
          <w:szCs w:val="28"/>
          <w:highlight w:val="none"/>
          <w:lang w:eastAsia="zh-CN"/>
        </w:rPr>
        <w:t>场地</w:t>
      </w:r>
      <w:r>
        <w:rPr>
          <w:rFonts w:hint="eastAsia" w:ascii="Times New Roman" w:hAnsi="Times New Roman" w:eastAsia="宋体" w:cs="宋体"/>
          <w:color w:val="auto"/>
          <w:sz w:val="28"/>
          <w:szCs w:val="28"/>
          <w:highlight w:val="none"/>
        </w:rPr>
        <w:t>为开挖及碎石填筑的平台，后方人工边坡高</w:t>
      </w:r>
      <w:r>
        <w:rPr>
          <w:rFonts w:hint="eastAsia" w:ascii="Times New Roman" w:hAnsi="Times New Roman" w:eastAsia="宋体" w:cs="宋体"/>
          <w:color w:val="auto"/>
          <w:sz w:val="28"/>
          <w:szCs w:val="28"/>
          <w:highlight w:val="none"/>
          <w:lang w:val="en-US" w:eastAsia="zh-CN"/>
        </w:rPr>
        <w:t>3</w:t>
      </w:r>
      <w:r>
        <w:rPr>
          <w:rFonts w:hint="eastAsia"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lang w:val="en-US" w:eastAsia="zh-CN"/>
        </w:rPr>
        <w:t>5</w:t>
      </w:r>
      <w:r>
        <w:rPr>
          <w:rFonts w:hint="eastAsia" w:ascii="Times New Roman" w:hAnsi="Times New Roman" w:eastAsia="宋体" w:cs="宋体"/>
          <w:color w:val="auto"/>
          <w:sz w:val="28"/>
          <w:szCs w:val="28"/>
          <w:highlight w:val="none"/>
        </w:rPr>
        <w:t>m，坡度为35°～45°，</w:t>
      </w:r>
      <w:r>
        <w:rPr>
          <w:rFonts w:hint="eastAsia" w:ascii="Times New Roman" w:hAnsi="Times New Roman" w:eastAsia="宋体" w:cs="宋体"/>
          <w:color w:val="auto"/>
          <w:sz w:val="28"/>
          <w:szCs w:val="28"/>
          <w:highlight w:val="none"/>
          <w:lang w:eastAsia="zh-CN"/>
        </w:rPr>
        <w:t>坡脚已有</w:t>
      </w:r>
      <w:r>
        <w:rPr>
          <w:rFonts w:hint="eastAsia" w:ascii="Times New Roman" w:hAnsi="Times New Roman" w:eastAsia="宋体" w:cs="宋体"/>
          <w:color w:val="auto"/>
          <w:sz w:val="28"/>
          <w:szCs w:val="28"/>
          <w:highlight w:val="none"/>
        </w:rPr>
        <w:t>排水系统，坡面植被发育，</w:t>
      </w:r>
      <w:r>
        <w:rPr>
          <w:rFonts w:hint="eastAsia" w:ascii="Times New Roman" w:hAnsi="Times New Roman" w:eastAsia="宋体" w:cs="宋体"/>
          <w:color w:val="auto"/>
          <w:sz w:val="28"/>
          <w:szCs w:val="28"/>
          <w:highlight w:val="none"/>
          <w:lang w:val="en-US" w:eastAsia="zh-CN"/>
        </w:rPr>
        <w:t>原</w:t>
      </w:r>
      <w:r>
        <w:rPr>
          <w:rFonts w:hint="eastAsia" w:ascii="Times New Roman" w:hAnsi="Times New Roman" w:eastAsia="宋体"/>
          <w:color w:val="auto"/>
          <w:sz w:val="28"/>
          <w:szCs w:val="28"/>
          <w:highlight w:val="none"/>
          <w:lang w:eastAsia="zh-CN"/>
        </w:rPr>
        <w:t>办公生活区</w:t>
      </w:r>
      <w:r>
        <w:rPr>
          <w:rFonts w:hint="eastAsia" w:ascii="Times New Roman" w:hAnsi="Times New Roman" w:eastAsia="宋体" w:cs="宋体"/>
          <w:color w:val="auto"/>
          <w:sz w:val="28"/>
          <w:szCs w:val="28"/>
          <w:highlight w:val="none"/>
          <w:lang w:eastAsia="zh-CN"/>
        </w:rPr>
        <w:t>南侧边缘河流已设</w:t>
      </w:r>
      <w:r>
        <w:rPr>
          <w:rFonts w:hint="eastAsia" w:ascii="Times New Roman" w:hAnsi="Times New Roman" w:eastAsia="宋体" w:cs="宋体"/>
          <w:color w:val="auto"/>
          <w:sz w:val="28"/>
          <w:szCs w:val="28"/>
          <w:highlight w:val="none"/>
        </w:rPr>
        <w:t>挡墙</w:t>
      </w:r>
      <w:r>
        <w:rPr>
          <w:rFonts w:hint="eastAsia" w:ascii="Times New Roman" w:hAnsi="Times New Roman" w:eastAsia="宋体" w:cs="宋体"/>
          <w:color w:val="auto"/>
          <w:sz w:val="28"/>
          <w:szCs w:val="28"/>
          <w:highlight w:val="none"/>
          <w:lang w:eastAsia="zh-CN"/>
        </w:rPr>
        <w:t>及后方排水系统</w:t>
      </w: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rPr>
        <w:t>现状稳定</w:t>
      </w:r>
      <w:r>
        <w:rPr>
          <w:rFonts w:hint="eastAsia" w:ascii="Times New Roman" w:hAnsi="Times New Roman" w:eastAsia="宋体" w:cs="宋体"/>
          <w:color w:val="auto"/>
          <w:sz w:val="28"/>
          <w:szCs w:val="28"/>
          <w:highlight w:val="none"/>
          <w:lang w:val="en-US" w:eastAsia="zh-CN"/>
        </w:rPr>
        <w:t>，可作为办公生活区继续使用。办公生活区拐点坐标及面积详见表4-6。</w:t>
      </w:r>
    </w:p>
    <w:p w14:paraId="36414C43">
      <w:pPr>
        <w:numPr>
          <w:ilvl w:val="0"/>
          <w:numId w:val="0"/>
        </w:numPr>
        <w:kinsoku/>
        <w:wordWrap/>
        <w:overflowPunct/>
        <w:topLinePunct w:val="0"/>
        <w:bidi w:val="0"/>
        <w:snapToGrid w:val="0"/>
        <w:spacing w:line="240" w:lineRule="auto"/>
        <w:ind w:left="0" w:leftChars="0" w:firstLine="570" w:firstLineChars="200"/>
        <w:jc w:val="center"/>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 xml:space="preserve">   办公生活区拐点坐标表（2000坐标系）     表4-6</w:t>
      </w:r>
    </w:p>
    <w:tbl>
      <w:tblPr>
        <w:tblStyle w:val="18"/>
        <w:tblW w:w="9048" w:type="dxa"/>
        <w:jc w:val="center"/>
        <w:tblLayout w:type="fixed"/>
        <w:tblCellMar>
          <w:top w:w="15" w:type="dxa"/>
          <w:left w:w="15" w:type="dxa"/>
          <w:bottom w:w="15" w:type="dxa"/>
          <w:right w:w="15" w:type="dxa"/>
        </w:tblCellMar>
      </w:tblPr>
      <w:tblGrid>
        <w:gridCol w:w="884"/>
        <w:gridCol w:w="2"/>
        <w:gridCol w:w="1760"/>
        <w:gridCol w:w="4"/>
        <w:gridCol w:w="1823"/>
        <w:gridCol w:w="29"/>
        <w:gridCol w:w="862"/>
        <w:gridCol w:w="1"/>
        <w:gridCol w:w="1712"/>
        <w:gridCol w:w="32"/>
        <w:gridCol w:w="1939"/>
      </w:tblGrid>
      <w:tr w14:paraId="34F777CD">
        <w:tblPrEx>
          <w:tblCellMar>
            <w:top w:w="15" w:type="dxa"/>
            <w:left w:w="15" w:type="dxa"/>
            <w:bottom w:w="15" w:type="dxa"/>
            <w:right w:w="15" w:type="dxa"/>
          </w:tblCellMar>
        </w:tblPrEx>
        <w:trPr>
          <w:trHeight w:val="283" w:hRule="atLeast"/>
          <w:jc w:val="center"/>
        </w:trPr>
        <w:tc>
          <w:tcPr>
            <w:tcW w:w="886" w:type="dxa"/>
            <w:gridSpan w:val="2"/>
            <w:tcBorders>
              <w:top w:val="single" w:color="000000" w:sz="4" w:space="0"/>
              <w:left w:val="single" w:color="000000" w:sz="4" w:space="0"/>
              <w:bottom w:val="single" w:color="000000" w:sz="4" w:space="0"/>
              <w:right w:val="single" w:color="000000" w:sz="4" w:space="0"/>
            </w:tcBorders>
            <w:noWrap w:val="0"/>
            <w:vAlign w:val="center"/>
          </w:tcPr>
          <w:p w14:paraId="6E55BBF5">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拐点号</w:t>
            </w:r>
          </w:p>
        </w:tc>
        <w:tc>
          <w:tcPr>
            <w:tcW w:w="1764" w:type="dxa"/>
            <w:gridSpan w:val="2"/>
            <w:tcBorders>
              <w:top w:val="single" w:color="000000" w:sz="4" w:space="0"/>
              <w:left w:val="single" w:color="000000" w:sz="4" w:space="0"/>
              <w:bottom w:val="single" w:color="000000" w:sz="4" w:space="0"/>
              <w:right w:val="single" w:color="000000" w:sz="4" w:space="0"/>
            </w:tcBorders>
            <w:noWrap w:val="0"/>
            <w:vAlign w:val="center"/>
          </w:tcPr>
          <w:p w14:paraId="41E1B313">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X坐标</w:t>
            </w:r>
          </w:p>
        </w:tc>
        <w:tc>
          <w:tcPr>
            <w:tcW w:w="1823" w:type="dxa"/>
            <w:tcBorders>
              <w:top w:val="single" w:color="000000" w:sz="4" w:space="0"/>
              <w:left w:val="single" w:color="000000" w:sz="4" w:space="0"/>
              <w:bottom w:val="single" w:color="000000" w:sz="4" w:space="0"/>
              <w:right w:val="single" w:color="000000" w:sz="4" w:space="0"/>
            </w:tcBorders>
            <w:noWrap w:val="0"/>
            <w:vAlign w:val="center"/>
          </w:tcPr>
          <w:p w14:paraId="4BD012B9">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Y坐标</w:t>
            </w:r>
          </w:p>
        </w:tc>
        <w:tc>
          <w:tcPr>
            <w:tcW w:w="891" w:type="dxa"/>
            <w:gridSpan w:val="2"/>
            <w:tcBorders>
              <w:top w:val="single" w:color="000000" w:sz="4" w:space="0"/>
              <w:left w:val="single" w:color="000000" w:sz="4" w:space="0"/>
              <w:bottom w:val="single" w:color="000000" w:sz="4" w:space="0"/>
              <w:right w:val="single" w:color="000000" w:sz="4" w:space="0"/>
            </w:tcBorders>
            <w:noWrap w:val="0"/>
            <w:vAlign w:val="center"/>
          </w:tcPr>
          <w:p w14:paraId="0431116B">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拐点号</w:t>
            </w:r>
          </w:p>
        </w:tc>
        <w:tc>
          <w:tcPr>
            <w:tcW w:w="1713" w:type="dxa"/>
            <w:gridSpan w:val="2"/>
            <w:tcBorders>
              <w:top w:val="single" w:color="000000" w:sz="4" w:space="0"/>
              <w:left w:val="single" w:color="000000" w:sz="4" w:space="0"/>
              <w:bottom w:val="single" w:color="000000" w:sz="4" w:space="0"/>
              <w:right w:val="single" w:color="000000" w:sz="4" w:space="0"/>
            </w:tcBorders>
            <w:noWrap w:val="0"/>
            <w:vAlign w:val="center"/>
          </w:tcPr>
          <w:p w14:paraId="1EFE717D">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X坐标</w:t>
            </w:r>
          </w:p>
        </w:tc>
        <w:tc>
          <w:tcPr>
            <w:tcW w:w="1971" w:type="dxa"/>
            <w:gridSpan w:val="2"/>
            <w:tcBorders>
              <w:top w:val="single" w:color="000000" w:sz="4" w:space="0"/>
              <w:left w:val="single" w:color="000000" w:sz="4" w:space="0"/>
              <w:bottom w:val="single" w:color="000000" w:sz="4" w:space="0"/>
              <w:right w:val="single" w:color="000000" w:sz="4" w:space="0"/>
            </w:tcBorders>
            <w:noWrap w:val="0"/>
            <w:vAlign w:val="center"/>
          </w:tcPr>
          <w:p w14:paraId="1DDD9E0F">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Y坐标</w:t>
            </w:r>
          </w:p>
        </w:tc>
      </w:tr>
      <w:tr w14:paraId="2DA3F53D">
        <w:tblPrEx>
          <w:tblCellMar>
            <w:top w:w="15" w:type="dxa"/>
            <w:left w:w="15" w:type="dxa"/>
            <w:bottom w:w="15" w:type="dxa"/>
            <w:right w:w="15" w:type="dxa"/>
          </w:tblCellMar>
        </w:tblPrEx>
        <w:trPr>
          <w:trHeight w:val="283" w:hRule="atLeast"/>
          <w:jc w:val="center"/>
        </w:trPr>
        <w:tc>
          <w:tcPr>
            <w:tcW w:w="9048" w:type="dxa"/>
            <w:gridSpan w:val="11"/>
            <w:tcBorders>
              <w:top w:val="single" w:color="000000" w:sz="4" w:space="0"/>
              <w:left w:val="single" w:color="000000" w:sz="4" w:space="0"/>
              <w:bottom w:val="single" w:color="000000" w:sz="4" w:space="0"/>
              <w:right w:val="single" w:color="000000" w:sz="4" w:space="0"/>
            </w:tcBorders>
            <w:noWrap w:val="0"/>
            <w:vAlign w:val="center"/>
          </w:tcPr>
          <w:p w14:paraId="72C6448B">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生活区（监控室），面积为0.1170hm</w:t>
            </w:r>
            <w:r>
              <w:rPr>
                <w:rFonts w:hint="eastAsia" w:ascii="宋体" w:hAnsi="宋体" w:eastAsia="宋体" w:cs="宋体"/>
                <w:color w:val="auto"/>
                <w:sz w:val="24"/>
                <w:szCs w:val="24"/>
                <w:highlight w:val="none"/>
                <w:vertAlign w:val="superscript"/>
                <w:lang w:val="en-US" w:eastAsia="zh-CN"/>
              </w:rPr>
              <w:t>2</w:t>
            </w:r>
          </w:p>
        </w:tc>
      </w:tr>
      <w:tr w14:paraId="346660E9">
        <w:tblPrEx>
          <w:tblCellMar>
            <w:top w:w="15" w:type="dxa"/>
            <w:left w:w="15" w:type="dxa"/>
            <w:bottom w:w="15" w:type="dxa"/>
            <w:right w:w="15" w:type="dxa"/>
          </w:tblCellMar>
        </w:tblPrEx>
        <w:trPr>
          <w:trHeight w:val="283" w:hRule="atLeast"/>
          <w:jc w:val="center"/>
        </w:trPr>
        <w:tc>
          <w:tcPr>
            <w:tcW w:w="886" w:type="dxa"/>
            <w:gridSpan w:val="2"/>
            <w:tcBorders>
              <w:top w:val="single" w:color="000000" w:sz="4" w:space="0"/>
              <w:left w:val="single" w:color="000000" w:sz="4" w:space="0"/>
              <w:bottom w:val="single" w:color="000000" w:sz="4" w:space="0"/>
              <w:right w:val="single" w:color="000000" w:sz="4" w:space="0"/>
            </w:tcBorders>
            <w:noWrap w:val="0"/>
            <w:vAlign w:val="center"/>
          </w:tcPr>
          <w:p w14:paraId="5DE0D822">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B1</w:t>
            </w:r>
          </w:p>
        </w:tc>
        <w:tc>
          <w:tcPr>
            <w:tcW w:w="1764" w:type="dxa"/>
            <w:gridSpan w:val="2"/>
            <w:tcBorders>
              <w:top w:val="single" w:color="000000" w:sz="4" w:space="0"/>
              <w:left w:val="single" w:color="000000" w:sz="4" w:space="0"/>
              <w:bottom w:val="single" w:color="000000" w:sz="4" w:space="0"/>
              <w:right w:val="single" w:color="000000" w:sz="4" w:space="0"/>
            </w:tcBorders>
            <w:noWrap w:val="0"/>
            <w:vAlign w:val="top"/>
          </w:tcPr>
          <w:p w14:paraId="560A5F8D">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2923965.65</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72A96F32">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39524864.17</w:t>
            </w:r>
          </w:p>
        </w:tc>
        <w:tc>
          <w:tcPr>
            <w:tcW w:w="891" w:type="dxa"/>
            <w:gridSpan w:val="2"/>
            <w:tcBorders>
              <w:top w:val="single" w:color="000000" w:sz="4" w:space="0"/>
              <w:left w:val="single" w:color="000000" w:sz="4" w:space="0"/>
              <w:bottom w:val="single" w:color="000000" w:sz="4" w:space="0"/>
              <w:right w:val="single" w:color="000000" w:sz="4" w:space="0"/>
            </w:tcBorders>
            <w:noWrap w:val="0"/>
            <w:vAlign w:val="center"/>
          </w:tcPr>
          <w:p w14:paraId="3A79111C">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bidi="ar-SA"/>
              </w:rPr>
              <w:t>B8</w:t>
            </w:r>
          </w:p>
        </w:tc>
        <w:tc>
          <w:tcPr>
            <w:tcW w:w="1713" w:type="dxa"/>
            <w:gridSpan w:val="2"/>
            <w:tcBorders>
              <w:top w:val="single" w:color="000000" w:sz="4" w:space="0"/>
              <w:left w:val="single" w:color="000000" w:sz="4" w:space="0"/>
              <w:bottom w:val="single" w:color="000000" w:sz="4" w:space="0"/>
              <w:right w:val="single" w:color="000000" w:sz="4" w:space="0"/>
            </w:tcBorders>
            <w:noWrap w:val="0"/>
            <w:vAlign w:val="top"/>
          </w:tcPr>
          <w:p w14:paraId="2E4EED6C">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2923967.30</w:t>
            </w:r>
          </w:p>
        </w:tc>
        <w:tc>
          <w:tcPr>
            <w:tcW w:w="1971" w:type="dxa"/>
            <w:gridSpan w:val="2"/>
            <w:tcBorders>
              <w:top w:val="single" w:color="000000" w:sz="4" w:space="0"/>
              <w:left w:val="single" w:color="000000" w:sz="4" w:space="0"/>
              <w:bottom w:val="single" w:color="000000" w:sz="4" w:space="0"/>
              <w:right w:val="single" w:color="000000" w:sz="4" w:space="0"/>
            </w:tcBorders>
            <w:noWrap w:val="0"/>
            <w:vAlign w:val="top"/>
          </w:tcPr>
          <w:p w14:paraId="3F3DE2CC">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39524892.42</w:t>
            </w:r>
          </w:p>
        </w:tc>
      </w:tr>
      <w:tr w14:paraId="6CC2D107">
        <w:tblPrEx>
          <w:tblCellMar>
            <w:top w:w="15" w:type="dxa"/>
            <w:left w:w="15" w:type="dxa"/>
            <w:bottom w:w="15" w:type="dxa"/>
            <w:right w:w="15" w:type="dxa"/>
          </w:tblCellMar>
        </w:tblPrEx>
        <w:trPr>
          <w:trHeight w:val="283" w:hRule="atLeast"/>
          <w:jc w:val="center"/>
        </w:trPr>
        <w:tc>
          <w:tcPr>
            <w:tcW w:w="886" w:type="dxa"/>
            <w:gridSpan w:val="2"/>
            <w:tcBorders>
              <w:top w:val="single" w:color="000000" w:sz="4" w:space="0"/>
              <w:left w:val="single" w:color="000000" w:sz="4" w:space="0"/>
              <w:bottom w:val="single" w:color="000000" w:sz="4" w:space="0"/>
              <w:right w:val="single" w:color="000000" w:sz="4" w:space="0"/>
            </w:tcBorders>
            <w:noWrap w:val="0"/>
            <w:vAlign w:val="center"/>
          </w:tcPr>
          <w:p w14:paraId="4DD94E0D">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B2</w:t>
            </w:r>
          </w:p>
        </w:tc>
        <w:tc>
          <w:tcPr>
            <w:tcW w:w="1764" w:type="dxa"/>
            <w:gridSpan w:val="2"/>
            <w:tcBorders>
              <w:top w:val="single" w:color="000000" w:sz="4" w:space="0"/>
              <w:left w:val="single" w:color="000000" w:sz="4" w:space="0"/>
              <w:bottom w:val="single" w:color="000000" w:sz="4" w:space="0"/>
              <w:right w:val="single" w:color="000000" w:sz="4" w:space="0"/>
            </w:tcBorders>
            <w:noWrap w:val="0"/>
            <w:vAlign w:val="top"/>
          </w:tcPr>
          <w:p w14:paraId="53786229">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2923960.57</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2EC39F11">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39524849.64</w:t>
            </w:r>
          </w:p>
        </w:tc>
        <w:tc>
          <w:tcPr>
            <w:tcW w:w="891" w:type="dxa"/>
            <w:gridSpan w:val="2"/>
            <w:tcBorders>
              <w:top w:val="single" w:color="000000" w:sz="4" w:space="0"/>
              <w:left w:val="single" w:color="000000" w:sz="4" w:space="0"/>
              <w:bottom w:val="single" w:color="000000" w:sz="4" w:space="0"/>
              <w:right w:val="single" w:color="000000" w:sz="4" w:space="0"/>
            </w:tcBorders>
            <w:noWrap w:val="0"/>
            <w:vAlign w:val="center"/>
          </w:tcPr>
          <w:p w14:paraId="17CE1AD3">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bidi="ar-SA"/>
              </w:rPr>
              <w:t>B9</w:t>
            </w:r>
          </w:p>
        </w:tc>
        <w:tc>
          <w:tcPr>
            <w:tcW w:w="1713" w:type="dxa"/>
            <w:gridSpan w:val="2"/>
            <w:tcBorders>
              <w:top w:val="single" w:color="000000" w:sz="4" w:space="0"/>
              <w:left w:val="single" w:color="000000" w:sz="4" w:space="0"/>
              <w:bottom w:val="single" w:color="000000" w:sz="4" w:space="0"/>
              <w:right w:val="single" w:color="000000" w:sz="4" w:space="0"/>
            </w:tcBorders>
            <w:noWrap w:val="0"/>
            <w:vAlign w:val="top"/>
          </w:tcPr>
          <w:p w14:paraId="4861D438">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2923971.91</w:t>
            </w:r>
          </w:p>
        </w:tc>
        <w:tc>
          <w:tcPr>
            <w:tcW w:w="1971" w:type="dxa"/>
            <w:gridSpan w:val="2"/>
            <w:tcBorders>
              <w:top w:val="single" w:color="000000" w:sz="4" w:space="0"/>
              <w:left w:val="single" w:color="000000" w:sz="4" w:space="0"/>
              <w:bottom w:val="single" w:color="000000" w:sz="4" w:space="0"/>
              <w:right w:val="single" w:color="000000" w:sz="4" w:space="0"/>
            </w:tcBorders>
            <w:noWrap w:val="0"/>
            <w:vAlign w:val="top"/>
          </w:tcPr>
          <w:p w14:paraId="4A639626">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39524893.18</w:t>
            </w:r>
          </w:p>
        </w:tc>
      </w:tr>
      <w:tr w14:paraId="03BBABE1">
        <w:tblPrEx>
          <w:tblCellMar>
            <w:top w:w="15" w:type="dxa"/>
            <w:left w:w="15" w:type="dxa"/>
            <w:bottom w:w="15" w:type="dxa"/>
            <w:right w:w="15" w:type="dxa"/>
          </w:tblCellMar>
        </w:tblPrEx>
        <w:trPr>
          <w:trHeight w:val="283" w:hRule="atLeast"/>
          <w:jc w:val="center"/>
        </w:trPr>
        <w:tc>
          <w:tcPr>
            <w:tcW w:w="886" w:type="dxa"/>
            <w:gridSpan w:val="2"/>
            <w:tcBorders>
              <w:top w:val="single" w:color="000000" w:sz="4" w:space="0"/>
              <w:left w:val="single" w:color="000000" w:sz="4" w:space="0"/>
              <w:bottom w:val="single" w:color="000000" w:sz="4" w:space="0"/>
              <w:right w:val="single" w:color="000000" w:sz="4" w:space="0"/>
            </w:tcBorders>
            <w:noWrap w:val="0"/>
            <w:vAlign w:val="center"/>
          </w:tcPr>
          <w:p w14:paraId="63F63CAB">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B3</w:t>
            </w:r>
          </w:p>
        </w:tc>
        <w:tc>
          <w:tcPr>
            <w:tcW w:w="1764" w:type="dxa"/>
            <w:gridSpan w:val="2"/>
            <w:tcBorders>
              <w:top w:val="single" w:color="000000" w:sz="4" w:space="0"/>
              <w:left w:val="single" w:color="000000" w:sz="4" w:space="0"/>
              <w:bottom w:val="single" w:color="000000" w:sz="4" w:space="0"/>
              <w:right w:val="single" w:color="000000" w:sz="4" w:space="0"/>
            </w:tcBorders>
            <w:noWrap w:val="0"/>
            <w:vAlign w:val="top"/>
          </w:tcPr>
          <w:p w14:paraId="2D917000">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2923957.54</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4DDBDB15">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39524849.30</w:t>
            </w:r>
          </w:p>
        </w:tc>
        <w:tc>
          <w:tcPr>
            <w:tcW w:w="891" w:type="dxa"/>
            <w:gridSpan w:val="2"/>
            <w:tcBorders>
              <w:top w:val="single" w:color="000000" w:sz="4" w:space="0"/>
              <w:left w:val="single" w:color="000000" w:sz="4" w:space="0"/>
              <w:bottom w:val="single" w:color="000000" w:sz="4" w:space="0"/>
              <w:right w:val="single" w:color="000000" w:sz="4" w:space="0"/>
            </w:tcBorders>
            <w:noWrap w:val="0"/>
            <w:vAlign w:val="center"/>
          </w:tcPr>
          <w:p w14:paraId="2668C195">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bidi="ar-SA"/>
              </w:rPr>
              <w:t>B10</w:t>
            </w:r>
          </w:p>
        </w:tc>
        <w:tc>
          <w:tcPr>
            <w:tcW w:w="1713" w:type="dxa"/>
            <w:gridSpan w:val="2"/>
            <w:tcBorders>
              <w:top w:val="single" w:color="000000" w:sz="4" w:space="0"/>
              <w:left w:val="single" w:color="000000" w:sz="4" w:space="0"/>
              <w:bottom w:val="single" w:color="000000" w:sz="4" w:space="0"/>
              <w:right w:val="single" w:color="000000" w:sz="4" w:space="0"/>
            </w:tcBorders>
            <w:noWrap w:val="0"/>
            <w:vAlign w:val="top"/>
          </w:tcPr>
          <w:p w14:paraId="5EC523DE">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2923973.01</w:t>
            </w:r>
          </w:p>
        </w:tc>
        <w:tc>
          <w:tcPr>
            <w:tcW w:w="1971" w:type="dxa"/>
            <w:gridSpan w:val="2"/>
            <w:tcBorders>
              <w:top w:val="single" w:color="000000" w:sz="4" w:space="0"/>
              <w:left w:val="single" w:color="000000" w:sz="4" w:space="0"/>
              <w:bottom w:val="single" w:color="000000" w:sz="4" w:space="0"/>
              <w:right w:val="single" w:color="000000" w:sz="4" w:space="0"/>
            </w:tcBorders>
            <w:noWrap w:val="0"/>
            <w:vAlign w:val="top"/>
          </w:tcPr>
          <w:p w14:paraId="4C479376">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39524890.97</w:t>
            </w:r>
          </w:p>
        </w:tc>
      </w:tr>
      <w:tr w14:paraId="422D0274">
        <w:tblPrEx>
          <w:tblCellMar>
            <w:top w:w="15" w:type="dxa"/>
            <w:left w:w="15" w:type="dxa"/>
            <w:bottom w:w="15" w:type="dxa"/>
            <w:right w:w="15" w:type="dxa"/>
          </w:tblCellMar>
        </w:tblPrEx>
        <w:trPr>
          <w:trHeight w:val="283" w:hRule="atLeast"/>
          <w:jc w:val="center"/>
        </w:trPr>
        <w:tc>
          <w:tcPr>
            <w:tcW w:w="886" w:type="dxa"/>
            <w:gridSpan w:val="2"/>
            <w:tcBorders>
              <w:top w:val="single" w:color="000000" w:sz="4" w:space="0"/>
              <w:left w:val="single" w:color="000000" w:sz="4" w:space="0"/>
              <w:bottom w:val="single" w:color="000000" w:sz="4" w:space="0"/>
              <w:right w:val="single" w:color="000000" w:sz="4" w:space="0"/>
            </w:tcBorders>
            <w:noWrap w:val="0"/>
            <w:vAlign w:val="center"/>
          </w:tcPr>
          <w:p w14:paraId="05EE47AD">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B4</w:t>
            </w:r>
          </w:p>
        </w:tc>
        <w:tc>
          <w:tcPr>
            <w:tcW w:w="1764" w:type="dxa"/>
            <w:gridSpan w:val="2"/>
            <w:tcBorders>
              <w:top w:val="single" w:color="000000" w:sz="4" w:space="0"/>
              <w:left w:val="single" w:color="000000" w:sz="4" w:space="0"/>
              <w:bottom w:val="single" w:color="000000" w:sz="4" w:space="0"/>
              <w:right w:val="single" w:color="000000" w:sz="4" w:space="0"/>
            </w:tcBorders>
            <w:noWrap w:val="0"/>
            <w:vAlign w:val="top"/>
          </w:tcPr>
          <w:p w14:paraId="4DB83A36">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2923949.33</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60B4AA03">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39524876.39</w:t>
            </w:r>
          </w:p>
        </w:tc>
        <w:tc>
          <w:tcPr>
            <w:tcW w:w="891" w:type="dxa"/>
            <w:gridSpan w:val="2"/>
            <w:tcBorders>
              <w:top w:val="single" w:color="000000" w:sz="4" w:space="0"/>
              <w:left w:val="single" w:color="000000" w:sz="4" w:space="0"/>
              <w:bottom w:val="single" w:color="000000" w:sz="4" w:space="0"/>
              <w:right w:val="single" w:color="000000" w:sz="4" w:space="0"/>
            </w:tcBorders>
            <w:noWrap w:val="0"/>
            <w:vAlign w:val="center"/>
          </w:tcPr>
          <w:p w14:paraId="6B948921">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bidi="ar-SA"/>
              </w:rPr>
              <w:t>B11</w:t>
            </w:r>
          </w:p>
        </w:tc>
        <w:tc>
          <w:tcPr>
            <w:tcW w:w="1713" w:type="dxa"/>
            <w:gridSpan w:val="2"/>
            <w:tcBorders>
              <w:top w:val="single" w:color="000000" w:sz="4" w:space="0"/>
              <w:left w:val="single" w:color="000000" w:sz="4" w:space="0"/>
              <w:bottom w:val="single" w:color="000000" w:sz="4" w:space="0"/>
              <w:right w:val="single" w:color="000000" w:sz="4" w:space="0"/>
            </w:tcBorders>
            <w:noWrap w:val="0"/>
            <w:vAlign w:val="top"/>
          </w:tcPr>
          <w:p w14:paraId="7B346A5A">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2923993.60</w:t>
            </w:r>
          </w:p>
        </w:tc>
        <w:tc>
          <w:tcPr>
            <w:tcW w:w="1971" w:type="dxa"/>
            <w:gridSpan w:val="2"/>
            <w:tcBorders>
              <w:top w:val="single" w:color="000000" w:sz="4" w:space="0"/>
              <w:left w:val="single" w:color="000000" w:sz="4" w:space="0"/>
              <w:bottom w:val="single" w:color="000000" w:sz="4" w:space="0"/>
              <w:right w:val="single" w:color="000000" w:sz="4" w:space="0"/>
            </w:tcBorders>
            <w:noWrap w:val="0"/>
            <w:vAlign w:val="top"/>
          </w:tcPr>
          <w:p w14:paraId="5D300BD8">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39524890.68</w:t>
            </w:r>
          </w:p>
        </w:tc>
      </w:tr>
      <w:tr w14:paraId="34A424FD">
        <w:tblPrEx>
          <w:tblCellMar>
            <w:top w:w="15" w:type="dxa"/>
            <w:left w:w="15" w:type="dxa"/>
            <w:bottom w:w="15" w:type="dxa"/>
            <w:right w:w="15" w:type="dxa"/>
          </w:tblCellMar>
        </w:tblPrEx>
        <w:trPr>
          <w:trHeight w:val="283" w:hRule="atLeast"/>
          <w:jc w:val="center"/>
        </w:trPr>
        <w:tc>
          <w:tcPr>
            <w:tcW w:w="886" w:type="dxa"/>
            <w:gridSpan w:val="2"/>
            <w:tcBorders>
              <w:top w:val="single" w:color="000000" w:sz="4" w:space="0"/>
              <w:left w:val="single" w:color="000000" w:sz="4" w:space="0"/>
              <w:bottom w:val="single" w:color="000000" w:sz="4" w:space="0"/>
              <w:right w:val="single" w:color="000000" w:sz="4" w:space="0"/>
            </w:tcBorders>
            <w:noWrap w:val="0"/>
            <w:vAlign w:val="center"/>
          </w:tcPr>
          <w:p w14:paraId="79125BC4">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B5</w:t>
            </w:r>
          </w:p>
        </w:tc>
        <w:tc>
          <w:tcPr>
            <w:tcW w:w="1764" w:type="dxa"/>
            <w:gridSpan w:val="2"/>
            <w:tcBorders>
              <w:top w:val="single" w:color="000000" w:sz="4" w:space="0"/>
              <w:left w:val="single" w:color="000000" w:sz="4" w:space="0"/>
              <w:bottom w:val="single" w:color="000000" w:sz="4" w:space="0"/>
              <w:right w:val="single" w:color="000000" w:sz="4" w:space="0"/>
            </w:tcBorders>
            <w:noWrap w:val="0"/>
            <w:vAlign w:val="top"/>
          </w:tcPr>
          <w:p w14:paraId="7A75A9FF">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2923955.25</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73C79114">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39524877.93</w:t>
            </w:r>
          </w:p>
        </w:tc>
        <w:tc>
          <w:tcPr>
            <w:tcW w:w="891" w:type="dxa"/>
            <w:gridSpan w:val="2"/>
            <w:tcBorders>
              <w:top w:val="single" w:color="000000" w:sz="4" w:space="0"/>
              <w:left w:val="single" w:color="000000" w:sz="4" w:space="0"/>
              <w:bottom w:val="single" w:color="000000" w:sz="4" w:space="0"/>
              <w:right w:val="single" w:color="000000" w:sz="4" w:space="0"/>
            </w:tcBorders>
            <w:noWrap w:val="0"/>
            <w:vAlign w:val="center"/>
          </w:tcPr>
          <w:p w14:paraId="16BF9AA0">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bidi="ar-SA"/>
              </w:rPr>
              <w:t>B12</w:t>
            </w:r>
          </w:p>
        </w:tc>
        <w:tc>
          <w:tcPr>
            <w:tcW w:w="1713" w:type="dxa"/>
            <w:gridSpan w:val="2"/>
            <w:tcBorders>
              <w:top w:val="single" w:color="000000" w:sz="4" w:space="0"/>
              <w:left w:val="single" w:color="000000" w:sz="4" w:space="0"/>
              <w:bottom w:val="single" w:color="000000" w:sz="4" w:space="0"/>
              <w:right w:val="single" w:color="000000" w:sz="4" w:space="0"/>
            </w:tcBorders>
            <w:noWrap w:val="0"/>
            <w:vAlign w:val="top"/>
          </w:tcPr>
          <w:p w14:paraId="7A52BA9A">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2923994.35</w:t>
            </w:r>
          </w:p>
        </w:tc>
        <w:tc>
          <w:tcPr>
            <w:tcW w:w="1971" w:type="dxa"/>
            <w:gridSpan w:val="2"/>
            <w:tcBorders>
              <w:top w:val="single" w:color="000000" w:sz="4" w:space="0"/>
              <w:left w:val="single" w:color="000000" w:sz="4" w:space="0"/>
              <w:bottom w:val="single" w:color="000000" w:sz="4" w:space="0"/>
              <w:right w:val="single" w:color="000000" w:sz="4" w:space="0"/>
            </w:tcBorders>
            <w:noWrap w:val="0"/>
            <w:vAlign w:val="top"/>
          </w:tcPr>
          <w:p w14:paraId="2DAA2BFF">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39524886.63</w:t>
            </w:r>
          </w:p>
        </w:tc>
      </w:tr>
      <w:tr w14:paraId="776F0733">
        <w:tblPrEx>
          <w:tblCellMar>
            <w:top w:w="15" w:type="dxa"/>
            <w:left w:w="15" w:type="dxa"/>
            <w:bottom w:w="15" w:type="dxa"/>
            <w:right w:w="15" w:type="dxa"/>
          </w:tblCellMar>
        </w:tblPrEx>
        <w:trPr>
          <w:trHeight w:val="283" w:hRule="atLeast"/>
          <w:jc w:val="center"/>
        </w:trPr>
        <w:tc>
          <w:tcPr>
            <w:tcW w:w="886" w:type="dxa"/>
            <w:gridSpan w:val="2"/>
            <w:tcBorders>
              <w:top w:val="single" w:color="000000" w:sz="4" w:space="0"/>
              <w:left w:val="single" w:color="000000" w:sz="4" w:space="0"/>
              <w:bottom w:val="single" w:color="000000" w:sz="4" w:space="0"/>
              <w:right w:val="single" w:color="000000" w:sz="4" w:space="0"/>
            </w:tcBorders>
            <w:noWrap w:val="0"/>
            <w:vAlign w:val="center"/>
          </w:tcPr>
          <w:p w14:paraId="4EB0EA78">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B6</w:t>
            </w:r>
          </w:p>
        </w:tc>
        <w:tc>
          <w:tcPr>
            <w:tcW w:w="1764" w:type="dxa"/>
            <w:gridSpan w:val="2"/>
            <w:tcBorders>
              <w:top w:val="single" w:color="000000" w:sz="4" w:space="0"/>
              <w:left w:val="single" w:color="000000" w:sz="4" w:space="0"/>
              <w:bottom w:val="single" w:color="000000" w:sz="4" w:space="0"/>
              <w:right w:val="single" w:color="000000" w:sz="4" w:space="0"/>
            </w:tcBorders>
            <w:noWrap w:val="0"/>
            <w:vAlign w:val="top"/>
          </w:tcPr>
          <w:p w14:paraId="6F5B686B">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2923954.27</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1AFB0AEB">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39524885.34</w:t>
            </w:r>
          </w:p>
        </w:tc>
        <w:tc>
          <w:tcPr>
            <w:tcW w:w="891" w:type="dxa"/>
            <w:gridSpan w:val="2"/>
            <w:tcBorders>
              <w:top w:val="single" w:color="000000" w:sz="4" w:space="0"/>
              <w:left w:val="single" w:color="000000" w:sz="4" w:space="0"/>
              <w:bottom w:val="single" w:color="000000" w:sz="4" w:space="0"/>
              <w:right w:val="single" w:color="000000" w:sz="4" w:space="0"/>
            </w:tcBorders>
            <w:noWrap w:val="0"/>
            <w:vAlign w:val="center"/>
          </w:tcPr>
          <w:p w14:paraId="2310281D">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bidi="ar-SA"/>
              </w:rPr>
              <w:t>D6</w:t>
            </w:r>
          </w:p>
        </w:tc>
        <w:tc>
          <w:tcPr>
            <w:tcW w:w="1713" w:type="dxa"/>
            <w:gridSpan w:val="2"/>
            <w:tcBorders>
              <w:top w:val="single" w:color="000000" w:sz="4" w:space="0"/>
              <w:left w:val="single" w:color="000000" w:sz="4" w:space="0"/>
              <w:bottom w:val="single" w:color="000000" w:sz="4" w:space="0"/>
              <w:right w:val="single" w:color="000000" w:sz="4" w:space="0"/>
            </w:tcBorders>
            <w:noWrap w:val="0"/>
            <w:vAlign w:val="center"/>
          </w:tcPr>
          <w:p w14:paraId="1E88C7A9">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2923984.85</w:t>
            </w:r>
          </w:p>
        </w:tc>
        <w:tc>
          <w:tcPr>
            <w:tcW w:w="1971" w:type="dxa"/>
            <w:gridSpan w:val="2"/>
            <w:tcBorders>
              <w:top w:val="single" w:color="000000" w:sz="4" w:space="0"/>
              <w:left w:val="single" w:color="000000" w:sz="4" w:space="0"/>
              <w:bottom w:val="single" w:color="000000" w:sz="4" w:space="0"/>
              <w:right w:val="single" w:color="000000" w:sz="4" w:space="0"/>
            </w:tcBorders>
            <w:noWrap w:val="0"/>
            <w:vAlign w:val="center"/>
          </w:tcPr>
          <w:p w14:paraId="08E3787C">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39524869.84</w:t>
            </w:r>
          </w:p>
        </w:tc>
      </w:tr>
      <w:tr w14:paraId="115F2EAF">
        <w:tblPrEx>
          <w:tblCellMar>
            <w:top w:w="15" w:type="dxa"/>
            <w:left w:w="15" w:type="dxa"/>
            <w:bottom w:w="15" w:type="dxa"/>
            <w:right w:w="15" w:type="dxa"/>
          </w:tblCellMar>
        </w:tblPrEx>
        <w:trPr>
          <w:trHeight w:val="283" w:hRule="atLeast"/>
          <w:jc w:val="center"/>
        </w:trPr>
        <w:tc>
          <w:tcPr>
            <w:tcW w:w="886" w:type="dxa"/>
            <w:gridSpan w:val="2"/>
            <w:tcBorders>
              <w:top w:val="single" w:color="000000" w:sz="4" w:space="0"/>
              <w:left w:val="single" w:color="000000" w:sz="4" w:space="0"/>
              <w:bottom w:val="single" w:color="000000" w:sz="4" w:space="0"/>
              <w:right w:val="single" w:color="000000" w:sz="4" w:space="0"/>
            </w:tcBorders>
            <w:noWrap w:val="0"/>
            <w:vAlign w:val="center"/>
          </w:tcPr>
          <w:p w14:paraId="1A44538D">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B7</w:t>
            </w:r>
          </w:p>
        </w:tc>
        <w:tc>
          <w:tcPr>
            <w:tcW w:w="1764" w:type="dxa"/>
            <w:gridSpan w:val="2"/>
            <w:tcBorders>
              <w:top w:val="single" w:color="000000" w:sz="4" w:space="0"/>
              <w:left w:val="single" w:color="000000" w:sz="4" w:space="0"/>
              <w:bottom w:val="single" w:color="000000" w:sz="4" w:space="0"/>
              <w:right w:val="single" w:color="000000" w:sz="4" w:space="0"/>
            </w:tcBorders>
            <w:noWrap w:val="0"/>
            <w:vAlign w:val="top"/>
          </w:tcPr>
          <w:p w14:paraId="436B427A">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2923967.22</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68D2D8C1">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39524886.07</w:t>
            </w:r>
          </w:p>
        </w:tc>
        <w:tc>
          <w:tcPr>
            <w:tcW w:w="891" w:type="dxa"/>
            <w:gridSpan w:val="2"/>
            <w:tcBorders>
              <w:top w:val="single" w:color="000000" w:sz="4" w:space="0"/>
              <w:left w:val="single" w:color="000000" w:sz="4" w:space="0"/>
              <w:bottom w:val="single" w:color="000000" w:sz="4" w:space="0"/>
              <w:right w:val="single" w:color="000000" w:sz="4" w:space="0"/>
            </w:tcBorders>
            <w:noWrap w:val="0"/>
            <w:vAlign w:val="center"/>
          </w:tcPr>
          <w:p w14:paraId="2F3ACD71">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bidi="ar-SA"/>
              </w:rPr>
              <w:t>D5</w:t>
            </w:r>
          </w:p>
        </w:tc>
        <w:tc>
          <w:tcPr>
            <w:tcW w:w="1713" w:type="dxa"/>
            <w:gridSpan w:val="2"/>
            <w:tcBorders>
              <w:top w:val="single" w:color="000000" w:sz="4" w:space="0"/>
              <w:left w:val="single" w:color="000000" w:sz="4" w:space="0"/>
              <w:bottom w:val="single" w:color="000000" w:sz="4" w:space="0"/>
              <w:right w:val="single" w:color="000000" w:sz="4" w:space="0"/>
            </w:tcBorders>
            <w:noWrap w:val="0"/>
            <w:vAlign w:val="top"/>
          </w:tcPr>
          <w:p w14:paraId="7D7B9353">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2923982.25</w:t>
            </w:r>
          </w:p>
        </w:tc>
        <w:tc>
          <w:tcPr>
            <w:tcW w:w="1971" w:type="dxa"/>
            <w:gridSpan w:val="2"/>
            <w:tcBorders>
              <w:top w:val="single" w:color="000000" w:sz="4" w:space="0"/>
              <w:left w:val="single" w:color="000000" w:sz="4" w:space="0"/>
              <w:bottom w:val="single" w:color="000000" w:sz="4" w:space="0"/>
              <w:right w:val="single" w:color="000000" w:sz="4" w:space="0"/>
            </w:tcBorders>
            <w:noWrap w:val="0"/>
            <w:vAlign w:val="top"/>
          </w:tcPr>
          <w:p w14:paraId="59AB6B7B">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39524867.80</w:t>
            </w:r>
          </w:p>
        </w:tc>
      </w:tr>
      <w:tr w14:paraId="7D2659C5">
        <w:tblPrEx>
          <w:tblCellMar>
            <w:top w:w="15" w:type="dxa"/>
            <w:left w:w="15" w:type="dxa"/>
            <w:bottom w:w="15" w:type="dxa"/>
            <w:right w:w="15" w:type="dxa"/>
          </w:tblCellMar>
        </w:tblPrEx>
        <w:trPr>
          <w:trHeight w:val="283" w:hRule="atLeast"/>
          <w:jc w:val="center"/>
        </w:trPr>
        <w:tc>
          <w:tcPr>
            <w:tcW w:w="9048" w:type="dxa"/>
            <w:gridSpan w:val="11"/>
            <w:tcBorders>
              <w:top w:val="single" w:color="000000" w:sz="4" w:space="0"/>
              <w:left w:val="single" w:color="000000" w:sz="4" w:space="0"/>
              <w:bottom w:val="single" w:color="000000" w:sz="4" w:space="0"/>
              <w:right w:val="single" w:color="000000" w:sz="4" w:space="0"/>
            </w:tcBorders>
            <w:noWrap w:val="0"/>
            <w:vAlign w:val="center"/>
          </w:tcPr>
          <w:p w14:paraId="3A925E8E">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办公楼(现炸药库区域)，面积为0.0770hm</w:t>
            </w:r>
            <w:r>
              <w:rPr>
                <w:rFonts w:hint="eastAsia" w:ascii="宋体" w:hAnsi="宋体" w:eastAsia="宋体" w:cs="宋体"/>
                <w:color w:val="auto"/>
                <w:sz w:val="24"/>
                <w:szCs w:val="24"/>
                <w:highlight w:val="none"/>
                <w:vertAlign w:val="superscript"/>
                <w:lang w:val="en-US" w:eastAsia="zh-CN"/>
              </w:rPr>
              <w:t>2</w:t>
            </w:r>
          </w:p>
        </w:tc>
      </w:tr>
      <w:tr w14:paraId="300A0D1E">
        <w:tblPrEx>
          <w:tblCellMar>
            <w:top w:w="15" w:type="dxa"/>
            <w:left w:w="15" w:type="dxa"/>
            <w:bottom w:w="15" w:type="dxa"/>
            <w:right w:w="15" w:type="dxa"/>
          </w:tblCellMar>
        </w:tblPrEx>
        <w:trPr>
          <w:trHeight w:val="283" w:hRule="atLeast"/>
          <w:jc w:val="center"/>
        </w:trPr>
        <w:tc>
          <w:tcPr>
            <w:tcW w:w="884" w:type="dxa"/>
            <w:tcBorders>
              <w:top w:val="single" w:color="000000" w:sz="4" w:space="0"/>
              <w:left w:val="single" w:color="000000" w:sz="4" w:space="0"/>
              <w:bottom w:val="single" w:color="000000" w:sz="4" w:space="0"/>
              <w:right w:val="single" w:color="000000" w:sz="4" w:space="0"/>
            </w:tcBorders>
            <w:noWrap w:val="0"/>
            <w:vAlign w:val="center"/>
          </w:tcPr>
          <w:p w14:paraId="13C04F1F">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B13</w:t>
            </w:r>
          </w:p>
        </w:tc>
        <w:tc>
          <w:tcPr>
            <w:tcW w:w="1762" w:type="dxa"/>
            <w:gridSpan w:val="2"/>
            <w:tcBorders>
              <w:top w:val="single" w:color="000000" w:sz="4" w:space="0"/>
              <w:left w:val="single" w:color="000000" w:sz="4" w:space="0"/>
              <w:bottom w:val="single" w:color="000000" w:sz="4" w:space="0"/>
              <w:right w:val="single" w:color="000000" w:sz="4" w:space="0"/>
            </w:tcBorders>
            <w:noWrap w:val="0"/>
            <w:vAlign w:val="top"/>
          </w:tcPr>
          <w:p w14:paraId="03D4C991">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2923977.33</w:t>
            </w:r>
          </w:p>
        </w:tc>
        <w:tc>
          <w:tcPr>
            <w:tcW w:w="1856" w:type="dxa"/>
            <w:gridSpan w:val="3"/>
            <w:tcBorders>
              <w:top w:val="single" w:color="000000" w:sz="4" w:space="0"/>
              <w:left w:val="single" w:color="000000" w:sz="4" w:space="0"/>
              <w:bottom w:val="single" w:color="000000" w:sz="4" w:space="0"/>
              <w:right w:val="single" w:color="000000" w:sz="4" w:space="0"/>
            </w:tcBorders>
            <w:noWrap w:val="0"/>
            <w:vAlign w:val="top"/>
          </w:tcPr>
          <w:p w14:paraId="6AE5FF9F">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39524827.27</w:t>
            </w:r>
          </w:p>
        </w:tc>
        <w:tc>
          <w:tcPr>
            <w:tcW w:w="863" w:type="dxa"/>
            <w:gridSpan w:val="2"/>
            <w:tcBorders>
              <w:top w:val="single" w:color="000000" w:sz="4" w:space="0"/>
              <w:left w:val="single" w:color="000000" w:sz="4" w:space="0"/>
              <w:bottom w:val="single" w:color="000000" w:sz="4" w:space="0"/>
              <w:right w:val="single" w:color="000000" w:sz="4" w:space="0"/>
            </w:tcBorders>
            <w:noWrap w:val="0"/>
            <w:vAlign w:val="center"/>
          </w:tcPr>
          <w:p w14:paraId="490223B5">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bidi="ar-SA"/>
              </w:rPr>
              <w:t>B16</w:t>
            </w:r>
          </w:p>
        </w:tc>
        <w:tc>
          <w:tcPr>
            <w:tcW w:w="1744" w:type="dxa"/>
            <w:gridSpan w:val="2"/>
            <w:tcBorders>
              <w:top w:val="single" w:color="000000" w:sz="4" w:space="0"/>
              <w:left w:val="single" w:color="000000" w:sz="4" w:space="0"/>
              <w:bottom w:val="single" w:color="000000" w:sz="4" w:space="0"/>
              <w:right w:val="single" w:color="000000" w:sz="4" w:space="0"/>
            </w:tcBorders>
            <w:noWrap w:val="0"/>
            <w:vAlign w:val="top"/>
          </w:tcPr>
          <w:p w14:paraId="391ECA39">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2923958.20</w:t>
            </w:r>
          </w:p>
        </w:tc>
        <w:tc>
          <w:tcPr>
            <w:tcW w:w="1939" w:type="dxa"/>
            <w:tcBorders>
              <w:top w:val="single" w:color="000000" w:sz="4" w:space="0"/>
              <w:left w:val="single" w:color="000000" w:sz="4" w:space="0"/>
              <w:bottom w:val="single" w:color="000000" w:sz="4" w:space="0"/>
              <w:right w:val="single" w:color="000000" w:sz="4" w:space="0"/>
            </w:tcBorders>
            <w:noWrap w:val="0"/>
            <w:vAlign w:val="top"/>
          </w:tcPr>
          <w:p w14:paraId="5D44D537">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39524787.88</w:t>
            </w:r>
          </w:p>
        </w:tc>
      </w:tr>
      <w:tr w14:paraId="08A4E1B9">
        <w:tblPrEx>
          <w:tblCellMar>
            <w:top w:w="15" w:type="dxa"/>
            <w:left w:w="15" w:type="dxa"/>
            <w:bottom w:w="15" w:type="dxa"/>
            <w:right w:w="15"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5357956">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B14</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top"/>
          </w:tcPr>
          <w:p w14:paraId="0989548A">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2923977.64</w:t>
            </w:r>
          </w:p>
        </w:tc>
        <w:tc>
          <w:tcPr>
            <w:tcW w:w="0" w:type="auto"/>
            <w:gridSpan w:val="3"/>
            <w:tcBorders>
              <w:top w:val="single" w:color="000000" w:sz="4" w:space="0"/>
              <w:left w:val="single" w:color="000000" w:sz="4" w:space="0"/>
              <w:bottom w:val="single" w:color="000000" w:sz="4" w:space="0"/>
              <w:right w:val="single" w:color="000000" w:sz="4" w:space="0"/>
            </w:tcBorders>
            <w:noWrap w:val="0"/>
            <w:vAlign w:val="top"/>
          </w:tcPr>
          <w:p w14:paraId="7A97B149">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39524824.02</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42AAAE7B">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bidi="ar-SA"/>
              </w:rPr>
              <w:t>B17</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top"/>
          </w:tcPr>
          <w:p w14:paraId="1394236E">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2923944.67</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32F8665">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39524796.39</w:t>
            </w:r>
          </w:p>
        </w:tc>
      </w:tr>
      <w:tr w14:paraId="51F26F42">
        <w:tblPrEx>
          <w:tblCellMar>
            <w:top w:w="15" w:type="dxa"/>
            <w:left w:w="15" w:type="dxa"/>
            <w:bottom w:w="15" w:type="dxa"/>
            <w:right w:w="15"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989A82A">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B15</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top"/>
          </w:tcPr>
          <w:p w14:paraId="2BE1F74F">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2923972.60</w:t>
            </w:r>
          </w:p>
        </w:tc>
        <w:tc>
          <w:tcPr>
            <w:tcW w:w="0" w:type="auto"/>
            <w:gridSpan w:val="3"/>
            <w:tcBorders>
              <w:top w:val="single" w:color="000000" w:sz="4" w:space="0"/>
              <w:left w:val="single" w:color="000000" w:sz="4" w:space="0"/>
              <w:bottom w:val="single" w:color="000000" w:sz="4" w:space="0"/>
              <w:right w:val="single" w:color="000000" w:sz="4" w:space="0"/>
            </w:tcBorders>
            <w:noWrap w:val="0"/>
            <w:vAlign w:val="top"/>
          </w:tcPr>
          <w:p w14:paraId="2E7E716A">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39524801.52</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7AEADD50">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snapToGrid w:val="0"/>
                <w:color w:val="auto"/>
                <w:sz w:val="24"/>
                <w:szCs w:val="24"/>
                <w:highlight w:val="none"/>
                <w:lang w:val="en-US" w:eastAsia="zh-CN" w:bidi="ar-SA"/>
              </w:rPr>
              <w:t>B18</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top"/>
          </w:tcPr>
          <w:p w14:paraId="0B52A29C">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2923964.56</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26536DD">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39524833.84</w:t>
            </w:r>
          </w:p>
        </w:tc>
      </w:tr>
    </w:tbl>
    <w:p w14:paraId="4E6BE2AE">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（2）工业场地1</w:t>
      </w:r>
      <w:r>
        <w:rPr>
          <w:rFonts w:hint="eastAsia" w:ascii="Times New Roman" w:hAnsi="Times New Roman" w:eastAsia="宋体" w:cs="Times New Roman"/>
          <w:color w:val="auto"/>
          <w:sz w:val="24"/>
          <w:szCs w:val="24"/>
          <w:highlight w:val="none"/>
          <w:lang w:val="en-US" w:eastAsia="zh-CN"/>
        </w:rPr>
        <w:t>#</w:t>
      </w:r>
      <w:r>
        <w:rPr>
          <w:rFonts w:hint="eastAsia" w:ascii="宋体" w:hAnsi="宋体" w:eastAsia="宋体" w:cs="宋体"/>
          <w:color w:val="auto"/>
          <w:sz w:val="28"/>
          <w:szCs w:val="28"/>
          <w:highlight w:val="none"/>
          <w:lang w:val="en-US" w:eastAsia="zh-CN"/>
        </w:rPr>
        <w:t>：位于</w:t>
      </w:r>
      <w:r>
        <w:rPr>
          <w:rFonts w:hint="eastAsia" w:ascii="宋体" w:hAnsi="宋体" w:eastAsia="宋体" w:cs="宋体"/>
          <w:color w:val="auto"/>
          <w:kern w:val="2"/>
          <w:sz w:val="28"/>
          <w:szCs w:val="28"/>
          <w:highlight w:val="none"/>
          <w:lang w:val="en-US" w:eastAsia="zh-CN" w:bidi="ar-SA"/>
        </w:rPr>
        <w:t>XJ472回风斜井口</w:t>
      </w:r>
      <w:r>
        <w:rPr>
          <w:rFonts w:hint="eastAsia" w:ascii="宋体" w:hAnsi="宋体" w:eastAsia="宋体" w:cs="宋体"/>
          <w:color w:val="auto"/>
          <w:sz w:val="28"/>
          <w:szCs w:val="28"/>
          <w:highlight w:val="none"/>
          <w:lang w:val="en-US" w:eastAsia="zh-CN"/>
        </w:rPr>
        <w:t>旁，主要为空压机房、配电房和高位水池，</w:t>
      </w:r>
      <w:r>
        <w:rPr>
          <w:rFonts w:hint="eastAsia" w:ascii="Times New Roman" w:hAnsi="Times New Roman" w:eastAsia="宋体" w:cs="宋体"/>
          <w:color w:val="auto"/>
          <w:sz w:val="28"/>
          <w:szCs w:val="28"/>
          <w:highlight w:val="none"/>
        </w:rPr>
        <w:t>占地面积为</w:t>
      </w:r>
      <w:r>
        <w:rPr>
          <w:rFonts w:hint="eastAsia" w:ascii="Times New Roman" w:hAnsi="Times New Roman" w:eastAsia="宋体" w:cs="宋体"/>
          <w:color w:val="auto"/>
          <w:sz w:val="28"/>
          <w:szCs w:val="28"/>
          <w:highlight w:val="none"/>
          <w:lang w:val="en-US" w:eastAsia="zh-CN"/>
        </w:rPr>
        <w:t>0.0358</w:t>
      </w:r>
      <w:r>
        <w:rPr>
          <w:rFonts w:hint="eastAsia" w:ascii="Times New Roman" w:hAnsi="Times New Roman" w:eastAsia="宋体" w:cs="宋体"/>
          <w:color w:val="auto"/>
          <w:sz w:val="28"/>
          <w:szCs w:val="28"/>
          <w:highlight w:val="none"/>
        </w:rPr>
        <w:t>hm</w:t>
      </w:r>
      <w:r>
        <w:rPr>
          <w:rFonts w:hint="eastAsia" w:ascii="Times New Roman" w:hAnsi="Times New Roman" w:eastAsia="宋体" w:cs="宋体"/>
          <w:color w:val="auto"/>
          <w:sz w:val="28"/>
          <w:szCs w:val="28"/>
          <w:highlight w:val="none"/>
          <w:vertAlign w:val="superscript"/>
        </w:rPr>
        <w:t>2</w:t>
      </w:r>
      <w:r>
        <w:rPr>
          <w:rFonts w:hint="eastAsia" w:ascii="宋体" w:hAnsi="宋体" w:eastAsia="宋体" w:cs="宋体"/>
          <w:color w:val="auto"/>
          <w:sz w:val="28"/>
          <w:szCs w:val="28"/>
          <w:highlight w:val="none"/>
          <w:lang w:val="en-US" w:eastAsia="zh-CN"/>
        </w:rPr>
        <w:t>。本次设计在回风斜井和工业场地1</w:t>
      </w:r>
      <w:r>
        <w:rPr>
          <w:rFonts w:hint="eastAsia" w:ascii="Times New Roman" w:hAnsi="Times New Roman" w:eastAsia="宋体" w:cs="Times New Roman"/>
          <w:color w:val="auto"/>
          <w:sz w:val="24"/>
          <w:szCs w:val="24"/>
          <w:highlight w:val="none"/>
          <w:lang w:val="en-US" w:eastAsia="zh-CN"/>
        </w:rPr>
        <w:t>#</w:t>
      </w:r>
      <w:r>
        <w:rPr>
          <w:rFonts w:hint="eastAsia" w:ascii="宋体" w:hAnsi="宋体" w:eastAsia="宋体" w:cs="宋体"/>
          <w:color w:val="auto"/>
          <w:sz w:val="28"/>
          <w:szCs w:val="28"/>
          <w:highlight w:val="none"/>
          <w:lang w:val="en-US" w:eastAsia="zh-CN"/>
        </w:rPr>
        <w:t>周边20m范围按 70°进行圈定保安矿柱，</w:t>
      </w:r>
      <w:r>
        <w:rPr>
          <w:rFonts w:hint="eastAsia" w:ascii="Times New Roman" w:hAnsi="Times New Roman" w:eastAsia="宋体" w:cs="宋体"/>
          <w:color w:val="auto"/>
          <w:sz w:val="28"/>
          <w:szCs w:val="28"/>
          <w:highlight w:val="none"/>
          <w:lang w:eastAsia="zh-CN"/>
        </w:rPr>
        <w:t>场地后方存在</w:t>
      </w:r>
      <w:r>
        <w:rPr>
          <w:rFonts w:hint="eastAsia" w:ascii="Times New Roman" w:hAnsi="Times New Roman" w:eastAsia="宋体" w:cs="仿宋_GB2312"/>
          <w:color w:val="auto"/>
          <w:kern w:val="0"/>
          <w:sz w:val="28"/>
          <w:szCs w:val="28"/>
          <w:highlight w:val="none"/>
          <w:lang w:val="zh-CN"/>
        </w:rPr>
        <w:t>开挖边坡高</w:t>
      </w:r>
      <w:r>
        <w:rPr>
          <w:rFonts w:hint="eastAsia" w:ascii="Times New Roman" w:hAnsi="Times New Roman" w:eastAsia="宋体" w:cs="仿宋_GB2312"/>
          <w:color w:val="auto"/>
          <w:kern w:val="0"/>
          <w:sz w:val="28"/>
          <w:szCs w:val="28"/>
          <w:highlight w:val="none"/>
          <w:lang w:val="en-US" w:eastAsia="zh-CN"/>
        </w:rPr>
        <w:t>2</w:t>
      </w:r>
      <w:r>
        <w:rPr>
          <w:rFonts w:hint="eastAsia" w:ascii="Times New Roman" w:hAnsi="Times New Roman" w:eastAsia="宋体" w:cs="仿宋_GB2312"/>
          <w:color w:val="auto"/>
          <w:kern w:val="0"/>
          <w:sz w:val="28"/>
          <w:szCs w:val="28"/>
          <w:highlight w:val="none"/>
          <w:lang w:val="zh-CN"/>
        </w:rPr>
        <w:t>-</w:t>
      </w:r>
      <w:r>
        <w:rPr>
          <w:rFonts w:hint="eastAsia" w:ascii="Times New Roman" w:hAnsi="Times New Roman" w:eastAsia="宋体" w:cs="仿宋_GB2312"/>
          <w:color w:val="auto"/>
          <w:kern w:val="0"/>
          <w:sz w:val="28"/>
          <w:szCs w:val="28"/>
          <w:highlight w:val="none"/>
          <w:lang w:val="en-US" w:eastAsia="zh-CN"/>
        </w:rPr>
        <w:t>5</w:t>
      </w:r>
      <w:r>
        <w:rPr>
          <w:rFonts w:hint="eastAsia" w:ascii="Times New Roman" w:hAnsi="Times New Roman" w:eastAsia="宋体" w:cs="仿宋_GB2312"/>
          <w:color w:val="auto"/>
          <w:kern w:val="0"/>
          <w:sz w:val="28"/>
          <w:szCs w:val="28"/>
          <w:highlight w:val="none"/>
          <w:lang w:val="zh-CN"/>
        </w:rPr>
        <w:t>m，坡度</w:t>
      </w:r>
      <w:r>
        <w:rPr>
          <w:rFonts w:hint="eastAsia" w:ascii="Times New Roman" w:hAnsi="Times New Roman" w:eastAsia="宋体" w:cs="仿宋_GB2312"/>
          <w:color w:val="auto"/>
          <w:kern w:val="0"/>
          <w:sz w:val="28"/>
          <w:szCs w:val="28"/>
          <w:highlight w:val="none"/>
          <w:lang w:val="en-US" w:eastAsia="zh-CN"/>
        </w:rPr>
        <w:t>45</w:t>
      </w:r>
      <w:r>
        <w:rPr>
          <w:rFonts w:hint="eastAsia" w:ascii="Times New Roman" w:hAnsi="Times New Roman" w:eastAsia="宋体" w:cs="仿宋_GB2312"/>
          <w:color w:val="auto"/>
          <w:kern w:val="0"/>
          <w:sz w:val="28"/>
          <w:szCs w:val="28"/>
          <w:highlight w:val="none"/>
          <w:lang w:val="zh-CN"/>
        </w:rPr>
        <w:t>-</w:t>
      </w:r>
      <w:r>
        <w:rPr>
          <w:rFonts w:hint="eastAsia" w:ascii="Times New Roman" w:hAnsi="Times New Roman" w:eastAsia="宋体" w:cs="仿宋_GB2312"/>
          <w:color w:val="auto"/>
          <w:kern w:val="0"/>
          <w:sz w:val="28"/>
          <w:szCs w:val="28"/>
          <w:highlight w:val="none"/>
          <w:lang w:val="en-US" w:eastAsia="zh-CN"/>
        </w:rPr>
        <w:t>55</w:t>
      </w:r>
      <w:r>
        <w:rPr>
          <w:rFonts w:hint="eastAsia" w:ascii="Times New Roman" w:hAnsi="Times New Roman" w:eastAsia="宋体" w:cs="仿宋_GB2312"/>
          <w:color w:val="auto"/>
          <w:kern w:val="0"/>
          <w:sz w:val="28"/>
          <w:szCs w:val="28"/>
          <w:highlight w:val="none"/>
          <w:lang w:val="zh-CN"/>
        </w:rPr>
        <w:t>°</w:t>
      </w:r>
      <w:r>
        <w:rPr>
          <w:rFonts w:hint="eastAsia" w:ascii="Times New Roman" w:hAnsi="Times New Roman" w:eastAsia="宋体" w:cs="宋体"/>
          <w:color w:val="auto"/>
          <w:sz w:val="28"/>
          <w:szCs w:val="28"/>
          <w:highlight w:val="none"/>
        </w:rPr>
        <w:t>，</w:t>
      </w:r>
      <w:r>
        <w:rPr>
          <w:rFonts w:hint="eastAsia" w:ascii="Times New Roman" w:hAnsi="Times New Roman" w:eastAsia="宋体"/>
          <w:color w:val="auto"/>
          <w:sz w:val="28"/>
          <w:szCs w:val="28"/>
          <w:highlight w:val="none"/>
        </w:rPr>
        <w:t>边坡</w:t>
      </w:r>
      <w:r>
        <w:rPr>
          <w:rFonts w:hint="eastAsia" w:ascii="Times New Roman" w:hAnsi="Times New Roman" w:eastAsia="宋体"/>
          <w:color w:val="auto"/>
          <w:sz w:val="28"/>
          <w:szCs w:val="28"/>
          <w:highlight w:val="none"/>
          <w:lang w:eastAsia="zh-CN"/>
        </w:rPr>
        <w:t>岩土体</w:t>
      </w:r>
      <w:r>
        <w:rPr>
          <w:rFonts w:hint="eastAsia" w:ascii="Times New Roman" w:hAnsi="Times New Roman" w:eastAsia="宋体"/>
          <w:color w:val="auto"/>
          <w:sz w:val="28"/>
          <w:szCs w:val="28"/>
          <w:highlight w:val="none"/>
        </w:rPr>
        <w:t>为残坡积层，</w:t>
      </w:r>
      <w:r>
        <w:rPr>
          <w:rFonts w:hint="eastAsia" w:ascii="Times New Roman" w:hAnsi="Times New Roman" w:eastAsia="宋体" w:cs="宋体"/>
          <w:color w:val="auto"/>
          <w:sz w:val="28"/>
          <w:szCs w:val="28"/>
          <w:highlight w:val="none"/>
          <w:lang w:eastAsia="zh-CN"/>
        </w:rPr>
        <w:t>坡脚已布设</w:t>
      </w:r>
      <w:r>
        <w:rPr>
          <w:rFonts w:hint="eastAsia" w:ascii="Times New Roman" w:hAnsi="Times New Roman" w:eastAsia="宋体" w:cs="宋体"/>
          <w:color w:val="auto"/>
          <w:sz w:val="28"/>
          <w:szCs w:val="28"/>
          <w:highlight w:val="none"/>
        </w:rPr>
        <w:t>排水</w:t>
      </w:r>
      <w:r>
        <w:rPr>
          <w:rFonts w:hint="eastAsia" w:ascii="Times New Roman" w:hAnsi="Times New Roman" w:eastAsia="宋体" w:cs="宋体"/>
          <w:color w:val="auto"/>
          <w:sz w:val="28"/>
          <w:szCs w:val="28"/>
          <w:highlight w:val="none"/>
          <w:lang w:eastAsia="zh-CN"/>
        </w:rPr>
        <w:t>沟</w:t>
      </w:r>
      <w:r>
        <w:rPr>
          <w:rFonts w:hint="eastAsia" w:ascii="Times New Roman" w:hAnsi="Times New Roman" w:eastAsia="宋体" w:cs="宋体"/>
          <w:color w:val="auto"/>
          <w:sz w:val="28"/>
          <w:szCs w:val="28"/>
          <w:highlight w:val="none"/>
        </w:rPr>
        <w:t>，</w:t>
      </w:r>
      <w:r>
        <w:rPr>
          <w:rFonts w:hint="eastAsia" w:ascii="Times New Roman" w:hAnsi="Times New Roman" w:eastAsia="宋体"/>
          <w:color w:val="auto"/>
          <w:sz w:val="28"/>
          <w:szCs w:val="28"/>
          <w:highlight w:val="none"/>
        </w:rPr>
        <w:t>后方</w:t>
      </w:r>
      <w:r>
        <w:rPr>
          <w:rFonts w:hint="eastAsia" w:ascii="Times New Roman" w:hAnsi="Times New Roman" w:eastAsia="宋体" w:cs="宋体"/>
          <w:color w:val="auto"/>
          <w:sz w:val="28"/>
          <w:szCs w:val="28"/>
          <w:highlight w:val="none"/>
        </w:rPr>
        <w:t>自然坡度约</w:t>
      </w:r>
      <w:r>
        <w:rPr>
          <w:rFonts w:hint="eastAsia" w:ascii="Times New Roman" w:hAnsi="Times New Roman" w:eastAsia="宋体" w:cs="宋体"/>
          <w:color w:val="auto"/>
          <w:sz w:val="28"/>
          <w:szCs w:val="28"/>
          <w:highlight w:val="none"/>
          <w:lang w:val="en-US" w:eastAsia="zh-CN"/>
        </w:rPr>
        <w:t>15</w:t>
      </w:r>
      <w:r>
        <w:rPr>
          <w:rFonts w:hint="eastAsia" w:ascii="Times New Roman" w:hAnsi="Times New Roman" w:eastAsia="宋体" w:cs="宋体"/>
          <w:color w:val="auto"/>
          <w:sz w:val="28"/>
          <w:szCs w:val="28"/>
          <w:highlight w:val="none"/>
        </w:rPr>
        <w:t>～</w:t>
      </w:r>
      <w:r>
        <w:rPr>
          <w:rFonts w:hint="eastAsia" w:ascii="Times New Roman" w:hAnsi="Times New Roman" w:eastAsia="宋体"/>
          <w:color w:val="auto"/>
          <w:sz w:val="28"/>
          <w:szCs w:val="28"/>
          <w:highlight w:val="none"/>
          <w:lang w:val="en-US" w:eastAsia="zh-CN"/>
        </w:rPr>
        <w:t>30</w:t>
      </w:r>
      <w:r>
        <w:rPr>
          <w:rFonts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rPr>
        <w:t>，坡面植被发育良好，现状稳定</w:t>
      </w:r>
      <w:r>
        <w:rPr>
          <w:rFonts w:hint="eastAsia" w:ascii="宋体" w:hAnsi="宋体" w:eastAsia="宋体" w:cs="宋体"/>
          <w:color w:val="auto"/>
          <w:sz w:val="28"/>
          <w:szCs w:val="28"/>
          <w:highlight w:val="none"/>
          <w:lang w:val="en-US" w:eastAsia="zh-CN"/>
        </w:rPr>
        <w:t>，</w:t>
      </w:r>
      <w:r>
        <w:rPr>
          <w:rFonts w:hint="eastAsia" w:ascii="Times New Roman" w:hAnsi="Times New Roman" w:eastAsia="宋体"/>
          <w:color w:val="auto"/>
          <w:sz w:val="28"/>
          <w:szCs w:val="28"/>
          <w:highlight w:val="none"/>
        </w:rPr>
        <w:t>可</w:t>
      </w:r>
      <w:r>
        <w:rPr>
          <w:rFonts w:hint="eastAsia" w:ascii="Times New Roman" w:hAnsi="Times New Roman" w:eastAsia="宋体"/>
          <w:color w:val="auto"/>
          <w:sz w:val="28"/>
          <w:szCs w:val="28"/>
          <w:highlight w:val="none"/>
          <w:lang w:eastAsia="zh-CN"/>
        </w:rPr>
        <w:t>继续</w:t>
      </w:r>
      <w:r>
        <w:rPr>
          <w:rFonts w:hint="eastAsia" w:ascii="Times New Roman" w:hAnsi="Times New Roman" w:eastAsia="宋体"/>
          <w:color w:val="auto"/>
          <w:sz w:val="28"/>
          <w:szCs w:val="28"/>
          <w:highlight w:val="none"/>
        </w:rPr>
        <w:t>使用</w:t>
      </w:r>
      <w:r>
        <w:rPr>
          <w:rFonts w:hint="eastAsia" w:ascii="宋体" w:hAnsi="宋体" w:eastAsia="宋体" w:cs="宋体"/>
          <w:color w:val="auto"/>
          <w:sz w:val="28"/>
          <w:szCs w:val="28"/>
          <w:highlight w:val="none"/>
          <w:lang w:val="en-US" w:eastAsia="zh-CN"/>
        </w:rPr>
        <w:t>。工业场地1#拐点坐标及面积详见表4-7。</w:t>
      </w:r>
    </w:p>
    <w:p w14:paraId="0F90553F">
      <w:pPr>
        <w:snapToGrid w:val="0"/>
        <w:spacing w:line="360" w:lineRule="auto"/>
        <w:ind w:firstLine="57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（3）工业场地2#（过磅房）：位于5线西侧、矿山公路（南侧）旁，</w:t>
      </w:r>
      <w:r>
        <w:rPr>
          <w:rFonts w:hint="eastAsia" w:ascii="Times New Roman" w:hAnsi="Times New Roman" w:eastAsia="宋体" w:cs="宋体"/>
          <w:color w:val="auto"/>
          <w:sz w:val="28"/>
          <w:szCs w:val="28"/>
          <w:highlight w:val="none"/>
        </w:rPr>
        <w:t>占地面积</w:t>
      </w:r>
      <w:r>
        <w:rPr>
          <w:rFonts w:hint="eastAsia" w:ascii="Times New Roman" w:hAnsi="Times New Roman" w:eastAsia="宋体" w:cs="宋体"/>
          <w:color w:val="auto"/>
          <w:sz w:val="28"/>
          <w:szCs w:val="28"/>
          <w:highlight w:val="none"/>
          <w:lang w:eastAsia="zh-CN"/>
        </w:rPr>
        <w:t>为</w:t>
      </w:r>
      <w:r>
        <w:rPr>
          <w:rFonts w:hint="eastAsia" w:ascii="Times New Roman" w:hAnsi="Times New Roman" w:eastAsia="宋体" w:cs="宋体"/>
          <w:color w:val="auto"/>
          <w:sz w:val="28"/>
          <w:szCs w:val="28"/>
          <w:highlight w:val="none"/>
          <w:lang w:val="en-US" w:eastAsia="zh-CN"/>
        </w:rPr>
        <w:t>0.0260</w:t>
      </w:r>
      <w:r>
        <w:rPr>
          <w:rFonts w:hint="eastAsia" w:ascii="Times New Roman" w:hAnsi="Times New Roman" w:eastAsia="宋体" w:cs="宋体"/>
          <w:color w:val="auto"/>
          <w:sz w:val="28"/>
          <w:szCs w:val="28"/>
          <w:highlight w:val="none"/>
        </w:rPr>
        <w:t>hm</w:t>
      </w:r>
      <w:r>
        <w:rPr>
          <w:rFonts w:hint="eastAsia" w:ascii="Times New Roman" w:hAnsi="Times New Roman" w:eastAsia="宋体" w:cs="宋体"/>
          <w:color w:val="auto"/>
          <w:sz w:val="28"/>
          <w:szCs w:val="28"/>
          <w:highlight w:val="none"/>
          <w:vertAlign w:val="superscript"/>
        </w:rPr>
        <w:t>2</w:t>
      </w:r>
      <w:r>
        <w:rPr>
          <w:rFonts w:hint="eastAsia"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lang w:eastAsia="zh-CN"/>
        </w:rPr>
        <w:t>场地外缘存在河谷自然岸</w:t>
      </w:r>
      <w:r>
        <w:rPr>
          <w:rFonts w:hint="eastAsia" w:ascii="Times New Roman" w:hAnsi="Times New Roman" w:eastAsia="宋体" w:cs="仿宋_GB2312"/>
          <w:color w:val="auto"/>
          <w:kern w:val="0"/>
          <w:sz w:val="28"/>
          <w:szCs w:val="28"/>
          <w:highlight w:val="none"/>
          <w:lang w:val="zh-CN"/>
        </w:rPr>
        <w:t>坡，坡度</w:t>
      </w:r>
      <w:r>
        <w:rPr>
          <w:rFonts w:hint="eastAsia" w:ascii="Times New Roman" w:hAnsi="Times New Roman" w:eastAsia="宋体" w:cs="仿宋_GB2312"/>
          <w:color w:val="auto"/>
          <w:kern w:val="0"/>
          <w:sz w:val="28"/>
          <w:szCs w:val="28"/>
          <w:highlight w:val="none"/>
          <w:lang w:val="en-US" w:eastAsia="zh-CN"/>
        </w:rPr>
        <w:t>小于45</w:t>
      </w:r>
      <w:r>
        <w:rPr>
          <w:rFonts w:hint="eastAsia" w:ascii="Times New Roman" w:hAnsi="Times New Roman" w:eastAsia="宋体" w:cs="仿宋_GB2312"/>
          <w:color w:val="auto"/>
          <w:kern w:val="0"/>
          <w:sz w:val="28"/>
          <w:szCs w:val="28"/>
          <w:highlight w:val="none"/>
          <w:lang w:val="zh-CN"/>
        </w:rPr>
        <w:t>°</w:t>
      </w:r>
      <w:r>
        <w:rPr>
          <w:rFonts w:hint="eastAsia" w:ascii="Times New Roman" w:hAnsi="Times New Roman" w:eastAsia="宋体" w:cs="宋体"/>
          <w:color w:val="auto"/>
          <w:sz w:val="28"/>
          <w:szCs w:val="28"/>
          <w:highlight w:val="none"/>
        </w:rPr>
        <w:t>，坡面植被发育良好，现状稳定</w:t>
      </w:r>
      <w:r>
        <w:rPr>
          <w:rFonts w:hint="eastAsia" w:ascii="宋体" w:hAnsi="宋体" w:eastAsia="宋体" w:cs="宋体"/>
          <w:color w:val="auto"/>
          <w:sz w:val="28"/>
          <w:szCs w:val="28"/>
          <w:highlight w:val="none"/>
          <w:lang w:val="en-US" w:eastAsia="zh-CN"/>
        </w:rPr>
        <w:t>，</w:t>
      </w:r>
      <w:r>
        <w:rPr>
          <w:rFonts w:hint="eastAsia" w:ascii="Times New Roman" w:hAnsi="Times New Roman" w:eastAsia="宋体"/>
          <w:color w:val="auto"/>
          <w:sz w:val="28"/>
          <w:szCs w:val="28"/>
          <w:highlight w:val="none"/>
        </w:rPr>
        <w:t>可</w:t>
      </w:r>
      <w:r>
        <w:rPr>
          <w:rFonts w:hint="eastAsia" w:ascii="Times New Roman" w:hAnsi="Times New Roman" w:eastAsia="宋体"/>
          <w:color w:val="auto"/>
          <w:sz w:val="28"/>
          <w:szCs w:val="28"/>
          <w:highlight w:val="none"/>
          <w:lang w:eastAsia="zh-CN"/>
        </w:rPr>
        <w:t>继续</w:t>
      </w:r>
      <w:r>
        <w:rPr>
          <w:rFonts w:hint="eastAsia" w:ascii="Times New Roman" w:hAnsi="Times New Roman" w:eastAsia="宋体"/>
          <w:color w:val="auto"/>
          <w:sz w:val="28"/>
          <w:szCs w:val="28"/>
          <w:highlight w:val="none"/>
        </w:rPr>
        <w:t>使用</w:t>
      </w:r>
      <w:r>
        <w:rPr>
          <w:rFonts w:hint="eastAsia" w:ascii="宋体" w:hAnsi="宋体" w:eastAsia="宋体" w:cs="宋体"/>
          <w:color w:val="auto"/>
          <w:sz w:val="28"/>
          <w:szCs w:val="28"/>
          <w:highlight w:val="none"/>
          <w:lang w:val="en-US" w:eastAsia="zh-CN"/>
        </w:rPr>
        <w:t>。过磅房拐点坐标及面积详见表4-7。</w:t>
      </w:r>
    </w:p>
    <w:p w14:paraId="0EE0F0B7">
      <w:pPr>
        <w:numPr>
          <w:ilvl w:val="0"/>
          <w:numId w:val="0"/>
        </w:numPr>
        <w:kinsoku/>
        <w:wordWrap/>
        <w:overflowPunct/>
        <w:topLinePunct w:val="0"/>
        <w:bidi w:val="0"/>
        <w:snapToGrid w:val="0"/>
        <w:spacing w:line="360" w:lineRule="auto"/>
        <w:ind w:firstLine="57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（4）工业场地3#（工具房）：位于5线西侧、矿山公路（北侧）旁，</w:t>
      </w:r>
      <w:r>
        <w:rPr>
          <w:rFonts w:hint="eastAsia" w:ascii="Times New Roman" w:hAnsi="Times New Roman" w:eastAsia="宋体" w:cs="宋体"/>
          <w:color w:val="auto"/>
          <w:sz w:val="28"/>
          <w:szCs w:val="28"/>
          <w:highlight w:val="none"/>
        </w:rPr>
        <w:t>占地面积</w:t>
      </w:r>
      <w:r>
        <w:rPr>
          <w:rFonts w:hint="eastAsia" w:ascii="Times New Roman" w:hAnsi="Times New Roman" w:eastAsia="宋体" w:cs="宋体"/>
          <w:color w:val="auto"/>
          <w:sz w:val="28"/>
          <w:szCs w:val="28"/>
          <w:highlight w:val="none"/>
          <w:lang w:eastAsia="zh-CN"/>
        </w:rPr>
        <w:t>为</w:t>
      </w:r>
      <w:r>
        <w:rPr>
          <w:rFonts w:hint="eastAsia" w:ascii="Times New Roman" w:hAnsi="Times New Roman" w:eastAsia="宋体" w:cs="宋体"/>
          <w:color w:val="auto"/>
          <w:sz w:val="28"/>
          <w:szCs w:val="28"/>
          <w:highlight w:val="none"/>
          <w:lang w:val="en-US" w:eastAsia="zh-CN"/>
        </w:rPr>
        <w:t>0.0078</w:t>
      </w:r>
      <w:r>
        <w:rPr>
          <w:rFonts w:hint="eastAsia" w:ascii="Times New Roman" w:hAnsi="Times New Roman" w:eastAsia="宋体" w:cs="宋体"/>
          <w:color w:val="auto"/>
          <w:sz w:val="28"/>
          <w:szCs w:val="28"/>
          <w:highlight w:val="none"/>
        </w:rPr>
        <w:t>hm</w:t>
      </w:r>
      <w:r>
        <w:rPr>
          <w:rFonts w:hint="eastAsia" w:ascii="Times New Roman" w:hAnsi="Times New Roman" w:eastAsia="宋体" w:cs="宋体"/>
          <w:color w:val="auto"/>
          <w:sz w:val="28"/>
          <w:szCs w:val="28"/>
          <w:highlight w:val="none"/>
          <w:vertAlign w:val="superscript"/>
        </w:rPr>
        <w:t>2</w:t>
      </w:r>
      <w:r>
        <w:rPr>
          <w:rFonts w:hint="eastAsia"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lang w:eastAsia="zh-CN"/>
        </w:rPr>
        <w:t>场地外缘存在河谷岸</w:t>
      </w:r>
      <w:r>
        <w:rPr>
          <w:rFonts w:hint="eastAsia" w:ascii="Times New Roman" w:hAnsi="Times New Roman" w:eastAsia="宋体" w:cs="仿宋_GB2312"/>
          <w:color w:val="auto"/>
          <w:kern w:val="0"/>
          <w:sz w:val="28"/>
          <w:szCs w:val="28"/>
          <w:highlight w:val="none"/>
          <w:lang w:val="zh-CN"/>
        </w:rPr>
        <w:t>坡，且岸坡已支护</w:t>
      </w:r>
      <w:r>
        <w:rPr>
          <w:rFonts w:hint="eastAsia" w:ascii="Times New Roman" w:hAnsi="Times New Roman" w:eastAsia="宋体" w:cs="宋体"/>
          <w:color w:val="auto"/>
          <w:sz w:val="28"/>
          <w:szCs w:val="28"/>
          <w:highlight w:val="none"/>
        </w:rPr>
        <w:t>，</w:t>
      </w:r>
      <w:r>
        <w:rPr>
          <w:rFonts w:hint="eastAsia" w:ascii="Times New Roman" w:hAnsi="Times New Roman" w:eastAsia="宋体" w:cs="宋体"/>
          <w:color w:val="auto"/>
          <w:sz w:val="28"/>
          <w:szCs w:val="28"/>
          <w:highlight w:val="none"/>
          <w:lang w:eastAsia="zh-CN"/>
        </w:rPr>
        <w:t>场地后方水田台地、前方农村道路及其</w:t>
      </w:r>
      <w:r>
        <w:rPr>
          <w:rFonts w:hint="eastAsia" w:ascii="Times New Roman" w:hAnsi="Times New Roman" w:eastAsia="宋体" w:cs="宋体"/>
          <w:color w:val="auto"/>
          <w:sz w:val="28"/>
          <w:szCs w:val="28"/>
          <w:highlight w:val="none"/>
        </w:rPr>
        <w:t>排水系统，现状稳定</w:t>
      </w:r>
      <w:r>
        <w:rPr>
          <w:rFonts w:hint="eastAsia" w:ascii="宋体" w:hAnsi="宋体" w:eastAsia="宋体" w:cs="宋体"/>
          <w:color w:val="auto"/>
          <w:sz w:val="28"/>
          <w:szCs w:val="28"/>
          <w:highlight w:val="none"/>
          <w:lang w:val="en-US" w:eastAsia="zh-CN"/>
        </w:rPr>
        <w:t>，</w:t>
      </w:r>
      <w:r>
        <w:rPr>
          <w:rFonts w:hint="eastAsia" w:ascii="Times New Roman" w:hAnsi="Times New Roman" w:eastAsia="宋体"/>
          <w:color w:val="auto"/>
          <w:sz w:val="28"/>
          <w:szCs w:val="28"/>
          <w:highlight w:val="none"/>
        </w:rPr>
        <w:t>可</w:t>
      </w:r>
      <w:r>
        <w:rPr>
          <w:rFonts w:hint="eastAsia" w:ascii="Times New Roman" w:hAnsi="Times New Roman" w:eastAsia="宋体"/>
          <w:color w:val="auto"/>
          <w:sz w:val="28"/>
          <w:szCs w:val="28"/>
          <w:highlight w:val="none"/>
          <w:lang w:eastAsia="zh-CN"/>
        </w:rPr>
        <w:t>继续</w:t>
      </w:r>
      <w:r>
        <w:rPr>
          <w:rFonts w:hint="eastAsia" w:ascii="Times New Roman" w:hAnsi="Times New Roman" w:eastAsia="宋体"/>
          <w:color w:val="auto"/>
          <w:sz w:val="28"/>
          <w:szCs w:val="28"/>
          <w:highlight w:val="none"/>
        </w:rPr>
        <w:t>使用</w:t>
      </w:r>
      <w:r>
        <w:rPr>
          <w:rFonts w:hint="eastAsia" w:ascii="宋体" w:hAnsi="宋体" w:eastAsia="宋体" w:cs="宋体"/>
          <w:color w:val="auto"/>
          <w:sz w:val="28"/>
          <w:szCs w:val="28"/>
          <w:highlight w:val="none"/>
          <w:lang w:val="en-US" w:eastAsia="zh-CN"/>
        </w:rPr>
        <w:t>。过磅房拐点坐标及面积详见表4-7。工具房拐点坐标及面积详见表4-7。</w:t>
      </w:r>
    </w:p>
    <w:p w14:paraId="3A0DC6F6">
      <w:pPr>
        <w:spacing w:line="240" w:lineRule="auto"/>
        <w:jc w:val="center"/>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 xml:space="preserve">   工业场地拐点坐标表（2000坐标系）       表4-7</w:t>
      </w:r>
    </w:p>
    <w:tbl>
      <w:tblPr>
        <w:tblStyle w:val="18"/>
        <w:tblW w:w="9048" w:type="dxa"/>
        <w:jc w:val="center"/>
        <w:tblLayout w:type="fixed"/>
        <w:tblCellMar>
          <w:top w:w="15" w:type="dxa"/>
          <w:left w:w="15" w:type="dxa"/>
          <w:bottom w:w="15" w:type="dxa"/>
          <w:right w:w="15" w:type="dxa"/>
        </w:tblCellMar>
      </w:tblPr>
      <w:tblGrid>
        <w:gridCol w:w="886"/>
        <w:gridCol w:w="1764"/>
        <w:gridCol w:w="1823"/>
        <w:gridCol w:w="891"/>
        <w:gridCol w:w="1713"/>
        <w:gridCol w:w="1971"/>
      </w:tblGrid>
      <w:tr w14:paraId="369B6B5D">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auto" w:sz="4" w:space="0"/>
              <w:right w:val="single" w:color="000000" w:sz="4" w:space="0"/>
            </w:tcBorders>
            <w:noWrap w:val="0"/>
            <w:vAlign w:val="center"/>
          </w:tcPr>
          <w:p w14:paraId="4FC16A3E">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拐点号</w:t>
            </w:r>
          </w:p>
        </w:tc>
        <w:tc>
          <w:tcPr>
            <w:tcW w:w="1764" w:type="dxa"/>
            <w:tcBorders>
              <w:top w:val="single" w:color="000000" w:sz="4" w:space="0"/>
              <w:left w:val="single" w:color="000000" w:sz="4" w:space="0"/>
              <w:bottom w:val="single" w:color="auto" w:sz="4" w:space="0"/>
              <w:right w:val="single" w:color="000000" w:sz="4" w:space="0"/>
            </w:tcBorders>
            <w:noWrap w:val="0"/>
            <w:vAlign w:val="center"/>
          </w:tcPr>
          <w:p w14:paraId="76A063E1">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X坐标</w:t>
            </w:r>
          </w:p>
        </w:tc>
        <w:tc>
          <w:tcPr>
            <w:tcW w:w="1823" w:type="dxa"/>
            <w:tcBorders>
              <w:top w:val="single" w:color="000000" w:sz="4" w:space="0"/>
              <w:left w:val="single" w:color="000000" w:sz="4" w:space="0"/>
              <w:bottom w:val="single" w:color="auto" w:sz="4" w:space="0"/>
              <w:right w:val="single" w:color="000000" w:sz="4" w:space="0"/>
            </w:tcBorders>
            <w:noWrap w:val="0"/>
            <w:vAlign w:val="center"/>
          </w:tcPr>
          <w:p w14:paraId="21FF1770">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Y坐标</w:t>
            </w:r>
          </w:p>
        </w:tc>
        <w:tc>
          <w:tcPr>
            <w:tcW w:w="891" w:type="dxa"/>
            <w:tcBorders>
              <w:top w:val="single" w:color="000000" w:sz="4" w:space="0"/>
              <w:left w:val="single" w:color="000000" w:sz="4" w:space="0"/>
              <w:bottom w:val="single" w:color="auto" w:sz="4" w:space="0"/>
              <w:right w:val="single" w:color="000000" w:sz="4" w:space="0"/>
            </w:tcBorders>
            <w:noWrap w:val="0"/>
            <w:vAlign w:val="center"/>
          </w:tcPr>
          <w:p w14:paraId="5C758A3C">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拐点号</w:t>
            </w:r>
          </w:p>
        </w:tc>
        <w:tc>
          <w:tcPr>
            <w:tcW w:w="1713" w:type="dxa"/>
            <w:tcBorders>
              <w:top w:val="single" w:color="000000" w:sz="4" w:space="0"/>
              <w:left w:val="single" w:color="000000" w:sz="4" w:space="0"/>
              <w:bottom w:val="single" w:color="auto" w:sz="4" w:space="0"/>
              <w:right w:val="single" w:color="000000" w:sz="4" w:space="0"/>
            </w:tcBorders>
            <w:noWrap w:val="0"/>
            <w:vAlign w:val="center"/>
          </w:tcPr>
          <w:p w14:paraId="4D20357D">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X坐标</w:t>
            </w:r>
          </w:p>
        </w:tc>
        <w:tc>
          <w:tcPr>
            <w:tcW w:w="1971" w:type="dxa"/>
            <w:tcBorders>
              <w:top w:val="single" w:color="000000" w:sz="4" w:space="0"/>
              <w:left w:val="single" w:color="000000" w:sz="4" w:space="0"/>
              <w:bottom w:val="single" w:color="auto" w:sz="4" w:space="0"/>
              <w:right w:val="single" w:color="000000" w:sz="4" w:space="0"/>
            </w:tcBorders>
            <w:noWrap w:val="0"/>
            <w:vAlign w:val="center"/>
          </w:tcPr>
          <w:p w14:paraId="4B9B31A8">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Y坐标</w:t>
            </w:r>
          </w:p>
        </w:tc>
      </w:tr>
      <w:tr w14:paraId="4D680957">
        <w:tblPrEx>
          <w:tblCellMar>
            <w:top w:w="15" w:type="dxa"/>
            <w:left w:w="15" w:type="dxa"/>
            <w:bottom w:w="15" w:type="dxa"/>
            <w:right w:w="15" w:type="dxa"/>
          </w:tblCellMar>
        </w:tblPrEx>
        <w:trPr>
          <w:trHeight w:val="306" w:hRule="atLeast"/>
          <w:jc w:val="center"/>
        </w:trPr>
        <w:tc>
          <w:tcPr>
            <w:tcW w:w="9048" w:type="dxa"/>
            <w:gridSpan w:val="6"/>
            <w:tcBorders>
              <w:top w:val="single" w:color="auto" w:sz="4" w:space="0"/>
              <w:left w:val="single" w:color="000000" w:sz="4" w:space="0"/>
              <w:bottom w:val="single" w:color="auto" w:sz="4" w:space="0"/>
              <w:right w:val="single" w:color="000000" w:sz="4" w:space="0"/>
            </w:tcBorders>
            <w:noWrap w:val="0"/>
            <w:vAlign w:val="center"/>
          </w:tcPr>
          <w:p w14:paraId="02F87070">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工业场地1#</w:t>
            </w:r>
            <w:r>
              <w:rPr>
                <w:rFonts w:hint="eastAsia" w:ascii="宋体" w:hAnsi="宋体"/>
                <w:color w:val="auto"/>
                <w:sz w:val="24"/>
                <w:szCs w:val="24"/>
                <w:highlight w:val="none"/>
                <w:lang w:val="en-US" w:eastAsia="zh-CN"/>
              </w:rPr>
              <w:t>,面积为0.0358hm</w:t>
            </w:r>
            <w:r>
              <w:rPr>
                <w:rFonts w:hint="eastAsia" w:ascii="宋体" w:hAnsi="宋体"/>
                <w:color w:val="auto"/>
                <w:sz w:val="24"/>
                <w:szCs w:val="24"/>
                <w:highlight w:val="none"/>
                <w:vertAlign w:val="superscript"/>
                <w:lang w:val="en-US" w:eastAsia="zh-CN"/>
              </w:rPr>
              <w:t>2</w:t>
            </w:r>
          </w:p>
        </w:tc>
      </w:tr>
      <w:tr w14:paraId="5AAF0259">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3FE400B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K1</w:t>
            </w:r>
          </w:p>
        </w:tc>
        <w:tc>
          <w:tcPr>
            <w:tcW w:w="1764" w:type="dxa"/>
            <w:tcBorders>
              <w:top w:val="single" w:color="000000" w:sz="4" w:space="0"/>
              <w:left w:val="single" w:color="000000" w:sz="4" w:space="0"/>
              <w:bottom w:val="single" w:color="000000" w:sz="4" w:space="0"/>
              <w:right w:val="single" w:color="000000" w:sz="4" w:space="0"/>
            </w:tcBorders>
            <w:noWrap w:val="0"/>
            <w:vAlign w:val="center"/>
          </w:tcPr>
          <w:p w14:paraId="24046A3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2924074.59</w:t>
            </w:r>
          </w:p>
        </w:tc>
        <w:tc>
          <w:tcPr>
            <w:tcW w:w="1823" w:type="dxa"/>
            <w:tcBorders>
              <w:top w:val="single" w:color="000000" w:sz="4" w:space="0"/>
              <w:left w:val="single" w:color="000000" w:sz="4" w:space="0"/>
              <w:bottom w:val="single" w:color="000000" w:sz="4" w:space="0"/>
              <w:right w:val="single" w:color="000000" w:sz="4" w:space="0"/>
            </w:tcBorders>
            <w:noWrap w:val="0"/>
            <w:vAlign w:val="center"/>
          </w:tcPr>
          <w:p w14:paraId="4D2FF59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39524926.20</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276F7F16">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K5</w:t>
            </w:r>
          </w:p>
        </w:tc>
        <w:tc>
          <w:tcPr>
            <w:tcW w:w="1713" w:type="dxa"/>
            <w:tcBorders>
              <w:top w:val="single" w:color="000000" w:sz="4" w:space="0"/>
              <w:left w:val="single" w:color="000000" w:sz="4" w:space="0"/>
              <w:bottom w:val="single" w:color="000000" w:sz="4" w:space="0"/>
              <w:right w:val="single" w:color="000000" w:sz="4" w:space="0"/>
            </w:tcBorders>
            <w:noWrap w:val="0"/>
            <w:vAlign w:val="top"/>
          </w:tcPr>
          <w:p w14:paraId="412556A9">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2924061.40</w:t>
            </w:r>
          </w:p>
        </w:tc>
        <w:tc>
          <w:tcPr>
            <w:tcW w:w="1971" w:type="dxa"/>
            <w:tcBorders>
              <w:top w:val="single" w:color="000000" w:sz="4" w:space="0"/>
              <w:left w:val="single" w:color="000000" w:sz="4" w:space="0"/>
              <w:bottom w:val="single" w:color="000000" w:sz="4" w:space="0"/>
              <w:right w:val="single" w:color="000000" w:sz="4" w:space="0"/>
            </w:tcBorders>
            <w:noWrap w:val="0"/>
            <w:vAlign w:val="top"/>
          </w:tcPr>
          <w:p w14:paraId="4F3660D2">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39524888.10</w:t>
            </w:r>
          </w:p>
        </w:tc>
      </w:tr>
      <w:tr w14:paraId="1A62C567">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23417BD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K2</w:t>
            </w:r>
          </w:p>
        </w:tc>
        <w:tc>
          <w:tcPr>
            <w:tcW w:w="1764" w:type="dxa"/>
            <w:tcBorders>
              <w:top w:val="single" w:color="000000" w:sz="4" w:space="0"/>
              <w:left w:val="single" w:color="000000" w:sz="4" w:space="0"/>
              <w:bottom w:val="single" w:color="000000" w:sz="4" w:space="0"/>
              <w:right w:val="single" w:color="000000" w:sz="4" w:space="0"/>
            </w:tcBorders>
            <w:noWrap w:val="0"/>
            <w:vAlign w:val="top"/>
          </w:tcPr>
          <w:p w14:paraId="0939B3B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2924068.71</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0D5AAD2B">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39524918.65</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0782CE15">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K6</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14:paraId="1BFD866D">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2924057.06</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7153209D">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39524900.00</w:t>
            </w:r>
          </w:p>
        </w:tc>
      </w:tr>
      <w:tr w14:paraId="5911353F">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50ECB516">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K3</w:t>
            </w:r>
          </w:p>
        </w:tc>
        <w:tc>
          <w:tcPr>
            <w:tcW w:w="1764" w:type="dxa"/>
            <w:tcBorders>
              <w:top w:val="single" w:color="000000" w:sz="4" w:space="0"/>
              <w:left w:val="single" w:color="000000" w:sz="4" w:space="0"/>
              <w:bottom w:val="single" w:color="000000" w:sz="4" w:space="0"/>
              <w:right w:val="single" w:color="000000" w:sz="4" w:space="0"/>
            </w:tcBorders>
            <w:noWrap w:val="0"/>
            <w:vAlign w:val="top"/>
          </w:tcPr>
          <w:p w14:paraId="395FCAF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2924067.62</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5B1889DC">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39524915.81</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120EE29A">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K7</w:t>
            </w:r>
          </w:p>
        </w:tc>
        <w:tc>
          <w:tcPr>
            <w:tcW w:w="1713" w:type="dxa"/>
            <w:tcBorders>
              <w:top w:val="single" w:color="000000" w:sz="4" w:space="0"/>
              <w:left w:val="single" w:color="000000" w:sz="4" w:space="0"/>
              <w:bottom w:val="single" w:color="000000" w:sz="4" w:space="0"/>
              <w:right w:val="single" w:color="000000" w:sz="4" w:space="0"/>
            </w:tcBorders>
            <w:noWrap w:val="0"/>
            <w:vAlign w:val="center"/>
          </w:tcPr>
          <w:p w14:paraId="0C30DEBE">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2924064.84</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2C95C19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39524928.24</w:t>
            </w:r>
          </w:p>
        </w:tc>
      </w:tr>
      <w:tr w14:paraId="69FF90BA">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5E3DBCD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K4</w:t>
            </w:r>
          </w:p>
        </w:tc>
        <w:tc>
          <w:tcPr>
            <w:tcW w:w="1764" w:type="dxa"/>
            <w:tcBorders>
              <w:top w:val="single" w:color="000000" w:sz="4" w:space="0"/>
              <w:left w:val="single" w:color="000000" w:sz="4" w:space="0"/>
              <w:bottom w:val="single" w:color="000000" w:sz="4" w:space="0"/>
              <w:right w:val="single" w:color="000000" w:sz="4" w:space="0"/>
            </w:tcBorders>
            <w:noWrap w:val="0"/>
            <w:vAlign w:val="center"/>
          </w:tcPr>
          <w:p w14:paraId="3229DA6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2924066.14</w:t>
            </w:r>
          </w:p>
        </w:tc>
        <w:tc>
          <w:tcPr>
            <w:tcW w:w="1823" w:type="dxa"/>
            <w:tcBorders>
              <w:top w:val="single" w:color="000000" w:sz="4" w:space="0"/>
              <w:left w:val="single" w:color="000000" w:sz="4" w:space="0"/>
              <w:bottom w:val="single" w:color="000000" w:sz="4" w:space="0"/>
              <w:right w:val="single" w:color="000000" w:sz="4" w:space="0"/>
            </w:tcBorders>
            <w:noWrap w:val="0"/>
            <w:vAlign w:val="center"/>
          </w:tcPr>
          <w:p w14:paraId="386FD107">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39524888.27</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46C06F5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p>
        </w:tc>
        <w:tc>
          <w:tcPr>
            <w:tcW w:w="1713" w:type="dxa"/>
            <w:tcBorders>
              <w:top w:val="single" w:color="000000" w:sz="4" w:space="0"/>
              <w:left w:val="single" w:color="000000" w:sz="4" w:space="0"/>
              <w:bottom w:val="single" w:color="000000" w:sz="4" w:space="0"/>
              <w:right w:val="single" w:color="000000" w:sz="4" w:space="0"/>
            </w:tcBorders>
            <w:noWrap w:val="0"/>
            <w:vAlign w:val="center"/>
          </w:tcPr>
          <w:p w14:paraId="18BB5C1C">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29B8F8C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p>
        </w:tc>
      </w:tr>
      <w:tr w14:paraId="1B981DCB">
        <w:trPr>
          <w:trHeight w:val="306" w:hRule="atLeast"/>
          <w:jc w:val="center"/>
        </w:trPr>
        <w:tc>
          <w:tcPr>
            <w:tcW w:w="9048" w:type="dxa"/>
            <w:gridSpan w:val="6"/>
            <w:tcBorders>
              <w:top w:val="single" w:color="000000" w:sz="4" w:space="0"/>
              <w:left w:val="single" w:color="000000" w:sz="4" w:space="0"/>
              <w:bottom w:val="single" w:color="000000" w:sz="4" w:space="0"/>
              <w:right w:val="single" w:color="000000" w:sz="4" w:space="0"/>
            </w:tcBorders>
            <w:noWrap w:val="0"/>
            <w:vAlign w:val="center"/>
          </w:tcPr>
          <w:p w14:paraId="459A79B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工业场地2#（过磅房）</w:t>
            </w:r>
            <w:r>
              <w:rPr>
                <w:rFonts w:hint="eastAsia" w:ascii="宋体" w:hAnsi="宋体"/>
                <w:color w:val="auto"/>
                <w:sz w:val="24"/>
                <w:szCs w:val="24"/>
                <w:highlight w:val="none"/>
                <w:lang w:val="en-US" w:eastAsia="zh-CN"/>
              </w:rPr>
              <w:t>,面积为0.0260hm</w:t>
            </w:r>
            <w:r>
              <w:rPr>
                <w:rFonts w:hint="eastAsia" w:ascii="宋体" w:hAnsi="宋体"/>
                <w:color w:val="auto"/>
                <w:sz w:val="24"/>
                <w:szCs w:val="24"/>
                <w:highlight w:val="none"/>
                <w:vertAlign w:val="superscript"/>
                <w:lang w:val="en-US" w:eastAsia="zh-CN"/>
              </w:rPr>
              <w:t>2</w:t>
            </w:r>
          </w:p>
        </w:tc>
      </w:tr>
      <w:tr w14:paraId="43A8DEDD">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auto" w:sz="4" w:space="0"/>
              <w:right w:val="single" w:color="000000" w:sz="4" w:space="0"/>
            </w:tcBorders>
            <w:noWrap w:val="0"/>
            <w:vAlign w:val="center"/>
          </w:tcPr>
          <w:p w14:paraId="3DF54F16">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K8</w:t>
            </w:r>
          </w:p>
        </w:tc>
        <w:tc>
          <w:tcPr>
            <w:tcW w:w="1764" w:type="dxa"/>
            <w:tcBorders>
              <w:top w:val="single" w:color="000000" w:sz="4" w:space="0"/>
              <w:left w:val="single" w:color="000000" w:sz="4" w:space="0"/>
              <w:bottom w:val="single" w:color="auto" w:sz="4" w:space="0"/>
              <w:right w:val="single" w:color="000000" w:sz="4" w:space="0"/>
            </w:tcBorders>
            <w:noWrap w:val="0"/>
            <w:vAlign w:val="center"/>
          </w:tcPr>
          <w:p w14:paraId="69DA1D67">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2923914.38</w:t>
            </w:r>
          </w:p>
        </w:tc>
        <w:tc>
          <w:tcPr>
            <w:tcW w:w="1823" w:type="dxa"/>
            <w:tcBorders>
              <w:top w:val="single" w:color="000000" w:sz="4" w:space="0"/>
              <w:left w:val="single" w:color="000000" w:sz="4" w:space="0"/>
              <w:bottom w:val="single" w:color="auto" w:sz="4" w:space="0"/>
              <w:right w:val="single" w:color="000000" w:sz="4" w:space="0"/>
            </w:tcBorders>
            <w:noWrap w:val="0"/>
            <w:vAlign w:val="center"/>
          </w:tcPr>
          <w:p w14:paraId="62FEC5A7">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39524705.56</w:t>
            </w:r>
          </w:p>
        </w:tc>
        <w:tc>
          <w:tcPr>
            <w:tcW w:w="891" w:type="dxa"/>
            <w:tcBorders>
              <w:top w:val="single" w:color="000000" w:sz="4" w:space="0"/>
              <w:left w:val="single" w:color="000000" w:sz="4" w:space="0"/>
              <w:bottom w:val="single" w:color="auto" w:sz="4" w:space="0"/>
              <w:right w:val="single" w:color="000000" w:sz="4" w:space="0"/>
            </w:tcBorders>
            <w:noWrap w:val="0"/>
            <w:vAlign w:val="center"/>
          </w:tcPr>
          <w:p w14:paraId="35647DC7">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K11</w:t>
            </w:r>
          </w:p>
        </w:tc>
        <w:tc>
          <w:tcPr>
            <w:tcW w:w="1713" w:type="dxa"/>
            <w:tcBorders>
              <w:top w:val="single" w:color="000000" w:sz="4" w:space="0"/>
              <w:left w:val="single" w:color="000000" w:sz="4" w:space="0"/>
              <w:bottom w:val="single" w:color="auto" w:sz="4" w:space="0"/>
              <w:right w:val="single" w:color="000000" w:sz="4" w:space="0"/>
            </w:tcBorders>
            <w:noWrap w:val="0"/>
            <w:vAlign w:val="center"/>
          </w:tcPr>
          <w:p w14:paraId="4B9A3DF5">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2923921.47</w:t>
            </w:r>
          </w:p>
        </w:tc>
        <w:tc>
          <w:tcPr>
            <w:tcW w:w="1971" w:type="dxa"/>
            <w:tcBorders>
              <w:top w:val="single" w:color="000000" w:sz="4" w:space="0"/>
              <w:left w:val="single" w:color="000000" w:sz="4" w:space="0"/>
              <w:bottom w:val="single" w:color="auto" w:sz="4" w:space="0"/>
              <w:right w:val="single" w:color="000000" w:sz="4" w:space="0"/>
            </w:tcBorders>
            <w:noWrap w:val="0"/>
            <w:vAlign w:val="center"/>
          </w:tcPr>
          <w:p w14:paraId="51B12402">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39524679.25</w:t>
            </w:r>
          </w:p>
        </w:tc>
      </w:tr>
      <w:tr w14:paraId="4BC1A508">
        <w:tblPrEx>
          <w:tblCellMar>
            <w:top w:w="15" w:type="dxa"/>
            <w:left w:w="15" w:type="dxa"/>
            <w:bottom w:w="15" w:type="dxa"/>
            <w:right w:w="15" w:type="dxa"/>
          </w:tblCellMar>
        </w:tblPrEx>
        <w:trPr>
          <w:trHeight w:val="306"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581BBF72">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K9</w:t>
            </w:r>
          </w:p>
        </w:tc>
        <w:tc>
          <w:tcPr>
            <w:tcW w:w="1764" w:type="dxa"/>
            <w:tcBorders>
              <w:top w:val="single" w:color="auto" w:sz="4" w:space="0"/>
              <w:left w:val="single" w:color="000000" w:sz="4" w:space="0"/>
              <w:bottom w:val="single" w:color="auto" w:sz="4" w:space="0"/>
              <w:right w:val="single" w:color="000000" w:sz="4" w:space="0"/>
            </w:tcBorders>
            <w:noWrap w:val="0"/>
            <w:vAlign w:val="center"/>
          </w:tcPr>
          <w:p w14:paraId="0450D640">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2923927.02</w:t>
            </w:r>
          </w:p>
        </w:tc>
        <w:tc>
          <w:tcPr>
            <w:tcW w:w="1823" w:type="dxa"/>
            <w:tcBorders>
              <w:top w:val="single" w:color="auto" w:sz="4" w:space="0"/>
              <w:left w:val="single" w:color="000000" w:sz="4" w:space="0"/>
              <w:bottom w:val="single" w:color="auto" w:sz="4" w:space="0"/>
              <w:right w:val="single" w:color="000000" w:sz="4" w:space="0"/>
            </w:tcBorders>
            <w:noWrap w:val="0"/>
            <w:vAlign w:val="center"/>
          </w:tcPr>
          <w:p w14:paraId="433EE986">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39524692.32</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78BB25B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K12</w:t>
            </w:r>
          </w:p>
        </w:tc>
        <w:tc>
          <w:tcPr>
            <w:tcW w:w="1713" w:type="dxa"/>
            <w:tcBorders>
              <w:top w:val="single" w:color="auto" w:sz="4" w:space="0"/>
              <w:left w:val="single" w:color="000000" w:sz="4" w:space="0"/>
              <w:bottom w:val="single" w:color="auto" w:sz="4" w:space="0"/>
              <w:right w:val="single" w:color="000000" w:sz="4" w:space="0"/>
            </w:tcBorders>
            <w:noWrap w:val="0"/>
            <w:vAlign w:val="center"/>
          </w:tcPr>
          <w:p w14:paraId="113A859E">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2923915.40</w:t>
            </w:r>
          </w:p>
        </w:tc>
        <w:tc>
          <w:tcPr>
            <w:tcW w:w="1971" w:type="dxa"/>
            <w:tcBorders>
              <w:top w:val="single" w:color="auto" w:sz="4" w:space="0"/>
              <w:left w:val="single" w:color="000000" w:sz="4" w:space="0"/>
              <w:bottom w:val="single" w:color="auto" w:sz="4" w:space="0"/>
              <w:right w:val="single" w:color="000000" w:sz="4" w:space="0"/>
            </w:tcBorders>
            <w:noWrap w:val="0"/>
            <w:vAlign w:val="center"/>
          </w:tcPr>
          <w:p w14:paraId="0CF6B4C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39524690.34</w:t>
            </w:r>
          </w:p>
        </w:tc>
      </w:tr>
      <w:tr w14:paraId="49087950">
        <w:trPr>
          <w:trHeight w:val="306"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0FA0322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K10</w:t>
            </w:r>
          </w:p>
        </w:tc>
        <w:tc>
          <w:tcPr>
            <w:tcW w:w="1764" w:type="dxa"/>
            <w:tcBorders>
              <w:top w:val="single" w:color="auto" w:sz="4" w:space="0"/>
              <w:left w:val="single" w:color="000000" w:sz="4" w:space="0"/>
              <w:bottom w:val="single" w:color="auto" w:sz="4" w:space="0"/>
              <w:right w:val="single" w:color="000000" w:sz="4" w:space="0"/>
            </w:tcBorders>
            <w:noWrap w:val="0"/>
            <w:vAlign w:val="center"/>
          </w:tcPr>
          <w:p w14:paraId="15274C24">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2923929.20</w:t>
            </w:r>
          </w:p>
        </w:tc>
        <w:tc>
          <w:tcPr>
            <w:tcW w:w="1823" w:type="dxa"/>
            <w:tcBorders>
              <w:top w:val="single" w:color="auto" w:sz="4" w:space="0"/>
              <w:left w:val="single" w:color="000000" w:sz="4" w:space="0"/>
              <w:bottom w:val="single" w:color="auto" w:sz="4" w:space="0"/>
              <w:right w:val="single" w:color="000000" w:sz="4" w:space="0"/>
            </w:tcBorders>
            <w:noWrap w:val="0"/>
            <w:vAlign w:val="center"/>
          </w:tcPr>
          <w:p w14:paraId="7D689D9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39524673.50</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515C169B">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p>
        </w:tc>
        <w:tc>
          <w:tcPr>
            <w:tcW w:w="1713" w:type="dxa"/>
            <w:tcBorders>
              <w:top w:val="single" w:color="auto" w:sz="4" w:space="0"/>
              <w:left w:val="single" w:color="000000" w:sz="4" w:space="0"/>
              <w:bottom w:val="single" w:color="auto" w:sz="4" w:space="0"/>
              <w:right w:val="single" w:color="000000" w:sz="4" w:space="0"/>
            </w:tcBorders>
            <w:noWrap w:val="0"/>
            <w:vAlign w:val="center"/>
          </w:tcPr>
          <w:p w14:paraId="44A2309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p>
        </w:tc>
        <w:tc>
          <w:tcPr>
            <w:tcW w:w="1971" w:type="dxa"/>
            <w:tcBorders>
              <w:top w:val="single" w:color="auto" w:sz="4" w:space="0"/>
              <w:left w:val="single" w:color="000000" w:sz="4" w:space="0"/>
              <w:bottom w:val="single" w:color="auto" w:sz="4" w:space="0"/>
              <w:right w:val="single" w:color="000000" w:sz="4" w:space="0"/>
            </w:tcBorders>
            <w:noWrap w:val="0"/>
            <w:vAlign w:val="center"/>
          </w:tcPr>
          <w:p w14:paraId="1CED5E5A">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p>
        </w:tc>
      </w:tr>
      <w:tr w14:paraId="1FECEBDB">
        <w:tblPrEx>
          <w:tblCellMar>
            <w:top w:w="15" w:type="dxa"/>
            <w:left w:w="15" w:type="dxa"/>
            <w:bottom w:w="15" w:type="dxa"/>
            <w:right w:w="15" w:type="dxa"/>
          </w:tblCellMar>
        </w:tblPrEx>
        <w:trPr>
          <w:trHeight w:val="306" w:hRule="atLeast"/>
          <w:jc w:val="center"/>
        </w:trPr>
        <w:tc>
          <w:tcPr>
            <w:tcW w:w="9048" w:type="dxa"/>
            <w:gridSpan w:val="6"/>
            <w:tcBorders>
              <w:top w:val="single" w:color="auto" w:sz="4" w:space="0"/>
              <w:left w:val="single" w:color="000000" w:sz="4" w:space="0"/>
              <w:bottom w:val="single" w:color="auto" w:sz="4" w:space="0"/>
              <w:right w:val="single" w:color="000000" w:sz="4" w:space="0"/>
            </w:tcBorders>
            <w:noWrap w:val="0"/>
            <w:vAlign w:val="center"/>
          </w:tcPr>
          <w:p w14:paraId="7AA39EC5">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工业场地3#（工具房）</w:t>
            </w:r>
            <w:r>
              <w:rPr>
                <w:rFonts w:hint="eastAsia" w:ascii="宋体" w:hAnsi="宋体"/>
                <w:color w:val="auto"/>
                <w:sz w:val="24"/>
                <w:szCs w:val="24"/>
                <w:highlight w:val="none"/>
                <w:lang w:val="en-US" w:eastAsia="zh-CN"/>
              </w:rPr>
              <w:t>,面积为0.0078hm</w:t>
            </w:r>
            <w:r>
              <w:rPr>
                <w:rFonts w:hint="eastAsia" w:ascii="宋体" w:hAnsi="宋体"/>
                <w:color w:val="auto"/>
                <w:sz w:val="24"/>
                <w:szCs w:val="24"/>
                <w:highlight w:val="none"/>
                <w:vertAlign w:val="superscript"/>
                <w:lang w:val="en-US" w:eastAsia="zh-CN"/>
              </w:rPr>
              <w:t>2</w:t>
            </w:r>
          </w:p>
        </w:tc>
      </w:tr>
      <w:tr w14:paraId="58D9BA36">
        <w:tblPrEx>
          <w:tblCellMar>
            <w:top w:w="15" w:type="dxa"/>
            <w:left w:w="15" w:type="dxa"/>
            <w:bottom w:w="15" w:type="dxa"/>
            <w:right w:w="15" w:type="dxa"/>
          </w:tblCellMar>
        </w:tblPrEx>
        <w:trPr>
          <w:trHeight w:val="306"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58F5ED2C">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K13</w:t>
            </w:r>
          </w:p>
        </w:tc>
        <w:tc>
          <w:tcPr>
            <w:tcW w:w="1764" w:type="dxa"/>
            <w:tcBorders>
              <w:top w:val="single" w:color="auto" w:sz="4" w:space="0"/>
              <w:left w:val="single" w:color="000000" w:sz="4" w:space="0"/>
              <w:bottom w:val="single" w:color="auto" w:sz="4" w:space="0"/>
              <w:right w:val="single" w:color="000000" w:sz="4" w:space="0"/>
            </w:tcBorders>
            <w:noWrap w:val="0"/>
            <w:vAlign w:val="center"/>
          </w:tcPr>
          <w:p w14:paraId="7D5DB38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2923935.22</w:t>
            </w:r>
          </w:p>
        </w:tc>
        <w:tc>
          <w:tcPr>
            <w:tcW w:w="1823" w:type="dxa"/>
            <w:tcBorders>
              <w:top w:val="single" w:color="auto" w:sz="4" w:space="0"/>
              <w:left w:val="single" w:color="000000" w:sz="4" w:space="0"/>
              <w:bottom w:val="single" w:color="auto" w:sz="4" w:space="0"/>
              <w:right w:val="single" w:color="000000" w:sz="4" w:space="0"/>
            </w:tcBorders>
            <w:noWrap w:val="0"/>
            <w:vAlign w:val="center"/>
          </w:tcPr>
          <w:p w14:paraId="0E6BD40E">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39524681.81</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413A545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K15</w:t>
            </w:r>
          </w:p>
        </w:tc>
        <w:tc>
          <w:tcPr>
            <w:tcW w:w="1713" w:type="dxa"/>
            <w:tcBorders>
              <w:top w:val="single" w:color="auto" w:sz="4" w:space="0"/>
              <w:left w:val="single" w:color="000000" w:sz="4" w:space="0"/>
              <w:bottom w:val="single" w:color="auto" w:sz="4" w:space="0"/>
              <w:right w:val="single" w:color="000000" w:sz="4" w:space="0"/>
            </w:tcBorders>
            <w:noWrap w:val="0"/>
            <w:vAlign w:val="center"/>
          </w:tcPr>
          <w:p w14:paraId="73AEEDAC">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2923941.51</w:t>
            </w:r>
          </w:p>
        </w:tc>
        <w:tc>
          <w:tcPr>
            <w:tcW w:w="1971" w:type="dxa"/>
            <w:tcBorders>
              <w:top w:val="single" w:color="auto" w:sz="4" w:space="0"/>
              <w:left w:val="single" w:color="000000" w:sz="4" w:space="0"/>
              <w:bottom w:val="single" w:color="auto" w:sz="4" w:space="0"/>
              <w:right w:val="single" w:color="000000" w:sz="4" w:space="0"/>
            </w:tcBorders>
            <w:noWrap w:val="0"/>
            <w:vAlign w:val="center"/>
          </w:tcPr>
          <w:p w14:paraId="36F30CD2">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39524669.59</w:t>
            </w:r>
          </w:p>
        </w:tc>
      </w:tr>
      <w:tr w14:paraId="76F6F49E">
        <w:tblPrEx>
          <w:tblCellMar>
            <w:top w:w="15" w:type="dxa"/>
            <w:left w:w="15" w:type="dxa"/>
            <w:bottom w:w="15" w:type="dxa"/>
            <w:right w:w="15" w:type="dxa"/>
          </w:tblCellMar>
        </w:tblPrEx>
        <w:trPr>
          <w:trHeight w:val="306" w:hRule="atLeast"/>
          <w:jc w:val="center"/>
        </w:trPr>
        <w:tc>
          <w:tcPr>
            <w:tcW w:w="886" w:type="dxa"/>
            <w:tcBorders>
              <w:top w:val="single" w:color="auto" w:sz="4" w:space="0"/>
              <w:left w:val="single" w:color="000000" w:sz="4" w:space="0"/>
              <w:bottom w:val="single" w:color="000000" w:sz="4" w:space="0"/>
              <w:right w:val="single" w:color="000000" w:sz="4" w:space="0"/>
            </w:tcBorders>
            <w:noWrap w:val="0"/>
            <w:vAlign w:val="center"/>
          </w:tcPr>
          <w:p w14:paraId="59465EA4">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K14</w:t>
            </w:r>
          </w:p>
        </w:tc>
        <w:tc>
          <w:tcPr>
            <w:tcW w:w="1764" w:type="dxa"/>
            <w:tcBorders>
              <w:top w:val="single" w:color="auto" w:sz="4" w:space="0"/>
              <w:left w:val="single" w:color="000000" w:sz="4" w:space="0"/>
              <w:bottom w:val="single" w:color="000000" w:sz="4" w:space="0"/>
              <w:right w:val="single" w:color="000000" w:sz="4" w:space="0"/>
            </w:tcBorders>
            <w:noWrap w:val="0"/>
            <w:vAlign w:val="center"/>
          </w:tcPr>
          <w:p w14:paraId="0DF8303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2923941.88</w:t>
            </w:r>
          </w:p>
        </w:tc>
        <w:tc>
          <w:tcPr>
            <w:tcW w:w="1823" w:type="dxa"/>
            <w:tcBorders>
              <w:top w:val="single" w:color="auto" w:sz="4" w:space="0"/>
              <w:left w:val="single" w:color="000000" w:sz="4" w:space="0"/>
              <w:bottom w:val="single" w:color="000000" w:sz="4" w:space="0"/>
              <w:right w:val="single" w:color="000000" w:sz="4" w:space="0"/>
            </w:tcBorders>
            <w:noWrap w:val="0"/>
            <w:vAlign w:val="center"/>
          </w:tcPr>
          <w:p w14:paraId="2E1067C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39524681.25</w:t>
            </w:r>
          </w:p>
        </w:tc>
        <w:tc>
          <w:tcPr>
            <w:tcW w:w="891" w:type="dxa"/>
            <w:tcBorders>
              <w:top w:val="single" w:color="auto" w:sz="4" w:space="0"/>
              <w:left w:val="single" w:color="000000" w:sz="4" w:space="0"/>
              <w:bottom w:val="single" w:color="000000" w:sz="4" w:space="0"/>
              <w:right w:val="single" w:color="000000" w:sz="4" w:space="0"/>
            </w:tcBorders>
            <w:noWrap w:val="0"/>
            <w:vAlign w:val="center"/>
          </w:tcPr>
          <w:p w14:paraId="2CADB162">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K16</w:t>
            </w:r>
          </w:p>
        </w:tc>
        <w:tc>
          <w:tcPr>
            <w:tcW w:w="1713" w:type="dxa"/>
            <w:tcBorders>
              <w:top w:val="single" w:color="auto" w:sz="4" w:space="0"/>
              <w:left w:val="single" w:color="000000" w:sz="4" w:space="0"/>
              <w:bottom w:val="single" w:color="000000" w:sz="4" w:space="0"/>
              <w:right w:val="single" w:color="000000" w:sz="4" w:space="0"/>
            </w:tcBorders>
            <w:noWrap w:val="0"/>
            <w:vAlign w:val="center"/>
          </w:tcPr>
          <w:p w14:paraId="02B30F1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2923934.71</w:t>
            </w:r>
          </w:p>
        </w:tc>
        <w:tc>
          <w:tcPr>
            <w:tcW w:w="1971" w:type="dxa"/>
            <w:tcBorders>
              <w:top w:val="single" w:color="auto" w:sz="4" w:space="0"/>
              <w:left w:val="single" w:color="000000" w:sz="4" w:space="0"/>
              <w:bottom w:val="single" w:color="000000" w:sz="4" w:space="0"/>
              <w:right w:val="single" w:color="000000" w:sz="4" w:space="0"/>
            </w:tcBorders>
            <w:noWrap w:val="0"/>
            <w:vAlign w:val="center"/>
          </w:tcPr>
          <w:p w14:paraId="59AF5DE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39524669.51</w:t>
            </w:r>
          </w:p>
        </w:tc>
      </w:tr>
    </w:tbl>
    <w:p w14:paraId="289CF04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（5）拟建炸药库：经现场核查，本次拟将炸药库迁移至矿区南侧5-6线间距矿界5-6约110m的山坡上，距矿山办公生活区约100m，设计炸药库储存量</w:t>
      </w:r>
      <w:r>
        <w:rPr>
          <w:rFonts w:hint="eastAsia" w:ascii="仿宋" w:hAnsi="仿宋" w:eastAsia="仿宋" w:cs="仿宋"/>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500kg，办公生活区与炸药库的距离满足</w:t>
      </w:r>
      <w:r>
        <w:rPr>
          <w:rFonts w:hint="eastAsia" w:ascii="宋体" w:hAnsi="宋体" w:eastAsia="宋体" w:cs="宋体"/>
          <w:color w:val="auto"/>
          <w:sz w:val="28"/>
          <w:highlight w:val="none"/>
        </w:rPr>
        <w:t>《</w:t>
      </w:r>
      <w:r>
        <w:rPr>
          <w:rFonts w:hint="eastAsia" w:ascii="宋体" w:hAnsi="宋体" w:eastAsia="宋体" w:cs="宋体"/>
          <w:color w:val="auto"/>
          <w:sz w:val="28"/>
          <w:highlight w:val="none"/>
          <w:lang w:eastAsia="zh-CN"/>
        </w:rPr>
        <w:t>小型民用爆炸物品储存库安全规范</w:t>
      </w:r>
      <w:r>
        <w:rPr>
          <w:rFonts w:hint="eastAsia" w:ascii="宋体" w:hAnsi="宋体" w:eastAsia="宋体" w:cs="宋体"/>
          <w:color w:val="auto"/>
          <w:sz w:val="28"/>
          <w:highlight w:val="none"/>
        </w:rPr>
        <w:t>》（</w:t>
      </w:r>
      <w:r>
        <w:rPr>
          <w:rFonts w:hint="eastAsia" w:ascii="宋体" w:hAnsi="宋体" w:eastAsia="宋体" w:cs="宋体"/>
          <w:color w:val="auto"/>
          <w:sz w:val="28"/>
          <w:highlight w:val="none"/>
          <w:lang w:val="en-US" w:eastAsia="zh-CN"/>
        </w:rPr>
        <w:t>GA 838-2009</w:t>
      </w:r>
      <w:r>
        <w:rPr>
          <w:rFonts w:hint="eastAsia" w:ascii="宋体" w:hAnsi="宋体" w:eastAsia="宋体" w:cs="宋体"/>
          <w:color w:val="auto"/>
          <w:sz w:val="28"/>
          <w:highlight w:val="none"/>
        </w:rPr>
        <w:t>）</w:t>
      </w:r>
      <w:r>
        <w:rPr>
          <w:rFonts w:hint="eastAsia" w:ascii="宋体" w:hAnsi="宋体" w:eastAsia="宋体" w:cs="宋体"/>
          <w:color w:val="auto"/>
          <w:sz w:val="28"/>
          <w:highlight w:val="none"/>
          <w:lang w:eastAsia="zh-CN"/>
        </w:rPr>
        <w:t>规定</w:t>
      </w:r>
      <w:r>
        <w:rPr>
          <w:rFonts w:hint="eastAsia" w:ascii="宋体" w:hAnsi="宋体" w:eastAsia="宋体" w:cs="宋体"/>
          <w:color w:val="auto"/>
          <w:sz w:val="28"/>
          <w:szCs w:val="28"/>
          <w:highlight w:val="none"/>
          <w:lang w:val="en-US" w:eastAsia="zh-CN"/>
        </w:rPr>
        <w:t>不小于90m的要求。场地建设挖填形成的人工边坡及平台，通过分层碾压及合理放坡，修建截、排水沟和采用乔灌草藤相结合方式进行植被恢复及临时苫盖，可以避免区内发生滑塌、崩塌、地面沉降等灾害，从而确保区内不存在不稳定地质体。炸药库拐点坐标及面积详见表4-8。</w:t>
      </w:r>
    </w:p>
    <w:p w14:paraId="3D726C12">
      <w:pPr>
        <w:numPr>
          <w:ilvl w:val="0"/>
          <w:numId w:val="0"/>
        </w:numPr>
        <w:kinsoku/>
        <w:wordWrap/>
        <w:overflowPunct/>
        <w:topLinePunct w:val="0"/>
        <w:bidi w:val="0"/>
        <w:snapToGrid w:val="0"/>
        <w:spacing w:line="240" w:lineRule="auto"/>
        <w:ind w:left="0" w:leftChars="0" w:firstLine="570" w:firstLineChars="200"/>
        <w:jc w:val="center"/>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拟建炸药库拐点坐标表（2000坐标系）     表4-8</w:t>
      </w:r>
    </w:p>
    <w:tbl>
      <w:tblPr>
        <w:tblStyle w:val="18"/>
        <w:tblW w:w="9048" w:type="dxa"/>
        <w:jc w:val="center"/>
        <w:tblLayout w:type="fixed"/>
        <w:tblCellMar>
          <w:top w:w="15" w:type="dxa"/>
          <w:left w:w="15" w:type="dxa"/>
          <w:bottom w:w="15" w:type="dxa"/>
          <w:right w:w="15" w:type="dxa"/>
        </w:tblCellMar>
      </w:tblPr>
      <w:tblGrid>
        <w:gridCol w:w="886"/>
        <w:gridCol w:w="1764"/>
        <w:gridCol w:w="1823"/>
        <w:gridCol w:w="891"/>
        <w:gridCol w:w="1713"/>
        <w:gridCol w:w="1971"/>
      </w:tblGrid>
      <w:tr w14:paraId="3778C6DA">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auto" w:sz="4" w:space="0"/>
              <w:right w:val="single" w:color="000000" w:sz="4" w:space="0"/>
            </w:tcBorders>
            <w:noWrap w:val="0"/>
            <w:vAlign w:val="center"/>
          </w:tcPr>
          <w:p w14:paraId="6AA9E80F">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拐点号</w:t>
            </w:r>
          </w:p>
        </w:tc>
        <w:tc>
          <w:tcPr>
            <w:tcW w:w="1764" w:type="dxa"/>
            <w:tcBorders>
              <w:top w:val="single" w:color="000000" w:sz="4" w:space="0"/>
              <w:left w:val="single" w:color="000000" w:sz="4" w:space="0"/>
              <w:bottom w:val="single" w:color="auto" w:sz="4" w:space="0"/>
              <w:right w:val="single" w:color="000000" w:sz="4" w:space="0"/>
            </w:tcBorders>
            <w:noWrap w:val="0"/>
            <w:vAlign w:val="center"/>
          </w:tcPr>
          <w:p w14:paraId="61270E0B">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X坐标</w:t>
            </w:r>
          </w:p>
        </w:tc>
        <w:tc>
          <w:tcPr>
            <w:tcW w:w="1823" w:type="dxa"/>
            <w:tcBorders>
              <w:top w:val="single" w:color="000000" w:sz="4" w:space="0"/>
              <w:left w:val="single" w:color="000000" w:sz="4" w:space="0"/>
              <w:bottom w:val="single" w:color="auto" w:sz="4" w:space="0"/>
              <w:right w:val="single" w:color="000000" w:sz="4" w:space="0"/>
            </w:tcBorders>
            <w:noWrap w:val="0"/>
            <w:vAlign w:val="center"/>
          </w:tcPr>
          <w:p w14:paraId="4F4B1D19">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Y坐标</w:t>
            </w:r>
          </w:p>
        </w:tc>
        <w:tc>
          <w:tcPr>
            <w:tcW w:w="891" w:type="dxa"/>
            <w:tcBorders>
              <w:top w:val="single" w:color="000000" w:sz="4" w:space="0"/>
              <w:left w:val="single" w:color="000000" w:sz="4" w:space="0"/>
              <w:bottom w:val="single" w:color="auto" w:sz="4" w:space="0"/>
              <w:right w:val="single" w:color="000000" w:sz="4" w:space="0"/>
            </w:tcBorders>
            <w:noWrap w:val="0"/>
            <w:vAlign w:val="center"/>
          </w:tcPr>
          <w:p w14:paraId="1C848F25">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拐点号</w:t>
            </w:r>
          </w:p>
        </w:tc>
        <w:tc>
          <w:tcPr>
            <w:tcW w:w="1713" w:type="dxa"/>
            <w:tcBorders>
              <w:top w:val="single" w:color="000000" w:sz="4" w:space="0"/>
              <w:left w:val="single" w:color="000000" w:sz="4" w:space="0"/>
              <w:bottom w:val="single" w:color="auto" w:sz="4" w:space="0"/>
              <w:right w:val="single" w:color="000000" w:sz="4" w:space="0"/>
            </w:tcBorders>
            <w:noWrap w:val="0"/>
            <w:vAlign w:val="center"/>
          </w:tcPr>
          <w:p w14:paraId="06B64E75">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X坐标</w:t>
            </w:r>
          </w:p>
        </w:tc>
        <w:tc>
          <w:tcPr>
            <w:tcW w:w="1971" w:type="dxa"/>
            <w:tcBorders>
              <w:top w:val="single" w:color="000000" w:sz="4" w:space="0"/>
              <w:left w:val="single" w:color="000000" w:sz="4" w:space="0"/>
              <w:bottom w:val="single" w:color="auto" w:sz="4" w:space="0"/>
              <w:right w:val="single" w:color="000000" w:sz="4" w:space="0"/>
            </w:tcBorders>
            <w:noWrap w:val="0"/>
            <w:vAlign w:val="center"/>
          </w:tcPr>
          <w:p w14:paraId="0416B7E9">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Y坐标</w:t>
            </w:r>
          </w:p>
        </w:tc>
      </w:tr>
      <w:tr w14:paraId="6F8CC3F9">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4E0A1C46">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H1</w:t>
            </w:r>
          </w:p>
        </w:tc>
        <w:tc>
          <w:tcPr>
            <w:tcW w:w="1764" w:type="dxa"/>
            <w:tcBorders>
              <w:top w:val="single" w:color="000000" w:sz="4" w:space="0"/>
              <w:left w:val="single" w:color="000000" w:sz="4" w:space="0"/>
              <w:bottom w:val="single" w:color="000000" w:sz="4" w:space="0"/>
              <w:right w:val="single" w:color="000000" w:sz="4" w:space="0"/>
            </w:tcBorders>
            <w:noWrap w:val="0"/>
            <w:vAlign w:val="top"/>
          </w:tcPr>
          <w:p w14:paraId="4168C3C9">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2923858.67</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54CF26E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39524809.08</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12F1BB52">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b w:val="0"/>
                <w:bCs w:val="0"/>
                <w:snapToGrid w:val="0"/>
                <w:color w:val="auto"/>
                <w:sz w:val="24"/>
                <w:szCs w:val="24"/>
                <w:highlight w:val="none"/>
                <w:lang w:val="en-US" w:eastAsia="zh-CN" w:bidi="ar-SA"/>
              </w:rPr>
            </w:pPr>
            <w:r>
              <w:rPr>
                <w:rFonts w:hint="eastAsia" w:ascii="Times New Roman" w:hAnsi="Times New Roman" w:eastAsia="宋体" w:cs="Times New Roman"/>
                <w:b w:val="0"/>
                <w:bCs w:val="0"/>
                <w:snapToGrid w:val="0"/>
                <w:color w:val="auto"/>
                <w:sz w:val="24"/>
                <w:szCs w:val="24"/>
                <w:highlight w:val="none"/>
                <w:lang w:val="en-US" w:eastAsia="zh-CN" w:bidi="ar-SA"/>
              </w:rPr>
              <w:t>H7</w:t>
            </w:r>
          </w:p>
        </w:tc>
        <w:tc>
          <w:tcPr>
            <w:tcW w:w="1713" w:type="dxa"/>
            <w:tcBorders>
              <w:top w:val="single" w:color="000000" w:sz="4" w:space="0"/>
              <w:left w:val="single" w:color="000000" w:sz="4" w:space="0"/>
              <w:bottom w:val="single" w:color="000000" w:sz="4" w:space="0"/>
              <w:right w:val="single" w:color="000000" w:sz="4" w:space="0"/>
            </w:tcBorders>
            <w:noWrap w:val="0"/>
            <w:vAlign w:val="top"/>
          </w:tcPr>
          <w:p w14:paraId="512C4D2D">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2923790.60</w:t>
            </w:r>
          </w:p>
        </w:tc>
        <w:tc>
          <w:tcPr>
            <w:tcW w:w="1971" w:type="dxa"/>
            <w:tcBorders>
              <w:top w:val="single" w:color="000000" w:sz="4" w:space="0"/>
              <w:left w:val="single" w:color="000000" w:sz="4" w:space="0"/>
              <w:bottom w:val="single" w:color="000000" w:sz="4" w:space="0"/>
              <w:right w:val="single" w:color="000000" w:sz="4" w:space="0"/>
            </w:tcBorders>
            <w:noWrap w:val="0"/>
            <w:vAlign w:val="top"/>
          </w:tcPr>
          <w:p w14:paraId="25FCB6B7">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39524728.21</w:t>
            </w:r>
          </w:p>
        </w:tc>
      </w:tr>
      <w:tr w14:paraId="7A7F4897">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42C93A3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H2</w:t>
            </w:r>
          </w:p>
        </w:tc>
        <w:tc>
          <w:tcPr>
            <w:tcW w:w="1764" w:type="dxa"/>
            <w:tcBorders>
              <w:top w:val="single" w:color="000000" w:sz="4" w:space="0"/>
              <w:left w:val="single" w:color="000000" w:sz="4" w:space="0"/>
              <w:bottom w:val="single" w:color="000000" w:sz="4" w:space="0"/>
              <w:right w:val="single" w:color="000000" w:sz="4" w:space="0"/>
            </w:tcBorders>
            <w:noWrap w:val="0"/>
            <w:vAlign w:val="top"/>
          </w:tcPr>
          <w:p w14:paraId="1A9F5EB6">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2923839.92</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0416B0D9">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39524821.13</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6AF8CFEF">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b w:val="0"/>
                <w:bCs w:val="0"/>
                <w:snapToGrid w:val="0"/>
                <w:color w:val="auto"/>
                <w:sz w:val="24"/>
                <w:szCs w:val="24"/>
                <w:highlight w:val="none"/>
                <w:lang w:val="en-US" w:eastAsia="zh-CN" w:bidi="ar-SA"/>
              </w:rPr>
            </w:pPr>
            <w:r>
              <w:rPr>
                <w:rFonts w:hint="eastAsia" w:ascii="Times New Roman" w:hAnsi="Times New Roman" w:eastAsia="宋体" w:cs="Times New Roman"/>
                <w:b w:val="0"/>
                <w:bCs w:val="0"/>
                <w:snapToGrid w:val="0"/>
                <w:color w:val="auto"/>
                <w:sz w:val="24"/>
                <w:szCs w:val="24"/>
                <w:highlight w:val="none"/>
                <w:lang w:val="en-US" w:eastAsia="zh-CN" w:bidi="ar-SA"/>
              </w:rPr>
              <w:t>H8</w:t>
            </w:r>
          </w:p>
        </w:tc>
        <w:tc>
          <w:tcPr>
            <w:tcW w:w="1713" w:type="dxa"/>
            <w:tcBorders>
              <w:top w:val="single" w:color="000000" w:sz="4" w:space="0"/>
              <w:left w:val="single" w:color="000000" w:sz="4" w:space="0"/>
              <w:bottom w:val="single" w:color="000000" w:sz="4" w:space="0"/>
              <w:right w:val="single" w:color="000000" w:sz="4" w:space="0"/>
            </w:tcBorders>
            <w:noWrap w:val="0"/>
            <w:vAlign w:val="top"/>
          </w:tcPr>
          <w:p w14:paraId="28C380C2">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2923812.90</w:t>
            </w:r>
          </w:p>
        </w:tc>
        <w:tc>
          <w:tcPr>
            <w:tcW w:w="1971" w:type="dxa"/>
            <w:tcBorders>
              <w:top w:val="single" w:color="000000" w:sz="4" w:space="0"/>
              <w:left w:val="single" w:color="000000" w:sz="4" w:space="0"/>
              <w:bottom w:val="single" w:color="000000" w:sz="4" w:space="0"/>
              <w:right w:val="single" w:color="000000" w:sz="4" w:space="0"/>
            </w:tcBorders>
            <w:noWrap w:val="0"/>
            <w:vAlign w:val="top"/>
          </w:tcPr>
          <w:p w14:paraId="4A06B6E7">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39524727.69</w:t>
            </w:r>
          </w:p>
        </w:tc>
      </w:tr>
      <w:tr w14:paraId="5A3C41A9">
        <w:tblPrEx>
          <w:tblCellMar>
            <w:top w:w="15" w:type="dxa"/>
            <w:left w:w="15" w:type="dxa"/>
            <w:bottom w:w="15" w:type="dxa"/>
            <w:right w:w="15" w:type="dxa"/>
          </w:tblCellMar>
        </w:tblPrEx>
        <w:trPr>
          <w:trHeight w:val="155" w:hRule="atLeast"/>
          <w:jc w:val="center"/>
        </w:trPr>
        <w:tc>
          <w:tcPr>
            <w:tcW w:w="886" w:type="dxa"/>
            <w:tcBorders>
              <w:top w:val="single" w:color="000000" w:sz="4" w:space="0"/>
              <w:left w:val="single" w:color="000000" w:sz="4" w:space="0"/>
              <w:bottom w:val="single" w:color="auto" w:sz="4" w:space="0"/>
              <w:right w:val="single" w:color="000000" w:sz="4" w:space="0"/>
            </w:tcBorders>
            <w:noWrap w:val="0"/>
            <w:vAlign w:val="center"/>
          </w:tcPr>
          <w:p w14:paraId="41083B2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H3</w:t>
            </w:r>
          </w:p>
        </w:tc>
        <w:tc>
          <w:tcPr>
            <w:tcW w:w="1764" w:type="dxa"/>
            <w:tcBorders>
              <w:top w:val="single" w:color="000000" w:sz="4" w:space="0"/>
              <w:left w:val="single" w:color="000000" w:sz="4" w:space="0"/>
              <w:bottom w:val="single" w:color="auto" w:sz="4" w:space="0"/>
              <w:right w:val="single" w:color="000000" w:sz="4" w:space="0"/>
            </w:tcBorders>
            <w:noWrap w:val="0"/>
            <w:vAlign w:val="top"/>
          </w:tcPr>
          <w:p w14:paraId="4D003BDA">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2923827.75</w:t>
            </w:r>
          </w:p>
        </w:tc>
        <w:tc>
          <w:tcPr>
            <w:tcW w:w="1823" w:type="dxa"/>
            <w:tcBorders>
              <w:top w:val="single" w:color="000000" w:sz="4" w:space="0"/>
              <w:left w:val="single" w:color="000000" w:sz="4" w:space="0"/>
              <w:bottom w:val="single" w:color="auto" w:sz="4" w:space="0"/>
              <w:right w:val="single" w:color="000000" w:sz="4" w:space="0"/>
            </w:tcBorders>
            <w:noWrap w:val="0"/>
            <w:vAlign w:val="top"/>
          </w:tcPr>
          <w:p w14:paraId="2A031FF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39524838.71</w:t>
            </w:r>
          </w:p>
        </w:tc>
        <w:tc>
          <w:tcPr>
            <w:tcW w:w="891" w:type="dxa"/>
            <w:tcBorders>
              <w:top w:val="single" w:color="000000" w:sz="4" w:space="0"/>
              <w:left w:val="single" w:color="000000" w:sz="4" w:space="0"/>
              <w:bottom w:val="single" w:color="auto" w:sz="4" w:space="0"/>
              <w:right w:val="single" w:color="000000" w:sz="4" w:space="0"/>
            </w:tcBorders>
            <w:noWrap w:val="0"/>
            <w:vAlign w:val="center"/>
          </w:tcPr>
          <w:p w14:paraId="26FFB8E4">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b w:val="0"/>
                <w:bCs w:val="0"/>
                <w:snapToGrid w:val="0"/>
                <w:color w:val="auto"/>
                <w:sz w:val="24"/>
                <w:szCs w:val="24"/>
                <w:highlight w:val="none"/>
                <w:lang w:val="en-US" w:eastAsia="zh-CN" w:bidi="ar-SA"/>
              </w:rPr>
            </w:pPr>
            <w:r>
              <w:rPr>
                <w:rFonts w:hint="eastAsia" w:ascii="Times New Roman" w:hAnsi="Times New Roman" w:eastAsia="宋体" w:cs="Times New Roman"/>
                <w:b w:val="0"/>
                <w:bCs w:val="0"/>
                <w:snapToGrid w:val="0"/>
                <w:color w:val="auto"/>
                <w:sz w:val="24"/>
                <w:szCs w:val="24"/>
                <w:highlight w:val="none"/>
                <w:lang w:val="en-US" w:eastAsia="zh-CN" w:bidi="ar-SA"/>
              </w:rPr>
              <w:t>H9</w:t>
            </w:r>
          </w:p>
        </w:tc>
        <w:tc>
          <w:tcPr>
            <w:tcW w:w="1713" w:type="dxa"/>
            <w:tcBorders>
              <w:top w:val="single" w:color="000000" w:sz="4" w:space="0"/>
              <w:left w:val="single" w:color="000000" w:sz="4" w:space="0"/>
              <w:bottom w:val="single" w:color="auto" w:sz="4" w:space="0"/>
              <w:right w:val="single" w:color="000000" w:sz="4" w:space="0"/>
            </w:tcBorders>
            <w:noWrap w:val="0"/>
            <w:vAlign w:val="top"/>
          </w:tcPr>
          <w:p w14:paraId="7F74B1D9">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2923813.55</w:t>
            </w:r>
          </w:p>
        </w:tc>
        <w:tc>
          <w:tcPr>
            <w:tcW w:w="1971" w:type="dxa"/>
            <w:tcBorders>
              <w:top w:val="single" w:color="000000" w:sz="4" w:space="0"/>
              <w:left w:val="single" w:color="000000" w:sz="4" w:space="0"/>
              <w:bottom w:val="single" w:color="auto" w:sz="4" w:space="0"/>
              <w:right w:val="single" w:color="000000" w:sz="4" w:space="0"/>
            </w:tcBorders>
            <w:noWrap w:val="0"/>
            <w:vAlign w:val="top"/>
          </w:tcPr>
          <w:p w14:paraId="0BD42270">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39524747.25</w:t>
            </w:r>
          </w:p>
        </w:tc>
      </w:tr>
      <w:tr w14:paraId="1156E3DB">
        <w:tblPrEx>
          <w:tblCellMar>
            <w:top w:w="15" w:type="dxa"/>
            <w:left w:w="15" w:type="dxa"/>
            <w:bottom w:w="15" w:type="dxa"/>
            <w:right w:w="15" w:type="dxa"/>
          </w:tblCellMar>
        </w:tblPrEx>
        <w:trPr>
          <w:trHeight w:val="160"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1696646D">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H4</w:t>
            </w:r>
          </w:p>
        </w:tc>
        <w:tc>
          <w:tcPr>
            <w:tcW w:w="1764" w:type="dxa"/>
            <w:tcBorders>
              <w:top w:val="single" w:color="auto" w:sz="4" w:space="0"/>
              <w:left w:val="single" w:color="000000" w:sz="4" w:space="0"/>
              <w:bottom w:val="single" w:color="auto" w:sz="4" w:space="0"/>
              <w:right w:val="single" w:color="000000" w:sz="4" w:space="0"/>
            </w:tcBorders>
            <w:noWrap w:val="0"/>
            <w:vAlign w:val="top"/>
          </w:tcPr>
          <w:p w14:paraId="76098AB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2923803.64</w:t>
            </w:r>
          </w:p>
        </w:tc>
        <w:tc>
          <w:tcPr>
            <w:tcW w:w="1823" w:type="dxa"/>
            <w:tcBorders>
              <w:top w:val="single" w:color="auto" w:sz="4" w:space="0"/>
              <w:left w:val="single" w:color="000000" w:sz="4" w:space="0"/>
              <w:bottom w:val="single" w:color="auto" w:sz="4" w:space="0"/>
              <w:right w:val="single" w:color="000000" w:sz="4" w:space="0"/>
            </w:tcBorders>
            <w:noWrap w:val="0"/>
            <w:vAlign w:val="top"/>
          </w:tcPr>
          <w:p w14:paraId="666BF57E">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39524842.50</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0F7B80D2">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b w:val="0"/>
                <w:bCs w:val="0"/>
                <w:snapToGrid w:val="0"/>
                <w:color w:val="auto"/>
                <w:sz w:val="24"/>
                <w:szCs w:val="24"/>
                <w:highlight w:val="none"/>
                <w:lang w:val="en-US" w:eastAsia="zh-CN" w:bidi="ar-SA"/>
              </w:rPr>
            </w:pPr>
            <w:r>
              <w:rPr>
                <w:rFonts w:hint="eastAsia" w:ascii="Times New Roman" w:hAnsi="Times New Roman" w:eastAsia="宋体" w:cs="Times New Roman"/>
                <w:b w:val="0"/>
                <w:bCs w:val="0"/>
                <w:snapToGrid w:val="0"/>
                <w:color w:val="auto"/>
                <w:sz w:val="24"/>
                <w:szCs w:val="24"/>
                <w:highlight w:val="none"/>
                <w:lang w:val="en-US" w:eastAsia="zh-CN" w:bidi="ar-SA"/>
              </w:rPr>
              <w:t>H10</w:t>
            </w:r>
          </w:p>
        </w:tc>
        <w:tc>
          <w:tcPr>
            <w:tcW w:w="1713" w:type="dxa"/>
            <w:tcBorders>
              <w:top w:val="single" w:color="auto" w:sz="4" w:space="0"/>
              <w:left w:val="single" w:color="000000" w:sz="4" w:space="0"/>
              <w:bottom w:val="single" w:color="auto" w:sz="4" w:space="0"/>
              <w:right w:val="single" w:color="000000" w:sz="4" w:space="0"/>
            </w:tcBorders>
            <w:noWrap w:val="0"/>
            <w:vAlign w:val="top"/>
          </w:tcPr>
          <w:p w14:paraId="2BD0B2F7">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2923822.70</w:t>
            </w:r>
          </w:p>
        </w:tc>
        <w:tc>
          <w:tcPr>
            <w:tcW w:w="1971" w:type="dxa"/>
            <w:tcBorders>
              <w:top w:val="single" w:color="auto" w:sz="4" w:space="0"/>
              <w:left w:val="single" w:color="000000" w:sz="4" w:space="0"/>
              <w:bottom w:val="single" w:color="auto" w:sz="4" w:space="0"/>
              <w:right w:val="single" w:color="000000" w:sz="4" w:space="0"/>
            </w:tcBorders>
            <w:noWrap w:val="0"/>
            <w:vAlign w:val="top"/>
          </w:tcPr>
          <w:p w14:paraId="699A9FB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39524772.64</w:t>
            </w:r>
          </w:p>
        </w:tc>
      </w:tr>
      <w:tr w14:paraId="3B9AFF66">
        <w:tblPrEx>
          <w:tblCellMar>
            <w:top w:w="15" w:type="dxa"/>
            <w:left w:w="15" w:type="dxa"/>
            <w:bottom w:w="15" w:type="dxa"/>
            <w:right w:w="15" w:type="dxa"/>
          </w:tblCellMar>
        </w:tblPrEx>
        <w:trPr>
          <w:trHeight w:val="304" w:hRule="atLeast"/>
          <w:jc w:val="center"/>
        </w:trPr>
        <w:tc>
          <w:tcPr>
            <w:tcW w:w="886" w:type="dxa"/>
            <w:tcBorders>
              <w:top w:val="single" w:color="auto" w:sz="4" w:space="0"/>
              <w:left w:val="single" w:color="000000" w:sz="4" w:space="0"/>
              <w:bottom w:val="single" w:color="000000" w:sz="4" w:space="0"/>
              <w:right w:val="single" w:color="000000" w:sz="4" w:space="0"/>
            </w:tcBorders>
            <w:noWrap w:val="0"/>
            <w:vAlign w:val="center"/>
          </w:tcPr>
          <w:p w14:paraId="5DB04507">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H5</w:t>
            </w:r>
          </w:p>
        </w:tc>
        <w:tc>
          <w:tcPr>
            <w:tcW w:w="1764" w:type="dxa"/>
            <w:tcBorders>
              <w:top w:val="single" w:color="auto" w:sz="4" w:space="0"/>
              <w:left w:val="single" w:color="000000" w:sz="4" w:space="0"/>
              <w:bottom w:val="single" w:color="000000" w:sz="4" w:space="0"/>
              <w:right w:val="single" w:color="000000" w:sz="4" w:space="0"/>
            </w:tcBorders>
            <w:noWrap w:val="0"/>
            <w:vAlign w:val="top"/>
          </w:tcPr>
          <w:p w14:paraId="23B2276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2923790.16</w:t>
            </w:r>
          </w:p>
        </w:tc>
        <w:tc>
          <w:tcPr>
            <w:tcW w:w="1823" w:type="dxa"/>
            <w:tcBorders>
              <w:top w:val="single" w:color="auto" w:sz="4" w:space="0"/>
              <w:left w:val="single" w:color="000000" w:sz="4" w:space="0"/>
              <w:bottom w:val="single" w:color="000000" w:sz="4" w:space="0"/>
              <w:right w:val="single" w:color="000000" w:sz="4" w:space="0"/>
            </w:tcBorders>
            <w:noWrap w:val="0"/>
            <w:vAlign w:val="top"/>
          </w:tcPr>
          <w:p w14:paraId="3B71F590">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39524791.27</w:t>
            </w:r>
          </w:p>
        </w:tc>
        <w:tc>
          <w:tcPr>
            <w:tcW w:w="891" w:type="dxa"/>
            <w:tcBorders>
              <w:top w:val="single" w:color="auto" w:sz="4" w:space="0"/>
              <w:left w:val="single" w:color="000000" w:sz="4" w:space="0"/>
              <w:bottom w:val="single" w:color="000000" w:sz="4" w:space="0"/>
              <w:right w:val="single" w:color="000000" w:sz="4" w:space="0"/>
            </w:tcBorders>
            <w:noWrap w:val="0"/>
            <w:vAlign w:val="center"/>
          </w:tcPr>
          <w:p w14:paraId="3FB63420">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b w:val="0"/>
                <w:bCs w:val="0"/>
                <w:snapToGrid w:val="0"/>
                <w:color w:val="auto"/>
                <w:sz w:val="24"/>
                <w:szCs w:val="24"/>
                <w:highlight w:val="none"/>
                <w:lang w:val="en-US" w:eastAsia="zh-CN" w:bidi="ar-SA"/>
              </w:rPr>
            </w:pPr>
            <w:r>
              <w:rPr>
                <w:rFonts w:hint="eastAsia" w:ascii="Times New Roman" w:hAnsi="Times New Roman" w:eastAsia="宋体" w:cs="Times New Roman"/>
                <w:b w:val="0"/>
                <w:bCs w:val="0"/>
                <w:snapToGrid w:val="0"/>
                <w:color w:val="auto"/>
                <w:sz w:val="24"/>
                <w:szCs w:val="24"/>
                <w:highlight w:val="none"/>
                <w:lang w:val="en-US" w:eastAsia="zh-CN" w:bidi="ar-SA"/>
              </w:rPr>
              <w:t>H11</w:t>
            </w:r>
          </w:p>
        </w:tc>
        <w:tc>
          <w:tcPr>
            <w:tcW w:w="1713" w:type="dxa"/>
            <w:tcBorders>
              <w:top w:val="single" w:color="auto" w:sz="4" w:space="0"/>
              <w:left w:val="single" w:color="000000" w:sz="4" w:space="0"/>
              <w:bottom w:val="single" w:color="000000" w:sz="4" w:space="0"/>
              <w:right w:val="single" w:color="000000" w:sz="4" w:space="0"/>
            </w:tcBorders>
            <w:noWrap w:val="0"/>
            <w:vAlign w:val="top"/>
          </w:tcPr>
          <w:p w14:paraId="2FBFC7D4">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2923837.64</w:t>
            </w:r>
          </w:p>
        </w:tc>
        <w:tc>
          <w:tcPr>
            <w:tcW w:w="1971" w:type="dxa"/>
            <w:tcBorders>
              <w:top w:val="single" w:color="auto" w:sz="4" w:space="0"/>
              <w:left w:val="single" w:color="000000" w:sz="4" w:space="0"/>
              <w:bottom w:val="single" w:color="000000" w:sz="4" w:space="0"/>
              <w:right w:val="single" w:color="000000" w:sz="4" w:space="0"/>
            </w:tcBorders>
            <w:noWrap w:val="0"/>
            <w:vAlign w:val="top"/>
          </w:tcPr>
          <w:p w14:paraId="19D30823">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39524793.00</w:t>
            </w:r>
          </w:p>
        </w:tc>
      </w:tr>
      <w:tr w14:paraId="3377704F">
        <w:tblPrEx>
          <w:tblCellMar>
            <w:top w:w="15" w:type="dxa"/>
            <w:left w:w="15" w:type="dxa"/>
            <w:bottom w:w="15" w:type="dxa"/>
            <w:right w:w="15" w:type="dxa"/>
          </w:tblCellMar>
        </w:tblPrEx>
        <w:trPr>
          <w:trHeight w:val="90" w:hRule="atLeast"/>
          <w:jc w:val="center"/>
        </w:trPr>
        <w:tc>
          <w:tcPr>
            <w:tcW w:w="886" w:type="dxa"/>
            <w:tcBorders>
              <w:top w:val="single" w:color="000000" w:sz="4" w:space="0"/>
              <w:left w:val="single" w:color="000000" w:sz="4" w:space="0"/>
              <w:bottom w:val="single" w:color="auto" w:sz="4" w:space="0"/>
              <w:right w:val="single" w:color="000000" w:sz="4" w:space="0"/>
            </w:tcBorders>
            <w:noWrap w:val="0"/>
            <w:vAlign w:val="center"/>
          </w:tcPr>
          <w:p w14:paraId="2C1830D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H6</w:t>
            </w:r>
          </w:p>
        </w:tc>
        <w:tc>
          <w:tcPr>
            <w:tcW w:w="1764" w:type="dxa"/>
            <w:tcBorders>
              <w:top w:val="single" w:color="000000" w:sz="4" w:space="0"/>
              <w:left w:val="single" w:color="000000" w:sz="4" w:space="0"/>
              <w:bottom w:val="single" w:color="auto" w:sz="4" w:space="0"/>
              <w:right w:val="single" w:color="000000" w:sz="4" w:space="0"/>
            </w:tcBorders>
            <w:noWrap w:val="0"/>
            <w:vAlign w:val="top"/>
          </w:tcPr>
          <w:p w14:paraId="26C8535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2923756.75</w:t>
            </w:r>
          </w:p>
        </w:tc>
        <w:tc>
          <w:tcPr>
            <w:tcW w:w="1823" w:type="dxa"/>
            <w:tcBorders>
              <w:top w:val="single" w:color="000000" w:sz="4" w:space="0"/>
              <w:left w:val="single" w:color="000000" w:sz="4" w:space="0"/>
              <w:bottom w:val="single" w:color="auto" w:sz="4" w:space="0"/>
              <w:right w:val="single" w:color="000000" w:sz="4" w:space="0"/>
            </w:tcBorders>
            <w:noWrap w:val="0"/>
            <w:vAlign w:val="top"/>
          </w:tcPr>
          <w:p w14:paraId="6A6E6D86">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39524745.80</w:t>
            </w:r>
          </w:p>
        </w:tc>
        <w:tc>
          <w:tcPr>
            <w:tcW w:w="891" w:type="dxa"/>
            <w:tcBorders>
              <w:top w:val="single" w:color="000000" w:sz="4" w:space="0"/>
              <w:left w:val="single" w:color="000000" w:sz="4" w:space="0"/>
              <w:bottom w:val="single" w:color="auto" w:sz="4" w:space="0"/>
              <w:right w:val="single" w:color="000000" w:sz="4" w:space="0"/>
            </w:tcBorders>
            <w:noWrap w:val="0"/>
            <w:vAlign w:val="center"/>
          </w:tcPr>
          <w:p w14:paraId="59C3C0EA">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b w:val="0"/>
                <w:bCs w:val="0"/>
                <w:snapToGrid w:val="0"/>
                <w:color w:val="auto"/>
                <w:sz w:val="24"/>
                <w:szCs w:val="24"/>
                <w:highlight w:val="none"/>
                <w:lang w:val="en-US" w:eastAsia="zh-CN" w:bidi="ar-SA"/>
              </w:rPr>
            </w:pPr>
            <w:r>
              <w:rPr>
                <w:rFonts w:hint="eastAsia" w:ascii="Times New Roman" w:hAnsi="Times New Roman" w:eastAsia="宋体" w:cs="Times New Roman"/>
                <w:b w:val="0"/>
                <w:bCs w:val="0"/>
                <w:snapToGrid w:val="0"/>
                <w:color w:val="auto"/>
                <w:sz w:val="24"/>
                <w:szCs w:val="24"/>
                <w:highlight w:val="none"/>
                <w:lang w:val="en-US" w:eastAsia="zh-CN" w:bidi="ar-SA"/>
              </w:rPr>
              <w:t>H12</w:t>
            </w:r>
          </w:p>
        </w:tc>
        <w:tc>
          <w:tcPr>
            <w:tcW w:w="1713" w:type="dxa"/>
            <w:tcBorders>
              <w:top w:val="single" w:color="000000" w:sz="4" w:space="0"/>
              <w:left w:val="single" w:color="000000" w:sz="4" w:space="0"/>
              <w:bottom w:val="single" w:color="auto" w:sz="4" w:space="0"/>
              <w:right w:val="single" w:color="000000" w:sz="4" w:space="0"/>
            </w:tcBorders>
            <w:noWrap w:val="0"/>
            <w:vAlign w:val="top"/>
          </w:tcPr>
          <w:p w14:paraId="2E42B55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2923853.27</w:t>
            </w:r>
          </w:p>
        </w:tc>
        <w:tc>
          <w:tcPr>
            <w:tcW w:w="1971" w:type="dxa"/>
            <w:tcBorders>
              <w:top w:val="single" w:color="000000" w:sz="4" w:space="0"/>
              <w:left w:val="single" w:color="000000" w:sz="4" w:space="0"/>
              <w:bottom w:val="single" w:color="auto" w:sz="4" w:space="0"/>
              <w:right w:val="single" w:color="000000" w:sz="4" w:space="0"/>
            </w:tcBorders>
            <w:noWrap w:val="0"/>
            <w:vAlign w:val="top"/>
          </w:tcPr>
          <w:p w14:paraId="524C969B">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39524806.05</w:t>
            </w:r>
          </w:p>
        </w:tc>
      </w:tr>
      <w:tr w14:paraId="79972027">
        <w:tblPrEx>
          <w:tblCellMar>
            <w:top w:w="15" w:type="dxa"/>
            <w:left w:w="15" w:type="dxa"/>
            <w:bottom w:w="15" w:type="dxa"/>
            <w:right w:w="15" w:type="dxa"/>
          </w:tblCellMar>
        </w:tblPrEx>
        <w:trPr>
          <w:trHeight w:val="199" w:hRule="atLeast"/>
          <w:jc w:val="center"/>
        </w:trPr>
        <w:tc>
          <w:tcPr>
            <w:tcW w:w="9048" w:type="dxa"/>
            <w:gridSpan w:val="6"/>
            <w:tcBorders>
              <w:top w:val="single" w:color="auto" w:sz="4" w:space="0"/>
              <w:left w:val="single" w:color="000000" w:sz="4" w:space="0"/>
              <w:bottom w:val="single" w:color="000000" w:sz="4" w:space="0"/>
              <w:right w:val="single" w:color="000000" w:sz="4" w:space="0"/>
            </w:tcBorders>
            <w:noWrap w:val="0"/>
            <w:vAlign w:val="center"/>
          </w:tcPr>
          <w:p w14:paraId="20303CF9">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b w:val="0"/>
                <w:bCs w:val="0"/>
                <w:color w:val="auto"/>
                <w:sz w:val="24"/>
                <w:szCs w:val="24"/>
                <w:highlight w:val="none"/>
                <w:lang w:val="en-US" w:eastAsia="zh-CN"/>
              </w:rPr>
            </w:pPr>
            <w:r>
              <w:rPr>
                <w:rFonts w:hint="eastAsia" w:ascii="宋体" w:hAnsi="宋体"/>
                <w:b w:val="0"/>
                <w:bCs w:val="0"/>
                <w:color w:val="auto"/>
                <w:sz w:val="24"/>
                <w:szCs w:val="24"/>
                <w:highlight w:val="none"/>
                <w:lang w:val="en-US" w:eastAsia="zh-CN"/>
              </w:rPr>
              <w:t>面积为0.5173hm</w:t>
            </w:r>
            <w:r>
              <w:rPr>
                <w:rFonts w:hint="eastAsia" w:ascii="宋体" w:hAnsi="宋体"/>
                <w:b w:val="0"/>
                <w:bCs w:val="0"/>
                <w:color w:val="auto"/>
                <w:sz w:val="24"/>
                <w:szCs w:val="24"/>
                <w:highlight w:val="none"/>
                <w:vertAlign w:val="superscript"/>
                <w:lang w:val="en-US" w:eastAsia="zh-CN"/>
              </w:rPr>
              <w:t>2</w:t>
            </w:r>
          </w:p>
        </w:tc>
      </w:tr>
    </w:tbl>
    <w:p w14:paraId="140FDBA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拟建矿石中转场：经现场核查，本次拟将矿石中转场设置在4线附近矿山公路南侧。场地建设填筑形成人工边坡及平台，合理控制堆放矿石库容，场平填筑通过分层碾压、修建挡墙、排水沟和采用乔灌草相结合方式进行植被恢复及临时苫盖，可以避免区内发生滑塌、崩塌、地面沉降等灾害，从而确保区内不存在不稳定地质体。矿石中转场拐点坐标及面积详见表4-9。</w:t>
      </w:r>
    </w:p>
    <w:p w14:paraId="37B2A8BB">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1140" w:firstLineChars="400"/>
        <w:textAlignment w:val="baseline"/>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拟建矿石中转场功能区坐标表（2000坐标系）     表4-9</w:t>
      </w:r>
    </w:p>
    <w:tbl>
      <w:tblPr>
        <w:tblStyle w:val="18"/>
        <w:tblW w:w="9048" w:type="dxa"/>
        <w:jc w:val="center"/>
        <w:tblLayout w:type="fixed"/>
        <w:tblCellMar>
          <w:top w:w="15" w:type="dxa"/>
          <w:left w:w="15" w:type="dxa"/>
          <w:bottom w:w="15" w:type="dxa"/>
          <w:right w:w="15" w:type="dxa"/>
        </w:tblCellMar>
      </w:tblPr>
      <w:tblGrid>
        <w:gridCol w:w="886"/>
        <w:gridCol w:w="1764"/>
        <w:gridCol w:w="1823"/>
        <w:gridCol w:w="891"/>
        <w:gridCol w:w="1713"/>
        <w:gridCol w:w="1971"/>
      </w:tblGrid>
      <w:tr w14:paraId="1ACB3BEB">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auto" w:sz="4" w:space="0"/>
              <w:right w:val="single" w:color="000000" w:sz="4" w:space="0"/>
            </w:tcBorders>
            <w:noWrap w:val="0"/>
            <w:vAlign w:val="center"/>
          </w:tcPr>
          <w:p w14:paraId="6D0FC559">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拐点号</w:t>
            </w:r>
          </w:p>
        </w:tc>
        <w:tc>
          <w:tcPr>
            <w:tcW w:w="1764" w:type="dxa"/>
            <w:tcBorders>
              <w:top w:val="single" w:color="000000" w:sz="4" w:space="0"/>
              <w:left w:val="single" w:color="000000" w:sz="4" w:space="0"/>
              <w:bottom w:val="single" w:color="auto" w:sz="4" w:space="0"/>
              <w:right w:val="single" w:color="000000" w:sz="4" w:space="0"/>
            </w:tcBorders>
            <w:noWrap w:val="0"/>
            <w:vAlign w:val="center"/>
          </w:tcPr>
          <w:p w14:paraId="4904057B">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X坐标</w:t>
            </w:r>
          </w:p>
        </w:tc>
        <w:tc>
          <w:tcPr>
            <w:tcW w:w="1823" w:type="dxa"/>
            <w:tcBorders>
              <w:top w:val="single" w:color="000000" w:sz="4" w:space="0"/>
              <w:left w:val="single" w:color="000000" w:sz="4" w:space="0"/>
              <w:bottom w:val="single" w:color="auto" w:sz="4" w:space="0"/>
              <w:right w:val="single" w:color="000000" w:sz="4" w:space="0"/>
            </w:tcBorders>
            <w:noWrap w:val="0"/>
            <w:vAlign w:val="center"/>
          </w:tcPr>
          <w:p w14:paraId="3AA0B0F1">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Y坐标</w:t>
            </w:r>
          </w:p>
        </w:tc>
        <w:tc>
          <w:tcPr>
            <w:tcW w:w="891" w:type="dxa"/>
            <w:tcBorders>
              <w:top w:val="single" w:color="000000" w:sz="4" w:space="0"/>
              <w:left w:val="single" w:color="000000" w:sz="4" w:space="0"/>
              <w:bottom w:val="single" w:color="auto" w:sz="4" w:space="0"/>
              <w:right w:val="single" w:color="000000" w:sz="4" w:space="0"/>
            </w:tcBorders>
            <w:noWrap w:val="0"/>
            <w:vAlign w:val="center"/>
          </w:tcPr>
          <w:p w14:paraId="51041932">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拐点号</w:t>
            </w:r>
          </w:p>
        </w:tc>
        <w:tc>
          <w:tcPr>
            <w:tcW w:w="1713" w:type="dxa"/>
            <w:tcBorders>
              <w:top w:val="single" w:color="000000" w:sz="4" w:space="0"/>
              <w:left w:val="single" w:color="000000" w:sz="4" w:space="0"/>
              <w:bottom w:val="single" w:color="auto" w:sz="4" w:space="0"/>
              <w:right w:val="single" w:color="000000" w:sz="4" w:space="0"/>
            </w:tcBorders>
            <w:noWrap w:val="0"/>
            <w:vAlign w:val="center"/>
          </w:tcPr>
          <w:p w14:paraId="6244C039">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X坐标</w:t>
            </w:r>
          </w:p>
        </w:tc>
        <w:tc>
          <w:tcPr>
            <w:tcW w:w="1971" w:type="dxa"/>
            <w:tcBorders>
              <w:top w:val="single" w:color="000000" w:sz="4" w:space="0"/>
              <w:left w:val="single" w:color="000000" w:sz="4" w:space="0"/>
              <w:bottom w:val="single" w:color="auto" w:sz="4" w:space="0"/>
              <w:right w:val="single" w:color="000000" w:sz="4" w:space="0"/>
            </w:tcBorders>
            <w:noWrap w:val="0"/>
            <w:vAlign w:val="center"/>
          </w:tcPr>
          <w:p w14:paraId="1A58998B">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Y坐标</w:t>
            </w:r>
          </w:p>
        </w:tc>
      </w:tr>
      <w:tr w14:paraId="52F77C09">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7B9F869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Z1</w:t>
            </w:r>
          </w:p>
        </w:tc>
        <w:tc>
          <w:tcPr>
            <w:tcW w:w="1764" w:type="dxa"/>
            <w:tcBorders>
              <w:top w:val="single" w:color="000000" w:sz="4" w:space="0"/>
              <w:left w:val="single" w:color="000000" w:sz="4" w:space="0"/>
              <w:bottom w:val="single" w:color="000000" w:sz="4" w:space="0"/>
              <w:right w:val="single" w:color="000000" w:sz="4" w:space="0"/>
            </w:tcBorders>
            <w:noWrap w:val="0"/>
            <w:vAlign w:val="top"/>
          </w:tcPr>
          <w:p w14:paraId="56B6D58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2923925.21</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47348424">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39524658.60</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2FA0AED7">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Z6</w:t>
            </w:r>
          </w:p>
        </w:tc>
        <w:tc>
          <w:tcPr>
            <w:tcW w:w="1713" w:type="dxa"/>
            <w:tcBorders>
              <w:top w:val="single" w:color="000000" w:sz="4" w:space="0"/>
              <w:left w:val="single" w:color="000000" w:sz="4" w:space="0"/>
              <w:bottom w:val="single" w:color="000000" w:sz="4" w:space="0"/>
              <w:right w:val="single" w:color="000000" w:sz="4" w:space="0"/>
            </w:tcBorders>
            <w:noWrap w:val="0"/>
            <w:vAlign w:val="top"/>
          </w:tcPr>
          <w:p w14:paraId="4F01BD9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2923880.65</w:t>
            </w:r>
          </w:p>
        </w:tc>
        <w:tc>
          <w:tcPr>
            <w:tcW w:w="1971" w:type="dxa"/>
            <w:tcBorders>
              <w:top w:val="single" w:color="000000" w:sz="4" w:space="0"/>
              <w:left w:val="single" w:color="000000" w:sz="4" w:space="0"/>
              <w:bottom w:val="single" w:color="000000" w:sz="4" w:space="0"/>
              <w:right w:val="single" w:color="000000" w:sz="4" w:space="0"/>
            </w:tcBorders>
            <w:noWrap w:val="0"/>
            <w:vAlign w:val="top"/>
          </w:tcPr>
          <w:p w14:paraId="186988E9">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39524573.96</w:t>
            </w:r>
          </w:p>
        </w:tc>
      </w:tr>
      <w:tr w14:paraId="28075A0A">
        <w:tblPrEx>
          <w:tblCellMar>
            <w:top w:w="15" w:type="dxa"/>
            <w:left w:w="15" w:type="dxa"/>
            <w:bottom w:w="15" w:type="dxa"/>
            <w:right w:w="15" w:type="dxa"/>
          </w:tblCellMar>
        </w:tblPrEx>
        <w:trPr>
          <w:trHeight w:val="306" w:hRule="atLeast"/>
          <w:jc w:val="center"/>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36B3DE1">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Z2</w:t>
            </w:r>
          </w:p>
        </w:tc>
        <w:tc>
          <w:tcPr>
            <w:tcW w:w="1764" w:type="dxa"/>
            <w:tcBorders>
              <w:top w:val="single" w:color="000000" w:sz="4" w:space="0"/>
              <w:left w:val="single" w:color="000000" w:sz="4" w:space="0"/>
              <w:bottom w:val="single" w:color="000000" w:sz="4" w:space="0"/>
              <w:right w:val="single" w:color="000000" w:sz="4" w:space="0"/>
            </w:tcBorders>
            <w:noWrap w:val="0"/>
            <w:vAlign w:val="top"/>
          </w:tcPr>
          <w:p w14:paraId="589571D9">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2923893.31</w:t>
            </w:r>
          </w:p>
        </w:tc>
        <w:tc>
          <w:tcPr>
            <w:tcW w:w="1823" w:type="dxa"/>
            <w:tcBorders>
              <w:top w:val="single" w:color="000000" w:sz="4" w:space="0"/>
              <w:left w:val="single" w:color="000000" w:sz="4" w:space="0"/>
              <w:bottom w:val="single" w:color="000000" w:sz="4" w:space="0"/>
              <w:right w:val="single" w:color="000000" w:sz="4" w:space="0"/>
            </w:tcBorders>
            <w:noWrap w:val="0"/>
            <w:vAlign w:val="top"/>
          </w:tcPr>
          <w:p w14:paraId="537018E6">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39524650.37</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3F34E4CD">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Z7</w:t>
            </w:r>
          </w:p>
        </w:tc>
        <w:tc>
          <w:tcPr>
            <w:tcW w:w="1713" w:type="dxa"/>
            <w:tcBorders>
              <w:top w:val="single" w:color="000000" w:sz="4" w:space="0"/>
              <w:left w:val="single" w:color="000000" w:sz="4" w:space="0"/>
              <w:bottom w:val="single" w:color="000000" w:sz="4" w:space="0"/>
              <w:right w:val="single" w:color="000000" w:sz="4" w:space="0"/>
            </w:tcBorders>
            <w:noWrap w:val="0"/>
            <w:vAlign w:val="top"/>
          </w:tcPr>
          <w:p w14:paraId="66016069">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2923899.90</w:t>
            </w:r>
          </w:p>
        </w:tc>
        <w:tc>
          <w:tcPr>
            <w:tcW w:w="1971" w:type="dxa"/>
            <w:tcBorders>
              <w:top w:val="single" w:color="000000" w:sz="4" w:space="0"/>
              <w:left w:val="single" w:color="000000" w:sz="4" w:space="0"/>
              <w:bottom w:val="single" w:color="000000" w:sz="4" w:space="0"/>
              <w:right w:val="single" w:color="000000" w:sz="4" w:space="0"/>
            </w:tcBorders>
            <w:noWrap w:val="0"/>
            <w:vAlign w:val="top"/>
          </w:tcPr>
          <w:p w14:paraId="317F37BB">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39524560.70</w:t>
            </w:r>
          </w:p>
        </w:tc>
      </w:tr>
      <w:tr w14:paraId="78AC1136">
        <w:tblPrEx>
          <w:tblCellMar>
            <w:top w:w="15" w:type="dxa"/>
            <w:left w:w="15" w:type="dxa"/>
            <w:bottom w:w="15" w:type="dxa"/>
            <w:right w:w="15" w:type="dxa"/>
          </w:tblCellMar>
        </w:tblPrEx>
        <w:trPr>
          <w:trHeight w:val="90" w:hRule="atLeast"/>
          <w:jc w:val="center"/>
        </w:trPr>
        <w:tc>
          <w:tcPr>
            <w:tcW w:w="886" w:type="dxa"/>
            <w:tcBorders>
              <w:top w:val="single" w:color="000000" w:sz="4" w:space="0"/>
              <w:left w:val="single" w:color="000000" w:sz="4" w:space="0"/>
              <w:bottom w:val="single" w:color="auto" w:sz="4" w:space="0"/>
              <w:right w:val="single" w:color="000000" w:sz="4" w:space="0"/>
            </w:tcBorders>
            <w:noWrap w:val="0"/>
            <w:vAlign w:val="center"/>
          </w:tcPr>
          <w:p w14:paraId="2147F202">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Z3</w:t>
            </w:r>
          </w:p>
        </w:tc>
        <w:tc>
          <w:tcPr>
            <w:tcW w:w="1764" w:type="dxa"/>
            <w:tcBorders>
              <w:top w:val="single" w:color="000000" w:sz="4" w:space="0"/>
              <w:left w:val="single" w:color="000000" w:sz="4" w:space="0"/>
              <w:bottom w:val="single" w:color="auto" w:sz="4" w:space="0"/>
              <w:right w:val="single" w:color="000000" w:sz="4" w:space="0"/>
            </w:tcBorders>
            <w:noWrap w:val="0"/>
            <w:vAlign w:val="top"/>
          </w:tcPr>
          <w:p w14:paraId="06DFFCA4">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2923887.91</w:t>
            </w:r>
          </w:p>
        </w:tc>
        <w:tc>
          <w:tcPr>
            <w:tcW w:w="1823" w:type="dxa"/>
            <w:tcBorders>
              <w:top w:val="single" w:color="000000" w:sz="4" w:space="0"/>
              <w:left w:val="single" w:color="000000" w:sz="4" w:space="0"/>
              <w:bottom w:val="single" w:color="auto" w:sz="4" w:space="0"/>
              <w:right w:val="single" w:color="000000" w:sz="4" w:space="0"/>
            </w:tcBorders>
            <w:noWrap w:val="0"/>
            <w:vAlign w:val="top"/>
          </w:tcPr>
          <w:p w14:paraId="3DF5B759">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39524640.52</w:t>
            </w:r>
          </w:p>
        </w:tc>
        <w:tc>
          <w:tcPr>
            <w:tcW w:w="891" w:type="dxa"/>
            <w:tcBorders>
              <w:top w:val="single" w:color="000000" w:sz="4" w:space="0"/>
              <w:left w:val="single" w:color="000000" w:sz="4" w:space="0"/>
              <w:bottom w:val="single" w:color="auto" w:sz="4" w:space="0"/>
              <w:right w:val="single" w:color="000000" w:sz="4" w:space="0"/>
            </w:tcBorders>
            <w:noWrap w:val="0"/>
            <w:vAlign w:val="center"/>
          </w:tcPr>
          <w:p w14:paraId="3C5037C8">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Z8</w:t>
            </w:r>
          </w:p>
        </w:tc>
        <w:tc>
          <w:tcPr>
            <w:tcW w:w="1713" w:type="dxa"/>
            <w:tcBorders>
              <w:top w:val="single" w:color="000000" w:sz="4" w:space="0"/>
              <w:left w:val="single" w:color="000000" w:sz="4" w:space="0"/>
              <w:bottom w:val="single" w:color="auto" w:sz="4" w:space="0"/>
              <w:right w:val="single" w:color="000000" w:sz="4" w:space="0"/>
            </w:tcBorders>
            <w:noWrap w:val="0"/>
            <w:vAlign w:val="top"/>
          </w:tcPr>
          <w:p w14:paraId="75D7B5B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2923909.83</w:t>
            </w:r>
          </w:p>
        </w:tc>
        <w:tc>
          <w:tcPr>
            <w:tcW w:w="1971" w:type="dxa"/>
            <w:tcBorders>
              <w:top w:val="single" w:color="000000" w:sz="4" w:space="0"/>
              <w:left w:val="single" w:color="000000" w:sz="4" w:space="0"/>
              <w:bottom w:val="single" w:color="auto" w:sz="4" w:space="0"/>
              <w:right w:val="single" w:color="000000" w:sz="4" w:space="0"/>
            </w:tcBorders>
            <w:noWrap w:val="0"/>
            <w:vAlign w:val="top"/>
          </w:tcPr>
          <w:p w14:paraId="21589DEC">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39524556.64</w:t>
            </w:r>
          </w:p>
        </w:tc>
      </w:tr>
      <w:tr w14:paraId="72E0FE91">
        <w:tblPrEx>
          <w:tblCellMar>
            <w:top w:w="15" w:type="dxa"/>
            <w:left w:w="15" w:type="dxa"/>
            <w:bottom w:w="15" w:type="dxa"/>
            <w:right w:w="15" w:type="dxa"/>
          </w:tblCellMar>
        </w:tblPrEx>
        <w:trPr>
          <w:trHeight w:val="160"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3F93418F">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Z4</w:t>
            </w:r>
          </w:p>
        </w:tc>
        <w:tc>
          <w:tcPr>
            <w:tcW w:w="1764" w:type="dxa"/>
            <w:tcBorders>
              <w:top w:val="single" w:color="auto" w:sz="4" w:space="0"/>
              <w:left w:val="single" w:color="000000" w:sz="4" w:space="0"/>
              <w:bottom w:val="single" w:color="auto" w:sz="4" w:space="0"/>
              <w:right w:val="single" w:color="000000" w:sz="4" w:space="0"/>
            </w:tcBorders>
            <w:noWrap w:val="0"/>
            <w:vAlign w:val="top"/>
          </w:tcPr>
          <w:p w14:paraId="3B347580">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2923879.47</w:t>
            </w:r>
          </w:p>
        </w:tc>
        <w:tc>
          <w:tcPr>
            <w:tcW w:w="1823" w:type="dxa"/>
            <w:tcBorders>
              <w:top w:val="single" w:color="auto" w:sz="4" w:space="0"/>
              <w:left w:val="single" w:color="000000" w:sz="4" w:space="0"/>
              <w:bottom w:val="single" w:color="auto" w:sz="4" w:space="0"/>
              <w:right w:val="single" w:color="000000" w:sz="4" w:space="0"/>
            </w:tcBorders>
            <w:noWrap w:val="0"/>
            <w:vAlign w:val="top"/>
          </w:tcPr>
          <w:p w14:paraId="0C70F96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39524597.40</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2A01EA4D">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Z9</w:t>
            </w:r>
          </w:p>
        </w:tc>
        <w:tc>
          <w:tcPr>
            <w:tcW w:w="1713" w:type="dxa"/>
            <w:tcBorders>
              <w:top w:val="single" w:color="auto" w:sz="4" w:space="0"/>
              <w:left w:val="single" w:color="000000" w:sz="4" w:space="0"/>
              <w:bottom w:val="single" w:color="auto" w:sz="4" w:space="0"/>
              <w:right w:val="single" w:color="000000" w:sz="4" w:space="0"/>
            </w:tcBorders>
            <w:noWrap w:val="0"/>
            <w:vAlign w:val="top"/>
          </w:tcPr>
          <w:p w14:paraId="1387CAC8">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2923920.40</w:t>
            </w:r>
          </w:p>
        </w:tc>
        <w:tc>
          <w:tcPr>
            <w:tcW w:w="1971" w:type="dxa"/>
            <w:tcBorders>
              <w:top w:val="single" w:color="auto" w:sz="4" w:space="0"/>
              <w:left w:val="single" w:color="000000" w:sz="4" w:space="0"/>
              <w:bottom w:val="single" w:color="auto" w:sz="4" w:space="0"/>
              <w:right w:val="single" w:color="000000" w:sz="4" w:space="0"/>
            </w:tcBorders>
            <w:noWrap w:val="0"/>
            <w:vAlign w:val="top"/>
          </w:tcPr>
          <w:p w14:paraId="48C0D926">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39524609.49</w:t>
            </w:r>
          </w:p>
        </w:tc>
      </w:tr>
      <w:tr w14:paraId="06283C06">
        <w:tblPrEx>
          <w:tblCellMar>
            <w:top w:w="15" w:type="dxa"/>
            <w:left w:w="15" w:type="dxa"/>
            <w:bottom w:w="15" w:type="dxa"/>
            <w:right w:w="15" w:type="dxa"/>
          </w:tblCellMar>
        </w:tblPrEx>
        <w:trPr>
          <w:trHeight w:val="126" w:hRule="atLeast"/>
          <w:jc w:val="center"/>
        </w:trPr>
        <w:tc>
          <w:tcPr>
            <w:tcW w:w="886" w:type="dxa"/>
            <w:tcBorders>
              <w:top w:val="single" w:color="auto" w:sz="4" w:space="0"/>
              <w:left w:val="single" w:color="000000" w:sz="4" w:space="0"/>
              <w:bottom w:val="single" w:color="auto" w:sz="4" w:space="0"/>
              <w:right w:val="single" w:color="000000" w:sz="4" w:space="0"/>
            </w:tcBorders>
            <w:noWrap w:val="0"/>
            <w:vAlign w:val="center"/>
          </w:tcPr>
          <w:p w14:paraId="2BA17F03">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Z5</w:t>
            </w:r>
          </w:p>
        </w:tc>
        <w:tc>
          <w:tcPr>
            <w:tcW w:w="1764" w:type="dxa"/>
            <w:tcBorders>
              <w:top w:val="single" w:color="auto" w:sz="4" w:space="0"/>
              <w:left w:val="single" w:color="000000" w:sz="4" w:space="0"/>
              <w:bottom w:val="single" w:color="auto" w:sz="4" w:space="0"/>
              <w:right w:val="single" w:color="000000" w:sz="4" w:space="0"/>
            </w:tcBorders>
            <w:noWrap w:val="0"/>
            <w:vAlign w:val="top"/>
          </w:tcPr>
          <w:p w14:paraId="5876954E">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2923869.67</w:t>
            </w:r>
          </w:p>
        </w:tc>
        <w:tc>
          <w:tcPr>
            <w:tcW w:w="1823" w:type="dxa"/>
            <w:tcBorders>
              <w:top w:val="single" w:color="auto" w:sz="4" w:space="0"/>
              <w:left w:val="single" w:color="000000" w:sz="4" w:space="0"/>
              <w:bottom w:val="single" w:color="auto" w:sz="4" w:space="0"/>
              <w:right w:val="single" w:color="000000" w:sz="4" w:space="0"/>
            </w:tcBorders>
            <w:noWrap w:val="0"/>
            <w:vAlign w:val="top"/>
          </w:tcPr>
          <w:p w14:paraId="40940DCB">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39524579.20</w:t>
            </w:r>
          </w:p>
        </w:tc>
        <w:tc>
          <w:tcPr>
            <w:tcW w:w="891" w:type="dxa"/>
            <w:tcBorders>
              <w:top w:val="single" w:color="auto" w:sz="4" w:space="0"/>
              <w:left w:val="single" w:color="000000" w:sz="4" w:space="0"/>
              <w:bottom w:val="single" w:color="auto" w:sz="4" w:space="0"/>
              <w:right w:val="single" w:color="000000" w:sz="4" w:space="0"/>
            </w:tcBorders>
            <w:noWrap w:val="0"/>
            <w:vAlign w:val="center"/>
          </w:tcPr>
          <w:p w14:paraId="258CE6A4">
            <w:pPr>
              <w:pStyle w:val="6"/>
              <w:kinsoku/>
              <w:wordWrap/>
              <w:overflowPunct/>
              <w:topLinePunct w:val="0"/>
              <w:autoSpaceDE/>
              <w:autoSpaceDN/>
              <w:bidi w:val="0"/>
              <w:adjustRightInd/>
              <w:snapToGrid w:val="0"/>
              <w:spacing w:line="240" w:lineRule="auto"/>
              <w:ind w:left="0" w:leftChars="0" w:right="11" w:rightChars="0" w:firstLine="0" w:firstLineChars="0"/>
              <w:jc w:val="center"/>
              <w:rPr>
                <w:rFonts w:hint="default" w:ascii="Times New Roman" w:hAnsi="Times New Roman" w:eastAsia="宋体" w:cs="Times New Roman"/>
                <w:snapToGrid w:val="0"/>
                <w:color w:val="auto"/>
                <w:sz w:val="24"/>
                <w:szCs w:val="24"/>
                <w:highlight w:val="none"/>
                <w:lang w:val="en-US" w:eastAsia="zh-CN" w:bidi="ar-SA"/>
              </w:rPr>
            </w:pPr>
            <w:r>
              <w:rPr>
                <w:rFonts w:hint="eastAsia" w:ascii="Times New Roman" w:hAnsi="Times New Roman" w:eastAsia="宋体" w:cs="Times New Roman"/>
                <w:snapToGrid w:val="0"/>
                <w:color w:val="auto"/>
                <w:sz w:val="24"/>
                <w:szCs w:val="24"/>
                <w:highlight w:val="none"/>
                <w:lang w:val="en-US" w:eastAsia="zh-CN" w:bidi="ar-SA"/>
              </w:rPr>
              <w:t>Z10</w:t>
            </w:r>
          </w:p>
        </w:tc>
        <w:tc>
          <w:tcPr>
            <w:tcW w:w="1713" w:type="dxa"/>
            <w:tcBorders>
              <w:top w:val="single" w:color="auto" w:sz="4" w:space="0"/>
              <w:left w:val="single" w:color="000000" w:sz="4" w:space="0"/>
              <w:bottom w:val="single" w:color="auto" w:sz="4" w:space="0"/>
              <w:right w:val="single" w:color="000000" w:sz="4" w:space="0"/>
            </w:tcBorders>
            <w:noWrap w:val="0"/>
            <w:vAlign w:val="top"/>
          </w:tcPr>
          <w:p w14:paraId="6278E359">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2923923.78</w:t>
            </w:r>
          </w:p>
        </w:tc>
        <w:tc>
          <w:tcPr>
            <w:tcW w:w="1971" w:type="dxa"/>
            <w:tcBorders>
              <w:top w:val="single" w:color="auto" w:sz="4" w:space="0"/>
              <w:left w:val="single" w:color="000000" w:sz="4" w:space="0"/>
              <w:bottom w:val="single" w:color="auto" w:sz="4" w:space="0"/>
              <w:right w:val="single" w:color="000000" w:sz="4" w:space="0"/>
            </w:tcBorders>
            <w:noWrap w:val="0"/>
            <w:vAlign w:val="top"/>
          </w:tcPr>
          <w:p w14:paraId="54B9EABD">
            <w:pPr>
              <w:pStyle w:val="6"/>
              <w:kinsoku/>
              <w:wordWrap/>
              <w:overflowPunct/>
              <w:topLinePunct w:val="0"/>
              <w:autoSpaceDE/>
              <w:autoSpaceDN/>
              <w:bidi w:val="0"/>
              <w:adjustRightInd/>
              <w:snapToGrid w:val="0"/>
              <w:spacing w:line="240" w:lineRule="auto"/>
              <w:ind w:left="0" w:leftChars="0" w:right="11"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39524634.12</w:t>
            </w:r>
          </w:p>
        </w:tc>
      </w:tr>
      <w:tr w14:paraId="71EBA607">
        <w:tblPrEx>
          <w:tblCellMar>
            <w:top w:w="15" w:type="dxa"/>
            <w:left w:w="15" w:type="dxa"/>
            <w:bottom w:w="15" w:type="dxa"/>
            <w:right w:w="15" w:type="dxa"/>
          </w:tblCellMar>
        </w:tblPrEx>
        <w:trPr>
          <w:trHeight w:val="199" w:hRule="atLeast"/>
          <w:jc w:val="center"/>
        </w:trPr>
        <w:tc>
          <w:tcPr>
            <w:tcW w:w="9048" w:type="dxa"/>
            <w:gridSpan w:val="6"/>
            <w:tcBorders>
              <w:top w:val="single" w:color="auto" w:sz="4" w:space="0"/>
              <w:left w:val="single" w:color="000000" w:sz="4" w:space="0"/>
              <w:bottom w:val="single" w:color="000000" w:sz="4" w:space="0"/>
              <w:right w:val="single" w:color="000000" w:sz="4" w:space="0"/>
            </w:tcBorders>
            <w:noWrap w:val="0"/>
            <w:vAlign w:val="center"/>
          </w:tcPr>
          <w:p w14:paraId="0A66362A">
            <w:pPr>
              <w:pStyle w:val="6"/>
              <w:kinsoku/>
              <w:wordWrap/>
              <w:overflowPunct/>
              <w:topLinePunct w:val="0"/>
              <w:autoSpaceDE/>
              <w:autoSpaceDN/>
              <w:bidi w:val="0"/>
              <w:adjustRightInd/>
              <w:snapToGrid w:val="0"/>
              <w:spacing w:line="240" w:lineRule="auto"/>
              <w:ind w:left="0" w:leftChars="0" w:right="11"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t>面积为0.3374hm</w:t>
            </w:r>
            <w:r>
              <w:rPr>
                <w:rFonts w:hint="eastAsia" w:ascii="宋体" w:hAnsi="宋体"/>
                <w:color w:val="auto"/>
                <w:sz w:val="24"/>
                <w:szCs w:val="24"/>
                <w:highlight w:val="none"/>
                <w:vertAlign w:val="superscript"/>
                <w:lang w:val="en-US" w:eastAsia="zh-CN"/>
              </w:rPr>
              <w:t>2</w:t>
            </w:r>
          </w:p>
        </w:tc>
      </w:tr>
    </w:tbl>
    <w:p w14:paraId="4FF8BFC3">
      <w:pPr>
        <w:pStyle w:val="11"/>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70" w:firstLineChars="200"/>
        <w:textAlignment w:val="baseline"/>
        <w:rPr>
          <w:rFonts w:hint="default"/>
          <w:color w:val="auto"/>
          <w:highlight w:val="none"/>
          <w:lang w:val="en-US" w:eastAsia="zh-CN"/>
        </w:rPr>
      </w:pPr>
      <w:r>
        <w:rPr>
          <w:rFonts w:hint="eastAsia" w:ascii="宋体" w:hAnsi="宋体" w:eastAsia="宋体" w:cs="宋体"/>
          <w:color w:val="auto"/>
          <w:sz w:val="28"/>
          <w:szCs w:val="28"/>
          <w:highlight w:val="none"/>
          <w:lang w:val="en-US" w:eastAsia="zh-CN"/>
        </w:rPr>
        <w:t>2、硐口段</w:t>
      </w:r>
    </w:p>
    <w:p w14:paraId="1969118F">
      <w:pPr>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XPD456安全出口（原主运输硐口）：</w:t>
      </w:r>
      <w:r>
        <w:rPr>
          <w:rFonts w:hint="eastAsia" w:ascii="Times New Roman" w:hAnsi="Times New Roman" w:eastAsia="宋体"/>
          <w:color w:val="auto"/>
          <w:sz w:val="28"/>
          <w:szCs w:val="28"/>
          <w:highlight w:val="none"/>
        </w:rPr>
        <w:t>位于矿区</w:t>
      </w:r>
      <w:r>
        <w:rPr>
          <w:rFonts w:hint="eastAsia" w:ascii="Times New Roman" w:hAnsi="Times New Roman" w:eastAsia="宋体"/>
          <w:color w:val="auto"/>
          <w:sz w:val="28"/>
          <w:szCs w:val="28"/>
          <w:highlight w:val="none"/>
          <w:lang w:eastAsia="zh-CN"/>
        </w:rPr>
        <w:t>东部</w:t>
      </w:r>
      <w:r>
        <w:rPr>
          <w:rFonts w:hint="eastAsia" w:ascii="Times New Roman" w:hAnsi="Times New Roman" w:eastAsia="宋体"/>
          <w:color w:val="auto"/>
          <w:sz w:val="28"/>
          <w:szCs w:val="28"/>
          <w:highlight w:val="none"/>
        </w:rPr>
        <w:t>南</w:t>
      </w:r>
      <w:r>
        <w:rPr>
          <w:rFonts w:hint="eastAsia" w:ascii="Times New Roman" w:hAnsi="Times New Roman" w:eastAsia="宋体"/>
          <w:color w:val="auto"/>
          <w:sz w:val="28"/>
          <w:szCs w:val="28"/>
          <w:highlight w:val="none"/>
          <w:lang w:eastAsia="zh-CN"/>
        </w:rPr>
        <w:t>侧</w:t>
      </w:r>
      <w:r>
        <w:rPr>
          <w:rFonts w:hint="eastAsia" w:ascii="Times New Roman" w:hAnsi="Times New Roman" w:eastAsia="宋体"/>
          <w:color w:val="auto"/>
          <w:sz w:val="28"/>
          <w:szCs w:val="28"/>
          <w:highlight w:val="none"/>
          <w:lang w:val="zh-CN"/>
        </w:rPr>
        <w:t>，场地占地面积为</w:t>
      </w:r>
      <w:r>
        <w:rPr>
          <w:rFonts w:hint="eastAsia" w:ascii="Times New Roman" w:hAnsi="Times New Roman" w:eastAsia="宋体"/>
          <w:color w:val="auto"/>
          <w:sz w:val="28"/>
          <w:szCs w:val="28"/>
          <w:highlight w:val="none"/>
          <w:lang w:val="en-US" w:eastAsia="zh-CN"/>
        </w:rPr>
        <w:t>0.0347</w:t>
      </w:r>
      <w:r>
        <w:rPr>
          <w:rFonts w:hint="eastAsia" w:ascii="Times New Roman" w:hAnsi="Times New Roman" w:eastAsia="宋体"/>
          <w:color w:val="auto"/>
          <w:sz w:val="28"/>
          <w:szCs w:val="28"/>
          <w:highlight w:val="none"/>
          <w:lang w:val="zh-CN"/>
        </w:rPr>
        <w:t>hm</w:t>
      </w:r>
      <w:r>
        <w:rPr>
          <w:rFonts w:hint="eastAsia" w:ascii="Times New Roman" w:hAnsi="Times New Roman" w:eastAsia="宋体"/>
          <w:color w:val="auto"/>
          <w:sz w:val="28"/>
          <w:szCs w:val="28"/>
          <w:highlight w:val="none"/>
          <w:vertAlign w:val="superscript"/>
          <w:lang w:val="zh-CN"/>
        </w:rPr>
        <w:t>2</w:t>
      </w:r>
      <w:r>
        <w:rPr>
          <w:rFonts w:hint="eastAsia" w:ascii="Times New Roman" w:hAnsi="Times New Roman" w:eastAsia="宋体"/>
          <w:color w:val="auto"/>
          <w:sz w:val="28"/>
          <w:szCs w:val="28"/>
          <w:highlight w:val="none"/>
          <w:lang w:val="zh-CN"/>
        </w:rPr>
        <w:t>，</w:t>
      </w:r>
      <w:r>
        <w:rPr>
          <w:rFonts w:hint="eastAsia" w:ascii="Times New Roman" w:hAnsi="Times New Roman" w:eastAsia="宋体"/>
          <w:color w:val="auto"/>
          <w:sz w:val="28"/>
          <w:szCs w:val="28"/>
          <w:highlight w:val="none"/>
        </w:rPr>
        <w:t>井口</w:t>
      </w:r>
      <w:r>
        <w:rPr>
          <w:rFonts w:hint="eastAsia" w:ascii="Times New Roman" w:hAnsi="Times New Roman" w:eastAsia="宋体"/>
          <w:color w:val="auto"/>
          <w:sz w:val="28"/>
          <w:szCs w:val="28"/>
          <w:highlight w:val="none"/>
          <w:lang w:val="zh-CN"/>
        </w:rPr>
        <w:t>已采取支护及后方截排水沟、植被恢复措施，</w:t>
      </w:r>
      <w:r>
        <w:rPr>
          <w:rFonts w:hint="eastAsia" w:ascii="Times New Roman" w:hAnsi="Times New Roman" w:eastAsia="宋体"/>
          <w:color w:val="auto"/>
          <w:sz w:val="28"/>
          <w:szCs w:val="28"/>
          <w:highlight w:val="none"/>
        </w:rPr>
        <w:t>现状稳定，</w:t>
      </w:r>
      <w:r>
        <w:rPr>
          <w:rFonts w:hint="eastAsia" w:ascii="Times New Roman" w:hAnsi="Times New Roman" w:eastAsia="宋体"/>
          <w:color w:val="auto"/>
          <w:sz w:val="28"/>
          <w:szCs w:val="28"/>
          <w:highlight w:val="none"/>
          <w:lang w:eastAsia="zh-CN"/>
        </w:rPr>
        <w:t>后续可作为安全出口使用</w:t>
      </w:r>
      <w:r>
        <w:rPr>
          <w:rFonts w:hint="eastAsia" w:ascii="宋体" w:hAnsi="宋体" w:eastAsia="宋体" w:cs="宋体"/>
          <w:color w:val="auto"/>
          <w:sz w:val="28"/>
          <w:szCs w:val="28"/>
          <w:highlight w:val="none"/>
          <w:lang w:val="en-US" w:eastAsia="zh-CN"/>
        </w:rPr>
        <w:t>。</w:t>
      </w:r>
    </w:p>
    <w:p w14:paraId="07E1ADE9">
      <w:pPr>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XJ472回风斜井硐口：</w:t>
      </w:r>
      <w:r>
        <w:rPr>
          <w:rFonts w:hint="eastAsia" w:ascii="Times New Roman" w:hAnsi="Times New Roman" w:eastAsia="宋体" w:cs="宋体"/>
          <w:color w:val="auto"/>
          <w:sz w:val="28"/>
          <w:szCs w:val="28"/>
          <w:highlight w:val="none"/>
        </w:rPr>
        <w:t>位于矿区</w:t>
      </w:r>
      <w:r>
        <w:rPr>
          <w:rFonts w:hint="eastAsia" w:ascii="Times New Roman" w:hAnsi="Times New Roman" w:eastAsia="宋体" w:cs="仿宋_GB2312"/>
          <w:color w:val="auto"/>
          <w:kern w:val="0"/>
          <w:sz w:val="28"/>
          <w:szCs w:val="28"/>
          <w:highlight w:val="none"/>
          <w:lang w:eastAsia="zh-CN"/>
        </w:rPr>
        <w:t>东侧中部</w:t>
      </w:r>
      <w:r>
        <w:rPr>
          <w:rFonts w:hint="eastAsia" w:ascii="Times New Roman" w:hAnsi="Times New Roman" w:eastAsia="宋体" w:cs="宋体"/>
          <w:color w:val="auto"/>
          <w:sz w:val="28"/>
          <w:szCs w:val="28"/>
          <w:highlight w:val="none"/>
        </w:rPr>
        <w:t>，</w:t>
      </w:r>
      <w:r>
        <w:rPr>
          <w:rFonts w:hint="eastAsia" w:ascii="Times New Roman" w:hAnsi="Times New Roman" w:eastAsia="宋体" w:cs="仿宋_GB2312"/>
          <w:color w:val="auto"/>
          <w:kern w:val="0"/>
          <w:sz w:val="28"/>
          <w:szCs w:val="28"/>
          <w:highlight w:val="none"/>
          <w:lang w:val="zh-CN"/>
        </w:rPr>
        <w:t>场地占地面积为</w:t>
      </w:r>
      <w:r>
        <w:rPr>
          <w:rFonts w:hint="eastAsia" w:ascii="Times New Roman" w:hAnsi="Times New Roman" w:eastAsia="宋体" w:cs="仿宋_GB2312"/>
          <w:color w:val="auto"/>
          <w:kern w:val="0"/>
          <w:sz w:val="28"/>
          <w:szCs w:val="28"/>
          <w:highlight w:val="none"/>
          <w:lang w:val="en-US" w:eastAsia="zh-CN"/>
        </w:rPr>
        <w:t>0.0325</w:t>
      </w:r>
      <w:r>
        <w:rPr>
          <w:rFonts w:hint="eastAsia" w:ascii="Times New Roman" w:hAnsi="Times New Roman" w:eastAsia="宋体" w:cs="仿宋_GB2312"/>
          <w:color w:val="auto"/>
          <w:kern w:val="0"/>
          <w:sz w:val="28"/>
          <w:szCs w:val="28"/>
          <w:highlight w:val="none"/>
          <w:lang w:val="zh-CN"/>
        </w:rPr>
        <w:t>hm</w:t>
      </w:r>
      <w:r>
        <w:rPr>
          <w:rFonts w:hint="eastAsia" w:ascii="Times New Roman" w:hAnsi="Times New Roman" w:eastAsia="宋体" w:cs="仿宋_GB2312"/>
          <w:color w:val="auto"/>
          <w:kern w:val="0"/>
          <w:sz w:val="28"/>
          <w:szCs w:val="28"/>
          <w:highlight w:val="none"/>
          <w:vertAlign w:val="superscript"/>
          <w:lang w:val="zh-CN"/>
        </w:rPr>
        <w:t>2</w:t>
      </w:r>
      <w:r>
        <w:rPr>
          <w:rFonts w:hint="eastAsia" w:ascii="Times New Roman" w:hAnsi="Times New Roman" w:eastAsia="宋体" w:cs="仿宋_GB2312"/>
          <w:color w:val="auto"/>
          <w:kern w:val="0"/>
          <w:sz w:val="28"/>
          <w:szCs w:val="28"/>
          <w:highlight w:val="none"/>
          <w:lang w:val="zh-CN"/>
        </w:rPr>
        <w:t>，</w:t>
      </w:r>
      <w:r>
        <w:rPr>
          <w:rFonts w:hint="eastAsia" w:ascii="Times New Roman" w:hAnsi="Times New Roman" w:eastAsia="宋体"/>
          <w:color w:val="auto"/>
          <w:sz w:val="28"/>
          <w:szCs w:val="28"/>
          <w:highlight w:val="none"/>
        </w:rPr>
        <w:t>井口</w:t>
      </w:r>
      <w:r>
        <w:rPr>
          <w:rFonts w:ascii="Times New Roman" w:hAnsi="Times New Roman" w:eastAsia="宋体" w:cs="仿宋_GB2312"/>
          <w:color w:val="auto"/>
          <w:kern w:val="0"/>
          <w:sz w:val="28"/>
          <w:szCs w:val="28"/>
          <w:highlight w:val="none"/>
          <w:lang w:val="zh-CN"/>
        </w:rPr>
        <w:t>已采取支护</w:t>
      </w:r>
      <w:r>
        <w:rPr>
          <w:rFonts w:hint="eastAsia" w:ascii="Times New Roman" w:hAnsi="Times New Roman" w:eastAsia="宋体"/>
          <w:color w:val="auto"/>
          <w:sz w:val="28"/>
          <w:szCs w:val="28"/>
          <w:highlight w:val="none"/>
          <w:lang w:val="zh-CN"/>
        </w:rPr>
        <w:t>和植被恢复措施</w:t>
      </w:r>
      <w:r>
        <w:rPr>
          <w:rFonts w:ascii="Times New Roman" w:hAnsi="Times New Roman" w:eastAsia="宋体" w:cs="仿宋_GB2312"/>
          <w:color w:val="auto"/>
          <w:kern w:val="0"/>
          <w:sz w:val="28"/>
          <w:szCs w:val="28"/>
          <w:highlight w:val="none"/>
          <w:lang w:val="zh-CN"/>
        </w:rPr>
        <w:t>，</w:t>
      </w:r>
      <w:r>
        <w:rPr>
          <w:rFonts w:hint="eastAsia" w:ascii="Times New Roman" w:hAnsi="Times New Roman" w:eastAsia="宋体" w:cs="宋体"/>
          <w:color w:val="auto"/>
          <w:sz w:val="28"/>
          <w:szCs w:val="28"/>
          <w:highlight w:val="none"/>
        </w:rPr>
        <w:t>现状稳定，场地可继续用于通风井</w:t>
      </w:r>
      <w:r>
        <w:rPr>
          <w:rFonts w:hint="eastAsia" w:ascii="宋体" w:hAnsi="宋体" w:eastAsia="宋体" w:cs="宋体"/>
          <w:color w:val="auto"/>
          <w:sz w:val="28"/>
          <w:szCs w:val="28"/>
          <w:highlight w:val="none"/>
          <w:lang w:val="en-US" w:eastAsia="zh-CN"/>
        </w:rPr>
        <w:t>。</w:t>
      </w:r>
    </w:p>
    <w:p w14:paraId="4DFBF3A7">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Times New Roman" w:hAnsi="Times New Roman" w:eastAsia="宋体"/>
          <w:color w:val="auto"/>
          <w:sz w:val="28"/>
          <w:szCs w:val="28"/>
          <w:highlight w:val="none"/>
        </w:rPr>
      </w:pPr>
      <w:r>
        <w:rPr>
          <w:rFonts w:hint="eastAsia" w:ascii="Times New Roman" w:hAnsi="Times New Roman" w:eastAsia="宋体" w:cs="仿宋_GB2312"/>
          <w:color w:val="auto"/>
          <w:kern w:val="0"/>
          <w:sz w:val="28"/>
          <w:szCs w:val="28"/>
          <w:highlight w:val="none"/>
          <w:lang w:val="zh-CN"/>
        </w:rPr>
        <w:t>新设主平硐(</w:t>
      </w:r>
      <w:r>
        <w:rPr>
          <w:rFonts w:hint="eastAsia" w:ascii="Times New Roman" w:hAnsi="Times New Roman" w:eastAsia="宋体"/>
          <w:color w:val="auto"/>
          <w:sz w:val="28"/>
          <w:szCs w:val="28"/>
          <w:highlight w:val="none"/>
        </w:rPr>
        <w:t>PD</w:t>
      </w:r>
      <w:r>
        <w:rPr>
          <w:rFonts w:hint="eastAsia" w:ascii="Times New Roman" w:hAnsi="Times New Roman" w:eastAsia="宋体"/>
          <w:color w:val="auto"/>
          <w:sz w:val="28"/>
          <w:szCs w:val="28"/>
          <w:highlight w:val="none"/>
          <w:lang w:val="en-US" w:eastAsia="zh-CN"/>
        </w:rPr>
        <w:t>443</w:t>
      </w:r>
      <w:r>
        <w:rPr>
          <w:rFonts w:hint="eastAsia" w:ascii="Times New Roman" w:hAnsi="Times New Roman" w:eastAsia="宋体"/>
          <w:color w:val="auto"/>
          <w:sz w:val="28"/>
          <w:szCs w:val="28"/>
          <w:highlight w:val="none"/>
        </w:rPr>
        <w:t>)</w:t>
      </w:r>
      <w:r>
        <w:rPr>
          <w:rFonts w:hint="eastAsia" w:ascii="Times New Roman" w:hAnsi="Times New Roman" w:eastAsia="宋体"/>
          <w:color w:val="auto"/>
          <w:sz w:val="28"/>
          <w:szCs w:val="28"/>
          <w:highlight w:val="none"/>
          <w:lang w:eastAsia="zh-CN"/>
        </w:rPr>
        <w:t>：</w:t>
      </w:r>
      <w:r>
        <w:rPr>
          <w:rFonts w:hint="eastAsia" w:ascii="Times New Roman" w:hAnsi="Times New Roman" w:eastAsia="宋体" w:cs="仿宋_GB2312"/>
          <w:color w:val="auto"/>
          <w:kern w:val="0"/>
          <w:sz w:val="28"/>
          <w:szCs w:val="28"/>
          <w:highlight w:val="none"/>
        </w:rPr>
        <w:t>位于矿区</w:t>
      </w:r>
      <w:r>
        <w:rPr>
          <w:rFonts w:hint="eastAsia" w:ascii="Times New Roman" w:hAnsi="Times New Roman" w:eastAsia="宋体" w:cs="仿宋_GB2312"/>
          <w:color w:val="auto"/>
          <w:kern w:val="0"/>
          <w:sz w:val="28"/>
          <w:szCs w:val="28"/>
          <w:highlight w:val="none"/>
          <w:lang w:eastAsia="zh-CN"/>
        </w:rPr>
        <w:t>西</w:t>
      </w:r>
      <w:r>
        <w:rPr>
          <w:rFonts w:hint="eastAsia" w:ascii="Times New Roman" w:hAnsi="Times New Roman" w:eastAsia="宋体" w:cs="仿宋_GB2312"/>
          <w:color w:val="auto"/>
          <w:kern w:val="0"/>
          <w:sz w:val="28"/>
          <w:szCs w:val="28"/>
          <w:highlight w:val="none"/>
        </w:rPr>
        <w:t>部</w:t>
      </w:r>
      <w:r>
        <w:rPr>
          <w:rFonts w:hint="eastAsia" w:ascii="Times New Roman" w:hAnsi="Times New Roman" w:eastAsia="宋体" w:cs="仿宋_GB2312"/>
          <w:color w:val="auto"/>
          <w:kern w:val="0"/>
          <w:sz w:val="28"/>
          <w:szCs w:val="28"/>
          <w:highlight w:val="none"/>
          <w:lang w:val="en-US" w:eastAsia="zh-CN"/>
        </w:rPr>
        <w:t>2线附近</w:t>
      </w:r>
      <w:r>
        <w:rPr>
          <w:rFonts w:hint="eastAsia" w:ascii="Times New Roman" w:hAnsi="Times New Roman" w:eastAsia="宋体" w:cs="仿宋_GB2312"/>
          <w:color w:val="auto"/>
          <w:kern w:val="0"/>
          <w:sz w:val="28"/>
          <w:szCs w:val="28"/>
          <w:highlight w:val="none"/>
        </w:rPr>
        <w:t>矿山道路内侧边坡</w:t>
      </w:r>
      <w:r>
        <w:rPr>
          <w:rFonts w:hint="eastAsia" w:ascii="Times New Roman" w:hAnsi="Times New Roman" w:eastAsia="宋体" w:cs="宋体"/>
          <w:color w:val="auto"/>
          <w:sz w:val="28"/>
          <w:szCs w:val="28"/>
          <w:highlight w:val="none"/>
        </w:rPr>
        <w:t>，占地面积</w:t>
      </w:r>
      <w:r>
        <w:rPr>
          <w:rFonts w:hint="eastAsia" w:ascii="Times New Roman" w:hAnsi="Times New Roman" w:eastAsia="宋体" w:cs="宋体"/>
          <w:color w:val="auto"/>
          <w:sz w:val="28"/>
          <w:szCs w:val="28"/>
          <w:highlight w:val="none"/>
          <w:lang w:eastAsia="zh-CN"/>
        </w:rPr>
        <w:t>约</w:t>
      </w:r>
      <w:r>
        <w:rPr>
          <w:rFonts w:hint="eastAsia" w:ascii="Times New Roman" w:hAnsi="Times New Roman" w:eastAsia="宋体" w:cs="宋体"/>
          <w:color w:val="auto"/>
          <w:sz w:val="28"/>
          <w:szCs w:val="28"/>
          <w:highlight w:val="none"/>
          <w:lang w:val="en-US" w:eastAsia="zh-CN"/>
        </w:rPr>
        <w:t>1100</w:t>
      </w:r>
      <w:r>
        <w:rPr>
          <w:rFonts w:hint="eastAsia" w:ascii="Times New Roman" w:hAnsi="Times New Roman" w:eastAsia="宋体" w:cs="宋体"/>
          <w:color w:val="auto"/>
          <w:sz w:val="28"/>
          <w:szCs w:val="28"/>
          <w:highlight w:val="none"/>
        </w:rPr>
        <w:t>m</w:t>
      </w:r>
      <w:r>
        <w:rPr>
          <w:rFonts w:hint="eastAsia" w:ascii="Times New Roman" w:hAnsi="Times New Roman" w:eastAsia="宋体" w:cs="宋体"/>
          <w:color w:val="auto"/>
          <w:sz w:val="28"/>
          <w:szCs w:val="28"/>
          <w:highlight w:val="none"/>
          <w:vertAlign w:val="superscript"/>
        </w:rPr>
        <w:t>2</w:t>
      </w:r>
      <w:r>
        <w:rPr>
          <w:rFonts w:hint="eastAsia" w:ascii="Times New Roman" w:hAnsi="Times New Roman" w:eastAsia="宋体"/>
          <w:color w:val="auto"/>
          <w:sz w:val="28"/>
          <w:szCs w:val="28"/>
          <w:highlight w:val="none"/>
        </w:rPr>
        <w:t>，</w:t>
      </w:r>
      <w:r>
        <w:rPr>
          <w:rFonts w:hint="eastAsia" w:ascii="Times New Roman" w:hAnsi="Times New Roman" w:eastAsia="宋体" w:cs="宋体"/>
          <w:color w:val="auto"/>
          <w:sz w:val="28"/>
          <w:szCs w:val="28"/>
          <w:highlight w:val="none"/>
        </w:rPr>
        <w:t>场地用于+</w:t>
      </w:r>
      <w:r>
        <w:rPr>
          <w:rFonts w:hint="eastAsia" w:ascii="Times New Roman" w:hAnsi="Times New Roman" w:eastAsia="宋体" w:cs="宋体"/>
          <w:color w:val="auto"/>
          <w:sz w:val="28"/>
          <w:szCs w:val="28"/>
          <w:highlight w:val="none"/>
          <w:lang w:val="en-US" w:eastAsia="zh-CN"/>
        </w:rPr>
        <w:t>390</w:t>
      </w:r>
      <w:r>
        <w:rPr>
          <w:rFonts w:hint="eastAsia" w:ascii="Times New Roman" w:hAnsi="Times New Roman" w:eastAsia="宋体" w:cs="宋体"/>
          <w:color w:val="auto"/>
          <w:sz w:val="28"/>
          <w:szCs w:val="28"/>
          <w:highlight w:val="none"/>
        </w:rPr>
        <w:t>中段</w:t>
      </w:r>
      <w:r>
        <w:rPr>
          <w:rFonts w:hint="eastAsia" w:ascii="Times New Roman" w:hAnsi="Times New Roman" w:eastAsia="宋体" w:cs="宋体"/>
          <w:color w:val="auto"/>
          <w:sz w:val="28"/>
          <w:szCs w:val="28"/>
          <w:highlight w:val="none"/>
          <w:lang w:eastAsia="zh-CN"/>
        </w:rPr>
        <w:t>及</w:t>
      </w:r>
      <w:r>
        <w:rPr>
          <w:rFonts w:hint="eastAsia" w:ascii="Times New Roman" w:hAnsi="Times New Roman" w:eastAsia="宋体" w:cs="宋体"/>
          <w:color w:val="auto"/>
          <w:sz w:val="28"/>
          <w:szCs w:val="28"/>
          <w:highlight w:val="none"/>
        </w:rPr>
        <w:t>以下扩深部分开拓运输主平硐</w:t>
      </w:r>
      <w:r>
        <w:rPr>
          <w:rFonts w:hint="eastAsia" w:ascii="Times New Roman" w:hAnsi="Times New Roman" w:eastAsia="宋体"/>
          <w:color w:val="auto"/>
          <w:sz w:val="28"/>
          <w:szCs w:val="28"/>
          <w:highlight w:val="none"/>
        </w:rPr>
        <w:t>。</w:t>
      </w:r>
      <w:r>
        <w:rPr>
          <w:rFonts w:hint="eastAsia" w:ascii="Times New Roman" w:hAnsi="Times New Roman" w:eastAsia="宋体"/>
          <w:color w:val="auto"/>
          <w:sz w:val="28"/>
          <w:szCs w:val="28"/>
          <w:highlight w:val="none"/>
          <w:lang w:val="en-US" w:eastAsia="zh-CN"/>
        </w:rPr>
        <w:t>建设将形成人工边坡，岩土体为残坡积层，建设时应进行硐口及巷道支护至深部标高+420m后进入新鲜岩土体，对地面场地开挖人工应按要求进行分台放坡及布设截排水沟和边坡防护，</w:t>
      </w:r>
      <w:r>
        <w:rPr>
          <w:rFonts w:hint="eastAsia" w:ascii="Times New Roman" w:hAnsi="Times New Roman" w:eastAsia="宋体" w:cs="宋体"/>
          <w:color w:val="auto"/>
          <w:sz w:val="28"/>
          <w:szCs w:val="28"/>
          <w:highlight w:val="none"/>
          <w:lang w:eastAsia="zh-CN"/>
        </w:rPr>
        <w:t>可以避免区内</w:t>
      </w:r>
      <w:r>
        <w:rPr>
          <w:rFonts w:hint="eastAsia" w:ascii="Times New Roman" w:hAnsi="Times New Roman" w:eastAsia="宋体" w:cs="宋体"/>
          <w:color w:val="auto"/>
          <w:sz w:val="28"/>
          <w:szCs w:val="28"/>
          <w:highlight w:val="none"/>
        </w:rPr>
        <w:t>产生崩塌、滑塌灾害</w:t>
      </w:r>
      <w:r>
        <w:rPr>
          <w:rFonts w:hint="eastAsia" w:ascii="Times New Roman" w:hAnsi="Times New Roman" w:eastAsia="宋体"/>
          <w:color w:val="auto"/>
          <w:sz w:val="28"/>
          <w:szCs w:val="28"/>
          <w:highlight w:val="none"/>
        </w:rPr>
        <w:t>，</w:t>
      </w:r>
      <w:r>
        <w:rPr>
          <w:rFonts w:hint="eastAsia" w:ascii="宋体" w:hAnsi="宋体" w:eastAsia="宋体" w:cs="宋体"/>
          <w:b w:val="0"/>
          <w:bCs w:val="0"/>
          <w:color w:val="auto"/>
          <w:sz w:val="28"/>
          <w:szCs w:val="28"/>
          <w:highlight w:val="none"/>
          <w:lang w:val="en-US" w:eastAsia="zh-CN"/>
        </w:rPr>
        <w:t>从而确保区内不存在</w:t>
      </w:r>
      <w:r>
        <w:rPr>
          <w:rFonts w:hint="eastAsia" w:ascii="宋体" w:hAnsi="宋体" w:eastAsia="宋体" w:cs="宋体"/>
          <w:color w:val="auto"/>
          <w:sz w:val="28"/>
          <w:szCs w:val="28"/>
          <w:highlight w:val="none"/>
          <w:lang w:val="en-US" w:eastAsia="zh-CN"/>
        </w:rPr>
        <w:t>不稳定地质体</w:t>
      </w:r>
      <w:r>
        <w:rPr>
          <w:rFonts w:hint="eastAsia" w:ascii="宋体" w:hAnsi="宋体" w:eastAsia="宋体" w:cs="宋体"/>
          <w:b w:val="0"/>
          <w:bCs w:val="0"/>
          <w:color w:val="auto"/>
          <w:sz w:val="28"/>
          <w:szCs w:val="28"/>
          <w:highlight w:val="none"/>
          <w:lang w:val="en-US" w:eastAsia="zh-CN"/>
        </w:rPr>
        <w:t>。</w:t>
      </w:r>
    </w:p>
    <w:p w14:paraId="41D38A3D">
      <w:pPr>
        <w:pStyle w:val="11"/>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eastAsia="宋体"/>
          <w:color w:val="auto"/>
          <w:highlight w:val="none"/>
          <w:lang w:val="en-US" w:eastAsia="zh-CN"/>
        </w:rPr>
      </w:pPr>
      <w:r>
        <w:rPr>
          <w:rFonts w:hint="eastAsia" w:ascii="Times New Roman" w:hAnsi="Times New Roman" w:eastAsia="宋体"/>
          <w:color w:val="auto"/>
          <w:sz w:val="28"/>
          <w:szCs w:val="28"/>
          <w:highlight w:val="none"/>
          <w:lang w:val="en-US" w:eastAsia="zh-CN"/>
        </w:rPr>
        <w:t>2、矿山公路</w:t>
      </w:r>
    </w:p>
    <w:p w14:paraId="71E38D49">
      <w:pPr>
        <w:keepNext w:val="0"/>
        <w:keepLines w:val="0"/>
        <w:pageBreakBefore w:val="0"/>
        <w:widowControl w:val="0"/>
        <w:kinsoku/>
        <w:wordWrap/>
        <w:overflowPunct/>
        <w:topLinePunct w:val="0"/>
        <w:autoSpaceDE/>
        <w:autoSpaceDN/>
        <w:bidi w:val="0"/>
        <w:adjustRightInd w:val="0"/>
        <w:snapToGrid w:val="0"/>
        <w:spacing w:line="360" w:lineRule="auto"/>
        <w:ind w:firstLine="570" w:firstLineChars="200"/>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矿山道路是利用当地的村道，路面宽4-8m，这些道路已分别到达主硐口及工业场地，无需另行修建，可继续利用。这些道路使用多年，均为水泥路，道路两侧边坡稳定，矿山道路总体上现状发生地质灾害的可能性小、危害性小、危险性小。适宜性良好。</w:t>
      </w:r>
    </w:p>
    <w:p w14:paraId="0AB8EFF7">
      <w:pPr>
        <w:kinsoku/>
        <w:wordWrap/>
        <w:overflowPunct/>
        <w:topLinePunct w:val="0"/>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3、排土场</w:t>
      </w:r>
    </w:p>
    <w:p w14:paraId="121C8E99">
      <w:pPr>
        <w:kinsoku/>
        <w:wordWrap/>
        <w:overflowPunct/>
        <w:topLinePunct w:val="0"/>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矿山过去掘进过程产生的废石量少，废石全部用于平整工业场地和回填采空区，因此过去未有废石剩余。</w:t>
      </w:r>
    </w:p>
    <w:p w14:paraId="783503E6">
      <w:pPr>
        <w:kinsoku/>
        <w:wordWrap/>
        <w:overflowPunct/>
        <w:topLinePunct w:val="0"/>
        <w:bidi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本次设计矿山废石主要是设计斜坡道、各中段石门、脉外运输（回风）平巷、水仓等掘进过程中产生的，经估算，矿山掘进过程中产生的废石量约4.04万m</w:t>
      </w:r>
      <w:r>
        <w:rPr>
          <w:rFonts w:hint="eastAsia" w:ascii="宋体" w:hAnsi="宋体" w:eastAsia="宋体" w:cs="宋体"/>
          <w:color w:val="auto"/>
          <w:sz w:val="28"/>
          <w:szCs w:val="28"/>
          <w:highlight w:val="none"/>
          <w:vertAlign w:val="superscript"/>
          <w:lang w:val="en-US" w:eastAsia="zh-CN"/>
        </w:rPr>
        <w:t>3</w:t>
      </w:r>
      <w:r>
        <w:rPr>
          <w:rFonts w:hint="eastAsia" w:ascii="宋体" w:hAnsi="宋体" w:eastAsia="宋体" w:cs="宋体"/>
          <w:color w:val="auto"/>
          <w:sz w:val="28"/>
          <w:szCs w:val="28"/>
          <w:highlight w:val="none"/>
          <w:lang w:val="en-US" w:eastAsia="zh-CN"/>
        </w:rPr>
        <w:t>，今后矿山产生的废石可全部回填采空区，故本次不设置排土场。</w:t>
      </w:r>
    </w:p>
    <w:p w14:paraId="747A50E3">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72" w:name="_Toc30223"/>
      <w:bookmarkStart w:id="173" w:name="_Toc4664"/>
      <w:bookmarkStart w:id="174" w:name="_Toc20832"/>
      <w:r>
        <w:rPr>
          <w:rFonts w:hint="eastAsia" w:ascii="宋体" w:hAnsi="宋体" w:eastAsia="宋体" w:cs="宋体"/>
          <w:b/>
          <w:bCs w:val="0"/>
          <w:snapToGrid w:val="0"/>
          <w:color w:val="auto"/>
          <w:kern w:val="0"/>
          <w:sz w:val="30"/>
          <w:szCs w:val="30"/>
          <w:highlight w:val="none"/>
          <w:lang w:val="en-US" w:eastAsia="zh-CN"/>
        </w:rPr>
        <w:t>4.6防治水方案</w:t>
      </w:r>
      <w:bookmarkEnd w:id="172"/>
    </w:p>
    <w:p w14:paraId="445CE052">
      <w:pPr>
        <w:keepNext/>
        <w:keepLines/>
        <w:pageBreakBefore w:val="0"/>
        <w:widowControl w:val="0"/>
        <w:kinsoku/>
        <w:wordWrap/>
        <w:overflowPunct/>
        <w:topLinePunct w:val="0"/>
        <w:autoSpaceDE/>
        <w:autoSpaceDN/>
        <w:bidi w:val="0"/>
        <w:adjustRightInd/>
        <w:snapToGrid w:val="0"/>
        <w:spacing w:beforeAutospacing="0" w:afterAutospacing="0" w:line="360" w:lineRule="auto"/>
        <w:jc w:val="left"/>
        <w:textAlignment w:val="auto"/>
        <w:outlineLvl w:val="1"/>
        <w:rPr>
          <w:rFonts w:hint="eastAsia" w:ascii="宋体" w:hAnsi="宋体" w:eastAsia="宋体" w:cs="宋体"/>
          <w:color w:val="auto"/>
          <w:kern w:val="1"/>
          <w:sz w:val="28"/>
          <w:szCs w:val="28"/>
          <w:highlight w:val="none"/>
          <w:u w:val="none"/>
        </w:rPr>
      </w:pPr>
      <w:bookmarkStart w:id="175" w:name="_Toc4510"/>
      <w:r>
        <w:rPr>
          <w:rFonts w:hint="default" w:ascii="Times New Roman" w:hAnsi="Times New Roman" w:eastAsia="宋体" w:cs="Times New Roman"/>
          <w:b/>
          <w:bCs/>
          <w:color w:val="auto"/>
          <w:kern w:val="0"/>
          <w:sz w:val="30"/>
          <w:szCs w:val="32"/>
          <w:highlight w:val="none"/>
          <w:u w:val="none"/>
        </w:rPr>
        <w:t> </w:t>
      </w:r>
      <w:bookmarkEnd w:id="173"/>
      <w:bookmarkEnd w:id="174"/>
      <w:r>
        <w:rPr>
          <w:rFonts w:hint="eastAsia" w:ascii="Times New Roman" w:hAnsi="Times New Roman" w:eastAsia="宋体" w:cs="Times New Roman"/>
          <w:b/>
          <w:bCs/>
          <w:color w:val="auto"/>
          <w:kern w:val="0"/>
          <w:sz w:val="30"/>
          <w:szCs w:val="32"/>
          <w:highlight w:val="none"/>
          <w:u w:val="none"/>
          <w:lang w:val="en-US" w:eastAsia="zh-CN"/>
        </w:rPr>
        <w:t xml:space="preserve">  </w:t>
      </w:r>
      <w:r>
        <w:rPr>
          <w:rFonts w:hint="eastAsia" w:ascii="宋体" w:hAnsi="宋体" w:eastAsia="宋体" w:cs="宋体"/>
          <w:b/>
          <w:bCs/>
          <w:color w:val="auto"/>
          <w:kern w:val="0"/>
          <w:sz w:val="28"/>
          <w:szCs w:val="28"/>
          <w:highlight w:val="none"/>
          <w:u w:val="none"/>
          <w:lang w:val="en-US" w:eastAsia="zh-CN"/>
        </w:rPr>
        <w:t xml:space="preserve"> </w:t>
      </w:r>
      <w:r>
        <w:rPr>
          <w:rFonts w:hint="eastAsia" w:ascii="宋体" w:hAnsi="宋体" w:eastAsia="宋体" w:cs="宋体"/>
          <w:color w:val="auto"/>
          <w:kern w:val="1"/>
          <w:sz w:val="28"/>
          <w:szCs w:val="28"/>
          <w:highlight w:val="none"/>
          <w:u w:val="none"/>
          <w:lang w:val="en-US" w:eastAsia="zh-CN"/>
        </w:rPr>
        <w:t>1.</w:t>
      </w:r>
      <w:r>
        <w:rPr>
          <w:rFonts w:hint="eastAsia" w:ascii="宋体" w:hAnsi="宋体" w:eastAsia="宋体" w:cs="宋体"/>
          <w:color w:val="auto"/>
          <w:kern w:val="1"/>
          <w:sz w:val="28"/>
          <w:szCs w:val="28"/>
          <w:highlight w:val="none"/>
          <w:u w:val="none"/>
        </w:rPr>
        <w:t>井下防排水</w:t>
      </w:r>
      <w:bookmarkEnd w:id="175"/>
    </w:p>
    <w:p w14:paraId="6851B366">
      <w:pPr>
        <w:pageBreakBefore w:val="0"/>
        <w:widowControl w:val="0"/>
        <w:kinsoku/>
        <w:wordWrap/>
        <w:overflowPunct/>
        <w:topLinePunct w:val="0"/>
        <w:autoSpaceDE/>
        <w:autoSpaceDN/>
        <w:bidi w:val="0"/>
        <w:adjustRightInd/>
        <w:snapToGrid w:val="0"/>
        <w:spacing w:beforeAutospacing="0" w:afterAutospacing="0" w:line="360" w:lineRule="auto"/>
        <w:ind w:firstLine="560"/>
        <w:textAlignment w:val="auto"/>
        <w:rPr>
          <w:rFonts w:hint="eastAsia" w:ascii="宋体" w:hAnsi="宋体" w:eastAsia="宋体" w:cs="宋体"/>
          <w:color w:val="auto"/>
          <w:sz w:val="28"/>
          <w:szCs w:val="28"/>
          <w:highlight w:val="none"/>
          <w:lang w:val="en-US" w:eastAsia="zh-CN"/>
        </w:rPr>
      </w:pPr>
      <w:bookmarkStart w:id="176" w:name="_Hlk131005062"/>
      <w:bookmarkStart w:id="177" w:name="OLE_LINK23"/>
      <w:r>
        <w:rPr>
          <w:rFonts w:hint="eastAsia" w:ascii="宋体" w:hAnsi="宋体" w:eastAsia="宋体" w:cs="宋体"/>
          <w:color w:val="auto"/>
          <w:sz w:val="28"/>
          <w:szCs w:val="28"/>
          <w:highlight w:val="none"/>
          <w:lang w:val="en-US" w:eastAsia="zh-CN"/>
        </w:rPr>
        <w:t>目前矿山井下排水系统采用分段排水方式进行排水，已在+430m中段靠近斜坡道附近和在+390m 中段斜坡道端部附近各设置了一个水仓，并配备了水泵，井下水由+390m 中段水仓抽水至+430m 中段水仓，最后由PD456斜坡道口排出地表。</w:t>
      </w:r>
    </w:p>
    <w:p w14:paraId="3DF9A5FF">
      <w:pPr>
        <w:pageBreakBefore w:val="0"/>
        <w:widowControl w:val="0"/>
        <w:kinsoku/>
        <w:wordWrap/>
        <w:overflowPunct/>
        <w:topLinePunct w:val="0"/>
        <w:autoSpaceDE/>
        <w:autoSpaceDN/>
        <w:bidi w:val="0"/>
        <w:adjustRightInd/>
        <w:snapToGrid w:val="0"/>
        <w:spacing w:beforeAutospacing="0" w:afterAutospacing="0" w:line="360" w:lineRule="auto"/>
        <w:ind w:firstLine="560"/>
        <w:textAlignment w:val="auto"/>
        <w:rPr>
          <w:rFonts w:hint="eastAsia" w:ascii="宋体" w:hAnsi="宋体" w:eastAsia="宋体" w:cs="宋体"/>
          <w:color w:val="auto"/>
          <w:sz w:val="28"/>
          <w:szCs w:val="28"/>
          <w:highlight w:val="none"/>
          <w:u w:val="none"/>
        </w:rPr>
      </w:pPr>
      <w:r>
        <w:rPr>
          <w:rFonts w:hint="eastAsia" w:ascii="宋体" w:hAnsi="宋体" w:eastAsia="宋体" w:cs="宋体"/>
          <w:color w:val="auto"/>
          <w:sz w:val="28"/>
          <w:szCs w:val="28"/>
          <w:highlight w:val="none"/>
          <w:lang w:val="en-US" w:eastAsia="zh-CN"/>
        </w:rPr>
        <w:t>本次设计矿山开拓方式采用平硐－斜坡道开拓，设计采用机械排水，</w:t>
      </w:r>
      <w:bookmarkEnd w:id="176"/>
      <w:bookmarkEnd w:id="177"/>
      <w:r>
        <w:rPr>
          <w:rFonts w:hint="eastAsia" w:ascii="宋体" w:hAnsi="宋体" w:eastAsia="宋体" w:cs="宋体"/>
          <w:color w:val="auto"/>
          <w:sz w:val="28"/>
          <w:szCs w:val="28"/>
          <w:highlight w:val="none"/>
          <w:u w:val="none"/>
          <w:lang w:val="en-US" w:eastAsia="zh-CN"/>
        </w:rPr>
        <w:t>采用一级排水方式进行排水，在+290m水平布置水仓及泵房，</w:t>
      </w:r>
      <w:r>
        <w:rPr>
          <w:rFonts w:hint="eastAsia" w:ascii="宋体" w:hAnsi="宋体" w:eastAsia="宋体" w:cs="宋体"/>
          <w:color w:val="auto"/>
          <w:sz w:val="28"/>
          <w:szCs w:val="28"/>
          <w:highlight w:val="none"/>
          <w:u w:val="none"/>
        </w:rPr>
        <w:t>井下排出</w:t>
      </w:r>
      <w:r>
        <w:rPr>
          <w:rFonts w:hint="eastAsia" w:ascii="宋体" w:hAnsi="宋体" w:eastAsia="宋体" w:cs="宋体"/>
          <w:color w:val="auto"/>
          <w:sz w:val="28"/>
          <w:szCs w:val="28"/>
          <w:highlight w:val="none"/>
          <w:u w:val="none"/>
          <w:lang w:val="en-US" w:eastAsia="zh-CN"/>
        </w:rPr>
        <w:t>涌</w:t>
      </w:r>
      <w:r>
        <w:rPr>
          <w:rFonts w:hint="eastAsia" w:ascii="宋体" w:hAnsi="宋体" w:eastAsia="宋体" w:cs="宋体"/>
          <w:color w:val="auto"/>
          <w:sz w:val="28"/>
          <w:szCs w:val="28"/>
          <w:highlight w:val="none"/>
          <w:u w:val="none"/>
        </w:rPr>
        <w:t>水应经过沉淀处理后达标排放。</w:t>
      </w:r>
    </w:p>
    <w:p w14:paraId="463DB680">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570"/>
        <w:textAlignment w:val="auto"/>
        <w:rPr>
          <w:rFonts w:hint="eastAsia" w:ascii="宋体" w:hAnsi="宋体" w:eastAsia="宋体" w:cs="宋体"/>
          <w:color w:val="auto"/>
          <w:kern w:val="1"/>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根据地质报告，</w:t>
      </w:r>
      <w:r>
        <w:rPr>
          <w:rFonts w:hint="eastAsia" w:ascii="宋体" w:hAnsi="宋体" w:eastAsia="宋体" w:cs="宋体"/>
          <w:color w:val="auto"/>
          <w:sz w:val="28"/>
          <w:szCs w:val="28"/>
          <w:highlight w:val="none"/>
        </w:rPr>
        <w:t>预测未来开采+</w:t>
      </w:r>
      <w:r>
        <w:rPr>
          <w:rFonts w:hint="eastAsia" w:ascii="宋体" w:hAnsi="宋体" w:eastAsia="宋体" w:cs="宋体"/>
          <w:color w:val="auto"/>
          <w:sz w:val="28"/>
          <w:szCs w:val="28"/>
          <w:highlight w:val="none"/>
          <w:lang w:val="en-US" w:eastAsia="zh-CN"/>
        </w:rPr>
        <w:t>290</w:t>
      </w:r>
      <w:r>
        <w:rPr>
          <w:rFonts w:hint="eastAsia" w:ascii="宋体" w:hAnsi="宋体" w:eastAsia="宋体" w:cs="宋体"/>
          <w:color w:val="auto"/>
          <w:sz w:val="28"/>
          <w:szCs w:val="28"/>
          <w:highlight w:val="none"/>
        </w:rPr>
        <w:t>m</w:t>
      </w:r>
      <w:r>
        <w:rPr>
          <w:rFonts w:hint="eastAsia" w:ascii="宋体" w:hAnsi="宋体" w:eastAsia="宋体" w:cs="宋体"/>
          <w:color w:val="auto"/>
          <w:sz w:val="28"/>
          <w:szCs w:val="28"/>
          <w:highlight w:val="none"/>
          <w:lang w:eastAsia="zh-CN"/>
        </w:rPr>
        <w:t>中段</w:t>
      </w:r>
      <w:r>
        <w:rPr>
          <w:rFonts w:hint="eastAsia" w:ascii="宋体" w:hAnsi="宋体" w:eastAsia="宋体" w:cs="宋体"/>
          <w:color w:val="auto"/>
          <w:sz w:val="28"/>
          <w:szCs w:val="28"/>
          <w:highlight w:val="none"/>
        </w:rPr>
        <w:t>时矿坑正常涌水量</w:t>
      </w:r>
      <w:r>
        <w:rPr>
          <w:rFonts w:hint="eastAsia" w:ascii="宋体" w:hAnsi="宋体" w:eastAsia="宋体" w:cs="宋体"/>
          <w:color w:val="auto"/>
          <w:sz w:val="28"/>
          <w:szCs w:val="28"/>
          <w:highlight w:val="none"/>
          <w:lang w:val="en-US" w:eastAsia="zh-CN"/>
        </w:rPr>
        <w:t>778</w:t>
      </w:r>
      <w:r>
        <w:rPr>
          <w:rFonts w:hint="eastAsia" w:ascii="宋体" w:hAnsi="宋体" w:eastAsia="宋体" w:cs="宋体"/>
          <w:color w:val="auto"/>
          <w:kern w:val="24"/>
          <w:sz w:val="28"/>
          <w:szCs w:val="28"/>
          <w:highlight w:val="none"/>
        </w:rPr>
        <w:t>m</w:t>
      </w:r>
      <w:r>
        <w:rPr>
          <w:rFonts w:hint="eastAsia" w:ascii="宋体" w:hAnsi="宋体" w:eastAsia="宋体" w:cs="宋体"/>
          <w:color w:val="auto"/>
          <w:kern w:val="24"/>
          <w:sz w:val="28"/>
          <w:szCs w:val="28"/>
          <w:highlight w:val="none"/>
          <w:vertAlign w:val="superscript"/>
        </w:rPr>
        <w:t>3</w:t>
      </w:r>
      <w:r>
        <w:rPr>
          <w:rFonts w:hint="eastAsia" w:ascii="宋体" w:hAnsi="宋体" w:eastAsia="宋体" w:cs="宋体"/>
          <w:color w:val="auto"/>
          <w:kern w:val="24"/>
          <w:sz w:val="28"/>
          <w:szCs w:val="28"/>
          <w:highlight w:val="none"/>
        </w:rPr>
        <w:t>/d，最大涌水量</w:t>
      </w:r>
      <w:r>
        <w:rPr>
          <w:rFonts w:hint="eastAsia" w:ascii="宋体" w:hAnsi="宋体" w:eastAsia="宋体" w:cs="宋体"/>
          <w:color w:val="auto"/>
          <w:kern w:val="24"/>
          <w:sz w:val="28"/>
          <w:szCs w:val="28"/>
          <w:highlight w:val="none"/>
          <w:lang w:val="en-US" w:eastAsia="zh-CN"/>
        </w:rPr>
        <w:t>1404</w:t>
      </w:r>
      <w:r>
        <w:rPr>
          <w:rFonts w:hint="eastAsia" w:ascii="宋体" w:hAnsi="宋体" w:eastAsia="宋体" w:cs="宋体"/>
          <w:color w:val="auto"/>
          <w:kern w:val="24"/>
          <w:sz w:val="28"/>
          <w:szCs w:val="28"/>
          <w:highlight w:val="none"/>
        </w:rPr>
        <w:t>m</w:t>
      </w:r>
      <w:r>
        <w:rPr>
          <w:rFonts w:hint="eastAsia" w:ascii="宋体" w:hAnsi="宋体" w:eastAsia="宋体" w:cs="宋体"/>
          <w:color w:val="auto"/>
          <w:kern w:val="24"/>
          <w:sz w:val="28"/>
          <w:szCs w:val="28"/>
          <w:highlight w:val="none"/>
          <w:vertAlign w:val="superscript"/>
        </w:rPr>
        <w:t>3</w:t>
      </w:r>
      <w:r>
        <w:rPr>
          <w:rFonts w:hint="eastAsia" w:ascii="宋体" w:hAnsi="宋体" w:eastAsia="宋体" w:cs="宋体"/>
          <w:color w:val="auto"/>
          <w:kern w:val="24"/>
          <w:sz w:val="28"/>
          <w:szCs w:val="28"/>
          <w:highlight w:val="none"/>
        </w:rPr>
        <w:t>/d</w:t>
      </w:r>
      <w:r>
        <w:rPr>
          <w:rFonts w:hint="eastAsia" w:ascii="宋体" w:hAnsi="宋体" w:eastAsia="宋体" w:cs="宋体"/>
          <w:color w:val="auto"/>
          <w:kern w:val="24"/>
          <w:sz w:val="28"/>
          <w:szCs w:val="28"/>
          <w:highlight w:val="none"/>
          <w:lang w:val="en-US" w:eastAsia="zh-CN"/>
        </w:rPr>
        <w:t>；</w:t>
      </w:r>
      <w:r>
        <w:rPr>
          <w:rFonts w:hint="eastAsia" w:ascii="宋体" w:hAnsi="宋体" w:eastAsia="宋体" w:cs="宋体"/>
          <w:color w:val="auto"/>
          <w:sz w:val="28"/>
          <w:szCs w:val="28"/>
          <w:highlight w:val="none"/>
          <w:u w:val="none"/>
        </w:rPr>
        <w:t>本矿井下生产废水量</w:t>
      </w:r>
      <w:r>
        <w:rPr>
          <w:rFonts w:hint="eastAsia" w:ascii="宋体" w:hAnsi="宋体" w:eastAsia="宋体" w:cs="宋体"/>
          <w:color w:val="auto"/>
          <w:sz w:val="28"/>
          <w:szCs w:val="28"/>
          <w:highlight w:val="none"/>
          <w:u w:val="none"/>
          <w:lang w:val="en-US" w:eastAsia="zh-CN"/>
        </w:rPr>
        <w:t>100</w:t>
      </w:r>
      <w:r>
        <w:rPr>
          <w:rFonts w:hint="eastAsia" w:ascii="宋体" w:hAnsi="宋体" w:eastAsia="宋体" w:cs="宋体"/>
          <w:color w:val="auto"/>
          <w:sz w:val="28"/>
          <w:szCs w:val="28"/>
          <w:highlight w:val="none"/>
          <w:u w:val="none"/>
        </w:rPr>
        <w:t>m</w:t>
      </w:r>
      <w:r>
        <w:rPr>
          <w:rFonts w:hint="eastAsia" w:ascii="宋体" w:hAnsi="宋体" w:eastAsia="宋体" w:cs="宋体"/>
          <w:color w:val="auto"/>
          <w:sz w:val="28"/>
          <w:szCs w:val="28"/>
          <w:highlight w:val="none"/>
          <w:u w:val="none"/>
          <w:vertAlign w:val="superscript"/>
        </w:rPr>
        <w:t>3</w:t>
      </w:r>
      <w:r>
        <w:rPr>
          <w:rFonts w:hint="eastAsia" w:ascii="宋体" w:hAnsi="宋体" w:eastAsia="宋体" w:cs="宋体"/>
          <w:color w:val="auto"/>
          <w:sz w:val="28"/>
          <w:szCs w:val="28"/>
          <w:highlight w:val="none"/>
          <w:u w:val="none"/>
        </w:rPr>
        <w:t>/d，</w:t>
      </w:r>
      <w:r>
        <w:rPr>
          <w:rFonts w:hint="eastAsia" w:ascii="宋体" w:hAnsi="宋体" w:eastAsia="宋体" w:cs="宋体"/>
          <w:color w:val="auto"/>
          <w:sz w:val="28"/>
          <w:szCs w:val="28"/>
          <w:highlight w:val="none"/>
          <w:u w:val="none"/>
          <w:lang w:val="en-US" w:eastAsia="zh-CN"/>
        </w:rPr>
        <w:t>设计在+290m中段布置容量约为600</w:t>
      </w:r>
      <w:r>
        <w:rPr>
          <w:rFonts w:hint="eastAsia" w:ascii="宋体" w:hAnsi="宋体" w:eastAsia="宋体" w:cs="宋体"/>
          <w:color w:val="auto"/>
          <w:kern w:val="24"/>
          <w:sz w:val="28"/>
          <w:szCs w:val="28"/>
          <w:highlight w:val="none"/>
        </w:rPr>
        <w:t>m</w:t>
      </w:r>
      <w:r>
        <w:rPr>
          <w:rFonts w:hint="eastAsia" w:ascii="宋体" w:hAnsi="宋体" w:eastAsia="宋体" w:cs="宋体"/>
          <w:color w:val="auto"/>
          <w:kern w:val="24"/>
          <w:sz w:val="28"/>
          <w:szCs w:val="28"/>
          <w:highlight w:val="none"/>
          <w:vertAlign w:val="superscript"/>
        </w:rPr>
        <w:t>3</w:t>
      </w:r>
      <w:r>
        <w:rPr>
          <w:rFonts w:hint="eastAsia" w:ascii="宋体" w:hAnsi="宋体" w:eastAsia="宋体" w:cs="宋体"/>
          <w:color w:val="auto"/>
          <w:kern w:val="24"/>
          <w:sz w:val="28"/>
          <w:szCs w:val="28"/>
          <w:highlight w:val="none"/>
          <w:lang w:val="en-US" w:eastAsia="zh-CN"/>
        </w:rPr>
        <w:t>的水仓，水仓由两条独立巷道组成；</w:t>
      </w:r>
      <w:r>
        <w:rPr>
          <w:rFonts w:hint="eastAsia" w:ascii="宋体" w:hAnsi="宋体" w:eastAsia="宋体" w:cs="宋体"/>
          <w:color w:val="auto"/>
          <w:sz w:val="28"/>
          <w:szCs w:val="28"/>
          <w:highlight w:val="none"/>
          <w:u w:val="none"/>
          <w:lang w:val="en-US" w:eastAsia="zh-CN"/>
        </w:rPr>
        <w:t>+290m中段水仓</w:t>
      </w:r>
      <w:r>
        <w:rPr>
          <w:rFonts w:hint="eastAsia" w:ascii="宋体" w:hAnsi="宋体" w:eastAsia="宋体" w:cs="宋体"/>
          <w:color w:val="auto"/>
          <w:sz w:val="28"/>
          <w:szCs w:val="28"/>
          <w:highlight w:val="none"/>
          <w:u w:val="none"/>
        </w:rPr>
        <w:t>排水高度</w:t>
      </w:r>
      <w:r>
        <w:rPr>
          <w:rFonts w:hint="eastAsia" w:ascii="宋体" w:hAnsi="宋体" w:eastAsia="宋体" w:cs="宋体"/>
          <w:color w:val="auto"/>
          <w:sz w:val="28"/>
          <w:szCs w:val="28"/>
          <w:highlight w:val="none"/>
          <w:u w:val="none"/>
          <w:lang w:val="en-US" w:eastAsia="zh-CN"/>
        </w:rPr>
        <w:t>153</w:t>
      </w:r>
      <w:r>
        <w:rPr>
          <w:rFonts w:hint="eastAsia" w:ascii="宋体" w:hAnsi="宋体" w:eastAsia="宋体" w:cs="宋体"/>
          <w:color w:val="auto"/>
          <w:sz w:val="28"/>
          <w:szCs w:val="28"/>
          <w:highlight w:val="none"/>
          <w:u w:val="none"/>
        </w:rPr>
        <w:t>m</w:t>
      </w:r>
      <w:r>
        <w:rPr>
          <w:rFonts w:hint="eastAsia" w:ascii="宋体" w:hAnsi="宋体" w:eastAsia="宋体" w:cs="宋体"/>
          <w:color w:val="auto"/>
          <w:sz w:val="28"/>
          <w:szCs w:val="28"/>
          <w:highlight w:val="none"/>
          <w:u w:val="none"/>
          <w:lang w:eastAsia="zh-CN"/>
        </w:rPr>
        <w:t>，</w:t>
      </w:r>
      <w:r>
        <w:rPr>
          <w:rFonts w:hint="eastAsia" w:ascii="宋体" w:hAnsi="宋体" w:eastAsia="宋体" w:cs="宋体"/>
          <w:color w:val="auto"/>
          <w:sz w:val="28"/>
          <w:szCs w:val="28"/>
          <w:highlight w:val="none"/>
          <w:u w:val="none"/>
        </w:rPr>
        <w:t>采用</w:t>
      </w:r>
      <w:r>
        <w:rPr>
          <w:rFonts w:hint="eastAsia" w:ascii="宋体" w:hAnsi="宋体" w:eastAsia="宋体" w:cs="宋体"/>
          <w:color w:val="auto"/>
          <w:sz w:val="28"/>
          <w:szCs w:val="28"/>
          <w:highlight w:val="none"/>
          <w:u w:val="none"/>
          <w:lang w:val="en-US" w:eastAsia="zh-CN"/>
        </w:rPr>
        <w:t>一</w:t>
      </w:r>
      <w:r>
        <w:rPr>
          <w:rFonts w:hint="eastAsia" w:ascii="宋体" w:hAnsi="宋体" w:eastAsia="宋体" w:cs="宋体"/>
          <w:color w:val="auto"/>
          <w:sz w:val="28"/>
          <w:szCs w:val="28"/>
          <w:highlight w:val="none"/>
          <w:u w:val="none"/>
        </w:rPr>
        <w:t>段集中排水</w:t>
      </w:r>
      <w:r>
        <w:rPr>
          <w:rFonts w:hint="eastAsia" w:ascii="宋体" w:hAnsi="宋体" w:eastAsia="宋体" w:cs="宋体"/>
          <w:color w:val="auto"/>
          <w:kern w:val="2"/>
          <w:sz w:val="28"/>
          <w:szCs w:val="28"/>
          <w:highlight w:val="none"/>
          <w:u w:val="none"/>
          <w:lang w:val="en-US" w:eastAsia="zh-CN" w:bidi="ar-SA"/>
        </w:rPr>
        <w:t>。</w:t>
      </w:r>
      <w:r>
        <w:rPr>
          <w:rFonts w:hint="eastAsia" w:ascii="宋体" w:hAnsi="宋体" w:eastAsia="宋体" w:cs="宋体"/>
          <w:color w:val="auto"/>
          <w:kern w:val="1"/>
          <w:sz w:val="28"/>
          <w:szCs w:val="28"/>
          <w:highlight w:val="none"/>
          <w:u w:val="none"/>
          <w:lang w:val="en-US" w:eastAsia="zh-CN"/>
        </w:rPr>
        <w:t>井下防治水措施：</w:t>
      </w:r>
    </w:p>
    <w:p w14:paraId="553E333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right="-9" w:firstLine="570" w:firstLineChars="200"/>
        <w:jc w:val="left"/>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kern w:val="1"/>
          <w:sz w:val="28"/>
          <w:szCs w:val="28"/>
          <w:highlight w:val="none"/>
          <w:u w:val="none"/>
        </w:rPr>
        <w:t>本矿矿床水文地质条件属</w:t>
      </w:r>
      <w:r>
        <w:rPr>
          <w:rFonts w:hint="eastAsia" w:ascii="宋体" w:hAnsi="宋体" w:eastAsia="宋体" w:cs="宋体"/>
          <w:color w:val="auto"/>
          <w:kern w:val="1"/>
          <w:sz w:val="28"/>
          <w:szCs w:val="28"/>
          <w:highlight w:val="none"/>
          <w:u w:val="none"/>
          <w:lang w:val="en-US" w:eastAsia="zh-CN"/>
        </w:rPr>
        <w:t>中等</w:t>
      </w:r>
      <w:r>
        <w:rPr>
          <w:rFonts w:hint="eastAsia" w:ascii="宋体" w:hAnsi="宋体" w:eastAsia="宋体" w:cs="宋体"/>
          <w:color w:val="auto"/>
          <w:kern w:val="1"/>
          <w:sz w:val="28"/>
          <w:szCs w:val="28"/>
          <w:highlight w:val="none"/>
          <w:u w:val="none"/>
        </w:rPr>
        <w:t>类型</w:t>
      </w:r>
      <w:r>
        <w:rPr>
          <w:rFonts w:hint="eastAsia" w:ascii="宋体" w:hAnsi="宋体" w:eastAsia="宋体" w:cs="宋体"/>
          <w:color w:val="auto"/>
          <w:kern w:val="1"/>
          <w:sz w:val="28"/>
          <w:szCs w:val="28"/>
          <w:highlight w:val="none"/>
          <w:u w:val="none"/>
          <w:lang w:eastAsia="zh-CN"/>
        </w:rPr>
        <w:t>，</w:t>
      </w:r>
      <w:r>
        <w:rPr>
          <w:rFonts w:hint="eastAsia" w:ascii="宋体" w:hAnsi="宋体" w:eastAsia="宋体" w:cs="宋体"/>
          <w:color w:val="auto"/>
          <w:kern w:val="1"/>
          <w:sz w:val="28"/>
          <w:szCs w:val="28"/>
          <w:highlight w:val="none"/>
          <w:u w:val="none"/>
          <w:lang w:val="en-US" w:eastAsia="zh-CN"/>
        </w:rPr>
        <w:t>今后</w:t>
      </w:r>
      <w:r>
        <w:rPr>
          <w:rFonts w:hint="eastAsia" w:ascii="宋体" w:hAnsi="宋体" w:eastAsia="宋体" w:cs="宋体"/>
          <w:color w:val="auto"/>
          <w:kern w:val="1"/>
          <w:sz w:val="28"/>
          <w:szCs w:val="28"/>
          <w:highlight w:val="none"/>
          <w:u w:val="none"/>
        </w:rPr>
        <w:t>在开拓、开采的过程中需坚持</w:t>
      </w:r>
      <w:r>
        <w:rPr>
          <w:rFonts w:hint="eastAsia" w:ascii="宋体" w:hAnsi="宋体" w:eastAsia="宋体" w:cs="宋体"/>
          <w:color w:val="auto"/>
          <w:kern w:val="1"/>
          <w:sz w:val="28"/>
          <w:szCs w:val="28"/>
          <w:highlight w:val="none"/>
          <w:u w:val="none"/>
          <w:lang w:val="zh-CN"/>
        </w:rPr>
        <w:t>“有疑</w:t>
      </w:r>
      <w:r>
        <w:rPr>
          <w:rFonts w:hint="eastAsia" w:ascii="宋体" w:hAnsi="宋体" w:eastAsia="宋体" w:cs="宋体"/>
          <w:color w:val="auto"/>
          <w:kern w:val="1"/>
          <w:sz w:val="28"/>
          <w:szCs w:val="28"/>
          <w:highlight w:val="none"/>
          <w:u w:val="none"/>
        </w:rPr>
        <w:t>必探，先探后掘”的探放水原则，</w:t>
      </w:r>
      <w:r>
        <w:rPr>
          <w:rFonts w:hint="eastAsia" w:ascii="宋体" w:hAnsi="宋体" w:eastAsia="宋体" w:cs="宋体"/>
          <w:color w:val="auto"/>
          <w:sz w:val="28"/>
          <w:szCs w:val="28"/>
          <w:highlight w:val="none"/>
          <w:u w:val="none"/>
          <w:lang w:val="zh-CN" w:eastAsia="zh-CN"/>
        </w:rPr>
        <w:t>在建设及开采过程中必须做好以下防治水措施：</w:t>
      </w:r>
    </w:p>
    <w:p w14:paraId="2F03371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right="-9" w:firstLine="570" w:firstLineChars="200"/>
        <w:jc w:val="left"/>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en-US" w:eastAsia="zh-CN"/>
        </w:rPr>
        <w:t>(1)</w:t>
      </w:r>
      <w:r>
        <w:rPr>
          <w:rFonts w:hint="eastAsia" w:ascii="宋体" w:hAnsi="宋体" w:eastAsia="宋体" w:cs="宋体"/>
          <w:color w:val="auto"/>
          <w:sz w:val="28"/>
          <w:szCs w:val="28"/>
          <w:highlight w:val="none"/>
          <w:u w:val="none"/>
          <w:lang w:val="zh-CN" w:eastAsia="zh-CN"/>
        </w:rPr>
        <w:t>在矿井巷道或回采工作面接近</w:t>
      </w:r>
      <w:r>
        <w:rPr>
          <w:rFonts w:hint="eastAsia" w:ascii="宋体" w:hAnsi="宋体" w:eastAsia="宋体" w:cs="宋体"/>
          <w:color w:val="auto"/>
          <w:sz w:val="28"/>
          <w:szCs w:val="28"/>
          <w:highlight w:val="none"/>
          <w:u w:val="none"/>
          <w:lang w:val="en-US" w:eastAsia="zh-CN"/>
        </w:rPr>
        <w:t>弱</w:t>
      </w:r>
      <w:r>
        <w:rPr>
          <w:rFonts w:hint="eastAsia" w:ascii="宋体" w:hAnsi="宋体" w:eastAsia="宋体" w:cs="宋体"/>
          <w:color w:val="auto"/>
          <w:sz w:val="28"/>
          <w:szCs w:val="28"/>
          <w:highlight w:val="none"/>
          <w:u w:val="none"/>
          <w:lang w:val="zh-CN" w:eastAsia="zh-CN"/>
        </w:rPr>
        <w:t>导水断层、</w:t>
      </w:r>
      <w:r>
        <w:rPr>
          <w:rFonts w:hint="eastAsia" w:ascii="宋体" w:hAnsi="宋体" w:eastAsia="宋体" w:cs="宋体"/>
          <w:color w:val="auto"/>
          <w:sz w:val="28"/>
          <w:szCs w:val="28"/>
          <w:highlight w:val="none"/>
          <w:u w:val="none"/>
          <w:lang w:val="en-US" w:eastAsia="zh-CN"/>
        </w:rPr>
        <w:t>地下岩溶</w:t>
      </w:r>
      <w:r>
        <w:rPr>
          <w:rFonts w:hint="eastAsia" w:ascii="宋体" w:hAnsi="宋体" w:eastAsia="宋体" w:cs="宋体"/>
          <w:color w:val="auto"/>
          <w:sz w:val="28"/>
          <w:szCs w:val="28"/>
          <w:highlight w:val="none"/>
          <w:u w:val="none"/>
          <w:lang w:val="zh-CN" w:eastAsia="zh-CN"/>
        </w:rPr>
        <w:t>如有突水征兆，所有人员必须撤离到安全地点，采取措施处理完毕后方可继续作业。</w:t>
      </w:r>
    </w:p>
    <w:p w14:paraId="6BBC7BCF">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right="-9" w:firstLine="570" w:firstLineChars="200"/>
        <w:jc w:val="left"/>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en-US" w:eastAsia="zh-CN"/>
        </w:rPr>
        <w:t>(2)</w:t>
      </w:r>
      <w:r>
        <w:rPr>
          <w:rFonts w:hint="eastAsia" w:ascii="宋体" w:hAnsi="宋体" w:eastAsia="宋体" w:cs="宋体"/>
          <w:color w:val="auto"/>
          <w:sz w:val="28"/>
          <w:szCs w:val="28"/>
          <w:highlight w:val="none"/>
          <w:u w:val="none"/>
          <w:lang w:val="zh-CN" w:eastAsia="zh-CN"/>
        </w:rPr>
        <w:t>加强矿山地质、水文地质工作，及时收集有关资料，尤其是密切注意采掘工作面的异常情况及漏水点的涌水特征。</w:t>
      </w:r>
    </w:p>
    <w:p w14:paraId="5BE370CA">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right="-9" w:firstLine="570" w:firstLineChars="200"/>
        <w:jc w:val="left"/>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en-US" w:eastAsia="zh-CN"/>
        </w:rPr>
        <w:t>(3)</w:t>
      </w:r>
      <w:r>
        <w:rPr>
          <w:rFonts w:hint="eastAsia" w:ascii="宋体" w:hAnsi="宋体" w:eastAsia="宋体" w:cs="宋体"/>
          <w:color w:val="auto"/>
          <w:sz w:val="28"/>
          <w:szCs w:val="28"/>
          <w:highlight w:val="none"/>
          <w:u w:val="none"/>
          <w:lang w:val="zh-CN" w:eastAsia="zh-CN"/>
        </w:rPr>
        <w:t>对靠近</w:t>
      </w:r>
      <w:r>
        <w:rPr>
          <w:rFonts w:hint="eastAsia" w:ascii="宋体" w:hAnsi="宋体" w:eastAsia="宋体" w:cs="宋体"/>
          <w:color w:val="auto"/>
          <w:sz w:val="28"/>
          <w:szCs w:val="28"/>
          <w:highlight w:val="none"/>
          <w:u w:val="none"/>
          <w:lang w:val="en-US" w:eastAsia="zh-CN"/>
        </w:rPr>
        <w:t>弱</w:t>
      </w:r>
      <w:r>
        <w:rPr>
          <w:rFonts w:hint="eastAsia" w:ascii="宋体" w:hAnsi="宋体" w:eastAsia="宋体" w:cs="宋体"/>
          <w:color w:val="auto"/>
          <w:sz w:val="28"/>
          <w:szCs w:val="28"/>
          <w:highlight w:val="none"/>
          <w:u w:val="none"/>
          <w:lang w:val="zh-CN" w:eastAsia="zh-CN"/>
        </w:rPr>
        <w:t>导水断层所有采掘工作面开工前必须进行专门的水害技术论证，对采掘工作面水害进行分析预测，明确可能存在的水害类型，并在矿井采掘工作平面图上，把可能发生水害的部位，标注清楚。</w:t>
      </w:r>
    </w:p>
    <w:p w14:paraId="0570FD01">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right="-9" w:firstLine="570" w:firstLineChars="200"/>
        <w:jc w:val="left"/>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en-US" w:eastAsia="zh-CN"/>
        </w:rPr>
        <w:t>(4)</w:t>
      </w:r>
      <w:r>
        <w:rPr>
          <w:rFonts w:hint="eastAsia" w:ascii="宋体" w:hAnsi="宋体" w:eastAsia="宋体" w:cs="宋体"/>
          <w:color w:val="auto"/>
          <w:sz w:val="28"/>
          <w:szCs w:val="28"/>
          <w:highlight w:val="none"/>
          <w:u w:val="none"/>
          <w:lang w:val="zh-CN" w:eastAsia="zh-CN"/>
        </w:rPr>
        <w:t>定期开展防治水教育和培训，保证职工具备必要的防治水知识，掌握井下透水征兆，熟悉避灾路线。每年至少进行一次水害应急救援演练，并根据演练情况及时补充修订应急救援预案。</w:t>
      </w:r>
    </w:p>
    <w:p w14:paraId="317F9476">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570" w:firstLineChars="200"/>
        <w:textAlignment w:val="auto"/>
        <w:rPr>
          <w:rFonts w:hint="eastAsia" w:ascii="宋体" w:hAnsi="宋体" w:eastAsia="宋体" w:cs="宋体"/>
          <w:color w:val="auto"/>
          <w:kern w:val="1"/>
          <w:sz w:val="28"/>
          <w:szCs w:val="28"/>
          <w:highlight w:val="none"/>
          <w:u w:val="none"/>
        </w:rPr>
      </w:pPr>
      <w:r>
        <w:rPr>
          <w:rFonts w:hint="eastAsia" w:ascii="宋体" w:hAnsi="宋体" w:eastAsia="宋体" w:cs="宋体"/>
          <w:color w:val="auto"/>
          <w:kern w:val="1"/>
          <w:sz w:val="28"/>
          <w:szCs w:val="28"/>
          <w:highlight w:val="none"/>
          <w:u w:val="none"/>
          <w:lang w:val="en-US" w:eastAsia="zh-CN"/>
        </w:rPr>
        <w:t>2.</w:t>
      </w:r>
      <w:r>
        <w:rPr>
          <w:rFonts w:hint="eastAsia" w:ascii="宋体" w:hAnsi="宋体" w:eastAsia="宋体" w:cs="宋体"/>
          <w:color w:val="auto"/>
          <w:kern w:val="1"/>
          <w:sz w:val="28"/>
          <w:szCs w:val="28"/>
          <w:highlight w:val="none"/>
          <w:u w:val="none"/>
        </w:rPr>
        <w:t>地表防排水</w:t>
      </w:r>
    </w:p>
    <w:p w14:paraId="0060B1D2">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570" w:firstLineChars="200"/>
        <w:textAlignment w:val="auto"/>
        <w:rPr>
          <w:rFonts w:hint="eastAsia" w:ascii="宋体" w:hAnsi="宋体" w:eastAsia="宋体" w:cs="宋体"/>
          <w:snapToGrid w:val="0"/>
          <w:color w:val="auto"/>
          <w:kern w:val="0"/>
          <w:sz w:val="28"/>
          <w:szCs w:val="28"/>
          <w:highlight w:val="none"/>
          <w:u w:val="none"/>
          <w:lang w:val="en-US" w:eastAsia="zh-CN"/>
        </w:rPr>
      </w:pPr>
      <w:r>
        <w:rPr>
          <w:rFonts w:hint="eastAsia" w:ascii="宋体" w:hAnsi="宋体" w:eastAsia="宋体" w:cs="宋体"/>
          <w:snapToGrid w:val="0"/>
          <w:color w:val="auto"/>
          <w:kern w:val="0"/>
          <w:sz w:val="28"/>
          <w:szCs w:val="28"/>
          <w:highlight w:val="none"/>
          <w:u w:val="none"/>
          <w:lang w:val="en-US" w:eastAsia="zh-CN"/>
        </w:rPr>
        <w:t>矿山各地表功能区均高于历史最高洪水位1m以上。</w:t>
      </w:r>
    </w:p>
    <w:p w14:paraId="3BF0A311">
      <w:pPr>
        <w:pageBreakBefore w:val="0"/>
        <w:widowControl w:val="0"/>
        <w:kinsoku/>
        <w:wordWrap/>
        <w:overflowPunct/>
        <w:topLinePunct w:val="0"/>
        <w:autoSpaceDE/>
        <w:autoSpaceDN/>
        <w:bidi w:val="0"/>
        <w:adjustRightInd/>
        <w:snapToGrid w:val="0"/>
        <w:spacing w:beforeAutospacing="0" w:afterAutospacing="0" w:line="360" w:lineRule="auto"/>
        <w:ind w:firstLine="570" w:firstLineChars="200"/>
        <w:textAlignment w:val="auto"/>
        <w:rPr>
          <w:rFonts w:hint="eastAsia" w:ascii="宋体" w:hAnsi="宋体" w:eastAsia="宋体" w:cs="宋体"/>
          <w:snapToGrid w:val="0"/>
          <w:color w:val="auto"/>
          <w:kern w:val="0"/>
          <w:sz w:val="28"/>
          <w:szCs w:val="28"/>
          <w:highlight w:val="none"/>
          <w:u w:val="none"/>
          <w:lang w:val="en-US" w:eastAsia="zh-CN"/>
        </w:rPr>
      </w:pPr>
      <w:r>
        <w:rPr>
          <w:rFonts w:hint="eastAsia" w:ascii="宋体" w:hAnsi="宋体" w:eastAsia="宋体" w:cs="宋体"/>
          <w:snapToGrid w:val="0"/>
          <w:color w:val="auto"/>
          <w:kern w:val="0"/>
          <w:sz w:val="28"/>
          <w:szCs w:val="28"/>
          <w:highlight w:val="none"/>
          <w:u w:val="none"/>
          <w:lang w:val="en-US" w:eastAsia="zh-CN"/>
        </w:rPr>
        <w:t>(1)矿区内地下水的补给、迳流、排泄条件受地形因素控制，受风化作用及断裂构造等因素影响。大气降水是地下水的唯一补给来源。矿区内山坡陡峭，沟壑发育，大雨、暴雨大多形成短暂的地表迳流，仅部分渗入风化裂隙；中雨小雨大多渗入风化裂隙。风化裂隙水浅部以垂直迳流为主，下部以水平迳流为主。以渗水、下降泉形式排泄于附近沟谷或山麓。</w:t>
      </w:r>
    </w:p>
    <w:p w14:paraId="491B5609">
      <w:pPr>
        <w:pageBreakBefore w:val="0"/>
        <w:widowControl w:val="0"/>
        <w:kinsoku/>
        <w:wordWrap/>
        <w:overflowPunct/>
        <w:topLinePunct w:val="0"/>
        <w:autoSpaceDE/>
        <w:autoSpaceDN/>
        <w:bidi w:val="0"/>
        <w:adjustRightInd/>
        <w:snapToGrid w:val="0"/>
        <w:spacing w:beforeAutospacing="0" w:afterAutospacing="0" w:line="360" w:lineRule="auto"/>
        <w:ind w:firstLine="570" w:firstLineChars="200"/>
        <w:textAlignment w:val="auto"/>
        <w:rPr>
          <w:rFonts w:hint="eastAsia" w:ascii="宋体" w:hAnsi="宋体" w:eastAsia="宋体" w:cs="宋体"/>
          <w:snapToGrid w:val="0"/>
          <w:color w:val="auto"/>
          <w:kern w:val="0"/>
          <w:sz w:val="28"/>
          <w:szCs w:val="28"/>
          <w:highlight w:val="none"/>
          <w:u w:val="none"/>
          <w:lang w:val="en-US" w:eastAsia="zh-CN"/>
        </w:rPr>
      </w:pPr>
      <w:r>
        <w:rPr>
          <w:rFonts w:hint="eastAsia" w:ascii="宋体" w:hAnsi="宋体" w:eastAsia="宋体" w:cs="宋体"/>
          <w:snapToGrid w:val="0"/>
          <w:color w:val="auto"/>
          <w:kern w:val="0"/>
          <w:sz w:val="28"/>
          <w:szCs w:val="28"/>
          <w:highlight w:val="none"/>
          <w:u w:val="none"/>
          <w:lang w:val="en-US" w:eastAsia="zh-CN"/>
        </w:rPr>
        <w:t>(2)拟继续利用的工业场地和办公生活区利用现已有开挖排水沟，要求保持畅通；对于拟新设的工业场地，要在场地周边设置排水沟，防止地表水积聚。</w:t>
      </w:r>
    </w:p>
    <w:p w14:paraId="145D9A86">
      <w:pPr>
        <w:pageBreakBefore w:val="0"/>
        <w:widowControl w:val="0"/>
        <w:kinsoku/>
        <w:wordWrap/>
        <w:overflowPunct/>
        <w:topLinePunct w:val="0"/>
        <w:autoSpaceDE/>
        <w:autoSpaceDN/>
        <w:bidi w:val="0"/>
        <w:adjustRightInd/>
        <w:snapToGrid w:val="0"/>
        <w:spacing w:beforeAutospacing="0" w:afterAutospacing="0" w:line="360" w:lineRule="auto"/>
        <w:ind w:firstLine="570" w:firstLineChars="200"/>
        <w:textAlignment w:val="auto"/>
        <w:rPr>
          <w:rFonts w:hint="eastAsia" w:ascii="宋体" w:hAnsi="宋体" w:eastAsia="宋体" w:cs="宋体"/>
          <w:snapToGrid w:val="0"/>
          <w:color w:val="auto"/>
          <w:kern w:val="0"/>
          <w:sz w:val="28"/>
          <w:szCs w:val="28"/>
          <w:highlight w:val="none"/>
          <w:u w:val="none"/>
          <w:lang w:val="en-US" w:eastAsia="zh-CN"/>
        </w:rPr>
      </w:pPr>
      <w:r>
        <w:rPr>
          <w:rFonts w:hint="eastAsia" w:ascii="宋体" w:hAnsi="宋体" w:eastAsia="宋体" w:cs="宋体"/>
          <w:snapToGrid w:val="0"/>
          <w:color w:val="auto"/>
          <w:kern w:val="0"/>
          <w:sz w:val="28"/>
          <w:szCs w:val="28"/>
          <w:highlight w:val="none"/>
          <w:u w:val="none"/>
          <w:lang w:val="en-US" w:eastAsia="zh-CN"/>
        </w:rPr>
        <w:t>(3)本矿山现有功能区均已设置有截排水沟，部分水沟存在堵塞、断流现象，本方案实施第一年要求在拟新设炸药库、临时转运场增设外围排水沟，完善矿山现有排水系统；要求后续生产过程中地表各功能区在设置防排水设施后应经常疏通、维护、修缮，保持排水系统通畅，需确保处理后水质持须达到灌溉用水标准，严禁对区域周边地表、地下水质及矿区周边的耕地等植被作物等造成不良影响，以达到矿山生产期间雨污分流、达标排放的目的。</w:t>
      </w:r>
    </w:p>
    <w:bookmarkEnd w:id="26"/>
    <w:bookmarkEnd w:id="96"/>
    <w:p w14:paraId="0964D1B6">
      <w:pPr>
        <w:pageBreakBefore w:val="0"/>
        <w:wordWrap/>
        <w:overflowPunct/>
        <w:topLinePunct w:val="0"/>
        <w:bidi w:val="0"/>
        <w:snapToGrid w:val="0"/>
        <w:spacing w:beforeAutospacing="0" w:afterAutospacing="0" w:line="360" w:lineRule="auto"/>
        <w:rPr>
          <w:rFonts w:hint="eastAsia" w:ascii="宋体" w:hAnsi="宋体" w:eastAsia="宋体" w:cs="宋体"/>
          <w:color w:val="auto"/>
          <w:sz w:val="28"/>
          <w:szCs w:val="28"/>
          <w:highlight w:val="none"/>
          <w:lang w:val="en-US" w:eastAsia="zh-CN"/>
        </w:rPr>
        <w:sectPr>
          <w:pgSz w:w="11905" w:h="16838"/>
          <w:pgMar w:top="1417" w:right="1417" w:bottom="1417" w:left="1417" w:header="851" w:footer="992" w:gutter="0"/>
          <w:pgBorders>
            <w:top w:val="none" w:sz="0" w:space="0"/>
            <w:left w:val="none" w:sz="0" w:space="0"/>
            <w:bottom w:val="none" w:sz="0" w:space="0"/>
            <w:right w:val="none" w:sz="0" w:space="0"/>
          </w:pgBorders>
          <w:pgNumType w:fmt="decimal"/>
          <w:cols w:space="720" w:num="1"/>
          <w:docGrid w:type="linesAndChars" w:linePitch="312" w:charSpace="1223"/>
        </w:sectPr>
      </w:pPr>
    </w:p>
    <w:p w14:paraId="4D21755F">
      <w:pPr>
        <w:pStyle w:val="2"/>
        <w:keepNext/>
        <w:keepLines/>
        <w:pageBreakBefore w:val="0"/>
        <w:widowControl/>
        <w:kinsoku w:val="0"/>
        <w:wordWrap/>
        <w:overflowPunct/>
        <w:topLinePunct w:val="0"/>
        <w:autoSpaceDE w:val="0"/>
        <w:autoSpaceDN w:val="0"/>
        <w:bidi w:val="0"/>
        <w:adjustRightInd w:val="0"/>
        <w:snapToGrid w:val="0"/>
        <w:spacing w:before="100" w:beforeAutospacing="1" w:after="100" w:afterAutospacing="1" w:line="240" w:lineRule="auto"/>
        <w:ind w:firstLine="0" w:firstLineChars="0"/>
        <w:jc w:val="center"/>
        <w:textAlignment w:val="baseline"/>
        <w:rPr>
          <w:rFonts w:hint="eastAsia" w:ascii="宋体" w:hAnsi="宋体" w:eastAsia="宋体" w:cs="宋体"/>
          <w:b/>
          <w:bCs/>
          <w:color w:val="auto"/>
          <w:kern w:val="2"/>
          <w:sz w:val="30"/>
          <w:szCs w:val="30"/>
          <w:highlight w:val="none"/>
          <w:lang w:val="en-US" w:eastAsia="zh-CN"/>
        </w:rPr>
      </w:pPr>
      <w:bookmarkStart w:id="178" w:name="_Toc3917"/>
      <w:r>
        <w:rPr>
          <w:rFonts w:hint="eastAsia" w:ascii="黑体" w:hAnsi="黑体" w:eastAsia="黑体" w:cs="黑体"/>
          <w:bCs/>
          <w:snapToGrid w:val="0"/>
          <w:color w:val="auto"/>
          <w:sz w:val="32"/>
          <w:szCs w:val="32"/>
          <w:highlight w:val="none"/>
          <w:lang w:val="en-US" w:eastAsia="zh-CN" w:bidi="ar"/>
        </w:rPr>
        <w:t>第五章  结论与建议</w:t>
      </w:r>
      <w:bookmarkEnd w:id="178"/>
    </w:p>
    <w:p w14:paraId="30E83EE5">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79" w:name="_Toc3418"/>
      <w:r>
        <w:rPr>
          <w:rFonts w:hint="eastAsia" w:ascii="宋体" w:hAnsi="宋体" w:eastAsia="宋体" w:cs="宋体"/>
          <w:b/>
          <w:bCs w:val="0"/>
          <w:snapToGrid w:val="0"/>
          <w:color w:val="auto"/>
          <w:kern w:val="0"/>
          <w:sz w:val="30"/>
          <w:szCs w:val="30"/>
          <w:highlight w:val="none"/>
          <w:lang w:val="en-US" w:eastAsia="zh-CN"/>
        </w:rPr>
        <w:t>5.1设计利用资源储量、可采储量</w:t>
      </w:r>
      <w:bookmarkEnd w:id="179"/>
    </w:p>
    <w:p w14:paraId="30C52DD7">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设计利用储量</w:t>
      </w:r>
      <w:r>
        <w:rPr>
          <w:rFonts w:hint="eastAsia" w:ascii="宋体" w:hAnsi="宋体" w:eastAsia="宋体" w:cs="宋体"/>
          <w:color w:val="auto"/>
          <w:sz w:val="28"/>
          <w:szCs w:val="28"/>
          <w:highlight w:val="none"/>
          <w:lang w:eastAsia="zh-CN"/>
        </w:rPr>
        <w:t>691.42</w:t>
      </w:r>
      <w:r>
        <w:rPr>
          <w:rFonts w:hint="eastAsia" w:ascii="宋体" w:hAnsi="宋体" w:eastAsia="宋体" w:cs="宋体"/>
          <w:color w:val="auto"/>
          <w:sz w:val="28"/>
          <w:szCs w:val="28"/>
          <w:highlight w:val="none"/>
        </w:rPr>
        <w:t>万t</w:t>
      </w:r>
      <w:r>
        <w:rPr>
          <w:rFonts w:hint="eastAsia" w:ascii="宋体" w:hAnsi="宋体" w:eastAsia="宋体" w:cs="宋体"/>
          <w:color w:val="auto"/>
          <w:sz w:val="28"/>
          <w:szCs w:val="28"/>
          <w:highlight w:val="none"/>
          <w:lang w:val="en-US" w:eastAsia="zh-CN"/>
        </w:rPr>
        <w:t>（方解石</w:t>
      </w:r>
      <w:r>
        <w:rPr>
          <w:rFonts w:hint="eastAsia" w:ascii="宋体" w:hAnsi="宋体" w:eastAsia="宋体" w:cs="宋体"/>
          <w:color w:val="auto"/>
          <w:sz w:val="28"/>
          <w:szCs w:val="28"/>
          <w:highlight w:val="none"/>
          <w:lang w:eastAsia="zh-CN"/>
        </w:rPr>
        <w:t>377.35</w:t>
      </w:r>
      <w:r>
        <w:rPr>
          <w:rFonts w:hint="eastAsia" w:ascii="宋体" w:hAnsi="宋体" w:eastAsia="宋体" w:cs="宋体"/>
          <w:color w:val="auto"/>
          <w:sz w:val="28"/>
          <w:szCs w:val="28"/>
          <w:highlight w:val="none"/>
        </w:rPr>
        <w:t>万t</w:t>
      </w:r>
      <w:r>
        <w:rPr>
          <w:rFonts w:hint="eastAsia" w:ascii="宋体" w:hAnsi="宋体" w:eastAsia="宋体" w:cs="宋体"/>
          <w:color w:val="auto"/>
          <w:sz w:val="28"/>
          <w:szCs w:val="28"/>
          <w:highlight w:val="none"/>
          <w:lang w:val="en-US" w:eastAsia="zh-CN"/>
        </w:rPr>
        <w:t>，白云石方解石</w:t>
      </w:r>
      <w:r>
        <w:rPr>
          <w:rFonts w:hint="eastAsia" w:ascii="宋体" w:hAnsi="宋体" w:eastAsia="宋体" w:cs="宋体"/>
          <w:color w:val="auto"/>
          <w:sz w:val="28"/>
          <w:szCs w:val="28"/>
          <w:highlight w:val="none"/>
          <w:lang w:eastAsia="zh-CN"/>
        </w:rPr>
        <w:t>314.07</w:t>
      </w:r>
      <w:r>
        <w:rPr>
          <w:rFonts w:hint="eastAsia" w:ascii="宋体" w:hAnsi="宋体" w:eastAsia="宋体" w:cs="宋体"/>
          <w:color w:val="auto"/>
          <w:sz w:val="28"/>
          <w:szCs w:val="28"/>
          <w:highlight w:val="none"/>
        </w:rPr>
        <w:t>万t</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eastAsia="zh-CN"/>
        </w:rPr>
        <w:t>；</w:t>
      </w:r>
    </w:p>
    <w:p w14:paraId="0856B47C">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可采储量</w:t>
      </w:r>
      <w:r>
        <w:rPr>
          <w:rFonts w:hint="eastAsia" w:ascii="宋体" w:hAnsi="宋体" w:eastAsia="宋体" w:cs="宋体"/>
          <w:color w:val="auto"/>
          <w:sz w:val="28"/>
          <w:szCs w:val="28"/>
          <w:highlight w:val="none"/>
          <w:lang w:eastAsia="zh-CN"/>
        </w:rPr>
        <w:t>518.57</w:t>
      </w:r>
      <w:r>
        <w:rPr>
          <w:rFonts w:hint="eastAsia" w:ascii="宋体" w:hAnsi="宋体" w:eastAsia="宋体" w:cs="宋体"/>
          <w:color w:val="auto"/>
          <w:sz w:val="28"/>
          <w:szCs w:val="28"/>
          <w:highlight w:val="none"/>
        </w:rPr>
        <w:t>万t</w:t>
      </w:r>
      <w:r>
        <w:rPr>
          <w:rFonts w:hint="eastAsia" w:ascii="宋体" w:hAnsi="宋体" w:eastAsia="宋体" w:cs="宋体"/>
          <w:color w:val="auto"/>
          <w:sz w:val="28"/>
          <w:szCs w:val="28"/>
          <w:highlight w:val="none"/>
          <w:lang w:val="en-US" w:eastAsia="zh-CN"/>
        </w:rPr>
        <w:t>（方解石</w:t>
      </w:r>
      <w:r>
        <w:rPr>
          <w:rFonts w:hint="eastAsia" w:ascii="宋体" w:hAnsi="宋体" w:eastAsia="宋体" w:cs="宋体"/>
          <w:color w:val="auto"/>
          <w:sz w:val="28"/>
          <w:szCs w:val="28"/>
          <w:highlight w:val="none"/>
          <w:lang w:eastAsia="zh-CN"/>
        </w:rPr>
        <w:t>283.01</w:t>
      </w:r>
      <w:r>
        <w:rPr>
          <w:rFonts w:hint="eastAsia" w:ascii="宋体" w:hAnsi="宋体" w:eastAsia="宋体" w:cs="宋体"/>
          <w:color w:val="auto"/>
          <w:sz w:val="28"/>
          <w:szCs w:val="28"/>
          <w:highlight w:val="none"/>
        </w:rPr>
        <w:t>万t</w:t>
      </w:r>
      <w:r>
        <w:rPr>
          <w:rFonts w:hint="eastAsia" w:ascii="宋体" w:hAnsi="宋体" w:eastAsia="宋体" w:cs="宋体"/>
          <w:color w:val="auto"/>
          <w:sz w:val="28"/>
          <w:szCs w:val="28"/>
          <w:highlight w:val="none"/>
          <w:lang w:val="en-US" w:eastAsia="zh-CN"/>
        </w:rPr>
        <w:t>，白云石方解石</w:t>
      </w:r>
      <w:r>
        <w:rPr>
          <w:rFonts w:hint="eastAsia" w:ascii="宋体" w:hAnsi="宋体" w:eastAsia="宋体" w:cs="宋体"/>
          <w:color w:val="auto"/>
          <w:sz w:val="28"/>
          <w:szCs w:val="28"/>
          <w:highlight w:val="none"/>
          <w:lang w:eastAsia="zh-CN"/>
        </w:rPr>
        <w:t>235.56</w:t>
      </w:r>
      <w:r>
        <w:rPr>
          <w:rFonts w:hint="eastAsia" w:ascii="宋体" w:hAnsi="宋体" w:eastAsia="宋体" w:cs="宋体"/>
          <w:color w:val="auto"/>
          <w:sz w:val="28"/>
          <w:szCs w:val="28"/>
          <w:highlight w:val="none"/>
        </w:rPr>
        <w:t>万t</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w:t>
      </w:r>
    </w:p>
    <w:p w14:paraId="3294D448">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80" w:name="_Toc13651"/>
      <w:r>
        <w:rPr>
          <w:rFonts w:hint="eastAsia" w:ascii="宋体" w:hAnsi="宋体" w:eastAsia="宋体" w:cs="宋体"/>
          <w:b/>
          <w:bCs w:val="0"/>
          <w:snapToGrid w:val="0"/>
          <w:color w:val="auto"/>
          <w:kern w:val="0"/>
          <w:sz w:val="30"/>
          <w:szCs w:val="30"/>
          <w:highlight w:val="none"/>
          <w:lang w:val="en-US" w:eastAsia="zh-CN"/>
        </w:rPr>
        <w:t>5.2申请开采区域</w:t>
      </w:r>
      <w:bookmarkEnd w:id="180"/>
    </w:p>
    <w:p w14:paraId="18AB0B26">
      <w:pPr>
        <w:pStyle w:val="24"/>
        <w:keepNext w:val="0"/>
        <w:keepLines w:val="0"/>
        <w:pageBreakBefore w:val="0"/>
        <w:widowControl w:val="0"/>
        <w:kinsoku/>
        <w:wordWrap/>
        <w:overflowPunct/>
        <w:topLinePunct w:val="0"/>
        <w:bidi w:val="0"/>
        <w:adjustRightInd w:val="0"/>
        <w:snapToGrid w:val="0"/>
        <w:spacing w:line="360" w:lineRule="auto"/>
        <w:ind w:firstLine="570" w:firstLineChars="200"/>
        <w:rPr>
          <w:rFonts w:hint="default" w:eastAsia="宋体"/>
          <w:color w:val="auto"/>
          <w:sz w:val="28"/>
          <w:szCs w:val="28"/>
          <w:highlight w:val="none"/>
          <w:lang w:val="en-US" w:eastAsia="zh-CN"/>
        </w:rPr>
      </w:pPr>
      <w:r>
        <w:rPr>
          <w:rFonts w:hint="eastAsia"/>
          <w:color w:val="auto"/>
          <w:sz w:val="28"/>
          <w:szCs w:val="28"/>
          <w:highlight w:val="none"/>
          <w:lang w:eastAsia="zh-CN"/>
        </w:rPr>
        <w:t>本次拟申请开采区域拐点坐标及开采标高详见表</w:t>
      </w:r>
      <w:r>
        <w:rPr>
          <w:rFonts w:hint="eastAsia"/>
          <w:color w:val="auto"/>
          <w:sz w:val="28"/>
          <w:szCs w:val="28"/>
          <w:highlight w:val="none"/>
          <w:lang w:val="en-US" w:eastAsia="zh-CN"/>
        </w:rPr>
        <w:t>5-1。</w:t>
      </w:r>
    </w:p>
    <w:p w14:paraId="3EB0FD79">
      <w:pPr>
        <w:keepNext w:val="0"/>
        <w:keepLines w:val="0"/>
        <w:pageBreakBefore w:val="0"/>
        <w:widowControl w:val="0"/>
        <w:kinsoku/>
        <w:wordWrap/>
        <w:overflowPunct/>
        <w:topLinePunct w:val="0"/>
        <w:autoSpaceDE/>
        <w:autoSpaceDN/>
        <w:bidi w:val="0"/>
        <w:adjustRightInd w:val="0"/>
        <w:snapToGrid w:val="0"/>
        <w:spacing w:line="360" w:lineRule="auto"/>
        <w:jc w:val="right"/>
        <w:textAlignment w:val="baseline"/>
        <w:rPr>
          <w:rFonts w:hint="eastAsia"/>
          <w:b w:val="0"/>
          <w:bCs w:val="0"/>
          <w:color w:val="auto"/>
          <w:sz w:val="28"/>
          <w:szCs w:val="28"/>
          <w:highlight w:val="none"/>
          <w:lang w:val="en-US" w:eastAsia="zh-CN"/>
        </w:rPr>
      </w:pPr>
      <w:r>
        <w:rPr>
          <w:rFonts w:hint="eastAsia"/>
          <w:color w:val="auto"/>
          <w:sz w:val="28"/>
          <w:szCs w:val="28"/>
          <w:highlight w:val="none"/>
          <w:lang w:val="en-US" w:eastAsia="zh-CN"/>
        </w:rPr>
        <w:t xml:space="preserve">     </w:t>
      </w:r>
      <w:r>
        <w:rPr>
          <w:rFonts w:hint="eastAsia"/>
          <w:color w:val="auto"/>
          <w:sz w:val="28"/>
          <w:szCs w:val="28"/>
          <w:highlight w:val="none"/>
          <w:lang w:eastAsia="zh-CN"/>
        </w:rPr>
        <w:t>拟</w:t>
      </w:r>
      <w:r>
        <w:rPr>
          <w:rFonts w:hint="eastAsia"/>
          <w:color w:val="auto"/>
          <w:sz w:val="28"/>
          <w:szCs w:val="28"/>
          <w:highlight w:val="none"/>
        </w:rPr>
        <w:t>申请开采区域拐点坐标表</w:t>
      </w:r>
      <w:r>
        <w:rPr>
          <w:rFonts w:hint="eastAsia"/>
          <w:color w:val="auto"/>
          <w:sz w:val="28"/>
          <w:szCs w:val="28"/>
          <w:highlight w:val="none"/>
          <w:lang w:val="en-US" w:eastAsia="zh-CN"/>
        </w:rPr>
        <w:t xml:space="preserve">          </w:t>
      </w:r>
      <w:r>
        <w:rPr>
          <w:rFonts w:hint="eastAsia"/>
          <w:b w:val="0"/>
          <w:bCs w:val="0"/>
          <w:color w:val="auto"/>
          <w:sz w:val="28"/>
          <w:szCs w:val="28"/>
          <w:highlight w:val="none"/>
          <w:lang w:val="en-US" w:eastAsia="zh-CN"/>
        </w:rPr>
        <w:t xml:space="preserve"> 表5-1</w:t>
      </w:r>
    </w:p>
    <w:tbl>
      <w:tblPr>
        <w:tblStyle w:val="18"/>
        <w:tblW w:w="9008" w:type="dxa"/>
        <w:jc w:val="center"/>
        <w:tblLayout w:type="fixed"/>
        <w:tblCellMar>
          <w:top w:w="0" w:type="dxa"/>
          <w:left w:w="108" w:type="dxa"/>
          <w:bottom w:w="0" w:type="dxa"/>
          <w:right w:w="108" w:type="dxa"/>
        </w:tblCellMar>
      </w:tblPr>
      <w:tblGrid>
        <w:gridCol w:w="718"/>
        <w:gridCol w:w="1739"/>
        <w:gridCol w:w="1891"/>
        <w:gridCol w:w="801"/>
        <w:gridCol w:w="1876"/>
        <w:gridCol w:w="1983"/>
      </w:tblGrid>
      <w:tr w14:paraId="5C46DE48">
        <w:tblPrEx>
          <w:tblCellMar>
            <w:top w:w="0" w:type="dxa"/>
            <w:left w:w="108" w:type="dxa"/>
            <w:bottom w:w="0" w:type="dxa"/>
            <w:right w:w="108" w:type="dxa"/>
          </w:tblCellMar>
        </w:tblPrEx>
        <w:trPr>
          <w:trHeight w:val="263" w:hRule="atLeast"/>
          <w:jc w:val="center"/>
        </w:trPr>
        <w:tc>
          <w:tcPr>
            <w:tcW w:w="718" w:type="dxa"/>
            <w:vMerge w:val="restart"/>
            <w:tcBorders>
              <w:top w:val="single" w:color="auto" w:sz="4" w:space="0"/>
              <w:left w:val="single" w:color="auto" w:sz="4" w:space="0"/>
              <w:bottom w:val="single" w:color="auto" w:sz="4" w:space="0"/>
              <w:right w:val="single" w:color="auto" w:sz="4" w:space="0"/>
            </w:tcBorders>
            <w:noWrap/>
            <w:vAlign w:val="center"/>
          </w:tcPr>
          <w:p w14:paraId="0AD1334B">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拐点编号</w:t>
            </w:r>
          </w:p>
        </w:tc>
        <w:tc>
          <w:tcPr>
            <w:tcW w:w="3630" w:type="dxa"/>
            <w:gridSpan w:val="2"/>
            <w:tcBorders>
              <w:top w:val="single" w:color="auto" w:sz="4" w:space="0"/>
              <w:left w:val="nil"/>
              <w:bottom w:val="single" w:color="auto" w:sz="4" w:space="0"/>
              <w:right w:val="single" w:color="auto" w:sz="4" w:space="0"/>
            </w:tcBorders>
            <w:noWrap/>
            <w:vAlign w:val="center"/>
          </w:tcPr>
          <w:p w14:paraId="63C85EF5">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2000国家大地坐标系</w:t>
            </w:r>
          </w:p>
        </w:tc>
        <w:tc>
          <w:tcPr>
            <w:tcW w:w="801" w:type="dxa"/>
            <w:vMerge w:val="restart"/>
            <w:tcBorders>
              <w:top w:val="single" w:color="auto" w:sz="4" w:space="0"/>
              <w:left w:val="single" w:color="auto" w:sz="4" w:space="0"/>
              <w:right w:val="single" w:color="auto" w:sz="4" w:space="0"/>
            </w:tcBorders>
            <w:noWrap/>
            <w:vAlign w:val="center"/>
          </w:tcPr>
          <w:p w14:paraId="566A91F6">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拐点编号</w:t>
            </w:r>
          </w:p>
        </w:tc>
        <w:tc>
          <w:tcPr>
            <w:tcW w:w="3859" w:type="dxa"/>
            <w:gridSpan w:val="2"/>
            <w:tcBorders>
              <w:top w:val="single" w:color="auto" w:sz="4" w:space="0"/>
              <w:left w:val="single" w:color="auto" w:sz="4" w:space="0"/>
              <w:bottom w:val="single" w:color="auto" w:sz="4" w:space="0"/>
              <w:right w:val="single" w:color="auto" w:sz="4" w:space="0"/>
            </w:tcBorders>
            <w:noWrap/>
            <w:vAlign w:val="center"/>
          </w:tcPr>
          <w:p w14:paraId="71655E48">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2000国家大地坐标系</w:t>
            </w:r>
          </w:p>
        </w:tc>
      </w:tr>
      <w:tr w14:paraId="17BED8FC">
        <w:tblPrEx>
          <w:tblCellMar>
            <w:top w:w="0" w:type="dxa"/>
            <w:left w:w="108" w:type="dxa"/>
            <w:bottom w:w="0" w:type="dxa"/>
            <w:right w:w="108" w:type="dxa"/>
          </w:tblCellMar>
        </w:tblPrEx>
        <w:trPr>
          <w:trHeight w:val="263" w:hRule="atLeast"/>
          <w:jc w:val="center"/>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220FE864">
            <w:pPr>
              <w:widowControl/>
              <w:jc w:val="left"/>
              <w:rPr>
                <w:rFonts w:hint="eastAsia" w:ascii="宋体" w:hAnsi="宋体" w:eastAsia="宋体" w:cs="宋体"/>
                <w:color w:val="auto"/>
                <w:kern w:val="0"/>
                <w:sz w:val="24"/>
                <w:szCs w:val="24"/>
                <w:highlight w:val="none"/>
              </w:rPr>
            </w:pPr>
          </w:p>
        </w:tc>
        <w:tc>
          <w:tcPr>
            <w:tcW w:w="1739" w:type="dxa"/>
            <w:tcBorders>
              <w:top w:val="single" w:color="auto" w:sz="4" w:space="0"/>
              <w:left w:val="nil"/>
              <w:bottom w:val="single" w:color="auto" w:sz="4" w:space="0"/>
              <w:right w:val="single" w:color="auto" w:sz="4" w:space="0"/>
            </w:tcBorders>
            <w:noWrap/>
            <w:vAlign w:val="center"/>
          </w:tcPr>
          <w:p w14:paraId="0CA12937">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X</w:t>
            </w:r>
          </w:p>
        </w:tc>
        <w:tc>
          <w:tcPr>
            <w:tcW w:w="1891" w:type="dxa"/>
            <w:tcBorders>
              <w:top w:val="single" w:color="auto" w:sz="4" w:space="0"/>
              <w:left w:val="nil"/>
              <w:bottom w:val="single" w:color="auto" w:sz="4" w:space="0"/>
              <w:right w:val="single" w:color="auto" w:sz="4" w:space="0"/>
            </w:tcBorders>
            <w:noWrap/>
            <w:vAlign w:val="center"/>
          </w:tcPr>
          <w:p w14:paraId="522CC08C">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Y</w:t>
            </w:r>
          </w:p>
        </w:tc>
        <w:tc>
          <w:tcPr>
            <w:tcW w:w="801" w:type="dxa"/>
            <w:vMerge w:val="continue"/>
            <w:tcBorders>
              <w:left w:val="single" w:color="auto" w:sz="4" w:space="0"/>
              <w:bottom w:val="single" w:color="auto" w:sz="4" w:space="0"/>
              <w:right w:val="single" w:color="auto" w:sz="4" w:space="0"/>
            </w:tcBorders>
            <w:noWrap w:val="0"/>
            <w:vAlign w:val="center"/>
          </w:tcPr>
          <w:p w14:paraId="097C8C3D">
            <w:pPr>
              <w:widowControl/>
              <w:jc w:val="center"/>
              <w:rPr>
                <w:rFonts w:hint="eastAsia" w:ascii="宋体" w:hAnsi="宋体" w:eastAsia="宋体" w:cs="宋体"/>
                <w:color w:val="auto"/>
                <w:kern w:val="0"/>
                <w:sz w:val="24"/>
                <w:szCs w:val="24"/>
                <w:highlight w:val="none"/>
                <w:lang w:val="en-US" w:eastAsia="zh-CN" w:bidi="ar-SA"/>
              </w:rPr>
            </w:pPr>
          </w:p>
        </w:tc>
        <w:tc>
          <w:tcPr>
            <w:tcW w:w="1876" w:type="dxa"/>
            <w:tcBorders>
              <w:top w:val="single" w:color="auto" w:sz="4" w:space="0"/>
              <w:left w:val="single" w:color="auto" w:sz="4" w:space="0"/>
              <w:bottom w:val="single" w:color="auto" w:sz="4" w:space="0"/>
              <w:right w:val="single" w:color="auto" w:sz="4" w:space="0"/>
            </w:tcBorders>
            <w:noWrap w:val="0"/>
            <w:vAlign w:val="center"/>
          </w:tcPr>
          <w:p w14:paraId="56A8FC4E">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X</w:t>
            </w:r>
          </w:p>
        </w:tc>
        <w:tc>
          <w:tcPr>
            <w:tcW w:w="1983" w:type="dxa"/>
            <w:tcBorders>
              <w:top w:val="single" w:color="auto" w:sz="4" w:space="0"/>
              <w:left w:val="single" w:color="auto" w:sz="4" w:space="0"/>
              <w:bottom w:val="single" w:color="auto" w:sz="4" w:space="0"/>
              <w:right w:val="single" w:color="auto" w:sz="4" w:space="0"/>
            </w:tcBorders>
            <w:noWrap w:val="0"/>
            <w:vAlign w:val="center"/>
          </w:tcPr>
          <w:p w14:paraId="3B152713">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Y</w:t>
            </w:r>
          </w:p>
        </w:tc>
      </w:tr>
      <w:tr w14:paraId="002781C5">
        <w:tblPrEx>
          <w:tblCellMar>
            <w:top w:w="0" w:type="dxa"/>
            <w:left w:w="108" w:type="dxa"/>
            <w:bottom w:w="0" w:type="dxa"/>
            <w:right w:w="108" w:type="dxa"/>
          </w:tblCellMar>
        </w:tblPrEx>
        <w:trPr>
          <w:trHeight w:val="263" w:hRule="atLeast"/>
          <w:jc w:val="center"/>
        </w:trPr>
        <w:tc>
          <w:tcPr>
            <w:tcW w:w="718" w:type="dxa"/>
            <w:tcBorders>
              <w:top w:val="nil"/>
              <w:left w:val="single" w:color="auto" w:sz="4" w:space="0"/>
              <w:bottom w:val="single" w:color="auto" w:sz="4" w:space="0"/>
              <w:right w:val="single" w:color="auto" w:sz="4" w:space="0"/>
            </w:tcBorders>
            <w:noWrap/>
            <w:vAlign w:val="center"/>
          </w:tcPr>
          <w:p w14:paraId="00832DF1">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1</w:t>
            </w:r>
          </w:p>
        </w:tc>
        <w:tc>
          <w:tcPr>
            <w:tcW w:w="1739" w:type="dxa"/>
            <w:tcBorders>
              <w:top w:val="nil"/>
              <w:left w:val="nil"/>
              <w:bottom w:val="single" w:color="auto" w:sz="4" w:space="0"/>
              <w:right w:val="single" w:color="auto" w:sz="4" w:space="0"/>
            </w:tcBorders>
            <w:noWrap/>
            <w:vAlign w:val="top"/>
          </w:tcPr>
          <w:p w14:paraId="4B4EF402">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2923943.8</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 xml:space="preserve"> </w:t>
            </w:r>
          </w:p>
        </w:tc>
        <w:tc>
          <w:tcPr>
            <w:tcW w:w="1891" w:type="dxa"/>
            <w:tcBorders>
              <w:top w:val="nil"/>
              <w:left w:val="nil"/>
              <w:bottom w:val="single" w:color="auto" w:sz="4" w:space="0"/>
              <w:right w:val="single" w:color="auto" w:sz="4" w:space="0"/>
            </w:tcBorders>
            <w:noWrap/>
            <w:vAlign w:val="top"/>
          </w:tcPr>
          <w:p w14:paraId="10D903C1">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39524319.18 </w:t>
            </w:r>
          </w:p>
        </w:tc>
        <w:tc>
          <w:tcPr>
            <w:tcW w:w="801" w:type="dxa"/>
            <w:tcBorders>
              <w:top w:val="nil"/>
              <w:left w:val="nil"/>
              <w:bottom w:val="single" w:color="auto" w:sz="4" w:space="0"/>
              <w:right w:val="single" w:color="auto" w:sz="4" w:space="0"/>
            </w:tcBorders>
            <w:noWrap/>
            <w:vAlign w:val="center"/>
          </w:tcPr>
          <w:p w14:paraId="44288E75">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4</w:t>
            </w:r>
          </w:p>
        </w:tc>
        <w:tc>
          <w:tcPr>
            <w:tcW w:w="1876" w:type="dxa"/>
            <w:tcBorders>
              <w:top w:val="nil"/>
              <w:left w:val="single" w:color="auto" w:sz="4" w:space="0"/>
              <w:bottom w:val="single" w:color="auto" w:sz="4" w:space="0"/>
              <w:right w:val="single" w:color="auto" w:sz="4" w:space="0"/>
            </w:tcBorders>
            <w:noWrap/>
            <w:vAlign w:val="top"/>
          </w:tcPr>
          <w:p w14:paraId="47E6DD57">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2924329.8</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w:t>
            </w:r>
          </w:p>
        </w:tc>
        <w:tc>
          <w:tcPr>
            <w:tcW w:w="1983" w:type="dxa"/>
            <w:tcBorders>
              <w:top w:val="nil"/>
              <w:left w:val="single" w:color="auto" w:sz="4" w:space="0"/>
              <w:bottom w:val="single" w:color="auto" w:sz="4" w:space="0"/>
              <w:right w:val="single" w:color="auto" w:sz="4" w:space="0"/>
            </w:tcBorders>
            <w:noWrap/>
            <w:vAlign w:val="top"/>
          </w:tcPr>
          <w:p w14:paraId="4ED0A138">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39525099.18 </w:t>
            </w:r>
          </w:p>
        </w:tc>
      </w:tr>
      <w:tr w14:paraId="27FADC7B">
        <w:tblPrEx>
          <w:tblCellMar>
            <w:top w:w="0" w:type="dxa"/>
            <w:left w:w="108" w:type="dxa"/>
            <w:bottom w:w="0" w:type="dxa"/>
            <w:right w:w="108" w:type="dxa"/>
          </w:tblCellMar>
        </w:tblPrEx>
        <w:trPr>
          <w:trHeight w:val="263" w:hRule="atLeast"/>
          <w:jc w:val="center"/>
        </w:trPr>
        <w:tc>
          <w:tcPr>
            <w:tcW w:w="718" w:type="dxa"/>
            <w:tcBorders>
              <w:top w:val="nil"/>
              <w:left w:val="single" w:color="auto" w:sz="4" w:space="0"/>
              <w:bottom w:val="single" w:color="auto" w:sz="4" w:space="0"/>
              <w:right w:val="single" w:color="auto" w:sz="4" w:space="0"/>
            </w:tcBorders>
            <w:noWrap/>
            <w:vAlign w:val="center"/>
          </w:tcPr>
          <w:p w14:paraId="67474023">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2</w:t>
            </w:r>
          </w:p>
        </w:tc>
        <w:tc>
          <w:tcPr>
            <w:tcW w:w="1739" w:type="dxa"/>
            <w:tcBorders>
              <w:top w:val="nil"/>
              <w:left w:val="nil"/>
              <w:bottom w:val="single" w:color="auto" w:sz="4" w:space="0"/>
              <w:right w:val="single" w:color="auto" w:sz="4" w:space="0"/>
            </w:tcBorders>
            <w:noWrap/>
            <w:vAlign w:val="top"/>
          </w:tcPr>
          <w:p w14:paraId="616B2907">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2924113.81 </w:t>
            </w:r>
          </w:p>
        </w:tc>
        <w:tc>
          <w:tcPr>
            <w:tcW w:w="1891" w:type="dxa"/>
            <w:tcBorders>
              <w:top w:val="nil"/>
              <w:left w:val="nil"/>
              <w:bottom w:val="single" w:color="auto" w:sz="4" w:space="0"/>
              <w:right w:val="single" w:color="auto" w:sz="4" w:space="0"/>
            </w:tcBorders>
            <w:noWrap/>
            <w:vAlign w:val="top"/>
          </w:tcPr>
          <w:p w14:paraId="74A5255D">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39524711.18 </w:t>
            </w:r>
          </w:p>
        </w:tc>
        <w:tc>
          <w:tcPr>
            <w:tcW w:w="801" w:type="dxa"/>
            <w:tcBorders>
              <w:top w:val="nil"/>
              <w:left w:val="nil"/>
              <w:bottom w:val="single" w:color="auto" w:sz="4" w:space="0"/>
              <w:right w:val="single" w:color="auto" w:sz="4" w:space="0"/>
            </w:tcBorders>
            <w:noWrap/>
            <w:vAlign w:val="center"/>
          </w:tcPr>
          <w:p w14:paraId="0484CBF0">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5</w:t>
            </w:r>
          </w:p>
        </w:tc>
        <w:tc>
          <w:tcPr>
            <w:tcW w:w="1876" w:type="dxa"/>
            <w:tcBorders>
              <w:top w:val="nil"/>
              <w:left w:val="single" w:color="auto" w:sz="4" w:space="0"/>
              <w:bottom w:val="single" w:color="auto" w:sz="4" w:space="0"/>
              <w:right w:val="single" w:color="auto" w:sz="4" w:space="0"/>
            </w:tcBorders>
            <w:noWrap/>
            <w:vAlign w:val="top"/>
          </w:tcPr>
          <w:p w14:paraId="28A43747">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2924030.8</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w:t>
            </w:r>
          </w:p>
        </w:tc>
        <w:tc>
          <w:tcPr>
            <w:tcW w:w="1983" w:type="dxa"/>
            <w:tcBorders>
              <w:top w:val="nil"/>
              <w:left w:val="single" w:color="auto" w:sz="4" w:space="0"/>
              <w:bottom w:val="single" w:color="auto" w:sz="4" w:space="0"/>
              <w:right w:val="single" w:color="auto" w:sz="4" w:space="0"/>
            </w:tcBorders>
            <w:noWrap/>
            <w:vAlign w:val="top"/>
          </w:tcPr>
          <w:p w14:paraId="14F9EF5D">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39525099.18 </w:t>
            </w:r>
          </w:p>
        </w:tc>
      </w:tr>
      <w:tr w14:paraId="0BEE0ACC">
        <w:tblPrEx>
          <w:tblCellMar>
            <w:top w:w="0" w:type="dxa"/>
            <w:left w:w="108" w:type="dxa"/>
            <w:bottom w:w="0" w:type="dxa"/>
            <w:right w:w="108" w:type="dxa"/>
          </w:tblCellMar>
        </w:tblPrEx>
        <w:trPr>
          <w:trHeight w:val="263" w:hRule="atLeast"/>
          <w:jc w:val="center"/>
        </w:trPr>
        <w:tc>
          <w:tcPr>
            <w:tcW w:w="718" w:type="dxa"/>
            <w:tcBorders>
              <w:top w:val="nil"/>
              <w:left w:val="single" w:color="auto" w:sz="4" w:space="0"/>
              <w:bottom w:val="single" w:color="auto" w:sz="4" w:space="0"/>
              <w:right w:val="single" w:color="auto" w:sz="4" w:space="0"/>
            </w:tcBorders>
            <w:noWrap/>
            <w:vAlign w:val="center"/>
          </w:tcPr>
          <w:p w14:paraId="34EF917F">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3</w:t>
            </w:r>
          </w:p>
        </w:tc>
        <w:tc>
          <w:tcPr>
            <w:tcW w:w="1739" w:type="dxa"/>
            <w:tcBorders>
              <w:top w:val="nil"/>
              <w:left w:val="nil"/>
              <w:bottom w:val="single" w:color="auto" w:sz="4" w:space="0"/>
              <w:right w:val="single" w:color="auto" w:sz="4" w:space="0"/>
            </w:tcBorders>
            <w:noWrap/>
            <w:vAlign w:val="top"/>
          </w:tcPr>
          <w:p w14:paraId="20F5A3B3">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2924217.81 </w:t>
            </w:r>
          </w:p>
        </w:tc>
        <w:tc>
          <w:tcPr>
            <w:tcW w:w="1891" w:type="dxa"/>
            <w:tcBorders>
              <w:top w:val="nil"/>
              <w:left w:val="nil"/>
              <w:bottom w:val="single" w:color="auto" w:sz="4" w:space="0"/>
              <w:right w:val="single" w:color="auto" w:sz="4" w:space="0"/>
            </w:tcBorders>
            <w:noWrap/>
            <w:vAlign w:val="top"/>
          </w:tcPr>
          <w:p w14:paraId="6A8D0936">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39524711.18 </w:t>
            </w:r>
          </w:p>
        </w:tc>
        <w:tc>
          <w:tcPr>
            <w:tcW w:w="801" w:type="dxa"/>
            <w:tcBorders>
              <w:top w:val="nil"/>
              <w:left w:val="nil"/>
              <w:bottom w:val="single" w:color="auto" w:sz="4" w:space="0"/>
              <w:right w:val="single" w:color="auto" w:sz="4" w:space="0"/>
            </w:tcBorders>
            <w:noWrap/>
            <w:vAlign w:val="center"/>
          </w:tcPr>
          <w:p w14:paraId="72FE8368">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6</w:t>
            </w:r>
          </w:p>
        </w:tc>
        <w:tc>
          <w:tcPr>
            <w:tcW w:w="1876" w:type="dxa"/>
            <w:tcBorders>
              <w:top w:val="nil"/>
              <w:left w:val="single" w:color="auto" w:sz="4" w:space="0"/>
              <w:bottom w:val="single" w:color="auto" w:sz="4" w:space="0"/>
              <w:right w:val="single" w:color="auto" w:sz="4" w:space="0"/>
            </w:tcBorders>
            <w:noWrap/>
            <w:vAlign w:val="top"/>
          </w:tcPr>
          <w:p w14:paraId="6D53E625">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 xml:space="preserve">2923807.81 </w:t>
            </w:r>
          </w:p>
        </w:tc>
        <w:tc>
          <w:tcPr>
            <w:tcW w:w="1983" w:type="dxa"/>
            <w:tcBorders>
              <w:top w:val="nil"/>
              <w:left w:val="single" w:color="auto" w:sz="4" w:space="0"/>
              <w:bottom w:val="single" w:color="auto" w:sz="4" w:space="0"/>
              <w:right w:val="single" w:color="auto" w:sz="4" w:space="0"/>
            </w:tcBorders>
            <w:noWrap/>
            <w:vAlign w:val="top"/>
          </w:tcPr>
          <w:p w14:paraId="1C6292C1">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39524319.1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 </w:t>
            </w:r>
          </w:p>
        </w:tc>
      </w:tr>
      <w:tr w14:paraId="51E85FBA">
        <w:tblPrEx>
          <w:tblCellMar>
            <w:top w:w="0" w:type="dxa"/>
            <w:left w:w="108" w:type="dxa"/>
            <w:bottom w:w="0" w:type="dxa"/>
            <w:right w:w="108" w:type="dxa"/>
          </w:tblCellMar>
        </w:tblPrEx>
        <w:trPr>
          <w:trHeight w:val="306" w:hRule="atLeast"/>
          <w:jc w:val="center"/>
        </w:trPr>
        <w:tc>
          <w:tcPr>
            <w:tcW w:w="9008" w:type="dxa"/>
            <w:gridSpan w:val="6"/>
            <w:tcBorders>
              <w:top w:val="single" w:color="auto" w:sz="4" w:space="0"/>
              <w:left w:val="single" w:color="auto" w:sz="4" w:space="0"/>
              <w:bottom w:val="single" w:color="auto" w:sz="4" w:space="0"/>
              <w:right w:val="single" w:color="auto" w:sz="4" w:space="0"/>
            </w:tcBorders>
            <w:noWrap/>
            <w:vAlign w:val="center"/>
          </w:tcPr>
          <w:p w14:paraId="23BA996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面积：0.1805km</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；开采标高：+480～+2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0m</w:t>
            </w:r>
          </w:p>
        </w:tc>
      </w:tr>
    </w:tbl>
    <w:p w14:paraId="4935C6A6">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81" w:name="_Toc189"/>
      <w:r>
        <w:rPr>
          <w:rFonts w:hint="eastAsia" w:ascii="宋体" w:hAnsi="宋体" w:eastAsia="宋体" w:cs="宋体"/>
          <w:b/>
          <w:bCs w:val="0"/>
          <w:snapToGrid w:val="0"/>
          <w:color w:val="auto"/>
          <w:kern w:val="0"/>
          <w:sz w:val="30"/>
          <w:szCs w:val="30"/>
          <w:highlight w:val="none"/>
          <w:lang w:val="en-US" w:eastAsia="zh-CN"/>
        </w:rPr>
        <w:t>5.3开采矿种及产品方案</w:t>
      </w:r>
      <w:bookmarkEnd w:id="181"/>
    </w:p>
    <w:p w14:paraId="0FDE19DA">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开采矿种：方解石；</w:t>
      </w:r>
    </w:p>
    <w:p w14:paraId="6CFE1CDB">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lang w:eastAsia="zh-CN"/>
        </w:rPr>
        <w:t>产品方案：</w:t>
      </w:r>
      <w:r>
        <w:rPr>
          <w:rFonts w:hint="eastAsia" w:ascii="宋体" w:hAnsi="宋体" w:eastAsia="宋体" w:cs="宋体"/>
          <w:color w:val="auto"/>
          <w:sz w:val="28"/>
          <w:szCs w:val="28"/>
          <w:highlight w:val="none"/>
        </w:rPr>
        <w:t>100-300目的石粉。</w:t>
      </w:r>
    </w:p>
    <w:p w14:paraId="7BA15806">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82" w:name="_Toc6001"/>
      <w:r>
        <w:rPr>
          <w:rFonts w:hint="eastAsia" w:ascii="宋体" w:hAnsi="宋体" w:eastAsia="宋体" w:cs="宋体"/>
          <w:b/>
          <w:bCs w:val="0"/>
          <w:snapToGrid w:val="0"/>
          <w:color w:val="auto"/>
          <w:kern w:val="0"/>
          <w:sz w:val="30"/>
          <w:szCs w:val="30"/>
          <w:highlight w:val="none"/>
          <w:lang w:val="en-US" w:eastAsia="zh-CN"/>
        </w:rPr>
        <w:t>5.4开采方式、开采顺序、采矿方法</w:t>
      </w:r>
      <w:bookmarkEnd w:id="182"/>
    </w:p>
    <w:p w14:paraId="4D3CD6F2">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开采方式：</w:t>
      </w:r>
      <w:r>
        <w:rPr>
          <w:rFonts w:hint="eastAsia" w:ascii="宋体" w:hAnsi="宋体" w:eastAsia="宋体" w:cs="宋体"/>
          <w:color w:val="auto"/>
          <w:sz w:val="28"/>
          <w:szCs w:val="28"/>
          <w:highlight w:val="none"/>
          <w:lang w:eastAsia="zh-CN"/>
        </w:rPr>
        <w:t>地下</w:t>
      </w:r>
      <w:r>
        <w:rPr>
          <w:rFonts w:hint="eastAsia" w:ascii="宋体" w:hAnsi="宋体" w:eastAsia="宋体" w:cs="宋体"/>
          <w:color w:val="auto"/>
          <w:sz w:val="28"/>
          <w:szCs w:val="28"/>
          <w:highlight w:val="none"/>
        </w:rPr>
        <w:t>开采</w:t>
      </w:r>
      <w:r>
        <w:rPr>
          <w:rFonts w:hint="eastAsia" w:ascii="宋体" w:hAnsi="宋体" w:eastAsia="宋体" w:cs="宋体"/>
          <w:color w:val="auto"/>
          <w:sz w:val="28"/>
          <w:szCs w:val="28"/>
          <w:highlight w:val="none"/>
          <w:lang w:eastAsia="zh-CN"/>
        </w:rPr>
        <w:t>；</w:t>
      </w:r>
    </w:p>
    <w:p w14:paraId="03E51005">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开采顺序</w:t>
      </w:r>
      <w:r>
        <w:rPr>
          <w:rFonts w:hint="eastAsia" w:ascii="宋体" w:hAnsi="宋体" w:eastAsia="宋体" w:cs="宋体"/>
          <w:color w:val="auto"/>
          <w:sz w:val="28"/>
          <w:szCs w:val="28"/>
          <w:highlight w:val="none"/>
          <w:lang w:eastAsia="zh-CN"/>
        </w:rPr>
        <w:t>：</w:t>
      </w:r>
    </w:p>
    <w:p w14:paraId="4B3D567C">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矿山回采顺序总体上遵循：中段之间自上而下，中段内由远及近后退式回采的原则，即先采远端，后往出口方向退采。</w:t>
      </w:r>
    </w:p>
    <w:p w14:paraId="4C6C95AA">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矿块回采采用退采，即从矿块远端向</w:t>
      </w:r>
      <w:r>
        <w:rPr>
          <w:rFonts w:hint="eastAsia" w:ascii="宋体" w:hAnsi="宋体" w:eastAsia="宋体" w:cs="宋体"/>
          <w:color w:val="auto"/>
          <w:sz w:val="28"/>
          <w:szCs w:val="28"/>
          <w:highlight w:val="none"/>
          <w:lang w:eastAsia="zh-CN"/>
        </w:rPr>
        <w:t>主平硐（</w:t>
      </w:r>
      <w:r>
        <w:rPr>
          <w:rFonts w:hint="eastAsia" w:ascii="宋体" w:hAnsi="宋体" w:eastAsia="宋体" w:cs="宋体"/>
          <w:color w:val="auto"/>
          <w:sz w:val="28"/>
          <w:szCs w:val="28"/>
          <w:highlight w:val="none"/>
        </w:rPr>
        <w:t>斜坡道</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口方向退采，减少在采空区下的作业时间，既利于安全，同时也少留顶板矿柱。</w:t>
      </w:r>
    </w:p>
    <w:p w14:paraId="0EF81111">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采矿方法</w:t>
      </w:r>
      <w:r>
        <w:rPr>
          <w:rFonts w:hint="eastAsia" w:ascii="宋体" w:hAnsi="宋体" w:eastAsia="宋体" w:cs="宋体"/>
          <w:color w:val="auto"/>
          <w:sz w:val="28"/>
          <w:szCs w:val="28"/>
          <w:highlight w:val="none"/>
          <w:lang w:eastAsia="zh-CN"/>
        </w:rPr>
        <w:t>：</w:t>
      </w:r>
      <w:r>
        <w:rPr>
          <w:rFonts w:hint="eastAsia" w:ascii="Times New Roman" w:hAnsi="Times New Roman" w:eastAsia="宋体" w:cs="宋体"/>
          <w:b w:val="0"/>
          <w:bCs w:val="0"/>
          <w:color w:val="auto"/>
          <w:sz w:val="28"/>
          <w:szCs w:val="28"/>
          <w:highlight w:val="none"/>
          <w:lang w:val="en-US" w:eastAsia="zh-CN"/>
        </w:rPr>
        <w:t>3</w:t>
      </w:r>
      <w:r>
        <w:rPr>
          <w:rFonts w:hint="eastAsia" w:ascii="Times New Roman" w:hAnsi="Times New Roman" w:cs="宋体"/>
          <w:b w:val="0"/>
          <w:bCs w:val="0"/>
          <w:color w:val="auto"/>
          <w:sz w:val="28"/>
          <w:szCs w:val="28"/>
          <w:highlight w:val="none"/>
          <w:lang w:val="en-US" w:eastAsia="zh-CN"/>
        </w:rPr>
        <w:t>9</w:t>
      </w:r>
      <w:r>
        <w:rPr>
          <w:rFonts w:hint="eastAsia" w:ascii="Times New Roman" w:hAnsi="Times New Roman" w:eastAsia="宋体" w:cs="宋体"/>
          <w:b w:val="0"/>
          <w:bCs w:val="0"/>
          <w:color w:val="auto"/>
          <w:sz w:val="28"/>
          <w:szCs w:val="28"/>
          <w:highlight w:val="none"/>
          <w:lang w:val="en-US" w:eastAsia="zh-CN"/>
        </w:rPr>
        <w:t>0m中段设计采用房柱采矿法；390m标高以下设计采用</w:t>
      </w:r>
      <w:r>
        <w:rPr>
          <w:rFonts w:hint="eastAsia" w:ascii="宋体" w:hAnsi="宋体" w:eastAsia="宋体" w:cs="宋体"/>
          <w:color w:val="auto"/>
          <w:sz w:val="28"/>
          <w:szCs w:val="28"/>
          <w:highlight w:val="none"/>
        </w:rPr>
        <w:t>分段凿岩阶段矿房法</w:t>
      </w:r>
      <w:r>
        <w:rPr>
          <w:rFonts w:hint="eastAsia" w:ascii="宋体" w:hAnsi="宋体" w:eastAsia="宋体" w:cs="宋体"/>
          <w:color w:val="auto"/>
          <w:sz w:val="28"/>
          <w:szCs w:val="28"/>
          <w:highlight w:val="none"/>
          <w:lang w:eastAsia="zh-CN"/>
        </w:rPr>
        <w:t>，</w:t>
      </w:r>
      <w:r>
        <w:rPr>
          <w:rFonts w:hint="eastAsia" w:ascii="Times New Roman" w:hAnsi="Times New Roman" w:eastAsia="宋体" w:cs="宋体"/>
          <w:b w:val="0"/>
          <w:bCs w:val="0"/>
          <w:color w:val="auto"/>
          <w:sz w:val="28"/>
          <w:szCs w:val="28"/>
          <w:highlight w:val="none"/>
          <w:lang w:eastAsia="zh-CN"/>
        </w:rPr>
        <w:t>对于局部矿体厚度较小或边角处，本次设计保留房柱采矿法采矿。</w:t>
      </w:r>
    </w:p>
    <w:p w14:paraId="1BDF1B8F">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83" w:name="_Toc24489"/>
      <w:r>
        <w:rPr>
          <w:rFonts w:hint="eastAsia" w:ascii="宋体" w:hAnsi="宋体" w:eastAsia="宋体" w:cs="宋体"/>
          <w:b/>
          <w:bCs w:val="0"/>
          <w:snapToGrid w:val="0"/>
          <w:color w:val="auto"/>
          <w:kern w:val="0"/>
          <w:sz w:val="30"/>
          <w:szCs w:val="30"/>
          <w:highlight w:val="none"/>
          <w:lang w:val="en-US" w:eastAsia="zh-CN"/>
        </w:rPr>
        <w:t>5.5拟建生产规模、矿山服务年限</w:t>
      </w:r>
      <w:bookmarkEnd w:id="183"/>
    </w:p>
    <w:p w14:paraId="1F528A4B">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拟建</w:t>
      </w:r>
      <w:r>
        <w:rPr>
          <w:rFonts w:hint="eastAsia" w:ascii="宋体" w:hAnsi="宋体" w:eastAsia="宋体" w:cs="宋体"/>
          <w:color w:val="auto"/>
          <w:sz w:val="28"/>
          <w:szCs w:val="28"/>
          <w:highlight w:val="none"/>
        </w:rPr>
        <w:t>生产规模：</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0万t /年</w:t>
      </w:r>
      <w:r>
        <w:rPr>
          <w:rFonts w:hint="eastAsia" w:ascii="宋体" w:hAnsi="宋体" w:eastAsia="宋体" w:cs="宋体"/>
          <w:color w:val="auto"/>
          <w:sz w:val="28"/>
          <w:szCs w:val="28"/>
          <w:highlight w:val="none"/>
          <w:lang w:eastAsia="zh-CN"/>
        </w:rPr>
        <w:t>；</w:t>
      </w:r>
    </w:p>
    <w:p w14:paraId="286AD651">
      <w:pPr>
        <w:pStyle w:val="6"/>
        <w:pageBreakBefore w:val="0"/>
        <w:widowControl w:val="0"/>
        <w:kinsoku/>
        <w:wordWrap/>
        <w:overflowPunct/>
        <w:topLinePunct w:val="0"/>
        <w:bidi w:val="0"/>
        <w:snapToGrid w:val="0"/>
        <w:spacing w:line="360" w:lineRule="auto"/>
        <w:ind w:firstLine="570" w:firstLineChars="200"/>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矿山服务年限</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16</w:t>
      </w:r>
      <w:r>
        <w:rPr>
          <w:rFonts w:hint="eastAsia" w:ascii="宋体" w:hAnsi="宋体" w:eastAsia="宋体" w:cs="宋体"/>
          <w:color w:val="auto"/>
          <w:sz w:val="28"/>
          <w:szCs w:val="28"/>
          <w:highlight w:val="none"/>
        </w:rPr>
        <w:t>年。</w:t>
      </w:r>
    </w:p>
    <w:p w14:paraId="62500E81">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84" w:name="_Toc15477"/>
      <w:r>
        <w:rPr>
          <w:rFonts w:hint="eastAsia" w:ascii="宋体" w:hAnsi="宋体" w:eastAsia="宋体" w:cs="宋体"/>
          <w:b/>
          <w:bCs w:val="0"/>
          <w:snapToGrid w:val="0"/>
          <w:color w:val="auto"/>
          <w:kern w:val="0"/>
          <w:sz w:val="30"/>
          <w:szCs w:val="30"/>
          <w:highlight w:val="none"/>
          <w:lang w:val="en-US" w:eastAsia="zh-CN"/>
        </w:rPr>
        <w:t>5.6综合利用情况，采矿回采率</w:t>
      </w:r>
      <w:bookmarkEnd w:id="184"/>
    </w:p>
    <w:p w14:paraId="13E6AA35">
      <w:pPr>
        <w:pStyle w:val="6"/>
        <w:pageBreakBefore w:val="0"/>
        <w:widowControl w:val="0"/>
        <w:kinsoku/>
        <w:wordWrap/>
        <w:overflowPunct/>
        <w:topLinePunct w:val="0"/>
        <w:bidi w:val="0"/>
        <w:adjustRightInd w:val="0"/>
        <w:snapToGrid w:val="0"/>
        <w:spacing w:line="360" w:lineRule="auto"/>
        <w:ind w:firstLine="57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本次设计矿山开采过程中产生的废石总量约4.04万m</w:t>
      </w:r>
      <w:r>
        <w:rPr>
          <w:rFonts w:hint="eastAsia" w:ascii="宋体" w:hAnsi="宋体" w:eastAsia="宋体" w:cs="宋体"/>
          <w:color w:val="auto"/>
          <w:sz w:val="28"/>
          <w:szCs w:val="28"/>
          <w:highlight w:val="none"/>
          <w:vertAlign w:val="superscript"/>
          <w:lang w:val="en-US" w:eastAsia="zh-CN"/>
        </w:rPr>
        <w:t>3</w:t>
      </w:r>
      <w:r>
        <w:rPr>
          <w:rFonts w:hint="eastAsia" w:ascii="宋体" w:hAnsi="宋体" w:eastAsia="宋体" w:cs="宋体"/>
          <w:color w:val="auto"/>
          <w:sz w:val="28"/>
          <w:szCs w:val="28"/>
          <w:highlight w:val="none"/>
          <w:lang w:val="en-US" w:eastAsia="zh-CN"/>
        </w:rPr>
        <w:t>。为了最大限度地保护矿山地质环境，减少矿山地表塌陷，本次设计矿山生产过程中产生的废石全部直接内排采空区。故本次设计固体废弃物综合利用率达100%，以充分利用资源、减少堆放场地和提高经济效益，为建设绿色矿山作贡献。</w:t>
      </w:r>
    </w:p>
    <w:p w14:paraId="370CE100">
      <w:pPr>
        <w:pStyle w:val="6"/>
        <w:pageBreakBefore w:val="0"/>
        <w:widowControl w:val="0"/>
        <w:kinsoku/>
        <w:wordWrap/>
        <w:overflowPunct/>
        <w:topLinePunct w:val="0"/>
        <w:bidi w:val="0"/>
        <w:adjustRightInd w:val="0"/>
        <w:snapToGrid w:val="0"/>
        <w:spacing w:line="360" w:lineRule="auto"/>
        <w:ind w:firstLine="57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采矿回采率：75%，综合利用率100%。</w:t>
      </w:r>
    </w:p>
    <w:p w14:paraId="79506F9F">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85" w:name="_Toc13924"/>
      <w:r>
        <w:rPr>
          <w:rFonts w:hint="eastAsia" w:ascii="宋体" w:hAnsi="宋体" w:eastAsia="宋体" w:cs="宋体"/>
          <w:b/>
          <w:bCs w:val="0"/>
          <w:snapToGrid w:val="0"/>
          <w:color w:val="auto"/>
          <w:kern w:val="0"/>
          <w:sz w:val="30"/>
          <w:szCs w:val="30"/>
          <w:highlight w:val="none"/>
          <w:lang w:val="en-US" w:eastAsia="zh-CN"/>
        </w:rPr>
        <w:t>5.7主要敏感目标及其影响，矿山采取的防治措施</w:t>
      </w:r>
      <w:bookmarkEnd w:id="185"/>
    </w:p>
    <w:p w14:paraId="0F1A9EF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70" w:firstLineChars="200"/>
        <w:jc w:val="both"/>
        <w:textAlignment w:val="baseline"/>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8"/>
          <w:szCs w:val="28"/>
          <w:highlight w:val="none"/>
          <w:lang w:val="en-US" w:eastAsia="zh-CN" w:bidi="ar-SA"/>
        </w:rPr>
        <w:t>主要敏感目标及其影响，矿山采取的防治措施详见表5-2。</w:t>
      </w:r>
    </w:p>
    <w:p w14:paraId="4FE5EF89">
      <w:pPr>
        <w:spacing w:line="240" w:lineRule="auto"/>
        <w:ind w:firstLine="560"/>
        <w:jc w:val="center"/>
        <w:rPr>
          <w:rFonts w:hint="eastAsia"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rPr>
        <w:t>矿区范围及周边敏感目标分析             表</w:t>
      </w:r>
      <w:r>
        <w:rPr>
          <w:rFonts w:hint="eastAsia" w:ascii="Times New Roman" w:hAnsi="Times New Roman" w:eastAsia="宋体"/>
          <w:color w:val="auto"/>
          <w:sz w:val="28"/>
          <w:szCs w:val="28"/>
          <w:highlight w:val="none"/>
          <w:lang w:val="en-US" w:eastAsia="zh-CN"/>
        </w:rPr>
        <w:t>5-2</w:t>
      </w:r>
    </w:p>
    <w:tbl>
      <w:tblPr>
        <w:tblStyle w:val="18"/>
        <w:tblW w:w="9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025"/>
        <w:gridCol w:w="3380"/>
        <w:gridCol w:w="1620"/>
        <w:gridCol w:w="2655"/>
      </w:tblGrid>
      <w:tr w14:paraId="17CB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noWrap w:val="0"/>
            <w:vAlign w:val="center"/>
          </w:tcPr>
          <w:p w14:paraId="77C14E0A">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序号</w:t>
            </w:r>
          </w:p>
        </w:tc>
        <w:tc>
          <w:tcPr>
            <w:tcW w:w="1025" w:type="dxa"/>
            <w:noWrap w:val="0"/>
            <w:vAlign w:val="center"/>
          </w:tcPr>
          <w:p w14:paraId="240A84BE">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名称</w:t>
            </w:r>
          </w:p>
        </w:tc>
        <w:tc>
          <w:tcPr>
            <w:tcW w:w="3380" w:type="dxa"/>
            <w:noWrap w:val="0"/>
            <w:vAlign w:val="center"/>
          </w:tcPr>
          <w:p w14:paraId="771A7D80">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方位、距离</w:t>
            </w:r>
          </w:p>
        </w:tc>
        <w:tc>
          <w:tcPr>
            <w:tcW w:w="1620" w:type="dxa"/>
            <w:noWrap w:val="0"/>
            <w:vAlign w:val="center"/>
          </w:tcPr>
          <w:p w14:paraId="01F135DE">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敏感因素</w:t>
            </w:r>
          </w:p>
        </w:tc>
        <w:tc>
          <w:tcPr>
            <w:tcW w:w="2655" w:type="dxa"/>
            <w:noWrap w:val="0"/>
            <w:vAlign w:val="center"/>
          </w:tcPr>
          <w:p w14:paraId="2FAEA985">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lang w:eastAsia="zh-CN"/>
              </w:rPr>
              <w:t>防治</w:t>
            </w:r>
            <w:r>
              <w:rPr>
                <w:rFonts w:hint="eastAsia" w:ascii="Times New Roman" w:hAnsi="Times New Roman" w:eastAsia="宋体"/>
                <w:color w:val="auto"/>
                <w:sz w:val="24"/>
                <w:highlight w:val="none"/>
              </w:rPr>
              <w:t>分析结果</w:t>
            </w:r>
          </w:p>
        </w:tc>
      </w:tr>
      <w:tr w14:paraId="361B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restart"/>
            <w:noWrap w:val="0"/>
            <w:vAlign w:val="center"/>
          </w:tcPr>
          <w:p w14:paraId="1BA07CFA">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1</w:t>
            </w:r>
          </w:p>
        </w:tc>
        <w:tc>
          <w:tcPr>
            <w:tcW w:w="1025" w:type="dxa"/>
            <w:vMerge w:val="restart"/>
            <w:noWrap w:val="0"/>
            <w:vAlign w:val="center"/>
          </w:tcPr>
          <w:p w14:paraId="61BA952E">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基本</w:t>
            </w:r>
          </w:p>
          <w:p w14:paraId="5F739FE7">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农田</w:t>
            </w:r>
          </w:p>
        </w:tc>
        <w:tc>
          <w:tcPr>
            <w:tcW w:w="3380" w:type="dxa"/>
            <w:noWrap w:val="0"/>
            <w:vAlign w:val="center"/>
          </w:tcPr>
          <w:p w14:paraId="6CBC0BBC">
            <w:pPr>
              <w:jc w:val="center"/>
              <w:rPr>
                <w:rFonts w:hint="eastAsia" w:ascii="Times New Roman" w:hAnsi="Times New Roman" w:eastAsia="宋体"/>
                <w:color w:val="auto"/>
                <w:sz w:val="24"/>
                <w:highlight w:val="none"/>
                <w:lang w:eastAsia="zh-CN"/>
              </w:rPr>
            </w:pPr>
            <w:r>
              <w:rPr>
                <w:rFonts w:hint="eastAsia" w:ascii="Times New Roman" w:hAnsi="Times New Roman" w:eastAsia="宋体"/>
                <w:color w:val="auto"/>
                <w:sz w:val="24"/>
                <w:highlight w:val="none"/>
                <w:lang w:eastAsia="zh-CN"/>
              </w:rPr>
              <w:t>矿区东部</w:t>
            </w:r>
            <w:r>
              <w:rPr>
                <w:rFonts w:hint="eastAsia" w:ascii="Times New Roman" w:hAnsi="Times New Roman" w:eastAsia="宋体"/>
                <w:color w:val="auto"/>
                <w:sz w:val="24"/>
                <w:highlight w:val="none"/>
                <w:lang w:val="en-US" w:eastAsia="zh-CN"/>
              </w:rPr>
              <w:t>19557m</w:t>
            </w:r>
            <w:r>
              <w:rPr>
                <w:rFonts w:hint="eastAsia" w:ascii="Times New Roman" w:hAnsi="Times New Roman" w:eastAsia="宋体"/>
                <w:color w:val="auto"/>
                <w:sz w:val="24"/>
                <w:highlight w:val="none"/>
                <w:vertAlign w:val="superscript"/>
                <w:lang w:val="en-US" w:eastAsia="zh-CN"/>
              </w:rPr>
              <w:t>2</w:t>
            </w:r>
            <w:r>
              <w:rPr>
                <w:rFonts w:hint="eastAsia" w:ascii="Times New Roman" w:hAnsi="Times New Roman" w:eastAsia="宋体"/>
                <w:color w:val="auto"/>
                <w:sz w:val="24"/>
                <w:highlight w:val="none"/>
                <w:lang w:val="en-US" w:eastAsia="zh-CN"/>
              </w:rPr>
              <w:t>（其中永久基本农田11156m</w:t>
            </w:r>
            <w:r>
              <w:rPr>
                <w:rFonts w:hint="eastAsia" w:ascii="Times New Roman" w:hAnsi="Times New Roman" w:eastAsia="宋体"/>
                <w:color w:val="auto"/>
                <w:sz w:val="24"/>
                <w:highlight w:val="none"/>
                <w:vertAlign w:val="superscript"/>
                <w:lang w:val="en-US" w:eastAsia="zh-CN"/>
              </w:rPr>
              <w:t>2</w:t>
            </w:r>
            <w:r>
              <w:rPr>
                <w:rFonts w:hint="eastAsia" w:ascii="Times New Roman" w:hAnsi="Times New Roman" w:eastAsia="宋体"/>
                <w:color w:val="auto"/>
                <w:sz w:val="24"/>
                <w:highlight w:val="none"/>
                <w:lang w:val="en-US" w:eastAsia="zh-CN"/>
              </w:rPr>
              <w:t>，即⑤地块部分区域）、错动影响区内</w:t>
            </w:r>
          </w:p>
        </w:tc>
        <w:tc>
          <w:tcPr>
            <w:tcW w:w="1620" w:type="dxa"/>
            <w:vMerge w:val="restart"/>
            <w:noWrap w:val="0"/>
            <w:vAlign w:val="center"/>
          </w:tcPr>
          <w:p w14:paraId="7CCAAB3F">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矿山开采、井下疏排水、水质</w:t>
            </w:r>
          </w:p>
        </w:tc>
        <w:tc>
          <w:tcPr>
            <w:tcW w:w="2655" w:type="dxa"/>
            <w:vMerge w:val="restart"/>
            <w:noWrap w:val="0"/>
            <w:vAlign w:val="center"/>
          </w:tcPr>
          <w:p w14:paraId="0CD0FCDF">
            <w:pPr>
              <w:jc w:val="center"/>
              <w:rPr>
                <w:rFonts w:hint="eastAsia" w:ascii="Times New Roman" w:hAnsi="Times New Roman" w:eastAsia="宋体"/>
                <w:color w:val="auto"/>
                <w:sz w:val="24"/>
                <w:highlight w:val="none"/>
              </w:rPr>
            </w:pPr>
            <w:r>
              <w:rPr>
                <w:rFonts w:hint="eastAsia" w:ascii="Times New Roman" w:hAnsi="Times New Roman" w:eastAsia="宋体" w:cs="宋体"/>
                <w:color w:val="auto"/>
                <w:sz w:val="24"/>
                <w:highlight w:val="none"/>
                <w:lang w:val="en-US" w:eastAsia="zh-CN"/>
              </w:rPr>
              <w:t>按照设计开采，对基本农田下方采空区的矿柱不予回收，并将矿山基建和采矿过程中产生的废石全部充填到基本农田下方的采空区，将不会造成基本农田塌陷，随着后续开采深度下降，裂隙岩溶发育程度降低，矿体裂隙岩溶水富水性越来越弱及外围富水性弱，所以产生地下水疏干可能性小，不会对水田耕种造成影响。</w:t>
            </w:r>
          </w:p>
        </w:tc>
      </w:tr>
      <w:tr w14:paraId="4DF7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continue"/>
            <w:noWrap w:val="0"/>
            <w:vAlign w:val="center"/>
          </w:tcPr>
          <w:p w14:paraId="3AFA652F">
            <w:pPr>
              <w:jc w:val="center"/>
              <w:rPr>
                <w:rFonts w:hint="eastAsia" w:ascii="Times New Roman" w:hAnsi="Times New Roman" w:eastAsia="宋体"/>
                <w:color w:val="auto"/>
                <w:sz w:val="24"/>
                <w:highlight w:val="none"/>
              </w:rPr>
            </w:pPr>
          </w:p>
        </w:tc>
        <w:tc>
          <w:tcPr>
            <w:tcW w:w="1025" w:type="dxa"/>
            <w:vMerge w:val="continue"/>
            <w:noWrap w:val="0"/>
            <w:vAlign w:val="center"/>
          </w:tcPr>
          <w:p w14:paraId="4326B25C">
            <w:pPr>
              <w:jc w:val="center"/>
              <w:rPr>
                <w:rFonts w:hint="eastAsia" w:ascii="Times New Roman" w:hAnsi="Times New Roman" w:eastAsia="宋体"/>
                <w:color w:val="auto"/>
                <w:sz w:val="24"/>
                <w:highlight w:val="none"/>
              </w:rPr>
            </w:pPr>
          </w:p>
        </w:tc>
        <w:tc>
          <w:tcPr>
            <w:tcW w:w="3380" w:type="dxa"/>
            <w:noWrap w:val="0"/>
            <w:vAlign w:val="center"/>
          </w:tcPr>
          <w:p w14:paraId="72DEC43E">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lang w:val="en-US" w:eastAsia="zh-CN"/>
              </w:rPr>
              <w:t>矿区内中部3511m</w:t>
            </w:r>
            <w:r>
              <w:rPr>
                <w:rFonts w:hint="eastAsia" w:ascii="Times New Roman" w:hAnsi="Times New Roman" w:eastAsia="宋体"/>
                <w:color w:val="auto"/>
                <w:sz w:val="24"/>
                <w:highlight w:val="none"/>
                <w:vertAlign w:val="superscript"/>
                <w:lang w:val="en-US" w:eastAsia="zh-CN"/>
              </w:rPr>
              <w:t>2</w:t>
            </w:r>
            <w:r>
              <w:rPr>
                <w:rFonts w:hint="eastAsia" w:ascii="Times New Roman" w:hAnsi="Times New Roman" w:eastAsia="宋体"/>
                <w:color w:val="auto"/>
                <w:sz w:val="24"/>
                <w:highlight w:val="none"/>
                <w:lang w:val="en-US" w:eastAsia="zh-CN"/>
              </w:rPr>
              <w:t>（⑦）、错动影响区内</w:t>
            </w:r>
          </w:p>
        </w:tc>
        <w:tc>
          <w:tcPr>
            <w:tcW w:w="1620" w:type="dxa"/>
            <w:vMerge w:val="continue"/>
            <w:noWrap w:val="0"/>
            <w:vAlign w:val="center"/>
          </w:tcPr>
          <w:p w14:paraId="54F81A75">
            <w:pPr>
              <w:jc w:val="center"/>
              <w:rPr>
                <w:rFonts w:hint="eastAsia" w:ascii="Times New Roman" w:hAnsi="Times New Roman" w:eastAsia="宋体"/>
                <w:color w:val="auto"/>
                <w:sz w:val="24"/>
                <w:highlight w:val="none"/>
              </w:rPr>
            </w:pPr>
          </w:p>
        </w:tc>
        <w:tc>
          <w:tcPr>
            <w:tcW w:w="2655" w:type="dxa"/>
            <w:vMerge w:val="continue"/>
            <w:noWrap w:val="0"/>
            <w:vAlign w:val="center"/>
          </w:tcPr>
          <w:p w14:paraId="2D8C6F85">
            <w:pPr>
              <w:jc w:val="center"/>
              <w:rPr>
                <w:rFonts w:hint="eastAsia" w:ascii="Times New Roman" w:hAnsi="Times New Roman" w:eastAsia="宋体"/>
                <w:color w:val="auto"/>
                <w:sz w:val="24"/>
                <w:highlight w:val="none"/>
              </w:rPr>
            </w:pPr>
          </w:p>
        </w:tc>
      </w:tr>
      <w:tr w14:paraId="3BBC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continue"/>
            <w:noWrap w:val="0"/>
            <w:vAlign w:val="center"/>
          </w:tcPr>
          <w:p w14:paraId="251C7510">
            <w:pPr>
              <w:jc w:val="center"/>
              <w:rPr>
                <w:rFonts w:hint="eastAsia" w:ascii="Times New Roman" w:hAnsi="Times New Roman" w:eastAsia="宋体"/>
                <w:color w:val="auto"/>
                <w:sz w:val="24"/>
                <w:highlight w:val="none"/>
              </w:rPr>
            </w:pPr>
          </w:p>
        </w:tc>
        <w:tc>
          <w:tcPr>
            <w:tcW w:w="1025" w:type="dxa"/>
            <w:vMerge w:val="continue"/>
            <w:noWrap w:val="0"/>
            <w:vAlign w:val="center"/>
          </w:tcPr>
          <w:p w14:paraId="47B2FDC2">
            <w:pPr>
              <w:jc w:val="center"/>
              <w:rPr>
                <w:rFonts w:hint="eastAsia" w:ascii="Times New Roman" w:hAnsi="Times New Roman" w:eastAsia="宋体"/>
                <w:color w:val="auto"/>
                <w:sz w:val="24"/>
                <w:highlight w:val="none"/>
              </w:rPr>
            </w:pPr>
          </w:p>
        </w:tc>
        <w:tc>
          <w:tcPr>
            <w:tcW w:w="3380" w:type="dxa"/>
            <w:noWrap w:val="0"/>
            <w:vAlign w:val="center"/>
          </w:tcPr>
          <w:p w14:paraId="47CDA561">
            <w:pPr>
              <w:jc w:val="center"/>
              <w:rPr>
                <w:rFonts w:hint="eastAsia" w:ascii="Times New Roman" w:hAnsi="Times New Roman" w:eastAsia="宋体" w:cs="华文楷体"/>
                <w:color w:val="auto"/>
                <w:sz w:val="24"/>
                <w:highlight w:val="none"/>
              </w:rPr>
            </w:pPr>
            <w:r>
              <w:rPr>
                <w:rFonts w:hint="eastAsia" w:ascii="Times New Roman" w:hAnsi="Times New Roman" w:eastAsia="宋体"/>
                <w:color w:val="auto"/>
                <w:sz w:val="24"/>
                <w:highlight w:val="none"/>
                <w:lang w:val="en-US" w:eastAsia="zh-CN"/>
              </w:rPr>
              <w:t>矿区内西部6746m</w:t>
            </w:r>
            <w:r>
              <w:rPr>
                <w:rFonts w:hint="eastAsia" w:ascii="Times New Roman" w:hAnsi="Times New Roman" w:eastAsia="宋体"/>
                <w:color w:val="auto"/>
                <w:sz w:val="24"/>
                <w:highlight w:val="none"/>
                <w:vertAlign w:val="superscript"/>
                <w:lang w:val="en-US" w:eastAsia="zh-CN"/>
              </w:rPr>
              <w:t>2</w:t>
            </w:r>
            <w:r>
              <w:rPr>
                <w:rFonts w:hint="eastAsia" w:ascii="Times New Roman" w:hAnsi="Times New Roman" w:eastAsia="宋体"/>
                <w:color w:val="auto"/>
                <w:sz w:val="24"/>
                <w:highlight w:val="none"/>
                <w:lang w:val="en-US" w:eastAsia="zh-CN"/>
              </w:rPr>
              <w:t>（⑧）、错动影响区内</w:t>
            </w:r>
          </w:p>
        </w:tc>
        <w:tc>
          <w:tcPr>
            <w:tcW w:w="1620" w:type="dxa"/>
            <w:vMerge w:val="continue"/>
            <w:noWrap w:val="0"/>
            <w:vAlign w:val="center"/>
          </w:tcPr>
          <w:p w14:paraId="122DAC1E">
            <w:pPr>
              <w:jc w:val="center"/>
              <w:rPr>
                <w:rFonts w:hint="eastAsia" w:ascii="Times New Roman" w:hAnsi="Times New Roman" w:eastAsia="宋体"/>
                <w:color w:val="auto"/>
                <w:sz w:val="24"/>
                <w:highlight w:val="none"/>
              </w:rPr>
            </w:pPr>
          </w:p>
        </w:tc>
        <w:tc>
          <w:tcPr>
            <w:tcW w:w="2655" w:type="dxa"/>
            <w:vMerge w:val="continue"/>
            <w:noWrap w:val="0"/>
            <w:vAlign w:val="center"/>
          </w:tcPr>
          <w:p w14:paraId="285F0E88">
            <w:pPr>
              <w:jc w:val="center"/>
              <w:rPr>
                <w:rFonts w:hint="eastAsia" w:ascii="Times New Roman" w:hAnsi="Times New Roman" w:eastAsia="宋体"/>
                <w:color w:val="auto"/>
                <w:sz w:val="24"/>
                <w:highlight w:val="none"/>
              </w:rPr>
            </w:pPr>
          </w:p>
        </w:tc>
      </w:tr>
      <w:tr w14:paraId="64EF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restart"/>
            <w:noWrap w:val="0"/>
            <w:vAlign w:val="center"/>
          </w:tcPr>
          <w:p w14:paraId="0F83D1BE">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2</w:t>
            </w:r>
          </w:p>
        </w:tc>
        <w:tc>
          <w:tcPr>
            <w:tcW w:w="1025" w:type="dxa"/>
            <w:vMerge w:val="restart"/>
            <w:noWrap w:val="0"/>
            <w:vAlign w:val="center"/>
          </w:tcPr>
          <w:p w14:paraId="7085679F">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生态</w:t>
            </w:r>
          </w:p>
          <w:p w14:paraId="34E74E1E">
            <w:pPr>
              <w:jc w:val="center"/>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红线</w:t>
            </w:r>
          </w:p>
          <w:p w14:paraId="41901126">
            <w:pPr>
              <w:jc w:val="center"/>
              <w:rPr>
                <w:rFonts w:hint="eastAsia" w:ascii="Times New Roman" w:hAnsi="Times New Roman" w:eastAsia="宋体"/>
                <w:color w:val="auto"/>
                <w:sz w:val="24"/>
                <w:highlight w:val="none"/>
                <w:lang w:eastAsia="zh-CN"/>
              </w:rPr>
            </w:pPr>
            <w:r>
              <w:rPr>
                <w:rFonts w:hint="eastAsia" w:ascii="Times New Roman" w:hAnsi="Times New Roman"/>
                <w:color w:val="auto"/>
                <w:sz w:val="24"/>
                <w:highlight w:val="none"/>
                <w:lang w:eastAsia="zh-CN"/>
              </w:rPr>
              <w:t>保护区</w:t>
            </w:r>
          </w:p>
        </w:tc>
        <w:tc>
          <w:tcPr>
            <w:tcW w:w="3380" w:type="dxa"/>
            <w:noWrap w:val="0"/>
            <w:vAlign w:val="center"/>
          </w:tcPr>
          <w:p w14:paraId="6C8ED118">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矿区外东侧5拐点、直距94m</w:t>
            </w:r>
          </w:p>
        </w:tc>
        <w:tc>
          <w:tcPr>
            <w:tcW w:w="1620" w:type="dxa"/>
            <w:vMerge w:val="restart"/>
            <w:noWrap w:val="0"/>
            <w:vAlign w:val="center"/>
          </w:tcPr>
          <w:p w14:paraId="6BFDD4B9">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矿山开采、</w:t>
            </w:r>
          </w:p>
          <w:p w14:paraId="16B59050">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井下疏排水</w:t>
            </w:r>
          </w:p>
        </w:tc>
        <w:tc>
          <w:tcPr>
            <w:tcW w:w="2655" w:type="dxa"/>
            <w:vMerge w:val="restart"/>
            <w:noWrap w:val="0"/>
            <w:vAlign w:val="center"/>
          </w:tcPr>
          <w:p w14:paraId="5D33E742">
            <w:pPr>
              <w:jc w:val="center"/>
              <w:rPr>
                <w:rFonts w:hint="eastAsia" w:ascii="Times New Roman" w:hAnsi="Times New Roman" w:eastAsia="宋体"/>
                <w:color w:val="auto"/>
                <w:sz w:val="24"/>
                <w:highlight w:val="none"/>
              </w:rPr>
            </w:pPr>
            <w:r>
              <w:rPr>
                <w:rFonts w:hint="eastAsia" w:ascii="Times New Roman" w:hAnsi="Times New Roman" w:eastAsia="宋体" w:cs="宋体"/>
                <w:color w:val="auto"/>
                <w:sz w:val="24"/>
                <w:highlight w:val="none"/>
                <w:lang w:val="en-US" w:eastAsia="zh-CN"/>
              </w:rPr>
              <w:t>按照设计开采，其不在开采错动影响区及井下疏排水影响区内，不会对其造成影响。</w:t>
            </w:r>
          </w:p>
        </w:tc>
      </w:tr>
      <w:tr w14:paraId="7430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3" w:hRule="atLeast"/>
          <w:jc w:val="center"/>
        </w:trPr>
        <w:tc>
          <w:tcPr>
            <w:tcW w:w="734" w:type="dxa"/>
            <w:vMerge w:val="continue"/>
            <w:noWrap w:val="0"/>
            <w:vAlign w:val="center"/>
          </w:tcPr>
          <w:p w14:paraId="09824895">
            <w:pPr>
              <w:jc w:val="center"/>
              <w:rPr>
                <w:rFonts w:hint="eastAsia" w:ascii="Times New Roman" w:hAnsi="Times New Roman" w:eastAsia="宋体"/>
                <w:color w:val="auto"/>
                <w:sz w:val="24"/>
                <w:highlight w:val="none"/>
              </w:rPr>
            </w:pPr>
          </w:p>
        </w:tc>
        <w:tc>
          <w:tcPr>
            <w:tcW w:w="1025" w:type="dxa"/>
            <w:vMerge w:val="continue"/>
            <w:noWrap w:val="0"/>
            <w:vAlign w:val="center"/>
          </w:tcPr>
          <w:p w14:paraId="60A90399">
            <w:pPr>
              <w:jc w:val="center"/>
              <w:rPr>
                <w:rFonts w:hint="eastAsia" w:ascii="Times New Roman" w:hAnsi="Times New Roman" w:eastAsia="宋体"/>
                <w:color w:val="auto"/>
                <w:sz w:val="24"/>
                <w:highlight w:val="none"/>
              </w:rPr>
            </w:pPr>
          </w:p>
        </w:tc>
        <w:tc>
          <w:tcPr>
            <w:tcW w:w="3380" w:type="dxa"/>
            <w:noWrap w:val="0"/>
            <w:vAlign w:val="center"/>
          </w:tcPr>
          <w:p w14:paraId="53D84B71">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矿区西北侧1-2边界紧邻</w:t>
            </w:r>
          </w:p>
        </w:tc>
        <w:tc>
          <w:tcPr>
            <w:tcW w:w="1620" w:type="dxa"/>
            <w:vMerge w:val="continue"/>
            <w:noWrap w:val="0"/>
            <w:vAlign w:val="center"/>
          </w:tcPr>
          <w:p w14:paraId="37456E60">
            <w:pPr>
              <w:jc w:val="center"/>
              <w:rPr>
                <w:rFonts w:hint="eastAsia" w:ascii="Times New Roman" w:hAnsi="Times New Roman" w:eastAsia="宋体"/>
                <w:color w:val="auto"/>
                <w:sz w:val="24"/>
                <w:highlight w:val="none"/>
              </w:rPr>
            </w:pPr>
          </w:p>
        </w:tc>
        <w:tc>
          <w:tcPr>
            <w:tcW w:w="2655" w:type="dxa"/>
            <w:vMerge w:val="continue"/>
            <w:noWrap w:val="0"/>
            <w:vAlign w:val="center"/>
          </w:tcPr>
          <w:p w14:paraId="0DD077BB">
            <w:pPr>
              <w:jc w:val="center"/>
              <w:rPr>
                <w:rFonts w:hint="eastAsia" w:ascii="Times New Roman" w:hAnsi="Times New Roman" w:eastAsia="宋体"/>
                <w:color w:val="auto"/>
                <w:sz w:val="24"/>
                <w:highlight w:val="none"/>
              </w:rPr>
            </w:pPr>
          </w:p>
        </w:tc>
      </w:tr>
      <w:tr w14:paraId="5D5D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continue"/>
            <w:noWrap w:val="0"/>
            <w:vAlign w:val="center"/>
          </w:tcPr>
          <w:p w14:paraId="06435FDD">
            <w:pPr>
              <w:jc w:val="center"/>
              <w:rPr>
                <w:rFonts w:hint="eastAsia" w:ascii="Times New Roman" w:hAnsi="Times New Roman" w:eastAsia="宋体"/>
                <w:color w:val="auto"/>
                <w:sz w:val="24"/>
                <w:highlight w:val="none"/>
              </w:rPr>
            </w:pPr>
          </w:p>
        </w:tc>
        <w:tc>
          <w:tcPr>
            <w:tcW w:w="1025" w:type="dxa"/>
            <w:vMerge w:val="continue"/>
            <w:noWrap w:val="0"/>
            <w:vAlign w:val="center"/>
          </w:tcPr>
          <w:p w14:paraId="2F3399E5">
            <w:pPr>
              <w:jc w:val="center"/>
              <w:rPr>
                <w:rFonts w:hint="eastAsia" w:ascii="Times New Roman" w:hAnsi="Times New Roman" w:eastAsia="宋体"/>
                <w:color w:val="auto"/>
                <w:sz w:val="24"/>
                <w:highlight w:val="none"/>
              </w:rPr>
            </w:pPr>
          </w:p>
        </w:tc>
        <w:tc>
          <w:tcPr>
            <w:tcW w:w="3380" w:type="dxa"/>
            <w:noWrap w:val="0"/>
            <w:vAlign w:val="center"/>
          </w:tcPr>
          <w:p w14:paraId="03992898">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矿区外南侧5-6边界、180m</w:t>
            </w:r>
          </w:p>
        </w:tc>
        <w:tc>
          <w:tcPr>
            <w:tcW w:w="1620" w:type="dxa"/>
            <w:vMerge w:val="continue"/>
            <w:noWrap w:val="0"/>
            <w:vAlign w:val="center"/>
          </w:tcPr>
          <w:p w14:paraId="5FBEA7F1">
            <w:pPr>
              <w:jc w:val="center"/>
              <w:rPr>
                <w:rFonts w:hint="eastAsia" w:ascii="Times New Roman" w:hAnsi="Times New Roman" w:eastAsia="宋体"/>
                <w:color w:val="auto"/>
                <w:sz w:val="24"/>
                <w:highlight w:val="none"/>
              </w:rPr>
            </w:pPr>
          </w:p>
        </w:tc>
        <w:tc>
          <w:tcPr>
            <w:tcW w:w="2655" w:type="dxa"/>
            <w:vMerge w:val="continue"/>
            <w:noWrap w:val="0"/>
            <w:vAlign w:val="center"/>
          </w:tcPr>
          <w:p w14:paraId="53108AF9">
            <w:pPr>
              <w:jc w:val="center"/>
              <w:rPr>
                <w:rFonts w:hint="eastAsia" w:ascii="Times New Roman" w:hAnsi="Times New Roman" w:eastAsia="宋体"/>
                <w:color w:val="auto"/>
                <w:sz w:val="24"/>
                <w:highlight w:val="none"/>
              </w:rPr>
            </w:pPr>
          </w:p>
        </w:tc>
      </w:tr>
      <w:tr w14:paraId="39FF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3" w:hRule="atLeast"/>
          <w:jc w:val="center"/>
        </w:trPr>
        <w:tc>
          <w:tcPr>
            <w:tcW w:w="734" w:type="dxa"/>
            <w:vMerge w:val="restart"/>
            <w:noWrap w:val="0"/>
            <w:vAlign w:val="center"/>
          </w:tcPr>
          <w:p w14:paraId="3C7641F3">
            <w:pPr>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3</w:t>
            </w:r>
          </w:p>
        </w:tc>
        <w:tc>
          <w:tcPr>
            <w:tcW w:w="1025" w:type="dxa"/>
            <w:vMerge w:val="restart"/>
            <w:noWrap w:val="0"/>
            <w:vAlign w:val="center"/>
          </w:tcPr>
          <w:p w14:paraId="44933208">
            <w:pPr>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构筑物</w:t>
            </w:r>
          </w:p>
          <w:p w14:paraId="63C8362D">
            <w:pPr>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居民点</w:t>
            </w:r>
          </w:p>
        </w:tc>
        <w:tc>
          <w:tcPr>
            <w:tcW w:w="3380" w:type="dxa"/>
            <w:noWrap w:val="0"/>
            <w:vAlign w:val="center"/>
          </w:tcPr>
          <w:p w14:paraId="5A7BEE5C">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矿区外北侧1-2边界紧邻</w:t>
            </w:r>
          </w:p>
        </w:tc>
        <w:tc>
          <w:tcPr>
            <w:tcW w:w="1620" w:type="dxa"/>
            <w:vMerge w:val="restart"/>
            <w:noWrap w:val="0"/>
            <w:vAlign w:val="center"/>
          </w:tcPr>
          <w:p w14:paraId="35E746D6">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矿山开采</w:t>
            </w:r>
          </w:p>
        </w:tc>
        <w:tc>
          <w:tcPr>
            <w:tcW w:w="2655" w:type="dxa"/>
            <w:vMerge w:val="restart"/>
            <w:noWrap w:val="0"/>
            <w:vAlign w:val="center"/>
          </w:tcPr>
          <w:p w14:paraId="7A4CCF3B">
            <w:pPr>
              <w:jc w:val="left"/>
              <w:rPr>
                <w:rFonts w:hint="eastAsia" w:ascii="Times New Roman" w:hAnsi="Times New Roman" w:eastAsia="宋体"/>
                <w:color w:val="auto"/>
                <w:sz w:val="24"/>
                <w:highlight w:val="none"/>
              </w:rPr>
            </w:pPr>
            <w:r>
              <w:rPr>
                <w:rFonts w:hint="eastAsia" w:ascii="Times New Roman" w:hAnsi="Times New Roman" w:eastAsia="宋体" w:cs="宋体"/>
                <w:color w:val="auto"/>
                <w:sz w:val="24"/>
                <w:highlight w:val="none"/>
                <w:lang w:val="en-US" w:eastAsia="zh-CN"/>
              </w:rPr>
              <w:t>斜坡道掘进至该居民构筑物下方附近时，采用光面爆破，减少爆破装药量，尽量减轻爆破震动对地表居民构筑物的影响；其余只需按照设计开采，不会对其造成影响。</w:t>
            </w:r>
          </w:p>
        </w:tc>
      </w:tr>
      <w:tr w14:paraId="2B3F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continue"/>
            <w:noWrap w:val="0"/>
            <w:vAlign w:val="center"/>
          </w:tcPr>
          <w:p w14:paraId="09A3DC0C">
            <w:pPr>
              <w:jc w:val="center"/>
              <w:rPr>
                <w:rFonts w:hint="eastAsia" w:ascii="Times New Roman" w:hAnsi="Times New Roman" w:eastAsia="宋体" w:cs="宋体"/>
                <w:color w:val="auto"/>
                <w:sz w:val="24"/>
                <w:highlight w:val="none"/>
              </w:rPr>
            </w:pPr>
          </w:p>
        </w:tc>
        <w:tc>
          <w:tcPr>
            <w:tcW w:w="1025" w:type="dxa"/>
            <w:vMerge w:val="continue"/>
            <w:noWrap w:val="0"/>
            <w:vAlign w:val="center"/>
          </w:tcPr>
          <w:p w14:paraId="41856248">
            <w:pPr>
              <w:jc w:val="center"/>
              <w:rPr>
                <w:rFonts w:hint="eastAsia" w:ascii="Times New Roman" w:hAnsi="Times New Roman" w:eastAsia="宋体" w:cs="宋体"/>
                <w:color w:val="auto"/>
                <w:sz w:val="24"/>
                <w:highlight w:val="none"/>
              </w:rPr>
            </w:pPr>
          </w:p>
        </w:tc>
        <w:tc>
          <w:tcPr>
            <w:tcW w:w="3380" w:type="dxa"/>
            <w:noWrap w:val="0"/>
            <w:vAlign w:val="center"/>
          </w:tcPr>
          <w:p w14:paraId="4334EEC0">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矿区外西侧1-6边界、直距90m</w:t>
            </w:r>
          </w:p>
        </w:tc>
        <w:tc>
          <w:tcPr>
            <w:tcW w:w="1620" w:type="dxa"/>
            <w:vMerge w:val="continue"/>
            <w:noWrap w:val="0"/>
            <w:vAlign w:val="center"/>
          </w:tcPr>
          <w:p w14:paraId="791EF62C">
            <w:pPr>
              <w:jc w:val="center"/>
              <w:rPr>
                <w:rFonts w:hint="eastAsia" w:ascii="Times New Roman" w:hAnsi="Times New Roman" w:eastAsia="宋体"/>
                <w:color w:val="auto"/>
                <w:sz w:val="24"/>
                <w:highlight w:val="none"/>
              </w:rPr>
            </w:pPr>
          </w:p>
        </w:tc>
        <w:tc>
          <w:tcPr>
            <w:tcW w:w="2655" w:type="dxa"/>
            <w:vMerge w:val="continue"/>
            <w:noWrap w:val="0"/>
            <w:vAlign w:val="center"/>
          </w:tcPr>
          <w:p w14:paraId="5DC2F4AA">
            <w:pPr>
              <w:jc w:val="center"/>
              <w:rPr>
                <w:rFonts w:hint="eastAsia" w:ascii="Times New Roman" w:hAnsi="Times New Roman" w:eastAsia="宋体"/>
                <w:color w:val="auto"/>
                <w:sz w:val="24"/>
                <w:highlight w:val="none"/>
              </w:rPr>
            </w:pPr>
          </w:p>
        </w:tc>
      </w:tr>
      <w:tr w14:paraId="4D3C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vMerge w:val="continue"/>
            <w:noWrap w:val="0"/>
            <w:vAlign w:val="center"/>
          </w:tcPr>
          <w:p w14:paraId="6520895B">
            <w:pPr>
              <w:jc w:val="center"/>
              <w:rPr>
                <w:rFonts w:hint="eastAsia" w:ascii="Times New Roman" w:hAnsi="Times New Roman" w:eastAsia="宋体" w:cs="宋体"/>
                <w:color w:val="auto"/>
                <w:sz w:val="24"/>
                <w:highlight w:val="none"/>
              </w:rPr>
            </w:pPr>
          </w:p>
        </w:tc>
        <w:tc>
          <w:tcPr>
            <w:tcW w:w="1025" w:type="dxa"/>
            <w:vMerge w:val="continue"/>
            <w:noWrap w:val="0"/>
            <w:vAlign w:val="center"/>
          </w:tcPr>
          <w:p w14:paraId="34086F13">
            <w:pPr>
              <w:jc w:val="center"/>
              <w:rPr>
                <w:rFonts w:hint="eastAsia" w:ascii="Times New Roman" w:hAnsi="Times New Roman" w:eastAsia="宋体" w:cs="宋体"/>
                <w:color w:val="auto"/>
                <w:sz w:val="24"/>
                <w:highlight w:val="none"/>
              </w:rPr>
            </w:pPr>
          </w:p>
        </w:tc>
        <w:tc>
          <w:tcPr>
            <w:tcW w:w="3380" w:type="dxa"/>
            <w:noWrap w:val="0"/>
            <w:vAlign w:val="center"/>
          </w:tcPr>
          <w:p w14:paraId="5908429E">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矿区外西侧6号拐点、直距490m</w:t>
            </w:r>
          </w:p>
        </w:tc>
        <w:tc>
          <w:tcPr>
            <w:tcW w:w="1620" w:type="dxa"/>
            <w:vMerge w:val="continue"/>
            <w:noWrap w:val="0"/>
            <w:vAlign w:val="center"/>
          </w:tcPr>
          <w:p w14:paraId="79693F0A">
            <w:pPr>
              <w:jc w:val="center"/>
              <w:rPr>
                <w:rFonts w:hint="eastAsia" w:ascii="Times New Roman" w:hAnsi="Times New Roman" w:eastAsia="宋体"/>
                <w:color w:val="auto"/>
                <w:sz w:val="24"/>
                <w:highlight w:val="none"/>
              </w:rPr>
            </w:pPr>
          </w:p>
        </w:tc>
        <w:tc>
          <w:tcPr>
            <w:tcW w:w="2655" w:type="dxa"/>
            <w:vMerge w:val="continue"/>
            <w:noWrap w:val="0"/>
            <w:vAlign w:val="center"/>
          </w:tcPr>
          <w:p w14:paraId="46ADFFE0">
            <w:pPr>
              <w:jc w:val="center"/>
              <w:rPr>
                <w:rFonts w:hint="eastAsia" w:ascii="Times New Roman" w:hAnsi="Times New Roman" w:eastAsia="宋体"/>
                <w:color w:val="auto"/>
                <w:sz w:val="24"/>
                <w:highlight w:val="none"/>
              </w:rPr>
            </w:pPr>
          </w:p>
        </w:tc>
      </w:tr>
      <w:tr w14:paraId="0F46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noWrap w:val="0"/>
            <w:vAlign w:val="center"/>
          </w:tcPr>
          <w:p w14:paraId="6D64E3A3">
            <w:pPr>
              <w:jc w:val="center"/>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4</w:t>
            </w:r>
          </w:p>
        </w:tc>
        <w:tc>
          <w:tcPr>
            <w:tcW w:w="1025" w:type="dxa"/>
            <w:noWrap w:val="0"/>
            <w:vAlign w:val="center"/>
          </w:tcPr>
          <w:p w14:paraId="773A5F6C">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河流</w:t>
            </w:r>
          </w:p>
        </w:tc>
        <w:tc>
          <w:tcPr>
            <w:tcW w:w="3380" w:type="dxa"/>
            <w:noWrap w:val="0"/>
            <w:vAlign w:val="center"/>
          </w:tcPr>
          <w:p w14:paraId="666FB27A">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矿区南侧存在由东流向西上龙坑溪流，其经12.73km河流汇入下游鱼塘溪</w:t>
            </w:r>
          </w:p>
        </w:tc>
        <w:tc>
          <w:tcPr>
            <w:tcW w:w="1620" w:type="dxa"/>
            <w:noWrap w:val="0"/>
            <w:vAlign w:val="center"/>
          </w:tcPr>
          <w:p w14:paraId="418FAD93">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矿山开采、井下疏排水、水质</w:t>
            </w:r>
          </w:p>
        </w:tc>
        <w:tc>
          <w:tcPr>
            <w:tcW w:w="2655" w:type="dxa"/>
            <w:noWrap w:val="0"/>
            <w:vAlign w:val="center"/>
          </w:tcPr>
          <w:p w14:paraId="3455F91C">
            <w:pPr>
              <w:jc w:val="center"/>
              <w:rPr>
                <w:rFonts w:hint="eastAsia" w:ascii="Times New Roman" w:hAnsi="Times New Roman" w:eastAsia="宋体"/>
                <w:color w:val="auto"/>
                <w:sz w:val="24"/>
                <w:highlight w:val="none"/>
                <w:lang w:val="en-US" w:eastAsia="zh-CN"/>
              </w:rPr>
            </w:pPr>
            <w:r>
              <w:rPr>
                <w:rFonts w:hint="eastAsia" w:ascii="Times New Roman" w:hAnsi="Times New Roman" w:eastAsia="宋体" w:cs="宋体"/>
                <w:color w:val="auto"/>
                <w:sz w:val="24"/>
                <w:highlight w:val="none"/>
                <w:lang w:val="en-US" w:eastAsia="zh-CN"/>
              </w:rPr>
              <w:t>临溪沟一侧设置保安矿柱、其余按照设计开采不会造成地面塌陷，</w:t>
            </w:r>
            <w:r>
              <w:rPr>
                <w:rFonts w:hint="eastAsia" w:ascii="Times New Roman" w:hAnsi="Times New Roman" w:eastAsia="宋体" w:cs="宋体"/>
                <w:color w:val="auto"/>
                <w:sz w:val="24"/>
                <w:highlight w:val="none"/>
              </w:rPr>
              <w:t>出口处设置沉淀池，不会</w:t>
            </w:r>
            <w:r>
              <w:rPr>
                <w:rFonts w:hint="eastAsia" w:ascii="Times New Roman" w:hAnsi="Times New Roman" w:eastAsia="宋体" w:cs="宋体"/>
                <w:color w:val="auto"/>
                <w:sz w:val="24"/>
                <w:highlight w:val="none"/>
                <w:lang w:eastAsia="zh-CN"/>
              </w:rPr>
              <w:t>对其</w:t>
            </w:r>
            <w:r>
              <w:rPr>
                <w:rFonts w:hint="eastAsia" w:ascii="Times New Roman" w:hAnsi="Times New Roman" w:eastAsia="宋体" w:cs="宋体"/>
                <w:color w:val="auto"/>
                <w:sz w:val="24"/>
                <w:highlight w:val="none"/>
              </w:rPr>
              <w:t>造成影响</w:t>
            </w:r>
          </w:p>
        </w:tc>
      </w:tr>
      <w:tr w14:paraId="0EAA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34" w:type="dxa"/>
            <w:noWrap w:val="0"/>
            <w:vAlign w:val="center"/>
          </w:tcPr>
          <w:p w14:paraId="36BECD2A">
            <w:pPr>
              <w:jc w:val="center"/>
              <w:rPr>
                <w:rFonts w:hint="eastAsia" w:ascii="Times New Roman" w:hAnsi="Times New Roman" w:eastAsia="宋体" w:cs="宋体"/>
                <w:color w:val="auto"/>
                <w:sz w:val="24"/>
                <w:highlight w:val="none"/>
                <w:lang w:val="en-US" w:eastAsia="zh-CN"/>
              </w:rPr>
            </w:pPr>
            <w:r>
              <w:rPr>
                <w:rFonts w:hint="eastAsia" w:ascii="Times New Roman" w:hAnsi="Times New Roman" w:cs="宋体"/>
                <w:color w:val="auto"/>
                <w:sz w:val="24"/>
                <w:highlight w:val="none"/>
                <w:lang w:val="en-US" w:eastAsia="zh-CN"/>
              </w:rPr>
              <w:t>5</w:t>
            </w:r>
          </w:p>
        </w:tc>
        <w:tc>
          <w:tcPr>
            <w:tcW w:w="1025" w:type="dxa"/>
            <w:noWrap w:val="0"/>
            <w:vAlign w:val="center"/>
          </w:tcPr>
          <w:p w14:paraId="0019FCA8">
            <w:pPr>
              <w:widowControl/>
              <w:kinsoku/>
              <w:wordWrap/>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人类工程活动</w:t>
            </w:r>
          </w:p>
        </w:tc>
        <w:tc>
          <w:tcPr>
            <w:tcW w:w="3380" w:type="dxa"/>
            <w:noWrap w:val="0"/>
            <w:vAlign w:val="center"/>
          </w:tcPr>
          <w:p w14:paraId="78A1CF2E">
            <w:pPr>
              <w:widowControl/>
              <w:kinsoku/>
              <w:wordWrap/>
              <w:overflowPunct/>
              <w:topLinePunct w:val="0"/>
              <w:bidi w:val="0"/>
              <w:spacing w:line="240" w:lineRule="auto"/>
              <w:ind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农村道路和农林耕种活动等</w:t>
            </w:r>
          </w:p>
        </w:tc>
        <w:tc>
          <w:tcPr>
            <w:tcW w:w="1620" w:type="dxa"/>
            <w:noWrap w:val="0"/>
            <w:vAlign w:val="center"/>
          </w:tcPr>
          <w:p w14:paraId="1BD2C0A6">
            <w:pPr>
              <w:widowControl/>
              <w:kinsoku/>
              <w:wordWrap/>
              <w:overflowPunct/>
              <w:topLinePunct w:val="0"/>
              <w:bidi w:val="0"/>
              <w:spacing w:line="240" w:lineRule="auto"/>
              <w:ind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Times New Roman" w:hAnsi="Times New Roman" w:eastAsia="宋体"/>
                <w:color w:val="auto"/>
                <w:sz w:val="24"/>
                <w:highlight w:val="none"/>
              </w:rPr>
              <w:t>矿山开采</w:t>
            </w:r>
          </w:p>
        </w:tc>
        <w:tc>
          <w:tcPr>
            <w:tcW w:w="2655" w:type="dxa"/>
            <w:noWrap w:val="0"/>
            <w:vAlign w:val="center"/>
          </w:tcPr>
          <w:p w14:paraId="1C16D890">
            <w:pPr>
              <w:widowControl/>
              <w:kinsoku/>
              <w:wordWrap/>
              <w:overflowPunct/>
              <w:topLinePunct w:val="0"/>
              <w:bidi w:val="0"/>
              <w:spacing w:line="240" w:lineRule="auto"/>
              <w:ind w:firstLine="0" w:firstLineChars="0"/>
              <w:jc w:val="center"/>
              <w:rPr>
                <w:rFonts w:hint="eastAsia" w:ascii="Times New Roman" w:hAnsi="Times New Roman" w:eastAsia="宋体"/>
                <w:color w:val="auto"/>
                <w:sz w:val="24"/>
                <w:highlight w:val="none"/>
              </w:rPr>
            </w:pPr>
            <w:r>
              <w:rPr>
                <w:rFonts w:hint="eastAsia" w:ascii="Times New Roman" w:hAnsi="Times New Roman" w:eastAsia="宋体" w:cs="宋体"/>
                <w:color w:val="auto"/>
                <w:sz w:val="24"/>
                <w:highlight w:val="none"/>
                <w:lang w:val="en-US" w:eastAsia="zh-CN"/>
              </w:rPr>
              <w:t>按照设计开采，不会产生地面塌陷，不会对其造成影响。</w:t>
            </w:r>
          </w:p>
        </w:tc>
      </w:tr>
    </w:tbl>
    <w:p w14:paraId="1188C3EA">
      <w:pPr>
        <w:pStyle w:val="3"/>
        <w:widowControl/>
        <w:kinsoku w:val="0"/>
        <w:autoSpaceDE w:val="0"/>
        <w:autoSpaceDN w:val="0"/>
        <w:bidi w:val="0"/>
        <w:adjustRightInd w:val="0"/>
        <w:snapToGrid w:val="0"/>
        <w:spacing w:before="260" w:beforeLines="0" w:beforeAutospacing="0" w:after="260" w:afterLines="0" w:afterAutospacing="0" w:line="240" w:lineRule="auto"/>
        <w:jc w:val="left"/>
        <w:textAlignment w:val="baseline"/>
        <w:rPr>
          <w:rFonts w:hint="eastAsia" w:ascii="宋体" w:hAnsi="宋体" w:eastAsia="宋体" w:cs="宋体"/>
          <w:b/>
          <w:bCs w:val="0"/>
          <w:snapToGrid w:val="0"/>
          <w:color w:val="auto"/>
          <w:kern w:val="0"/>
          <w:sz w:val="30"/>
          <w:szCs w:val="30"/>
          <w:highlight w:val="none"/>
          <w:lang w:val="en-US" w:eastAsia="zh-CN"/>
        </w:rPr>
      </w:pPr>
      <w:bookmarkStart w:id="186" w:name="_Toc17808"/>
      <w:r>
        <w:rPr>
          <w:rFonts w:hint="eastAsia" w:ascii="宋体" w:hAnsi="宋体" w:eastAsia="宋体" w:cs="宋体"/>
          <w:b/>
          <w:bCs w:val="0"/>
          <w:snapToGrid w:val="0"/>
          <w:color w:val="auto"/>
          <w:kern w:val="0"/>
          <w:sz w:val="30"/>
          <w:szCs w:val="30"/>
          <w:highlight w:val="none"/>
          <w:lang w:val="en-US" w:eastAsia="zh-CN"/>
        </w:rPr>
        <w:t>5.8意见及建议</w:t>
      </w:r>
      <w:bookmarkEnd w:id="186"/>
    </w:p>
    <w:p w14:paraId="3ED60C55">
      <w:pPr>
        <w:pStyle w:val="23"/>
        <w:pageBreakBefore w:val="0"/>
        <w:widowControl w:val="0"/>
        <w:kinsoku/>
        <w:wordWrap/>
        <w:overflowPunct/>
        <w:topLinePunct w:val="0"/>
        <w:bidi w:val="0"/>
        <w:snapToGrid w:val="0"/>
        <w:spacing w:line="360" w:lineRule="auto"/>
        <w:ind w:firstLine="572"/>
        <w:rPr>
          <w:rFonts w:hint="eastAsia" w:ascii="宋体" w:hAnsi="宋体" w:eastAsia="宋体" w:cs="宋体"/>
          <w:color w:val="auto"/>
          <w:sz w:val="28"/>
          <w:highlight w:val="none"/>
        </w:rPr>
      </w:pPr>
      <w:r>
        <w:rPr>
          <w:rFonts w:hint="eastAsia" w:ascii="宋体" w:hAnsi="宋体" w:eastAsia="宋体" w:cs="宋体"/>
          <w:color w:val="auto"/>
          <w:sz w:val="28"/>
          <w:highlight w:val="none"/>
        </w:rPr>
        <w:t>(1)本方案仅依据矿山目前的状况编制、制定，应随着矿山开发的进程和地质环境的变化，不断修订、完善、优化</w:t>
      </w:r>
      <w:r>
        <w:rPr>
          <w:rFonts w:hint="eastAsia" w:ascii="宋体" w:hAnsi="宋体" w:eastAsia="宋体" w:cs="宋体"/>
          <w:color w:val="auto"/>
          <w:sz w:val="28"/>
          <w:highlight w:val="none"/>
          <w:lang w:eastAsia="zh-CN"/>
        </w:rPr>
        <w:t>开采</w:t>
      </w:r>
      <w:r>
        <w:rPr>
          <w:rFonts w:hint="eastAsia" w:ascii="宋体" w:hAnsi="宋体" w:eastAsia="宋体" w:cs="宋体"/>
          <w:color w:val="auto"/>
          <w:sz w:val="28"/>
          <w:highlight w:val="none"/>
        </w:rPr>
        <w:t>方案。</w:t>
      </w:r>
    </w:p>
    <w:p w14:paraId="47548575">
      <w:pPr>
        <w:pStyle w:val="23"/>
        <w:pageBreakBefore w:val="0"/>
        <w:widowControl w:val="0"/>
        <w:kinsoku/>
        <w:wordWrap/>
        <w:overflowPunct/>
        <w:topLinePunct w:val="0"/>
        <w:bidi w:val="0"/>
        <w:snapToGrid w:val="0"/>
        <w:spacing w:line="360" w:lineRule="auto"/>
        <w:ind w:firstLine="572"/>
        <w:rPr>
          <w:rFonts w:hint="eastAsia" w:ascii="宋体" w:hAnsi="宋体" w:eastAsia="宋体" w:cs="宋体"/>
          <w:color w:val="auto"/>
          <w:sz w:val="28"/>
          <w:highlight w:val="none"/>
        </w:rPr>
      </w:pPr>
      <w:r>
        <w:rPr>
          <w:rFonts w:hint="eastAsia" w:ascii="宋体" w:hAnsi="宋体" w:eastAsia="宋体" w:cs="宋体"/>
          <w:color w:val="auto"/>
          <w:sz w:val="28"/>
          <w:highlight w:val="none"/>
        </w:rPr>
        <w:t>(2)在矿山道路、工业场地设计过程中应充分按照福建省国土资源厅、省财政厅、省环境保护厅、省质量技术监督局、中国银监会福建监管局、中国证监会福建监管局《关于做好福建省绿色矿山建设工作的通知》（闽国土资文〔2017〕289号）和中国自然资源经济研究院2019年7月出版绿色矿山建设评估指导手册的规范要求进行建设。</w:t>
      </w:r>
    </w:p>
    <w:p w14:paraId="360268F6">
      <w:pPr>
        <w:pStyle w:val="23"/>
        <w:pageBreakBefore w:val="0"/>
        <w:widowControl w:val="0"/>
        <w:kinsoku/>
        <w:wordWrap/>
        <w:overflowPunct/>
        <w:topLinePunct w:val="0"/>
        <w:bidi w:val="0"/>
        <w:adjustRightInd w:val="0"/>
        <w:snapToGrid w:val="0"/>
        <w:spacing w:line="360" w:lineRule="auto"/>
        <w:ind w:firstLine="572"/>
        <w:rPr>
          <w:rFonts w:hint="eastAsia" w:ascii="宋体" w:hAnsi="宋体" w:eastAsia="宋体" w:cs="宋体"/>
          <w:color w:val="auto"/>
          <w:sz w:val="28"/>
          <w:highlight w:val="none"/>
        </w:rPr>
      </w:pPr>
      <w:r>
        <w:rPr>
          <w:rFonts w:hint="eastAsia" w:ascii="宋体" w:hAnsi="宋体" w:eastAsia="宋体" w:cs="宋体"/>
          <w:color w:val="auto"/>
          <w:sz w:val="28"/>
          <w:highlight w:val="none"/>
        </w:rPr>
        <w:t>(3)本方案仅设计</w:t>
      </w:r>
      <w:r>
        <w:rPr>
          <w:rFonts w:hint="eastAsia" w:ascii="宋体" w:hAnsi="宋体" w:eastAsia="宋体" w:cs="宋体"/>
          <w:color w:val="auto"/>
          <w:sz w:val="28"/>
          <w:highlight w:val="none"/>
          <w:lang w:eastAsia="zh-CN"/>
        </w:rPr>
        <w:t>拟申请</w:t>
      </w:r>
      <w:r>
        <w:rPr>
          <w:rFonts w:hint="eastAsia" w:ascii="宋体" w:hAnsi="宋体" w:eastAsia="宋体" w:cs="宋体"/>
          <w:color w:val="auto"/>
          <w:sz w:val="28"/>
          <w:highlight w:val="none"/>
        </w:rPr>
        <w:t>矿区范围内</w:t>
      </w:r>
      <w:r>
        <w:rPr>
          <w:rFonts w:hint="eastAsia" w:ascii="宋体" w:hAnsi="宋体" w:eastAsia="宋体" w:cs="宋体"/>
          <w:color w:val="auto"/>
          <w:sz w:val="28"/>
          <w:highlight w:val="none"/>
          <w:lang w:eastAsia="zh-CN"/>
        </w:rPr>
        <w:t>方解石、白云石方解石矿</w:t>
      </w:r>
      <w:r>
        <w:rPr>
          <w:rFonts w:hint="eastAsia" w:ascii="宋体" w:hAnsi="宋体" w:eastAsia="宋体" w:cs="宋体"/>
          <w:color w:val="auto"/>
          <w:sz w:val="28"/>
          <w:highlight w:val="none"/>
        </w:rPr>
        <w:t>矿产资源的开发利用，对该矿山的环保和安全生产要求，请业主按生态环境部门、应急管理部门批准的有关方案执行。</w:t>
      </w:r>
    </w:p>
    <w:p w14:paraId="737D2E83">
      <w:pPr>
        <w:pStyle w:val="23"/>
        <w:pageBreakBefore w:val="0"/>
        <w:widowControl w:val="0"/>
        <w:kinsoku/>
        <w:wordWrap/>
        <w:overflowPunct/>
        <w:topLinePunct w:val="0"/>
        <w:autoSpaceDE/>
        <w:autoSpaceDN/>
        <w:bidi w:val="0"/>
        <w:snapToGrid w:val="0"/>
        <w:spacing w:line="360" w:lineRule="auto"/>
        <w:ind w:firstLine="572"/>
        <w:rPr>
          <w:rFonts w:hint="eastAsia" w:ascii="Times New Roman" w:hAnsi="Times New Roman" w:eastAsia="仿宋_GB2312"/>
          <w:color w:val="auto"/>
          <w:sz w:val="28"/>
          <w:highlight w:val="none"/>
        </w:rPr>
      </w:pPr>
      <w:r>
        <w:rPr>
          <w:rFonts w:hint="eastAsia" w:ascii="宋体" w:hAnsi="宋体" w:eastAsia="宋体" w:cs="宋体"/>
          <w:color w:val="auto"/>
          <w:sz w:val="28"/>
          <w:highlight w:val="none"/>
        </w:rPr>
        <w:t>(4)在开采过程中按有关技术规范开采，并做好安全生产工作。根据实际情况，必要时对采场参数进行调整，以免造成事故及浪费。通过科学合理的设计方案和合理的施工方案设计，减少土地占用和植被破坏</w:t>
      </w:r>
      <w:r>
        <w:rPr>
          <w:rFonts w:hint="eastAsia" w:ascii="Times New Roman" w:hAnsi="Times New Roman" w:eastAsia="仿宋_GB2312"/>
          <w:color w:val="auto"/>
          <w:sz w:val="28"/>
          <w:highlight w:val="none"/>
        </w:rPr>
        <w:t>。</w:t>
      </w:r>
    </w:p>
    <w:p w14:paraId="224774C3">
      <w:pPr>
        <w:pStyle w:val="23"/>
        <w:pageBreakBefore w:val="0"/>
        <w:widowControl w:val="0"/>
        <w:kinsoku/>
        <w:wordWrap/>
        <w:overflowPunct/>
        <w:topLinePunct w:val="0"/>
        <w:autoSpaceDE/>
        <w:autoSpaceDN/>
        <w:bidi w:val="0"/>
        <w:snapToGrid w:val="0"/>
        <w:spacing w:line="360" w:lineRule="auto"/>
        <w:ind w:firstLine="572"/>
        <w:rPr>
          <w:rFonts w:hint="eastAsia" w:ascii="宋体" w:hAnsi="宋体" w:eastAsia="宋体" w:cs="宋体"/>
          <w:color w:val="auto"/>
          <w:sz w:val="28"/>
          <w:highlight w:val="none"/>
          <w:lang w:eastAsia="zh-CN"/>
        </w:rPr>
      </w:pPr>
      <w:r>
        <w:rPr>
          <w:rFonts w:hint="eastAsia" w:ascii="宋体" w:hAnsi="宋体" w:eastAsia="宋体" w:cs="宋体"/>
          <w:color w:val="auto"/>
          <w:sz w:val="28"/>
          <w:highlight w:val="none"/>
        </w:rPr>
        <w:t>(</w:t>
      </w:r>
      <w:r>
        <w:rPr>
          <w:rFonts w:hint="eastAsia" w:ascii="宋体" w:hAnsi="宋体" w:eastAsia="宋体" w:cs="宋体"/>
          <w:color w:val="auto"/>
          <w:sz w:val="28"/>
          <w:highlight w:val="none"/>
          <w:lang w:val="en-US" w:eastAsia="zh-CN"/>
        </w:rPr>
        <w:t>5</w:t>
      </w:r>
      <w:r>
        <w:rPr>
          <w:rFonts w:hint="eastAsia" w:ascii="宋体" w:hAnsi="宋体" w:eastAsia="宋体" w:cs="宋体"/>
          <w:color w:val="auto"/>
          <w:sz w:val="28"/>
          <w:highlight w:val="none"/>
        </w:rPr>
        <w:t>)</w:t>
      </w:r>
      <w:r>
        <w:rPr>
          <w:rFonts w:hint="eastAsia" w:ascii="宋体" w:hAnsi="宋体" w:eastAsia="宋体" w:cs="宋体"/>
          <w:color w:val="auto"/>
          <w:sz w:val="28"/>
          <w:highlight w:val="none"/>
          <w:lang w:eastAsia="zh-CN"/>
        </w:rPr>
        <w:t>本次设计的矿石中转场占用基本农田，拟将该块段基本农田调整为建设用地，目前已上报自然资源部审批，必须经自然资源部审批同意后，方可动用该矿石中转场。</w:t>
      </w:r>
    </w:p>
    <w:p w14:paraId="5F0CDEE1">
      <w:pPr>
        <w:pStyle w:val="23"/>
        <w:pageBreakBefore w:val="0"/>
        <w:widowControl w:val="0"/>
        <w:kinsoku/>
        <w:wordWrap/>
        <w:overflowPunct/>
        <w:topLinePunct w:val="0"/>
        <w:autoSpaceDE/>
        <w:autoSpaceDN/>
        <w:bidi w:val="0"/>
        <w:snapToGrid w:val="0"/>
        <w:spacing w:line="360" w:lineRule="auto"/>
        <w:ind w:firstLine="572"/>
        <w:rPr>
          <w:rFonts w:hint="eastAsia" w:ascii="宋体" w:hAnsi="宋体" w:eastAsia="宋体" w:cs="宋体"/>
          <w:color w:val="auto"/>
          <w:sz w:val="28"/>
          <w:highlight w:val="none"/>
          <w:lang w:eastAsia="zh-CN"/>
        </w:rPr>
      </w:pPr>
      <w:r>
        <w:rPr>
          <w:rFonts w:hint="eastAsia" w:ascii="宋体" w:hAnsi="宋体" w:eastAsia="宋体" w:cs="宋体"/>
          <w:color w:val="auto"/>
          <w:sz w:val="28"/>
          <w:highlight w:val="none"/>
          <w:lang w:eastAsia="zh-CN"/>
        </w:rPr>
        <w:t>（6）矿山采用地下开采不会对区内地表水田造成直接或间接影响，但由于矿山后续开采规模变大且矿山服务年限较长，所以建议建设单位向自然资源部门申请对区内水田按照相关技术规范要求进行调整。</w:t>
      </w:r>
    </w:p>
    <w:p w14:paraId="4749F37E">
      <w:pPr>
        <w:pStyle w:val="3"/>
        <w:pageBreakBefore w:val="0"/>
        <w:widowControl/>
        <w:kinsoku w:val="0"/>
        <w:wordWrap/>
        <w:overflowPunct/>
        <w:topLinePunct w:val="0"/>
        <w:autoSpaceDE w:val="0"/>
        <w:autoSpaceDN w:val="0"/>
        <w:bidi w:val="0"/>
        <w:adjustRightInd w:val="0"/>
        <w:snapToGrid w:val="0"/>
        <w:spacing w:before="0" w:beforeAutospacing="0" w:after="0" w:afterAutospacing="0" w:line="360" w:lineRule="auto"/>
        <w:jc w:val="left"/>
        <w:textAlignment w:val="baseline"/>
        <w:rPr>
          <w:rFonts w:hint="eastAsia" w:ascii="宋体" w:hAnsi="宋体" w:eastAsia="宋体" w:cs="宋体"/>
          <w:bCs/>
          <w:color w:val="auto"/>
          <w:kern w:val="2"/>
          <w:sz w:val="30"/>
          <w:szCs w:val="30"/>
          <w:highlight w:val="none"/>
          <w:lang w:val="en-US" w:eastAsia="zh-CN"/>
        </w:rPr>
      </w:pPr>
      <w:bookmarkStart w:id="187" w:name="_Toc21229"/>
      <w:bookmarkStart w:id="188" w:name="_Toc22355"/>
      <w:r>
        <w:rPr>
          <w:rFonts w:hint="eastAsia" w:ascii="宋体" w:hAnsi="宋体" w:eastAsia="宋体" w:cs="宋体"/>
          <w:b/>
          <w:bCs w:val="0"/>
          <w:snapToGrid w:val="0"/>
          <w:color w:val="auto"/>
          <w:kern w:val="0"/>
          <w:sz w:val="30"/>
          <w:szCs w:val="30"/>
          <w:highlight w:val="none"/>
          <w:lang w:val="en-US" w:eastAsia="zh-CN"/>
        </w:rPr>
        <w:t>5.9综合技术经济指标表</w:t>
      </w:r>
      <w:bookmarkEnd w:id="187"/>
      <w:bookmarkEnd w:id="188"/>
    </w:p>
    <w:p w14:paraId="5C3C8251">
      <w:pPr>
        <w:pageBreakBefore w:val="0"/>
        <w:widowControl w:val="0"/>
        <w:kinsoku/>
        <w:wordWrap/>
        <w:overflowPunct/>
        <w:topLinePunct w:val="0"/>
        <w:autoSpaceDE/>
        <w:autoSpaceDN/>
        <w:bidi w:val="0"/>
        <w:snapToGrid w:val="0"/>
        <w:spacing w:line="360" w:lineRule="auto"/>
        <w:ind w:firstLine="570" w:firstLineChars="20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综合技术</w:t>
      </w:r>
      <w:r>
        <w:rPr>
          <w:rFonts w:hint="eastAsia" w:ascii="宋体" w:hAnsi="宋体" w:eastAsia="宋体" w:cs="宋体"/>
          <w:b/>
          <w:bCs/>
          <w:color w:val="auto"/>
          <w:sz w:val="28"/>
          <w:szCs w:val="28"/>
          <w:highlight w:val="none"/>
          <w:lang w:eastAsia="zh-CN"/>
        </w:rPr>
        <w:t>经济</w:t>
      </w:r>
      <w:r>
        <w:rPr>
          <w:rFonts w:hint="eastAsia" w:ascii="宋体" w:hAnsi="宋体" w:eastAsia="宋体" w:cs="宋体"/>
          <w:b/>
          <w:bCs/>
          <w:color w:val="auto"/>
          <w:sz w:val="28"/>
          <w:szCs w:val="28"/>
          <w:highlight w:val="none"/>
        </w:rPr>
        <w:t>指标表                表</w:t>
      </w:r>
      <w:r>
        <w:rPr>
          <w:rFonts w:hint="eastAsia" w:ascii="宋体" w:hAnsi="宋体" w:eastAsia="宋体" w:cs="宋体"/>
          <w:b/>
          <w:bCs/>
          <w:color w:val="auto"/>
          <w:sz w:val="28"/>
          <w:szCs w:val="28"/>
          <w:highlight w:val="none"/>
          <w:lang w:val="en-US" w:eastAsia="zh-CN"/>
        </w:rPr>
        <w:t>5</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val="en-US" w:eastAsia="zh-CN"/>
        </w:rPr>
        <w:t>3</w:t>
      </w:r>
    </w:p>
    <w:tbl>
      <w:tblPr>
        <w:tblStyle w:val="18"/>
        <w:tblW w:w="925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2"/>
        <w:gridCol w:w="2078"/>
        <w:gridCol w:w="1176"/>
        <w:gridCol w:w="3295"/>
        <w:gridCol w:w="2022"/>
      </w:tblGrid>
      <w:tr w14:paraId="78E57C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0" w:hRule="atLeast"/>
          <w:tblHeader/>
        </w:trPr>
        <w:tc>
          <w:tcPr>
            <w:tcW w:w="682" w:type="dxa"/>
            <w:noWrap w:val="0"/>
            <w:vAlign w:val="center"/>
          </w:tcPr>
          <w:p w14:paraId="23689786">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序号</w:t>
            </w:r>
          </w:p>
        </w:tc>
        <w:tc>
          <w:tcPr>
            <w:tcW w:w="2078" w:type="dxa"/>
            <w:noWrap w:val="0"/>
            <w:vAlign w:val="center"/>
          </w:tcPr>
          <w:p w14:paraId="776494BD">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项    目</w:t>
            </w:r>
          </w:p>
        </w:tc>
        <w:tc>
          <w:tcPr>
            <w:tcW w:w="1176" w:type="dxa"/>
            <w:noWrap w:val="0"/>
            <w:vAlign w:val="center"/>
          </w:tcPr>
          <w:p w14:paraId="5361E332">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单位</w:t>
            </w:r>
          </w:p>
        </w:tc>
        <w:tc>
          <w:tcPr>
            <w:tcW w:w="3295" w:type="dxa"/>
            <w:noWrap w:val="0"/>
            <w:vAlign w:val="center"/>
          </w:tcPr>
          <w:p w14:paraId="6935F9FA">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数  量  指  标</w:t>
            </w:r>
          </w:p>
        </w:tc>
        <w:tc>
          <w:tcPr>
            <w:tcW w:w="2022" w:type="dxa"/>
            <w:noWrap w:val="0"/>
            <w:vAlign w:val="center"/>
          </w:tcPr>
          <w:p w14:paraId="66DF4293">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备   注</w:t>
            </w:r>
          </w:p>
        </w:tc>
      </w:tr>
      <w:tr w14:paraId="78DE0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7B7862CF">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1</w:t>
            </w:r>
          </w:p>
        </w:tc>
        <w:tc>
          <w:tcPr>
            <w:tcW w:w="2078" w:type="dxa"/>
            <w:noWrap w:val="0"/>
            <w:vAlign w:val="center"/>
          </w:tcPr>
          <w:p w14:paraId="2DC914DC">
            <w:pPr>
              <w:jc w:val="center"/>
              <w:rPr>
                <w:rFonts w:ascii="Times New Roman" w:hAnsi="Times New Roman" w:eastAsia="宋体" w:cs="仿宋_GB2312"/>
                <w:color w:val="auto"/>
                <w:sz w:val="24"/>
                <w:highlight w:val="none"/>
              </w:rPr>
            </w:pPr>
            <w:r>
              <w:rPr>
                <w:rFonts w:hint="eastAsia" w:ascii="Times New Roman" w:hAnsi="Times New Roman" w:eastAsia="宋体" w:cs="仿宋_GB2312"/>
                <w:color w:val="auto"/>
                <w:sz w:val="24"/>
                <w:highlight w:val="none"/>
              </w:rPr>
              <w:t>矿石类型</w:t>
            </w:r>
          </w:p>
        </w:tc>
        <w:tc>
          <w:tcPr>
            <w:tcW w:w="1176" w:type="dxa"/>
            <w:noWrap w:val="0"/>
            <w:vAlign w:val="center"/>
          </w:tcPr>
          <w:p w14:paraId="1A738474">
            <w:pPr>
              <w:jc w:val="center"/>
              <w:rPr>
                <w:rFonts w:ascii="Times New Roman" w:hAnsi="Times New Roman" w:eastAsia="宋体" w:cs="仿宋_GB2312"/>
                <w:color w:val="auto"/>
                <w:sz w:val="24"/>
                <w:highlight w:val="none"/>
              </w:rPr>
            </w:pPr>
          </w:p>
        </w:tc>
        <w:tc>
          <w:tcPr>
            <w:tcW w:w="3295" w:type="dxa"/>
            <w:noWrap w:val="0"/>
            <w:vAlign w:val="center"/>
          </w:tcPr>
          <w:p w14:paraId="7D8F4B8B">
            <w:pPr>
              <w:jc w:val="center"/>
              <w:rPr>
                <w:rFonts w:hint="eastAsia" w:ascii="Times New Roman" w:hAnsi="Times New Roman" w:eastAsia="宋体" w:cs="仿宋_GB2312"/>
                <w:color w:val="auto"/>
                <w:sz w:val="24"/>
                <w:highlight w:val="none"/>
                <w:lang w:eastAsia="zh-CN"/>
              </w:rPr>
            </w:pPr>
            <w:r>
              <w:rPr>
                <w:rFonts w:hint="eastAsia" w:ascii="Times New Roman" w:hAnsi="Times New Roman" w:cs="仿宋_GB2312"/>
                <w:color w:val="auto"/>
                <w:sz w:val="24"/>
                <w:highlight w:val="none"/>
                <w:lang w:eastAsia="zh-CN"/>
              </w:rPr>
              <w:t>方解石</w:t>
            </w:r>
            <w:r>
              <w:rPr>
                <w:rFonts w:hint="eastAsia" w:ascii="Times New Roman" w:hAnsi="Times New Roman" w:eastAsia="宋体" w:cs="仿宋_GB2312"/>
                <w:color w:val="auto"/>
                <w:sz w:val="24"/>
                <w:highlight w:val="none"/>
                <w:lang w:eastAsia="zh-CN"/>
              </w:rPr>
              <w:t>、</w:t>
            </w:r>
            <w:r>
              <w:rPr>
                <w:rFonts w:hint="eastAsia" w:ascii="Times New Roman" w:hAnsi="Times New Roman" w:eastAsia="宋体"/>
                <w:color w:val="auto"/>
                <w:sz w:val="24"/>
                <w:highlight w:val="none"/>
                <w:lang w:val="en-US" w:eastAsia="zh-CN"/>
              </w:rPr>
              <w:t>白云石方解石</w:t>
            </w:r>
          </w:p>
        </w:tc>
        <w:tc>
          <w:tcPr>
            <w:tcW w:w="2022" w:type="dxa"/>
            <w:noWrap w:val="0"/>
            <w:vAlign w:val="center"/>
          </w:tcPr>
          <w:p w14:paraId="4EFB8CEA">
            <w:pPr>
              <w:jc w:val="center"/>
              <w:rPr>
                <w:rFonts w:hint="eastAsia" w:ascii="Times New Roman" w:hAnsi="Times New Roman" w:eastAsia="宋体"/>
                <w:color w:val="auto"/>
                <w:sz w:val="24"/>
                <w:highlight w:val="none"/>
              </w:rPr>
            </w:pPr>
          </w:p>
        </w:tc>
      </w:tr>
      <w:tr w14:paraId="30DAA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397E05C0">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2</w:t>
            </w:r>
          </w:p>
        </w:tc>
        <w:tc>
          <w:tcPr>
            <w:tcW w:w="2078" w:type="dxa"/>
            <w:noWrap w:val="0"/>
            <w:vAlign w:val="center"/>
          </w:tcPr>
          <w:p w14:paraId="01B864FB">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地质资源量</w:t>
            </w:r>
          </w:p>
        </w:tc>
        <w:tc>
          <w:tcPr>
            <w:tcW w:w="1176" w:type="dxa"/>
            <w:noWrap w:val="0"/>
            <w:vAlign w:val="center"/>
          </w:tcPr>
          <w:p w14:paraId="6F9B8092">
            <w:pPr>
              <w:jc w:val="center"/>
              <w:rPr>
                <w:rFonts w:ascii="Times New Roman" w:hAnsi="Times New Roman" w:eastAsia="宋体"/>
                <w:color w:val="auto"/>
                <w:sz w:val="24"/>
                <w:highlight w:val="none"/>
                <w:vertAlign w:val="superscript"/>
              </w:rPr>
            </w:pPr>
            <w:r>
              <w:rPr>
                <w:rFonts w:hint="eastAsia" w:ascii="Times New Roman" w:hAnsi="Times New Roman" w:eastAsia="宋体"/>
                <w:color w:val="auto"/>
                <w:sz w:val="24"/>
                <w:highlight w:val="none"/>
              </w:rPr>
              <w:t>万吨</w:t>
            </w:r>
          </w:p>
        </w:tc>
        <w:tc>
          <w:tcPr>
            <w:tcW w:w="3295" w:type="dxa"/>
            <w:noWrap w:val="0"/>
            <w:vAlign w:val="center"/>
          </w:tcPr>
          <w:p w14:paraId="0C216134">
            <w:pPr>
              <w:jc w:val="center"/>
              <w:rPr>
                <w:rFonts w:hint="default"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1715.15（方解石1040.88，白云石方解石674.27）</w:t>
            </w:r>
          </w:p>
        </w:tc>
        <w:tc>
          <w:tcPr>
            <w:tcW w:w="2022" w:type="dxa"/>
            <w:noWrap w:val="0"/>
            <w:vAlign w:val="center"/>
          </w:tcPr>
          <w:p w14:paraId="718382AC">
            <w:pPr>
              <w:jc w:val="center"/>
              <w:rPr>
                <w:rFonts w:hint="eastAsia" w:ascii="Times New Roman" w:hAnsi="Times New Roman" w:eastAsia="宋体"/>
                <w:color w:val="auto"/>
                <w:sz w:val="24"/>
                <w:highlight w:val="none"/>
              </w:rPr>
            </w:pPr>
          </w:p>
        </w:tc>
      </w:tr>
      <w:tr w14:paraId="661C1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8" w:hRule="atLeast"/>
        </w:trPr>
        <w:tc>
          <w:tcPr>
            <w:tcW w:w="682" w:type="dxa"/>
            <w:noWrap w:val="0"/>
            <w:vAlign w:val="center"/>
          </w:tcPr>
          <w:p w14:paraId="4472D7F1">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3</w:t>
            </w:r>
          </w:p>
        </w:tc>
        <w:tc>
          <w:tcPr>
            <w:tcW w:w="2078" w:type="dxa"/>
            <w:noWrap w:val="0"/>
            <w:vAlign w:val="center"/>
          </w:tcPr>
          <w:p w14:paraId="6364235A">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设计利用</w:t>
            </w:r>
            <w:r>
              <w:rPr>
                <w:rFonts w:hint="eastAsia" w:ascii="Times New Roman" w:hAnsi="Times New Roman"/>
                <w:color w:val="auto"/>
                <w:sz w:val="24"/>
                <w:highlight w:val="none"/>
                <w:lang w:eastAsia="zh-CN"/>
              </w:rPr>
              <w:t>储</w:t>
            </w:r>
            <w:r>
              <w:rPr>
                <w:rFonts w:hint="eastAsia" w:ascii="Times New Roman" w:hAnsi="Times New Roman" w:eastAsia="宋体"/>
                <w:color w:val="auto"/>
                <w:sz w:val="24"/>
                <w:highlight w:val="none"/>
              </w:rPr>
              <w:t>量</w:t>
            </w:r>
          </w:p>
        </w:tc>
        <w:tc>
          <w:tcPr>
            <w:tcW w:w="1176" w:type="dxa"/>
            <w:noWrap w:val="0"/>
            <w:vAlign w:val="center"/>
          </w:tcPr>
          <w:p w14:paraId="63538C21">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万吨</w:t>
            </w:r>
          </w:p>
        </w:tc>
        <w:tc>
          <w:tcPr>
            <w:tcW w:w="3295" w:type="dxa"/>
            <w:noWrap w:val="0"/>
            <w:vAlign w:val="center"/>
          </w:tcPr>
          <w:p w14:paraId="081DA3E7">
            <w:pPr>
              <w:jc w:val="center"/>
              <w:rPr>
                <w:rFonts w:hint="default" w:ascii="Times New Roman" w:hAnsi="Times New Roman" w:eastAsia="宋体"/>
                <w:color w:val="auto"/>
                <w:sz w:val="24"/>
                <w:highlight w:val="none"/>
                <w:lang w:val="en-US" w:eastAsia="zh-CN"/>
              </w:rPr>
            </w:pPr>
            <w:r>
              <w:rPr>
                <w:rFonts w:hint="eastAsia" w:ascii="Times New Roman" w:hAnsi="Times New Roman"/>
                <w:color w:val="auto"/>
                <w:sz w:val="24"/>
                <w:highlight w:val="none"/>
                <w:lang w:val="en-US" w:eastAsia="zh-CN"/>
              </w:rPr>
              <w:t>691.42（</w:t>
            </w:r>
            <w:r>
              <w:rPr>
                <w:rFonts w:hint="eastAsia" w:ascii="Times New Roman" w:hAnsi="Times New Roman" w:eastAsia="宋体"/>
                <w:color w:val="auto"/>
                <w:sz w:val="24"/>
                <w:highlight w:val="none"/>
                <w:lang w:val="en-US" w:eastAsia="zh-CN"/>
              </w:rPr>
              <w:t>方解石</w:t>
            </w:r>
            <w:r>
              <w:rPr>
                <w:rFonts w:hint="eastAsia" w:ascii="Times New Roman" w:hAnsi="Times New Roman"/>
                <w:color w:val="auto"/>
                <w:sz w:val="24"/>
                <w:highlight w:val="none"/>
                <w:lang w:val="en-US" w:eastAsia="zh-CN"/>
              </w:rPr>
              <w:t>377.35</w:t>
            </w:r>
            <w:r>
              <w:rPr>
                <w:rFonts w:hint="eastAsia" w:ascii="Times New Roman" w:hAnsi="Times New Roman" w:eastAsia="宋体"/>
                <w:color w:val="auto"/>
                <w:sz w:val="24"/>
                <w:highlight w:val="none"/>
                <w:lang w:val="en-US" w:eastAsia="zh-CN"/>
              </w:rPr>
              <w:t>，白云石方解石</w:t>
            </w:r>
            <w:r>
              <w:rPr>
                <w:rFonts w:hint="eastAsia" w:ascii="Times New Roman" w:hAnsi="Times New Roman"/>
                <w:color w:val="auto"/>
                <w:sz w:val="24"/>
                <w:highlight w:val="none"/>
                <w:lang w:val="en-US" w:eastAsia="zh-CN"/>
              </w:rPr>
              <w:t>314.07）</w:t>
            </w:r>
          </w:p>
        </w:tc>
        <w:tc>
          <w:tcPr>
            <w:tcW w:w="2022" w:type="dxa"/>
            <w:noWrap w:val="0"/>
            <w:vAlign w:val="center"/>
          </w:tcPr>
          <w:p w14:paraId="48DD2494">
            <w:pPr>
              <w:jc w:val="center"/>
              <w:rPr>
                <w:rFonts w:hint="eastAsia" w:ascii="Times New Roman" w:hAnsi="Times New Roman" w:eastAsia="宋体"/>
                <w:color w:val="auto"/>
                <w:sz w:val="24"/>
                <w:highlight w:val="none"/>
              </w:rPr>
            </w:pPr>
          </w:p>
        </w:tc>
      </w:tr>
      <w:tr w14:paraId="755C9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198161ED">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4</w:t>
            </w:r>
          </w:p>
        </w:tc>
        <w:tc>
          <w:tcPr>
            <w:tcW w:w="2078" w:type="dxa"/>
            <w:noWrap w:val="0"/>
            <w:vAlign w:val="center"/>
          </w:tcPr>
          <w:p w14:paraId="7BAB5D77">
            <w:pPr>
              <w:jc w:val="center"/>
              <w:rPr>
                <w:rFonts w:ascii="Times New Roman" w:hAnsi="Times New Roman" w:eastAsia="宋体" w:cs="仿宋_GB2312"/>
                <w:color w:val="auto"/>
                <w:sz w:val="24"/>
                <w:highlight w:val="none"/>
              </w:rPr>
            </w:pPr>
            <w:r>
              <w:rPr>
                <w:rFonts w:hint="eastAsia" w:ascii="Times New Roman" w:hAnsi="Times New Roman" w:eastAsia="宋体" w:cs="仿宋_GB2312"/>
                <w:color w:val="auto"/>
                <w:sz w:val="24"/>
                <w:highlight w:val="none"/>
              </w:rPr>
              <w:t>设计可采</w:t>
            </w:r>
            <w:r>
              <w:rPr>
                <w:rFonts w:hint="eastAsia" w:ascii="Times New Roman" w:hAnsi="Times New Roman" w:cs="仿宋_GB2312"/>
                <w:color w:val="auto"/>
                <w:sz w:val="24"/>
                <w:highlight w:val="none"/>
                <w:lang w:eastAsia="zh-CN"/>
              </w:rPr>
              <w:t>储</w:t>
            </w:r>
            <w:r>
              <w:rPr>
                <w:rFonts w:hint="eastAsia" w:ascii="Times New Roman" w:hAnsi="Times New Roman" w:eastAsia="宋体" w:cs="仿宋_GB2312"/>
                <w:color w:val="auto"/>
                <w:sz w:val="24"/>
                <w:highlight w:val="none"/>
              </w:rPr>
              <w:t>量</w:t>
            </w:r>
          </w:p>
        </w:tc>
        <w:tc>
          <w:tcPr>
            <w:tcW w:w="1176" w:type="dxa"/>
            <w:noWrap w:val="0"/>
            <w:vAlign w:val="center"/>
          </w:tcPr>
          <w:p w14:paraId="752D2C87">
            <w:pPr>
              <w:jc w:val="center"/>
              <w:rPr>
                <w:rFonts w:ascii="Times New Roman" w:hAnsi="Times New Roman" w:eastAsia="宋体" w:cs="仿宋_GB2312"/>
                <w:color w:val="auto"/>
                <w:sz w:val="24"/>
                <w:highlight w:val="none"/>
              </w:rPr>
            </w:pPr>
            <w:r>
              <w:rPr>
                <w:rFonts w:hint="eastAsia" w:ascii="Times New Roman" w:hAnsi="Times New Roman" w:eastAsia="宋体"/>
                <w:color w:val="auto"/>
                <w:sz w:val="24"/>
                <w:highlight w:val="none"/>
              </w:rPr>
              <w:t>万吨</w:t>
            </w:r>
          </w:p>
        </w:tc>
        <w:tc>
          <w:tcPr>
            <w:tcW w:w="3295" w:type="dxa"/>
            <w:noWrap w:val="0"/>
            <w:vAlign w:val="center"/>
          </w:tcPr>
          <w:p w14:paraId="7B6DA150">
            <w:pPr>
              <w:jc w:val="center"/>
              <w:rPr>
                <w:rFonts w:hint="default" w:ascii="Times New Roman" w:hAnsi="Times New Roman" w:eastAsia="宋体" w:cs="仿宋_GB2312"/>
                <w:color w:val="auto"/>
                <w:sz w:val="24"/>
                <w:highlight w:val="none"/>
                <w:lang w:val="en-US" w:eastAsia="zh-CN"/>
              </w:rPr>
            </w:pPr>
            <w:r>
              <w:rPr>
                <w:rFonts w:hint="eastAsia" w:ascii="Times New Roman" w:hAnsi="Times New Roman"/>
                <w:color w:val="auto"/>
                <w:sz w:val="24"/>
                <w:highlight w:val="none"/>
                <w:lang w:val="en-US" w:eastAsia="zh-CN"/>
              </w:rPr>
              <w:t>518.57（</w:t>
            </w:r>
            <w:r>
              <w:rPr>
                <w:rFonts w:hint="eastAsia" w:ascii="Times New Roman" w:hAnsi="Times New Roman" w:eastAsia="宋体"/>
                <w:color w:val="auto"/>
                <w:sz w:val="24"/>
                <w:highlight w:val="none"/>
                <w:lang w:val="en-US" w:eastAsia="zh-CN"/>
              </w:rPr>
              <w:t>方解石</w:t>
            </w:r>
            <w:r>
              <w:rPr>
                <w:rFonts w:hint="eastAsia" w:ascii="Times New Roman" w:hAnsi="Times New Roman"/>
                <w:color w:val="auto"/>
                <w:sz w:val="24"/>
                <w:highlight w:val="none"/>
                <w:lang w:val="en-US" w:eastAsia="zh-CN"/>
              </w:rPr>
              <w:t>283.01</w:t>
            </w:r>
            <w:r>
              <w:rPr>
                <w:rFonts w:hint="eastAsia" w:ascii="Times New Roman" w:hAnsi="Times New Roman" w:eastAsia="宋体"/>
                <w:color w:val="auto"/>
                <w:sz w:val="24"/>
                <w:highlight w:val="none"/>
                <w:lang w:val="en-US" w:eastAsia="zh-CN"/>
              </w:rPr>
              <w:t>，白云石方解石</w:t>
            </w:r>
            <w:r>
              <w:rPr>
                <w:rFonts w:hint="eastAsia" w:ascii="Times New Roman" w:hAnsi="Times New Roman"/>
                <w:color w:val="auto"/>
                <w:sz w:val="24"/>
                <w:highlight w:val="none"/>
                <w:lang w:val="en-US" w:eastAsia="zh-CN"/>
              </w:rPr>
              <w:t>235.56）</w:t>
            </w:r>
          </w:p>
        </w:tc>
        <w:tc>
          <w:tcPr>
            <w:tcW w:w="2022" w:type="dxa"/>
            <w:noWrap w:val="0"/>
            <w:vAlign w:val="center"/>
          </w:tcPr>
          <w:p w14:paraId="4F103CAA">
            <w:pPr>
              <w:jc w:val="center"/>
              <w:rPr>
                <w:rFonts w:ascii="Times New Roman" w:hAnsi="Times New Roman" w:eastAsia="宋体" w:cs="仿宋_GB2312"/>
                <w:color w:val="auto"/>
                <w:sz w:val="24"/>
                <w:highlight w:val="none"/>
              </w:rPr>
            </w:pPr>
          </w:p>
        </w:tc>
      </w:tr>
      <w:tr w14:paraId="395936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1BEEBCC5">
            <w:pPr>
              <w:jc w:val="center"/>
              <w:rPr>
                <w:rFonts w:ascii="Times New Roman" w:hAnsi="Times New Roman" w:eastAsia="宋体" w:cs="仿宋_GB2312"/>
                <w:color w:val="auto"/>
                <w:sz w:val="24"/>
                <w:highlight w:val="none"/>
              </w:rPr>
            </w:pPr>
            <w:r>
              <w:rPr>
                <w:rFonts w:hint="eastAsia" w:ascii="Times New Roman" w:hAnsi="Times New Roman" w:eastAsia="宋体" w:cs="仿宋_GB2312"/>
                <w:color w:val="auto"/>
                <w:sz w:val="24"/>
                <w:highlight w:val="none"/>
              </w:rPr>
              <w:t>4</w:t>
            </w:r>
          </w:p>
        </w:tc>
        <w:tc>
          <w:tcPr>
            <w:tcW w:w="2078" w:type="dxa"/>
            <w:noWrap w:val="0"/>
            <w:vAlign w:val="center"/>
          </w:tcPr>
          <w:p w14:paraId="0D9BFEC3">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建设规模</w:t>
            </w:r>
          </w:p>
        </w:tc>
        <w:tc>
          <w:tcPr>
            <w:tcW w:w="1176" w:type="dxa"/>
            <w:noWrap w:val="0"/>
            <w:vAlign w:val="center"/>
          </w:tcPr>
          <w:p w14:paraId="514317F0">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万吨/年</w:t>
            </w:r>
          </w:p>
        </w:tc>
        <w:tc>
          <w:tcPr>
            <w:tcW w:w="3295" w:type="dxa"/>
            <w:noWrap w:val="0"/>
            <w:vAlign w:val="center"/>
          </w:tcPr>
          <w:p w14:paraId="580E7791">
            <w:pPr>
              <w:jc w:val="center"/>
              <w:rPr>
                <w:rFonts w:hint="default" w:ascii="Times New Roman" w:hAnsi="Times New Roman" w:eastAsia="宋体"/>
                <w:color w:val="auto"/>
                <w:sz w:val="24"/>
                <w:highlight w:val="none"/>
                <w:lang w:val="en-US" w:eastAsia="zh-CN"/>
              </w:rPr>
            </w:pPr>
            <w:r>
              <w:rPr>
                <w:rFonts w:hint="eastAsia" w:ascii="Times New Roman" w:hAnsi="Times New Roman"/>
                <w:color w:val="auto"/>
                <w:sz w:val="24"/>
                <w:highlight w:val="none"/>
                <w:lang w:val="en-US" w:eastAsia="zh-CN"/>
              </w:rPr>
              <w:t>40</w:t>
            </w:r>
          </w:p>
        </w:tc>
        <w:tc>
          <w:tcPr>
            <w:tcW w:w="2022" w:type="dxa"/>
            <w:noWrap w:val="0"/>
            <w:vAlign w:val="center"/>
          </w:tcPr>
          <w:p w14:paraId="0D12AC05">
            <w:pPr>
              <w:jc w:val="center"/>
              <w:rPr>
                <w:rFonts w:hint="eastAsia" w:ascii="Times New Roman" w:hAnsi="Times New Roman" w:eastAsia="宋体"/>
                <w:color w:val="auto"/>
                <w:sz w:val="24"/>
                <w:highlight w:val="none"/>
              </w:rPr>
            </w:pPr>
          </w:p>
        </w:tc>
      </w:tr>
      <w:tr w14:paraId="434650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010CB34D">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6</w:t>
            </w:r>
          </w:p>
        </w:tc>
        <w:tc>
          <w:tcPr>
            <w:tcW w:w="2078" w:type="dxa"/>
            <w:noWrap w:val="0"/>
            <w:vAlign w:val="center"/>
          </w:tcPr>
          <w:p w14:paraId="2E8C7A8C">
            <w:pPr>
              <w:jc w:val="center"/>
              <w:rPr>
                <w:rFonts w:ascii="Times New Roman" w:hAnsi="Times New Roman" w:eastAsia="宋体" w:cs="仿宋_GB2312"/>
                <w:color w:val="auto"/>
                <w:sz w:val="24"/>
                <w:highlight w:val="none"/>
              </w:rPr>
            </w:pPr>
            <w:r>
              <w:rPr>
                <w:rFonts w:hint="eastAsia" w:ascii="Times New Roman" w:hAnsi="Times New Roman" w:eastAsia="宋体" w:cs="仿宋_GB2312"/>
                <w:color w:val="auto"/>
                <w:sz w:val="24"/>
                <w:highlight w:val="none"/>
              </w:rPr>
              <w:t>服务年限</w:t>
            </w:r>
          </w:p>
        </w:tc>
        <w:tc>
          <w:tcPr>
            <w:tcW w:w="1176" w:type="dxa"/>
            <w:noWrap w:val="0"/>
            <w:vAlign w:val="center"/>
          </w:tcPr>
          <w:p w14:paraId="005F0042">
            <w:pPr>
              <w:jc w:val="center"/>
              <w:rPr>
                <w:rFonts w:ascii="Times New Roman" w:hAnsi="Times New Roman" w:eastAsia="宋体" w:cs="仿宋_GB2312"/>
                <w:color w:val="auto"/>
                <w:sz w:val="24"/>
                <w:highlight w:val="none"/>
              </w:rPr>
            </w:pPr>
            <w:r>
              <w:rPr>
                <w:rFonts w:hint="eastAsia" w:ascii="Times New Roman" w:hAnsi="Times New Roman" w:eastAsia="宋体" w:cs="仿宋_GB2312"/>
                <w:color w:val="auto"/>
                <w:sz w:val="24"/>
                <w:highlight w:val="none"/>
              </w:rPr>
              <w:t>年</w:t>
            </w:r>
          </w:p>
        </w:tc>
        <w:tc>
          <w:tcPr>
            <w:tcW w:w="3295" w:type="dxa"/>
            <w:noWrap w:val="0"/>
            <w:vAlign w:val="center"/>
          </w:tcPr>
          <w:p w14:paraId="4E991729">
            <w:pPr>
              <w:jc w:val="center"/>
              <w:rPr>
                <w:rFonts w:hint="default" w:ascii="Times New Roman" w:hAnsi="Times New Roman" w:eastAsia="宋体" w:cs="仿宋_GB2312"/>
                <w:color w:val="auto"/>
                <w:sz w:val="24"/>
                <w:highlight w:val="none"/>
                <w:lang w:val="en-US" w:eastAsia="zh-CN"/>
              </w:rPr>
            </w:pPr>
            <w:r>
              <w:rPr>
                <w:rFonts w:hint="eastAsia" w:ascii="Times New Roman" w:hAnsi="Times New Roman" w:cs="仿宋_GB2312"/>
                <w:color w:val="auto"/>
                <w:sz w:val="24"/>
                <w:highlight w:val="none"/>
                <w:lang w:val="en-US" w:eastAsia="zh-CN"/>
              </w:rPr>
              <w:t xml:space="preserve"> 16</w:t>
            </w:r>
          </w:p>
        </w:tc>
        <w:tc>
          <w:tcPr>
            <w:tcW w:w="2022" w:type="dxa"/>
            <w:noWrap w:val="0"/>
            <w:vAlign w:val="center"/>
          </w:tcPr>
          <w:p w14:paraId="3357E688">
            <w:pPr>
              <w:jc w:val="center"/>
              <w:rPr>
                <w:rFonts w:hint="eastAsia" w:ascii="Times New Roman" w:hAnsi="Times New Roman" w:eastAsia="宋体"/>
                <w:color w:val="auto"/>
                <w:sz w:val="24"/>
                <w:highlight w:val="none"/>
              </w:rPr>
            </w:pPr>
          </w:p>
        </w:tc>
      </w:tr>
      <w:tr w14:paraId="52F6B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2579F9B6">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7</w:t>
            </w:r>
          </w:p>
        </w:tc>
        <w:tc>
          <w:tcPr>
            <w:tcW w:w="2078" w:type="dxa"/>
            <w:noWrap w:val="0"/>
            <w:vAlign w:val="center"/>
          </w:tcPr>
          <w:p w14:paraId="3391B33C">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开采方式</w:t>
            </w:r>
          </w:p>
        </w:tc>
        <w:tc>
          <w:tcPr>
            <w:tcW w:w="1176" w:type="dxa"/>
            <w:noWrap w:val="0"/>
            <w:vAlign w:val="center"/>
          </w:tcPr>
          <w:p w14:paraId="0C6284AF">
            <w:pPr>
              <w:jc w:val="center"/>
              <w:rPr>
                <w:rFonts w:hint="eastAsia" w:ascii="Times New Roman" w:hAnsi="Times New Roman" w:eastAsia="宋体"/>
                <w:color w:val="auto"/>
                <w:sz w:val="24"/>
                <w:highlight w:val="none"/>
              </w:rPr>
            </w:pPr>
          </w:p>
        </w:tc>
        <w:tc>
          <w:tcPr>
            <w:tcW w:w="3295" w:type="dxa"/>
            <w:noWrap w:val="0"/>
            <w:vAlign w:val="center"/>
          </w:tcPr>
          <w:p w14:paraId="315E4D08">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地下开采</w:t>
            </w:r>
          </w:p>
        </w:tc>
        <w:tc>
          <w:tcPr>
            <w:tcW w:w="2022" w:type="dxa"/>
            <w:noWrap w:val="0"/>
            <w:vAlign w:val="center"/>
          </w:tcPr>
          <w:p w14:paraId="56BA42E5">
            <w:pPr>
              <w:jc w:val="center"/>
              <w:rPr>
                <w:rFonts w:hint="eastAsia" w:ascii="Times New Roman" w:hAnsi="Times New Roman" w:eastAsia="宋体"/>
                <w:color w:val="auto"/>
                <w:sz w:val="24"/>
                <w:highlight w:val="none"/>
              </w:rPr>
            </w:pPr>
          </w:p>
        </w:tc>
      </w:tr>
      <w:tr w14:paraId="00F5AF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48B12C67">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8</w:t>
            </w:r>
          </w:p>
        </w:tc>
        <w:tc>
          <w:tcPr>
            <w:tcW w:w="2078" w:type="dxa"/>
            <w:noWrap w:val="0"/>
            <w:vAlign w:val="center"/>
          </w:tcPr>
          <w:p w14:paraId="219E44B8">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开拓运输</w:t>
            </w:r>
          </w:p>
        </w:tc>
        <w:tc>
          <w:tcPr>
            <w:tcW w:w="1176" w:type="dxa"/>
            <w:noWrap w:val="0"/>
            <w:vAlign w:val="center"/>
          </w:tcPr>
          <w:p w14:paraId="7A817362">
            <w:pPr>
              <w:jc w:val="center"/>
              <w:rPr>
                <w:rFonts w:hint="eastAsia" w:ascii="Times New Roman" w:hAnsi="Times New Roman" w:eastAsia="宋体"/>
                <w:b/>
                <w:color w:val="auto"/>
                <w:sz w:val="24"/>
                <w:highlight w:val="none"/>
              </w:rPr>
            </w:pPr>
          </w:p>
        </w:tc>
        <w:tc>
          <w:tcPr>
            <w:tcW w:w="3295" w:type="dxa"/>
            <w:noWrap w:val="0"/>
            <w:vAlign w:val="center"/>
          </w:tcPr>
          <w:p w14:paraId="487FBC6B">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平硐—斜坡道开拓</w:t>
            </w:r>
          </w:p>
          <w:p w14:paraId="6985637F">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自卸汽车运输</w:t>
            </w:r>
          </w:p>
        </w:tc>
        <w:tc>
          <w:tcPr>
            <w:tcW w:w="2022" w:type="dxa"/>
            <w:noWrap w:val="0"/>
            <w:vAlign w:val="center"/>
          </w:tcPr>
          <w:p w14:paraId="45BC3D22">
            <w:pPr>
              <w:jc w:val="center"/>
              <w:rPr>
                <w:rFonts w:hint="eastAsia" w:ascii="Times New Roman" w:hAnsi="Times New Roman" w:eastAsia="宋体"/>
                <w:b/>
                <w:color w:val="auto"/>
                <w:sz w:val="24"/>
                <w:highlight w:val="none"/>
              </w:rPr>
            </w:pPr>
          </w:p>
        </w:tc>
      </w:tr>
      <w:tr w14:paraId="134CE7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0219BE48">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9</w:t>
            </w:r>
          </w:p>
        </w:tc>
        <w:tc>
          <w:tcPr>
            <w:tcW w:w="2078" w:type="dxa"/>
            <w:noWrap w:val="0"/>
            <w:vAlign w:val="center"/>
          </w:tcPr>
          <w:p w14:paraId="200F8BD6">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采矿方法</w:t>
            </w:r>
          </w:p>
        </w:tc>
        <w:tc>
          <w:tcPr>
            <w:tcW w:w="1176" w:type="dxa"/>
            <w:noWrap w:val="0"/>
            <w:vAlign w:val="center"/>
          </w:tcPr>
          <w:p w14:paraId="6D3C26CA">
            <w:pPr>
              <w:jc w:val="center"/>
              <w:rPr>
                <w:rFonts w:hint="eastAsia" w:ascii="Times New Roman" w:hAnsi="Times New Roman" w:eastAsia="宋体"/>
                <w:color w:val="auto"/>
                <w:sz w:val="24"/>
                <w:highlight w:val="none"/>
              </w:rPr>
            </w:pPr>
          </w:p>
        </w:tc>
        <w:tc>
          <w:tcPr>
            <w:tcW w:w="3295" w:type="dxa"/>
            <w:noWrap w:val="0"/>
            <w:vAlign w:val="center"/>
          </w:tcPr>
          <w:p w14:paraId="74D91A22">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分段凿岩阶段矿房法</w:t>
            </w:r>
            <w:r>
              <w:rPr>
                <w:rFonts w:hint="eastAsia" w:ascii="Times New Roman" w:hAnsi="Times New Roman"/>
                <w:color w:val="auto"/>
                <w:sz w:val="24"/>
                <w:highlight w:val="none"/>
                <w:lang w:eastAsia="zh-CN"/>
              </w:rPr>
              <w:t>、</w:t>
            </w:r>
            <w:r>
              <w:rPr>
                <w:rFonts w:hint="eastAsia" w:ascii="Times New Roman" w:hAnsi="Times New Roman" w:cs="仿宋"/>
                <w:color w:val="auto"/>
                <w:szCs w:val="28"/>
                <w:highlight w:val="none"/>
                <w:lang w:val="en-US" w:eastAsia="zh-CN"/>
              </w:rPr>
              <w:t>房柱采矿法</w:t>
            </w:r>
          </w:p>
        </w:tc>
        <w:tc>
          <w:tcPr>
            <w:tcW w:w="2022" w:type="dxa"/>
            <w:noWrap w:val="0"/>
            <w:vAlign w:val="center"/>
          </w:tcPr>
          <w:p w14:paraId="4CF24CE2">
            <w:pPr>
              <w:jc w:val="center"/>
              <w:rPr>
                <w:rFonts w:hint="eastAsia" w:ascii="Times New Roman" w:hAnsi="Times New Roman" w:eastAsia="宋体"/>
                <w:color w:val="auto"/>
                <w:sz w:val="24"/>
                <w:highlight w:val="none"/>
              </w:rPr>
            </w:pPr>
          </w:p>
        </w:tc>
      </w:tr>
      <w:tr w14:paraId="651847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580FCCFB">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10</w:t>
            </w:r>
          </w:p>
        </w:tc>
        <w:tc>
          <w:tcPr>
            <w:tcW w:w="2078" w:type="dxa"/>
            <w:noWrap w:val="0"/>
            <w:vAlign w:val="center"/>
          </w:tcPr>
          <w:p w14:paraId="0197F3B0">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开采回采率</w:t>
            </w:r>
          </w:p>
        </w:tc>
        <w:tc>
          <w:tcPr>
            <w:tcW w:w="1176" w:type="dxa"/>
            <w:noWrap w:val="0"/>
            <w:vAlign w:val="center"/>
          </w:tcPr>
          <w:p w14:paraId="55DCAB0C">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w:t>
            </w:r>
          </w:p>
        </w:tc>
        <w:tc>
          <w:tcPr>
            <w:tcW w:w="3295" w:type="dxa"/>
            <w:noWrap w:val="0"/>
            <w:vAlign w:val="center"/>
          </w:tcPr>
          <w:p w14:paraId="1DA0902D">
            <w:pPr>
              <w:jc w:val="center"/>
              <w:rPr>
                <w:rFonts w:hint="default" w:ascii="Times New Roman" w:hAnsi="Times New Roman" w:eastAsia="宋体"/>
                <w:color w:val="auto"/>
                <w:sz w:val="24"/>
                <w:highlight w:val="none"/>
                <w:lang w:val="en-US" w:eastAsia="zh-CN"/>
              </w:rPr>
            </w:pPr>
            <w:r>
              <w:rPr>
                <w:rFonts w:hint="eastAsia" w:ascii="Times New Roman" w:hAnsi="Times New Roman"/>
                <w:color w:val="auto"/>
                <w:sz w:val="24"/>
                <w:highlight w:val="none"/>
                <w:lang w:val="en-US" w:eastAsia="zh-CN"/>
              </w:rPr>
              <w:t>75</w:t>
            </w:r>
          </w:p>
        </w:tc>
        <w:tc>
          <w:tcPr>
            <w:tcW w:w="2022" w:type="dxa"/>
            <w:noWrap w:val="0"/>
            <w:vAlign w:val="center"/>
          </w:tcPr>
          <w:p w14:paraId="4C0773CB">
            <w:pPr>
              <w:jc w:val="center"/>
              <w:rPr>
                <w:rFonts w:hint="eastAsia" w:ascii="Times New Roman" w:hAnsi="Times New Roman" w:eastAsia="宋体"/>
                <w:color w:val="auto"/>
                <w:sz w:val="24"/>
                <w:highlight w:val="none"/>
              </w:rPr>
            </w:pPr>
          </w:p>
        </w:tc>
      </w:tr>
      <w:tr w14:paraId="2A2662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8" w:hRule="atLeast"/>
        </w:trPr>
        <w:tc>
          <w:tcPr>
            <w:tcW w:w="682" w:type="dxa"/>
            <w:noWrap w:val="0"/>
            <w:vAlign w:val="center"/>
          </w:tcPr>
          <w:p w14:paraId="724BFD7C">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11</w:t>
            </w:r>
          </w:p>
        </w:tc>
        <w:tc>
          <w:tcPr>
            <w:tcW w:w="2078" w:type="dxa"/>
            <w:noWrap w:val="0"/>
            <w:vAlign w:val="center"/>
          </w:tcPr>
          <w:p w14:paraId="153BA2D1">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采矿贫化率</w:t>
            </w:r>
          </w:p>
        </w:tc>
        <w:tc>
          <w:tcPr>
            <w:tcW w:w="1176" w:type="dxa"/>
            <w:noWrap w:val="0"/>
            <w:vAlign w:val="center"/>
          </w:tcPr>
          <w:p w14:paraId="71E4C63A">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w:t>
            </w:r>
          </w:p>
        </w:tc>
        <w:tc>
          <w:tcPr>
            <w:tcW w:w="3295" w:type="dxa"/>
            <w:noWrap w:val="0"/>
            <w:vAlign w:val="center"/>
          </w:tcPr>
          <w:p w14:paraId="26FDF024">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5</w:t>
            </w:r>
          </w:p>
        </w:tc>
        <w:tc>
          <w:tcPr>
            <w:tcW w:w="2022" w:type="dxa"/>
            <w:noWrap w:val="0"/>
            <w:vAlign w:val="center"/>
          </w:tcPr>
          <w:p w14:paraId="3AA6DB91">
            <w:pPr>
              <w:jc w:val="center"/>
              <w:rPr>
                <w:rFonts w:hint="eastAsia" w:ascii="Times New Roman" w:hAnsi="Times New Roman" w:eastAsia="宋体"/>
                <w:color w:val="auto"/>
                <w:sz w:val="24"/>
                <w:highlight w:val="none"/>
              </w:rPr>
            </w:pPr>
          </w:p>
        </w:tc>
      </w:tr>
      <w:tr w14:paraId="56559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07B02CB0">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12</w:t>
            </w:r>
          </w:p>
        </w:tc>
        <w:tc>
          <w:tcPr>
            <w:tcW w:w="2078" w:type="dxa"/>
            <w:noWrap w:val="0"/>
            <w:vAlign w:val="center"/>
          </w:tcPr>
          <w:p w14:paraId="5A2E680F">
            <w:pPr>
              <w:jc w:val="center"/>
              <w:rPr>
                <w:rFonts w:ascii="Times New Roman" w:hAnsi="Times New Roman" w:eastAsia="宋体" w:cs="仿宋_GB2312"/>
                <w:color w:val="auto"/>
                <w:sz w:val="24"/>
                <w:highlight w:val="none"/>
              </w:rPr>
            </w:pPr>
            <w:r>
              <w:rPr>
                <w:rFonts w:hint="eastAsia" w:ascii="Times New Roman" w:hAnsi="Times New Roman" w:eastAsia="宋体" w:cs="仿宋_GB2312"/>
                <w:color w:val="auto"/>
                <w:sz w:val="24"/>
                <w:highlight w:val="none"/>
              </w:rPr>
              <w:t>固体废弃物利用率</w:t>
            </w:r>
          </w:p>
        </w:tc>
        <w:tc>
          <w:tcPr>
            <w:tcW w:w="1176" w:type="dxa"/>
            <w:noWrap w:val="0"/>
            <w:vAlign w:val="center"/>
          </w:tcPr>
          <w:p w14:paraId="0A3ADA66">
            <w:pPr>
              <w:jc w:val="center"/>
              <w:rPr>
                <w:rFonts w:ascii="Times New Roman" w:hAnsi="Times New Roman" w:eastAsia="宋体" w:cs="仿宋_GB2312"/>
                <w:color w:val="auto"/>
                <w:sz w:val="24"/>
                <w:highlight w:val="none"/>
              </w:rPr>
            </w:pPr>
            <w:r>
              <w:rPr>
                <w:rFonts w:hint="eastAsia" w:ascii="Times New Roman" w:hAnsi="Times New Roman" w:eastAsia="宋体" w:cs="仿宋_GB2312"/>
                <w:color w:val="auto"/>
                <w:sz w:val="24"/>
                <w:highlight w:val="none"/>
              </w:rPr>
              <w:t>%</w:t>
            </w:r>
          </w:p>
        </w:tc>
        <w:tc>
          <w:tcPr>
            <w:tcW w:w="3295" w:type="dxa"/>
            <w:noWrap w:val="0"/>
            <w:vAlign w:val="center"/>
          </w:tcPr>
          <w:p w14:paraId="025DBAFA">
            <w:pPr>
              <w:jc w:val="center"/>
              <w:rPr>
                <w:rFonts w:ascii="Times New Roman" w:hAnsi="Times New Roman" w:eastAsia="宋体" w:cs="仿宋_GB2312"/>
                <w:color w:val="auto"/>
                <w:sz w:val="24"/>
                <w:highlight w:val="none"/>
              </w:rPr>
            </w:pPr>
            <w:r>
              <w:rPr>
                <w:rFonts w:hint="eastAsia" w:ascii="Times New Roman" w:hAnsi="Times New Roman" w:eastAsia="宋体" w:cs="仿宋_GB2312"/>
                <w:color w:val="auto"/>
                <w:sz w:val="24"/>
                <w:highlight w:val="none"/>
              </w:rPr>
              <w:t>100</w:t>
            </w:r>
          </w:p>
        </w:tc>
        <w:tc>
          <w:tcPr>
            <w:tcW w:w="2022" w:type="dxa"/>
            <w:noWrap w:val="0"/>
            <w:vAlign w:val="center"/>
          </w:tcPr>
          <w:p w14:paraId="3D3DBCD8">
            <w:pPr>
              <w:jc w:val="center"/>
              <w:rPr>
                <w:rFonts w:hint="eastAsia" w:ascii="Times New Roman" w:hAnsi="Times New Roman" w:eastAsia="宋体"/>
                <w:color w:val="auto"/>
                <w:sz w:val="24"/>
                <w:highlight w:val="none"/>
              </w:rPr>
            </w:pPr>
          </w:p>
        </w:tc>
      </w:tr>
      <w:tr w14:paraId="25F0D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682" w:type="dxa"/>
            <w:noWrap w:val="0"/>
            <w:vAlign w:val="center"/>
          </w:tcPr>
          <w:p w14:paraId="5247D16A">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14</w:t>
            </w:r>
          </w:p>
        </w:tc>
        <w:tc>
          <w:tcPr>
            <w:tcW w:w="2078" w:type="dxa"/>
            <w:noWrap w:val="0"/>
            <w:vAlign w:val="center"/>
          </w:tcPr>
          <w:p w14:paraId="6C90422E">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通风方式</w:t>
            </w:r>
          </w:p>
        </w:tc>
        <w:tc>
          <w:tcPr>
            <w:tcW w:w="1176" w:type="dxa"/>
            <w:noWrap w:val="0"/>
            <w:vAlign w:val="center"/>
          </w:tcPr>
          <w:p w14:paraId="4A94336C">
            <w:pPr>
              <w:jc w:val="center"/>
              <w:rPr>
                <w:rFonts w:hint="eastAsia" w:ascii="Times New Roman" w:hAnsi="Times New Roman" w:eastAsia="宋体"/>
                <w:color w:val="auto"/>
                <w:sz w:val="24"/>
                <w:highlight w:val="none"/>
              </w:rPr>
            </w:pPr>
          </w:p>
        </w:tc>
        <w:tc>
          <w:tcPr>
            <w:tcW w:w="3295" w:type="dxa"/>
            <w:noWrap w:val="0"/>
            <w:vAlign w:val="center"/>
          </w:tcPr>
          <w:p w14:paraId="229D0389">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机械抽出式通风</w:t>
            </w:r>
          </w:p>
        </w:tc>
        <w:tc>
          <w:tcPr>
            <w:tcW w:w="2022" w:type="dxa"/>
            <w:noWrap w:val="0"/>
            <w:vAlign w:val="center"/>
          </w:tcPr>
          <w:p w14:paraId="44168E14">
            <w:pPr>
              <w:jc w:val="center"/>
              <w:rPr>
                <w:rFonts w:hint="eastAsia" w:ascii="Times New Roman" w:hAnsi="Times New Roman" w:eastAsia="宋体"/>
                <w:b/>
                <w:color w:val="auto"/>
                <w:sz w:val="24"/>
                <w:highlight w:val="none"/>
              </w:rPr>
            </w:pPr>
          </w:p>
        </w:tc>
      </w:tr>
      <w:tr w14:paraId="6448A9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75" w:hRule="atLeast"/>
        </w:trPr>
        <w:tc>
          <w:tcPr>
            <w:tcW w:w="682" w:type="dxa"/>
            <w:noWrap w:val="0"/>
            <w:vAlign w:val="center"/>
          </w:tcPr>
          <w:p w14:paraId="65E1709F">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15</w:t>
            </w:r>
          </w:p>
        </w:tc>
        <w:tc>
          <w:tcPr>
            <w:tcW w:w="2078" w:type="dxa"/>
            <w:noWrap w:val="0"/>
            <w:vAlign w:val="center"/>
          </w:tcPr>
          <w:p w14:paraId="76BB04ED">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工作制度</w:t>
            </w:r>
          </w:p>
        </w:tc>
        <w:tc>
          <w:tcPr>
            <w:tcW w:w="1176" w:type="dxa"/>
            <w:noWrap w:val="0"/>
            <w:vAlign w:val="center"/>
          </w:tcPr>
          <w:p w14:paraId="7AA75CBB">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天/班/小时</w:t>
            </w:r>
          </w:p>
        </w:tc>
        <w:tc>
          <w:tcPr>
            <w:tcW w:w="3295" w:type="dxa"/>
            <w:noWrap w:val="0"/>
            <w:vAlign w:val="center"/>
          </w:tcPr>
          <w:p w14:paraId="4476C199">
            <w:pPr>
              <w:jc w:val="center"/>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3</w:t>
            </w:r>
            <w:r>
              <w:rPr>
                <w:rFonts w:hint="eastAsia" w:ascii="Times New Roman" w:hAnsi="Times New Roman" w:eastAsia="宋体"/>
                <w:color w:val="auto"/>
                <w:sz w:val="24"/>
                <w:highlight w:val="none"/>
                <w:lang w:val="en-US" w:eastAsia="zh-CN"/>
              </w:rPr>
              <w:t>0</w:t>
            </w:r>
            <w:r>
              <w:rPr>
                <w:rFonts w:hint="eastAsia" w:ascii="Times New Roman" w:hAnsi="Times New Roman" w:eastAsia="宋体"/>
                <w:color w:val="auto"/>
                <w:sz w:val="24"/>
                <w:highlight w:val="none"/>
              </w:rPr>
              <w:t>0/</w:t>
            </w:r>
            <w:r>
              <w:rPr>
                <w:rFonts w:hint="eastAsia" w:ascii="Times New Roman" w:hAnsi="Times New Roman" w:eastAsia="宋体"/>
                <w:color w:val="auto"/>
                <w:sz w:val="24"/>
                <w:highlight w:val="none"/>
                <w:lang w:val="en-US" w:eastAsia="zh-CN"/>
              </w:rPr>
              <w:t>2</w:t>
            </w:r>
            <w:r>
              <w:rPr>
                <w:rFonts w:hint="eastAsia" w:ascii="Times New Roman" w:hAnsi="Times New Roman" w:eastAsia="宋体"/>
                <w:color w:val="auto"/>
                <w:sz w:val="24"/>
                <w:highlight w:val="none"/>
              </w:rPr>
              <w:t>/8</w:t>
            </w:r>
          </w:p>
        </w:tc>
        <w:tc>
          <w:tcPr>
            <w:tcW w:w="2022" w:type="dxa"/>
            <w:noWrap w:val="0"/>
            <w:vAlign w:val="center"/>
          </w:tcPr>
          <w:p w14:paraId="6838842B">
            <w:pPr>
              <w:jc w:val="center"/>
              <w:rPr>
                <w:rFonts w:hint="eastAsia" w:ascii="Times New Roman" w:hAnsi="Times New Roman" w:eastAsia="宋体"/>
                <w:color w:val="auto"/>
                <w:sz w:val="24"/>
                <w:highlight w:val="none"/>
              </w:rPr>
            </w:pPr>
          </w:p>
        </w:tc>
      </w:tr>
    </w:tbl>
    <w:p w14:paraId="39FA128E">
      <w:pPr>
        <w:rPr>
          <w:color w:val="auto"/>
          <w:highlight w:val="none"/>
        </w:rPr>
      </w:pPr>
    </w:p>
    <w:sectPr>
      <w:pgSz w:w="11905" w:h="16838"/>
      <w:pgMar w:top="1417" w:right="1417" w:bottom="1417" w:left="1417" w:header="851" w:footer="992" w:gutter="0"/>
      <w:pgBorders>
        <w:top w:val="none" w:sz="0" w:space="0"/>
        <w:left w:val="none" w:sz="0" w:space="0"/>
        <w:bottom w:val="none" w:sz="0" w:space="0"/>
        <w:right w:val="none" w:sz="0" w:space="0"/>
      </w:pgBorders>
      <w:pgNumType w:fmt="decimal"/>
      <w:cols w:space="720" w:num="1"/>
      <w:docGrid w:type="linesAndChars" w:linePitch="312" w:charSpace="12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7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C110">
    <w:pPr>
      <w:pStyle w:val="11"/>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98CE2">
    <w:pPr>
      <w:pStyle w:val="11"/>
      <w:tabs>
        <w:tab w:val="center" w:pos="4678"/>
        <w:tab w:val="right" w:pos="8364"/>
        <w:tab w:val="clear" w:pos="4153"/>
        <w:tab w:val="clear" w:pos="8306"/>
      </w:tabs>
      <w:jc w:val="center"/>
      <w:rPr>
        <w:sz w:val="21"/>
        <w:szCs w:val="21"/>
      </w:rPr>
    </w:pPr>
    <w: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2540</wp:posOffset>
              </wp:positionV>
              <wp:extent cx="8678545" cy="0"/>
              <wp:effectExtent l="0" t="4445" r="0" b="5080"/>
              <wp:wrapNone/>
              <wp:docPr id="44"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8678545" cy="0"/>
                      </a:xfrm>
                      <a:prstGeom prst="line">
                        <a:avLst/>
                      </a:prstGeom>
                      <a:noFill/>
                      <a:ln w="6350">
                        <a:solidFill>
                          <a:srgbClr val="000000"/>
                        </a:solidFill>
                        <a:miter lim="800000"/>
                      </a:ln>
                      <a:effectLst/>
                    </wps:spPr>
                    <wps:bodyPr/>
                  </wps:wsp>
                </a:graphicData>
              </a:graphic>
            </wp:anchor>
          </w:drawing>
        </mc:Choice>
        <mc:Fallback>
          <w:pict>
            <v:line id="直接连接符 8" o:spid="_x0000_s1026" o:spt="20" style="position:absolute;left:0pt;margin-left:-0.3pt;margin-top:0.2pt;height:0pt;width:683.35pt;z-index:251659264;mso-width-relative:page;mso-height-relative:page;" filled="f" stroked="t" coordsize="21600,21600" o:gfxdata="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i0rL7&#10;0QAAAAQBAAAPAAAAAAAAAAEAIAAAACIAAABkcnMvZG93bnJldi54bWxQSwECFAAUAAAACACHTuJA&#10;BEDA7+8BAADGAwAADgAAAAAAAAABACAAAAAgAQAAZHJzL2Uyb0RvYy54bWxQSwUGAAAAAAYABgBZ&#10;AQAAgQUAAAAA&#10;">
              <v:fill on="f" focussize="0,0"/>
              <v:stroke weight="0.5pt" color="#000000" miterlimit="8" joinstyle="miter"/>
              <v:imagedata o:title=""/>
              <o:lock v:ext="edit" aspectratio="f"/>
            </v:line>
          </w:pict>
        </mc:Fallback>
      </mc:AlternateContent>
    </w:r>
    <w:r>
      <w:rPr>
        <w:rFonts w:ascii="宋体" w:hAnsi="宋体"/>
        <w:w w:val="95"/>
        <w:sz w:val="21"/>
        <w:szCs w:val="21"/>
      </w:rPr>
      <w:t xml:space="preserve">  </w:t>
    </w:r>
    <w:r>
      <w:rPr>
        <w:rFonts w:ascii="宋体" w:hAnsi="宋体"/>
        <w:w w:val="95"/>
        <w:sz w:val="21"/>
        <w:szCs w:val="21"/>
      </w:rPr>
      <w:fldChar w:fldCharType="begin"/>
    </w:r>
    <w:r>
      <w:rPr>
        <w:rFonts w:ascii="宋体" w:hAnsi="宋体"/>
        <w:w w:val="95"/>
        <w:sz w:val="21"/>
        <w:szCs w:val="21"/>
      </w:rPr>
      <w:instrText xml:space="preserve">PAGE   \* MERGEFORMAT</w:instrText>
    </w:r>
    <w:r>
      <w:rPr>
        <w:rFonts w:ascii="宋体" w:hAnsi="宋体"/>
        <w:w w:val="95"/>
        <w:sz w:val="21"/>
        <w:szCs w:val="21"/>
      </w:rPr>
      <w:fldChar w:fldCharType="separate"/>
    </w:r>
    <w:r>
      <w:rPr>
        <w:rFonts w:ascii="宋体" w:hAnsi="宋体"/>
        <w:w w:val="95"/>
        <w:sz w:val="21"/>
        <w:szCs w:val="21"/>
        <w:lang w:val="zh-CN"/>
      </w:rPr>
      <w:t>104</w:t>
    </w:r>
    <w:r>
      <w:rPr>
        <w:rFonts w:ascii="宋体" w:hAnsi="宋体"/>
        <w:w w:val="95"/>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21C3E">
    <w:pPr>
      <w:pStyle w:val="11"/>
      <w:framePr w:wrap="around" w:vAnchor="text" w:hAnchor="margin" w:xAlign="center" w:y="1"/>
      <w:ind w:firstLine="360"/>
      <w:rPr>
        <w:rStyle w:val="21"/>
      </w:rPr>
    </w:pPr>
    <w:r>
      <w:fldChar w:fldCharType="begin"/>
    </w:r>
    <w:r>
      <w:rPr>
        <w:rStyle w:val="21"/>
      </w:rPr>
      <w:instrText xml:space="preserve">PAGE  </w:instrText>
    </w:r>
    <w:r>
      <w:fldChar w:fldCharType="separate"/>
    </w:r>
    <w:r>
      <w:rPr>
        <w:rStyle w:val="21"/>
      </w:rPr>
      <w:t>167</w:t>
    </w:r>
    <w:r>
      <w:fldChar w:fldCharType="end"/>
    </w:r>
  </w:p>
  <w:p w14:paraId="4F43D716">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B17EE">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4F401">
    <w:pPr>
      <w:pStyle w:val="1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5DA25">
    <w:pPr>
      <w:pStyle w:val="11"/>
      <w:framePr w:wrap="around" w:vAnchor="text" w:hAnchor="margin" w:xAlign="center" w:y="1"/>
      <w:ind w:firstLine="360"/>
      <w:rPr>
        <w:rStyle w:val="21"/>
      </w:rPr>
    </w:pPr>
    <w:r>
      <w:fldChar w:fldCharType="begin"/>
    </w:r>
    <w:r>
      <w:rPr>
        <w:rStyle w:val="21"/>
      </w:rPr>
      <w:instrText xml:space="preserve">PAGE  </w:instrText>
    </w:r>
    <w:r>
      <w:fldChar w:fldCharType="separate"/>
    </w:r>
    <w:r>
      <w:rPr>
        <w:rStyle w:val="21"/>
      </w:rPr>
      <w:t>167</w:t>
    </w:r>
    <w:r>
      <w:fldChar w:fldCharType="end"/>
    </w:r>
  </w:p>
  <w:p w14:paraId="513171B4">
    <w:pPr>
      <w:pStyle w:val="11"/>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320E9">
    <w:pPr>
      <w:pStyle w:val="11"/>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49311">
    <w:pPr>
      <w:pStyle w:val="11"/>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F67A">
    <w:pPr>
      <w:pStyle w:val="11"/>
    </w:pPr>
    <w:r>
      <w:rPr>
        <w:rFonts w:hint="eastAsia"/>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C2BD7">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36CD6D">
                          <w:pPr>
                            <w:pStyle w:val="11"/>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DcK+jOIBAADCAwAADgAA&#10;AAAAAAABACAAAAAeAQAAZHJzL2Uyb0RvYy54bWxQSwUGAAAAAAYABgBZAQAAcgUAAAAA&#10;">
              <v:fill on="f" focussize="0,0"/>
              <v:stroke on="f"/>
              <v:imagedata o:title=""/>
              <o:lock v:ext="edit" aspectratio="f"/>
              <v:textbox inset="0mm,0mm,0mm,0mm" style="mso-fit-shape-to-text:t;">
                <w:txbxContent>
                  <w:p w14:paraId="4636CD6D">
                    <w:pPr>
                      <w:pStyle w:val="11"/>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BC7EC">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7AFD6">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F7126">
    <w:pPr>
      <w:pStyle w:val="1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7D2E0">
    <w:pPr>
      <w:pStyle w:val="12"/>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09904">
    <w:pPr>
      <w:pBdr>
        <w:bottom w:val="single" w:color="auto" w:sz="6" w:space="1"/>
      </w:pBdr>
      <w:tabs>
        <w:tab w:val="center" w:pos="4153"/>
        <w:tab w:val="right" w:pos="8306"/>
      </w:tabs>
      <w:adjustRightInd/>
      <w:snapToGrid w:val="0"/>
      <w:spacing w:line="240" w:lineRule="auto"/>
      <w:jc w:val="center"/>
      <w:textAlignment w:val="auto"/>
      <w:rPr>
        <w:rFonts w:ascii="宋体" w:hAnsi="宋体"/>
        <w:b/>
        <w:spacing w:val="2"/>
        <w:kern w:val="0"/>
        <w:szCs w:val="21"/>
      </w:rPr>
    </w:pPr>
    <w:r>
      <w:rPr>
        <w:rFonts w:hint="eastAsia" w:ascii="宋体" w:hAnsi="宋体"/>
        <w:b/>
        <w:spacing w:val="2"/>
        <w:kern w:val="0"/>
        <w:szCs w:val="21"/>
      </w:rPr>
      <w:t>明溪县瀚仙矿场上龙坑方解石矿</w:t>
    </w:r>
    <w:r>
      <w:rPr>
        <w:rFonts w:hint="eastAsia" w:ascii="宋体" w:hAnsi="宋体"/>
        <w:b/>
        <w:spacing w:val="2"/>
        <w:kern w:val="0"/>
        <w:szCs w:val="21"/>
        <w:lang w:eastAsia="zh-CN"/>
      </w:rPr>
      <w:t>开采</w:t>
    </w:r>
    <w:r>
      <w:rPr>
        <w:rFonts w:ascii="宋体" w:hAnsi="宋体"/>
        <w:b/>
        <w:spacing w:val="2"/>
        <w:kern w:val="0"/>
        <w:szCs w:val="21"/>
      </w:rPr>
      <w:t>方</w:t>
    </w:r>
    <w:r>
      <w:rPr>
        <w:rFonts w:ascii="宋体" w:hAnsi="宋体"/>
        <w:b/>
        <w:spacing w:val="7"/>
        <w:kern w:val="0"/>
        <w:szCs w:val="21"/>
      </w:rPr>
      <w:t>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0276">
    <w:pPr>
      <w:pStyle w:val="12"/>
    </w:pPr>
    <w:r>
      <w:rPr>
        <w:rFonts w:hint="eastAsia" w:ascii="宋体" w:hAnsi="宋体"/>
        <w:kern w:val="0"/>
      </w:rPr>
      <w:t>福建省秋口萤石矿业有限公司龙元萤石矿矿产资源开发利用、地质</w:t>
    </w:r>
    <w:r>
      <w:rPr>
        <w:rFonts w:ascii="宋体" w:hAnsi="宋体"/>
        <w:kern w:val="0"/>
      </w:rPr>
      <w:t>环境</w:t>
    </w:r>
    <w:r>
      <w:rPr>
        <w:rFonts w:hint="eastAsia" w:ascii="宋体" w:hAnsi="宋体"/>
        <w:kern w:val="0"/>
      </w:rPr>
      <w:t>治理</w:t>
    </w:r>
    <w:r>
      <w:rPr>
        <w:rFonts w:ascii="宋体" w:hAnsi="宋体"/>
        <w:kern w:val="0"/>
      </w:rPr>
      <w:t>恢复土地复垦方案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01AE9"/>
    <w:rsid w:val="00327CB1"/>
    <w:rsid w:val="003C28DE"/>
    <w:rsid w:val="003D0404"/>
    <w:rsid w:val="00481283"/>
    <w:rsid w:val="00500138"/>
    <w:rsid w:val="00562B94"/>
    <w:rsid w:val="00623EB9"/>
    <w:rsid w:val="006B6259"/>
    <w:rsid w:val="0070156C"/>
    <w:rsid w:val="00757B9E"/>
    <w:rsid w:val="0078768E"/>
    <w:rsid w:val="00906786"/>
    <w:rsid w:val="00975F0B"/>
    <w:rsid w:val="0098388D"/>
    <w:rsid w:val="00CD1C13"/>
    <w:rsid w:val="00D17AFB"/>
    <w:rsid w:val="00E40880"/>
    <w:rsid w:val="00F22F9D"/>
    <w:rsid w:val="0100390C"/>
    <w:rsid w:val="010B22B0"/>
    <w:rsid w:val="012A413D"/>
    <w:rsid w:val="012F5F9F"/>
    <w:rsid w:val="01347A59"/>
    <w:rsid w:val="015A2EE5"/>
    <w:rsid w:val="015A3576"/>
    <w:rsid w:val="015C4419"/>
    <w:rsid w:val="0162311D"/>
    <w:rsid w:val="016D3391"/>
    <w:rsid w:val="01791910"/>
    <w:rsid w:val="01C21AF4"/>
    <w:rsid w:val="01EC20E2"/>
    <w:rsid w:val="020B2DE7"/>
    <w:rsid w:val="02160F0D"/>
    <w:rsid w:val="021653B1"/>
    <w:rsid w:val="021A27AB"/>
    <w:rsid w:val="02313F99"/>
    <w:rsid w:val="024C0DD3"/>
    <w:rsid w:val="024D0962"/>
    <w:rsid w:val="025D08EA"/>
    <w:rsid w:val="027C3918"/>
    <w:rsid w:val="02987B74"/>
    <w:rsid w:val="02994018"/>
    <w:rsid w:val="02A97FD3"/>
    <w:rsid w:val="02AB3D4B"/>
    <w:rsid w:val="02AE7397"/>
    <w:rsid w:val="02DD1A2B"/>
    <w:rsid w:val="02DF4F05"/>
    <w:rsid w:val="02FE5FA0"/>
    <w:rsid w:val="03086AA8"/>
    <w:rsid w:val="03107E77"/>
    <w:rsid w:val="03133105"/>
    <w:rsid w:val="0315073D"/>
    <w:rsid w:val="031E62CB"/>
    <w:rsid w:val="033D3914"/>
    <w:rsid w:val="034128B4"/>
    <w:rsid w:val="03455F4E"/>
    <w:rsid w:val="0348159A"/>
    <w:rsid w:val="035172A4"/>
    <w:rsid w:val="0383686A"/>
    <w:rsid w:val="039B791C"/>
    <w:rsid w:val="03C30C20"/>
    <w:rsid w:val="03DC26DB"/>
    <w:rsid w:val="041F3E95"/>
    <w:rsid w:val="043162AA"/>
    <w:rsid w:val="044D50FC"/>
    <w:rsid w:val="04536FF9"/>
    <w:rsid w:val="046248DD"/>
    <w:rsid w:val="04A41DB7"/>
    <w:rsid w:val="04B679E6"/>
    <w:rsid w:val="04BF588C"/>
    <w:rsid w:val="04DC4690"/>
    <w:rsid w:val="04E058B2"/>
    <w:rsid w:val="04E44B67"/>
    <w:rsid w:val="04FF229E"/>
    <w:rsid w:val="0506170D"/>
    <w:rsid w:val="05196560"/>
    <w:rsid w:val="052454CF"/>
    <w:rsid w:val="05283431"/>
    <w:rsid w:val="053022E6"/>
    <w:rsid w:val="0539563E"/>
    <w:rsid w:val="05476F48"/>
    <w:rsid w:val="055A7363"/>
    <w:rsid w:val="0570190A"/>
    <w:rsid w:val="057B4767"/>
    <w:rsid w:val="05812B41"/>
    <w:rsid w:val="0596018D"/>
    <w:rsid w:val="05A17A58"/>
    <w:rsid w:val="05BB6053"/>
    <w:rsid w:val="05BE584E"/>
    <w:rsid w:val="05C3315A"/>
    <w:rsid w:val="05CA3700"/>
    <w:rsid w:val="05D90BCF"/>
    <w:rsid w:val="05E10BE5"/>
    <w:rsid w:val="05EA6938"/>
    <w:rsid w:val="05F23A3F"/>
    <w:rsid w:val="060774EA"/>
    <w:rsid w:val="06127C3D"/>
    <w:rsid w:val="06563FCE"/>
    <w:rsid w:val="06652463"/>
    <w:rsid w:val="067060FE"/>
    <w:rsid w:val="067526A6"/>
    <w:rsid w:val="06DA4BFF"/>
    <w:rsid w:val="06F34B13"/>
    <w:rsid w:val="07102C65"/>
    <w:rsid w:val="07131EBF"/>
    <w:rsid w:val="0740733C"/>
    <w:rsid w:val="07481CD1"/>
    <w:rsid w:val="074C0EDC"/>
    <w:rsid w:val="07524795"/>
    <w:rsid w:val="076B3AA9"/>
    <w:rsid w:val="07702E6D"/>
    <w:rsid w:val="07754928"/>
    <w:rsid w:val="07832BA1"/>
    <w:rsid w:val="07852DBD"/>
    <w:rsid w:val="078F59E9"/>
    <w:rsid w:val="079239A0"/>
    <w:rsid w:val="07944DAE"/>
    <w:rsid w:val="079601D4"/>
    <w:rsid w:val="079D5232"/>
    <w:rsid w:val="07A50D69"/>
    <w:rsid w:val="07BC3669"/>
    <w:rsid w:val="07C05808"/>
    <w:rsid w:val="07EF0236"/>
    <w:rsid w:val="07F244D8"/>
    <w:rsid w:val="07F54B6F"/>
    <w:rsid w:val="07FE5178"/>
    <w:rsid w:val="081E0B1B"/>
    <w:rsid w:val="082500FC"/>
    <w:rsid w:val="08270ED8"/>
    <w:rsid w:val="082A74C0"/>
    <w:rsid w:val="08376673"/>
    <w:rsid w:val="08451E28"/>
    <w:rsid w:val="08674270"/>
    <w:rsid w:val="086A3D60"/>
    <w:rsid w:val="08723BC6"/>
    <w:rsid w:val="08766438"/>
    <w:rsid w:val="089808CE"/>
    <w:rsid w:val="089B216C"/>
    <w:rsid w:val="08A167E0"/>
    <w:rsid w:val="08A51D8F"/>
    <w:rsid w:val="08A64151"/>
    <w:rsid w:val="08B03E69"/>
    <w:rsid w:val="08B360A6"/>
    <w:rsid w:val="08C7683B"/>
    <w:rsid w:val="08CB0CA3"/>
    <w:rsid w:val="08D96F67"/>
    <w:rsid w:val="08E238A4"/>
    <w:rsid w:val="08E92ED7"/>
    <w:rsid w:val="08FD2E27"/>
    <w:rsid w:val="09126815"/>
    <w:rsid w:val="09211055"/>
    <w:rsid w:val="092A1AF6"/>
    <w:rsid w:val="093700E7"/>
    <w:rsid w:val="09526841"/>
    <w:rsid w:val="096F43FE"/>
    <w:rsid w:val="09A03C56"/>
    <w:rsid w:val="09DC312A"/>
    <w:rsid w:val="09EF6C13"/>
    <w:rsid w:val="0A0D0E47"/>
    <w:rsid w:val="0A136F4C"/>
    <w:rsid w:val="0A1E4E03"/>
    <w:rsid w:val="0A200B7B"/>
    <w:rsid w:val="0A2C5285"/>
    <w:rsid w:val="0A37395D"/>
    <w:rsid w:val="0A3C6538"/>
    <w:rsid w:val="0A4707FD"/>
    <w:rsid w:val="0A51342A"/>
    <w:rsid w:val="0A6E0B9B"/>
    <w:rsid w:val="0A762E91"/>
    <w:rsid w:val="0A7669ED"/>
    <w:rsid w:val="0A7D5FCD"/>
    <w:rsid w:val="0A805ABD"/>
    <w:rsid w:val="0A83110A"/>
    <w:rsid w:val="0AA417AC"/>
    <w:rsid w:val="0AAB42F1"/>
    <w:rsid w:val="0AB319EF"/>
    <w:rsid w:val="0AE24082"/>
    <w:rsid w:val="0AE95AB6"/>
    <w:rsid w:val="0AED01E9"/>
    <w:rsid w:val="0AED5148"/>
    <w:rsid w:val="0B0371A9"/>
    <w:rsid w:val="0B044987"/>
    <w:rsid w:val="0B09160F"/>
    <w:rsid w:val="0B13248D"/>
    <w:rsid w:val="0B182EA6"/>
    <w:rsid w:val="0B207881"/>
    <w:rsid w:val="0B24469B"/>
    <w:rsid w:val="0B247374"/>
    <w:rsid w:val="0B2B5A29"/>
    <w:rsid w:val="0B3E7589"/>
    <w:rsid w:val="0B5207E4"/>
    <w:rsid w:val="0B633415"/>
    <w:rsid w:val="0B6A36D6"/>
    <w:rsid w:val="0B6D4294"/>
    <w:rsid w:val="0B892750"/>
    <w:rsid w:val="0BB51797"/>
    <w:rsid w:val="0BB53545"/>
    <w:rsid w:val="0BBC2B25"/>
    <w:rsid w:val="0BBC48D3"/>
    <w:rsid w:val="0BC111F1"/>
    <w:rsid w:val="0BCB5357"/>
    <w:rsid w:val="0C1849DB"/>
    <w:rsid w:val="0C25691C"/>
    <w:rsid w:val="0C261195"/>
    <w:rsid w:val="0C2801BA"/>
    <w:rsid w:val="0C2F779B"/>
    <w:rsid w:val="0C6E6D48"/>
    <w:rsid w:val="0C7B02EA"/>
    <w:rsid w:val="0C7E440A"/>
    <w:rsid w:val="0CB67574"/>
    <w:rsid w:val="0CC04897"/>
    <w:rsid w:val="0CD13237"/>
    <w:rsid w:val="0D005BAD"/>
    <w:rsid w:val="0D0504FC"/>
    <w:rsid w:val="0D1857DD"/>
    <w:rsid w:val="0D29243C"/>
    <w:rsid w:val="0D3136F1"/>
    <w:rsid w:val="0D5A43A4"/>
    <w:rsid w:val="0D682F64"/>
    <w:rsid w:val="0D7F205C"/>
    <w:rsid w:val="0D9A0C44"/>
    <w:rsid w:val="0D9A6E96"/>
    <w:rsid w:val="0DA53B40"/>
    <w:rsid w:val="0DBE0DD6"/>
    <w:rsid w:val="0DC43068"/>
    <w:rsid w:val="0DCD2DC7"/>
    <w:rsid w:val="0DE85E53"/>
    <w:rsid w:val="0DF465A6"/>
    <w:rsid w:val="0DF50366"/>
    <w:rsid w:val="0E060087"/>
    <w:rsid w:val="0E1704E7"/>
    <w:rsid w:val="0E1C3D4F"/>
    <w:rsid w:val="0E252C04"/>
    <w:rsid w:val="0E2C2781"/>
    <w:rsid w:val="0E3108C0"/>
    <w:rsid w:val="0E495B83"/>
    <w:rsid w:val="0E527771"/>
    <w:rsid w:val="0E796AAB"/>
    <w:rsid w:val="0E8D065C"/>
    <w:rsid w:val="0E8E0DE4"/>
    <w:rsid w:val="0E912047"/>
    <w:rsid w:val="0EC8358F"/>
    <w:rsid w:val="0EE228A3"/>
    <w:rsid w:val="0EE97122"/>
    <w:rsid w:val="0EF56A7A"/>
    <w:rsid w:val="0F092816"/>
    <w:rsid w:val="0F16254C"/>
    <w:rsid w:val="0F580DB7"/>
    <w:rsid w:val="0F686DB7"/>
    <w:rsid w:val="0F783207"/>
    <w:rsid w:val="0F7B6853"/>
    <w:rsid w:val="0F7F4595"/>
    <w:rsid w:val="0F8D0045"/>
    <w:rsid w:val="0F96435C"/>
    <w:rsid w:val="0FA61182"/>
    <w:rsid w:val="0FAE09D7"/>
    <w:rsid w:val="0FB112ED"/>
    <w:rsid w:val="0FB12275"/>
    <w:rsid w:val="0FBF71DA"/>
    <w:rsid w:val="0FC9486E"/>
    <w:rsid w:val="0FD31F27"/>
    <w:rsid w:val="0FE268D2"/>
    <w:rsid w:val="0FF2172E"/>
    <w:rsid w:val="10134CDE"/>
    <w:rsid w:val="1028710D"/>
    <w:rsid w:val="103E1F02"/>
    <w:rsid w:val="10401F77"/>
    <w:rsid w:val="10501A8E"/>
    <w:rsid w:val="10600C00"/>
    <w:rsid w:val="108A31F2"/>
    <w:rsid w:val="108D1E29"/>
    <w:rsid w:val="109A6BC8"/>
    <w:rsid w:val="10A90362"/>
    <w:rsid w:val="10CA7A92"/>
    <w:rsid w:val="10CF32FA"/>
    <w:rsid w:val="10D66437"/>
    <w:rsid w:val="10DC1574"/>
    <w:rsid w:val="10DD3E69"/>
    <w:rsid w:val="10EF74F9"/>
    <w:rsid w:val="111525E8"/>
    <w:rsid w:val="11166C61"/>
    <w:rsid w:val="113934D4"/>
    <w:rsid w:val="11421D1E"/>
    <w:rsid w:val="11515ABE"/>
    <w:rsid w:val="115D0AF0"/>
    <w:rsid w:val="1186002D"/>
    <w:rsid w:val="118B7221"/>
    <w:rsid w:val="11B76268"/>
    <w:rsid w:val="11C50C47"/>
    <w:rsid w:val="11CF36B9"/>
    <w:rsid w:val="1204445A"/>
    <w:rsid w:val="121F796A"/>
    <w:rsid w:val="12577104"/>
    <w:rsid w:val="12592F32"/>
    <w:rsid w:val="125A4E46"/>
    <w:rsid w:val="128B26EC"/>
    <w:rsid w:val="128C2ACC"/>
    <w:rsid w:val="12AA36D7"/>
    <w:rsid w:val="12BA66E6"/>
    <w:rsid w:val="12BC340B"/>
    <w:rsid w:val="12C624DB"/>
    <w:rsid w:val="12CF75E2"/>
    <w:rsid w:val="12D4133F"/>
    <w:rsid w:val="12DC3AAD"/>
    <w:rsid w:val="12EF558E"/>
    <w:rsid w:val="12F44FF7"/>
    <w:rsid w:val="131359A0"/>
    <w:rsid w:val="132A2A6A"/>
    <w:rsid w:val="132E255A"/>
    <w:rsid w:val="134C0726"/>
    <w:rsid w:val="135950FD"/>
    <w:rsid w:val="136A6408"/>
    <w:rsid w:val="13833F28"/>
    <w:rsid w:val="13855419"/>
    <w:rsid w:val="138E2FF9"/>
    <w:rsid w:val="13A3565F"/>
    <w:rsid w:val="13B57883"/>
    <w:rsid w:val="13D34EB0"/>
    <w:rsid w:val="13D604FC"/>
    <w:rsid w:val="13DF33F4"/>
    <w:rsid w:val="13E72709"/>
    <w:rsid w:val="13F40990"/>
    <w:rsid w:val="13F53078"/>
    <w:rsid w:val="13F54E26"/>
    <w:rsid w:val="13F611C8"/>
    <w:rsid w:val="13F74A22"/>
    <w:rsid w:val="14074B59"/>
    <w:rsid w:val="145B3113"/>
    <w:rsid w:val="146F2E2A"/>
    <w:rsid w:val="147321EF"/>
    <w:rsid w:val="14787805"/>
    <w:rsid w:val="147C0E5B"/>
    <w:rsid w:val="14A90AE0"/>
    <w:rsid w:val="14B60A59"/>
    <w:rsid w:val="14BE790E"/>
    <w:rsid w:val="14C83420"/>
    <w:rsid w:val="14CA62B3"/>
    <w:rsid w:val="14D0319D"/>
    <w:rsid w:val="14FE32A2"/>
    <w:rsid w:val="15015A4D"/>
    <w:rsid w:val="150F0169"/>
    <w:rsid w:val="1528122B"/>
    <w:rsid w:val="153100E0"/>
    <w:rsid w:val="154A5D9F"/>
    <w:rsid w:val="154B11F8"/>
    <w:rsid w:val="154F67B8"/>
    <w:rsid w:val="15826B8D"/>
    <w:rsid w:val="159D39C7"/>
    <w:rsid w:val="15AB7827"/>
    <w:rsid w:val="15CF16A7"/>
    <w:rsid w:val="15E038B4"/>
    <w:rsid w:val="15EE4791"/>
    <w:rsid w:val="15F80BFE"/>
    <w:rsid w:val="16146821"/>
    <w:rsid w:val="162714E3"/>
    <w:rsid w:val="163065E9"/>
    <w:rsid w:val="164A3F23"/>
    <w:rsid w:val="165B2F3A"/>
    <w:rsid w:val="167A1613"/>
    <w:rsid w:val="167E1C8E"/>
    <w:rsid w:val="169C3C7F"/>
    <w:rsid w:val="16A537BE"/>
    <w:rsid w:val="16CD4911"/>
    <w:rsid w:val="16D9187E"/>
    <w:rsid w:val="16E73D3D"/>
    <w:rsid w:val="172C77F0"/>
    <w:rsid w:val="172E6FA3"/>
    <w:rsid w:val="1740285C"/>
    <w:rsid w:val="17481711"/>
    <w:rsid w:val="174C1201"/>
    <w:rsid w:val="175956CC"/>
    <w:rsid w:val="17657B12"/>
    <w:rsid w:val="17740758"/>
    <w:rsid w:val="178766DD"/>
    <w:rsid w:val="17C25F4E"/>
    <w:rsid w:val="17EE3867"/>
    <w:rsid w:val="17F16345"/>
    <w:rsid w:val="17F83137"/>
    <w:rsid w:val="180970F2"/>
    <w:rsid w:val="180E4708"/>
    <w:rsid w:val="18153CE9"/>
    <w:rsid w:val="18160B6A"/>
    <w:rsid w:val="18243F2C"/>
    <w:rsid w:val="18294991"/>
    <w:rsid w:val="183945B3"/>
    <w:rsid w:val="183D7992"/>
    <w:rsid w:val="1844637C"/>
    <w:rsid w:val="18742B07"/>
    <w:rsid w:val="18792D52"/>
    <w:rsid w:val="189D783A"/>
    <w:rsid w:val="18A64941"/>
    <w:rsid w:val="18AE0B9F"/>
    <w:rsid w:val="18C1750C"/>
    <w:rsid w:val="18FE1560"/>
    <w:rsid w:val="1901601B"/>
    <w:rsid w:val="191775ED"/>
    <w:rsid w:val="193070F8"/>
    <w:rsid w:val="193261D5"/>
    <w:rsid w:val="19632661"/>
    <w:rsid w:val="19686D81"/>
    <w:rsid w:val="197738F5"/>
    <w:rsid w:val="197762DD"/>
    <w:rsid w:val="198A015E"/>
    <w:rsid w:val="198B2BA7"/>
    <w:rsid w:val="19960E59"/>
    <w:rsid w:val="1998697F"/>
    <w:rsid w:val="199E1ABC"/>
    <w:rsid w:val="19AA0461"/>
    <w:rsid w:val="19C43406"/>
    <w:rsid w:val="19CC0E30"/>
    <w:rsid w:val="19E5593D"/>
    <w:rsid w:val="1A165502"/>
    <w:rsid w:val="1A18361C"/>
    <w:rsid w:val="1A226249"/>
    <w:rsid w:val="1A227939"/>
    <w:rsid w:val="1A442A9A"/>
    <w:rsid w:val="1A4B1C44"/>
    <w:rsid w:val="1A4D04D3"/>
    <w:rsid w:val="1A517EB3"/>
    <w:rsid w:val="1A5A3C35"/>
    <w:rsid w:val="1A7647E7"/>
    <w:rsid w:val="1A766595"/>
    <w:rsid w:val="1ADB4958"/>
    <w:rsid w:val="1ADD6614"/>
    <w:rsid w:val="1AF37BE5"/>
    <w:rsid w:val="1B103F58"/>
    <w:rsid w:val="1B132CB8"/>
    <w:rsid w:val="1B222D58"/>
    <w:rsid w:val="1B4A1EFB"/>
    <w:rsid w:val="1B58108B"/>
    <w:rsid w:val="1B6E7452"/>
    <w:rsid w:val="1B722D21"/>
    <w:rsid w:val="1B87316E"/>
    <w:rsid w:val="1B944F25"/>
    <w:rsid w:val="1B9C577A"/>
    <w:rsid w:val="1BF8028F"/>
    <w:rsid w:val="1BFA7F25"/>
    <w:rsid w:val="1C054074"/>
    <w:rsid w:val="1C0E3611"/>
    <w:rsid w:val="1C146065"/>
    <w:rsid w:val="1C167AAF"/>
    <w:rsid w:val="1C1A1360"/>
    <w:rsid w:val="1C1D2D43"/>
    <w:rsid w:val="1C2838BF"/>
    <w:rsid w:val="1C297D63"/>
    <w:rsid w:val="1C321B2D"/>
    <w:rsid w:val="1C4529B6"/>
    <w:rsid w:val="1C5B78C4"/>
    <w:rsid w:val="1C676ADD"/>
    <w:rsid w:val="1C6E7E6B"/>
    <w:rsid w:val="1C71170A"/>
    <w:rsid w:val="1C882D15"/>
    <w:rsid w:val="1C913B5A"/>
    <w:rsid w:val="1C96523A"/>
    <w:rsid w:val="1CD87093"/>
    <w:rsid w:val="1D05371A"/>
    <w:rsid w:val="1D2247B2"/>
    <w:rsid w:val="1D300C7D"/>
    <w:rsid w:val="1D38099C"/>
    <w:rsid w:val="1D385D84"/>
    <w:rsid w:val="1D491D3F"/>
    <w:rsid w:val="1D680BF4"/>
    <w:rsid w:val="1D806EC8"/>
    <w:rsid w:val="1D8965DF"/>
    <w:rsid w:val="1D92161F"/>
    <w:rsid w:val="1D9751A0"/>
    <w:rsid w:val="1DBE7E23"/>
    <w:rsid w:val="1DC35F95"/>
    <w:rsid w:val="1DC615E1"/>
    <w:rsid w:val="1DC9034B"/>
    <w:rsid w:val="1DD106B2"/>
    <w:rsid w:val="1DD2442A"/>
    <w:rsid w:val="1DDB508D"/>
    <w:rsid w:val="1DE118F5"/>
    <w:rsid w:val="1DE81558"/>
    <w:rsid w:val="1DF919B7"/>
    <w:rsid w:val="1E1B36DB"/>
    <w:rsid w:val="1E6E5F01"/>
    <w:rsid w:val="1E82135F"/>
    <w:rsid w:val="1EA52725"/>
    <w:rsid w:val="1EC04283"/>
    <w:rsid w:val="1EC716CD"/>
    <w:rsid w:val="1ED55F80"/>
    <w:rsid w:val="1ED65854"/>
    <w:rsid w:val="1EDF6DFF"/>
    <w:rsid w:val="1EF70403"/>
    <w:rsid w:val="1F083C61"/>
    <w:rsid w:val="1F2B5BA0"/>
    <w:rsid w:val="1F471F16"/>
    <w:rsid w:val="1F622FAC"/>
    <w:rsid w:val="1F8E59B8"/>
    <w:rsid w:val="1F923E71"/>
    <w:rsid w:val="1F935CF0"/>
    <w:rsid w:val="1F9E7C38"/>
    <w:rsid w:val="1FAF4A23"/>
    <w:rsid w:val="1FBA5176"/>
    <w:rsid w:val="1FED554B"/>
    <w:rsid w:val="200870EF"/>
    <w:rsid w:val="20125624"/>
    <w:rsid w:val="202A5E57"/>
    <w:rsid w:val="203171E6"/>
    <w:rsid w:val="203F5E7C"/>
    <w:rsid w:val="20711CD8"/>
    <w:rsid w:val="20A26336"/>
    <w:rsid w:val="20A7394C"/>
    <w:rsid w:val="20AE7A4C"/>
    <w:rsid w:val="20B56069"/>
    <w:rsid w:val="20D64231"/>
    <w:rsid w:val="20EA4809"/>
    <w:rsid w:val="20EF1458"/>
    <w:rsid w:val="211508B6"/>
    <w:rsid w:val="212154AC"/>
    <w:rsid w:val="21237107"/>
    <w:rsid w:val="21283096"/>
    <w:rsid w:val="213435D0"/>
    <w:rsid w:val="213571AA"/>
    <w:rsid w:val="213C22E6"/>
    <w:rsid w:val="213F33A6"/>
    <w:rsid w:val="2144119B"/>
    <w:rsid w:val="214F2351"/>
    <w:rsid w:val="215579C6"/>
    <w:rsid w:val="216C5F29"/>
    <w:rsid w:val="216D6944"/>
    <w:rsid w:val="21840C46"/>
    <w:rsid w:val="218F166A"/>
    <w:rsid w:val="21907BC0"/>
    <w:rsid w:val="21C422DC"/>
    <w:rsid w:val="21C92266"/>
    <w:rsid w:val="21D06ED2"/>
    <w:rsid w:val="21D50045"/>
    <w:rsid w:val="21DE15EF"/>
    <w:rsid w:val="21E112ED"/>
    <w:rsid w:val="21EA1C0A"/>
    <w:rsid w:val="21ED1832"/>
    <w:rsid w:val="22215FEC"/>
    <w:rsid w:val="222D1C2F"/>
    <w:rsid w:val="223F6B8A"/>
    <w:rsid w:val="22625D7D"/>
    <w:rsid w:val="2265586D"/>
    <w:rsid w:val="227C4964"/>
    <w:rsid w:val="228133C5"/>
    <w:rsid w:val="22847BA5"/>
    <w:rsid w:val="228E2802"/>
    <w:rsid w:val="22C52943"/>
    <w:rsid w:val="22C71AAB"/>
    <w:rsid w:val="22D00801"/>
    <w:rsid w:val="230132EF"/>
    <w:rsid w:val="23045086"/>
    <w:rsid w:val="230E1A60"/>
    <w:rsid w:val="230F132C"/>
    <w:rsid w:val="23164DB9"/>
    <w:rsid w:val="23180817"/>
    <w:rsid w:val="231D4B77"/>
    <w:rsid w:val="23244AC6"/>
    <w:rsid w:val="233A2855"/>
    <w:rsid w:val="23492A98"/>
    <w:rsid w:val="235903ED"/>
    <w:rsid w:val="235A6A54"/>
    <w:rsid w:val="235E107F"/>
    <w:rsid w:val="23623B5A"/>
    <w:rsid w:val="236553F8"/>
    <w:rsid w:val="23B973C9"/>
    <w:rsid w:val="23BB3042"/>
    <w:rsid w:val="23D066EF"/>
    <w:rsid w:val="23D507D0"/>
    <w:rsid w:val="23DC26E7"/>
    <w:rsid w:val="23F76998"/>
    <w:rsid w:val="240303B6"/>
    <w:rsid w:val="240510B5"/>
    <w:rsid w:val="240D1D18"/>
    <w:rsid w:val="24101808"/>
    <w:rsid w:val="241906BD"/>
    <w:rsid w:val="243C43AB"/>
    <w:rsid w:val="24424F22"/>
    <w:rsid w:val="244C4164"/>
    <w:rsid w:val="2455546D"/>
    <w:rsid w:val="24637B8A"/>
    <w:rsid w:val="246A0F18"/>
    <w:rsid w:val="246B6A3F"/>
    <w:rsid w:val="24727DCD"/>
    <w:rsid w:val="247B58A0"/>
    <w:rsid w:val="247C4FA9"/>
    <w:rsid w:val="24980826"/>
    <w:rsid w:val="24A25579"/>
    <w:rsid w:val="24DD626D"/>
    <w:rsid w:val="24E862E1"/>
    <w:rsid w:val="24E91323"/>
    <w:rsid w:val="24F01070"/>
    <w:rsid w:val="24F0183C"/>
    <w:rsid w:val="24F66C50"/>
    <w:rsid w:val="250C0222"/>
    <w:rsid w:val="25126816"/>
    <w:rsid w:val="25290DD3"/>
    <w:rsid w:val="252C08C4"/>
    <w:rsid w:val="252C3B2C"/>
    <w:rsid w:val="25537BFE"/>
    <w:rsid w:val="25647E68"/>
    <w:rsid w:val="256A7931"/>
    <w:rsid w:val="256E5D39"/>
    <w:rsid w:val="25700B17"/>
    <w:rsid w:val="25766B5D"/>
    <w:rsid w:val="25783B09"/>
    <w:rsid w:val="259F2E44"/>
    <w:rsid w:val="25FF7D86"/>
    <w:rsid w:val="26031625"/>
    <w:rsid w:val="26085280"/>
    <w:rsid w:val="260B04D9"/>
    <w:rsid w:val="260D4251"/>
    <w:rsid w:val="261E6BA2"/>
    <w:rsid w:val="262C08E8"/>
    <w:rsid w:val="26327AE5"/>
    <w:rsid w:val="264F7B73"/>
    <w:rsid w:val="265C2AE3"/>
    <w:rsid w:val="266D4CF0"/>
    <w:rsid w:val="266F6CBA"/>
    <w:rsid w:val="268A2EE6"/>
    <w:rsid w:val="26921487"/>
    <w:rsid w:val="269C569F"/>
    <w:rsid w:val="26A55BE4"/>
    <w:rsid w:val="26A60202"/>
    <w:rsid w:val="26AF744D"/>
    <w:rsid w:val="26C8549C"/>
    <w:rsid w:val="26E52AD8"/>
    <w:rsid w:val="26E74AA2"/>
    <w:rsid w:val="26F471BF"/>
    <w:rsid w:val="26FE1DEC"/>
    <w:rsid w:val="27315D1D"/>
    <w:rsid w:val="27350E8C"/>
    <w:rsid w:val="276E6F72"/>
    <w:rsid w:val="277F20F6"/>
    <w:rsid w:val="27871DE1"/>
    <w:rsid w:val="27B14CAF"/>
    <w:rsid w:val="27BF5B24"/>
    <w:rsid w:val="27CE5C62"/>
    <w:rsid w:val="27CF1AAE"/>
    <w:rsid w:val="27D66644"/>
    <w:rsid w:val="27DB34DA"/>
    <w:rsid w:val="280D0619"/>
    <w:rsid w:val="281C69CE"/>
    <w:rsid w:val="2820363B"/>
    <w:rsid w:val="28243AD4"/>
    <w:rsid w:val="282835C4"/>
    <w:rsid w:val="28330D5C"/>
    <w:rsid w:val="28370D64"/>
    <w:rsid w:val="284D302B"/>
    <w:rsid w:val="285370B1"/>
    <w:rsid w:val="28540F7E"/>
    <w:rsid w:val="285E0D94"/>
    <w:rsid w:val="28606294"/>
    <w:rsid w:val="28697739"/>
    <w:rsid w:val="286F17BB"/>
    <w:rsid w:val="287A39E7"/>
    <w:rsid w:val="288D1679"/>
    <w:rsid w:val="288D4E09"/>
    <w:rsid w:val="28B44E58"/>
    <w:rsid w:val="28C25D35"/>
    <w:rsid w:val="28CB3F50"/>
    <w:rsid w:val="28DC63DD"/>
    <w:rsid w:val="28E62B38"/>
    <w:rsid w:val="28F24E1D"/>
    <w:rsid w:val="29285A34"/>
    <w:rsid w:val="293B7327"/>
    <w:rsid w:val="299678FA"/>
    <w:rsid w:val="299C7BC6"/>
    <w:rsid w:val="29A912A2"/>
    <w:rsid w:val="29F75E32"/>
    <w:rsid w:val="2A082F34"/>
    <w:rsid w:val="2A0B0AA8"/>
    <w:rsid w:val="2A0B48B8"/>
    <w:rsid w:val="2A272799"/>
    <w:rsid w:val="2A495A74"/>
    <w:rsid w:val="2A817CEF"/>
    <w:rsid w:val="2A91288B"/>
    <w:rsid w:val="2AA50EFC"/>
    <w:rsid w:val="2AAD7911"/>
    <w:rsid w:val="2AB253C7"/>
    <w:rsid w:val="2AB32EED"/>
    <w:rsid w:val="2AB96756"/>
    <w:rsid w:val="2ACC54C4"/>
    <w:rsid w:val="2AD92954"/>
    <w:rsid w:val="2ADC2444"/>
    <w:rsid w:val="2AF14141"/>
    <w:rsid w:val="2B4C75CA"/>
    <w:rsid w:val="2B4F70BA"/>
    <w:rsid w:val="2B5B69FA"/>
    <w:rsid w:val="2B6D7540"/>
    <w:rsid w:val="2B7B7EAF"/>
    <w:rsid w:val="2B7E174D"/>
    <w:rsid w:val="2B8A00F2"/>
    <w:rsid w:val="2B97079B"/>
    <w:rsid w:val="2BA80578"/>
    <w:rsid w:val="2BAA21BE"/>
    <w:rsid w:val="2BB27312"/>
    <w:rsid w:val="2BC90C1A"/>
    <w:rsid w:val="2BD35E11"/>
    <w:rsid w:val="2BEE0CF4"/>
    <w:rsid w:val="2BFB1BD6"/>
    <w:rsid w:val="2C0A5282"/>
    <w:rsid w:val="2C1B0D4A"/>
    <w:rsid w:val="2C3F422F"/>
    <w:rsid w:val="2C4604BD"/>
    <w:rsid w:val="2C4E2491"/>
    <w:rsid w:val="2C4F3DB0"/>
    <w:rsid w:val="2C506C46"/>
    <w:rsid w:val="2C68749E"/>
    <w:rsid w:val="2C7D07E2"/>
    <w:rsid w:val="2C82701B"/>
    <w:rsid w:val="2C90798A"/>
    <w:rsid w:val="2C932FD6"/>
    <w:rsid w:val="2C9F197B"/>
    <w:rsid w:val="2CB371D5"/>
    <w:rsid w:val="2CB63A29"/>
    <w:rsid w:val="2CBA2FB1"/>
    <w:rsid w:val="2CD21610"/>
    <w:rsid w:val="2CE11F94"/>
    <w:rsid w:val="2CE44DDC"/>
    <w:rsid w:val="2CE73A8D"/>
    <w:rsid w:val="2CFC6DCE"/>
    <w:rsid w:val="2D0143E4"/>
    <w:rsid w:val="2D0A6EDC"/>
    <w:rsid w:val="2D14727B"/>
    <w:rsid w:val="2D1F486A"/>
    <w:rsid w:val="2D382F2D"/>
    <w:rsid w:val="2D386C8A"/>
    <w:rsid w:val="2D4B38B1"/>
    <w:rsid w:val="2D6230D5"/>
    <w:rsid w:val="2D681C32"/>
    <w:rsid w:val="2D88012B"/>
    <w:rsid w:val="2D8D660E"/>
    <w:rsid w:val="2DA21723"/>
    <w:rsid w:val="2DA57465"/>
    <w:rsid w:val="2DE6567B"/>
    <w:rsid w:val="2DE955A4"/>
    <w:rsid w:val="2DEA5133"/>
    <w:rsid w:val="2DED7583"/>
    <w:rsid w:val="2E216586"/>
    <w:rsid w:val="2E277E7A"/>
    <w:rsid w:val="2E297083"/>
    <w:rsid w:val="2E2D5002"/>
    <w:rsid w:val="2E4A5917"/>
    <w:rsid w:val="2E586DFA"/>
    <w:rsid w:val="2E935510"/>
    <w:rsid w:val="2E9372BE"/>
    <w:rsid w:val="2EB00258"/>
    <w:rsid w:val="2EC35DF5"/>
    <w:rsid w:val="2ECD0A22"/>
    <w:rsid w:val="2EF25806"/>
    <w:rsid w:val="2EF717FD"/>
    <w:rsid w:val="2F023A5C"/>
    <w:rsid w:val="2F051E27"/>
    <w:rsid w:val="2F07579E"/>
    <w:rsid w:val="2F0D5BDD"/>
    <w:rsid w:val="2F0F4750"/>
    <w:rsid w:val="2F1F0B51"/>
    <w:rsid w:val="2F2919D0"/>
    <w:rsid w:val="2F3A3BDD"/>
    <w:rsid w:val="2F460149"/>
    <w:rsid w:val="2F48454C"/>
    <w:rsid w:val="2F4E4AA2"/>
    <w:rsid w:val="2F541C06"/>
    <w:rsid w:val="2F565DA9"/>
    <w:rsid w:val="2F7D2448"/>
    <w:rsid w:val="2F923A19"/>
    <w:rsid w:val="2F9C21A2"/>
    <w:rsid w:val="2F9F7D88"/>
    <w:rsid w:val="2FAD520D"/>
    <w:rsid w:val="2FCC2B64"/>
    <w:rsid w:val="2FD91648"/>
    <w:rsid w:val="2FE204FD"/>
    <w:rsid w:val="2FE83639"/>
    <w:rsid w:val="2FFD5337"/>
    <w:rsid w:val="30055F99"/>
    <w:rsid w:val="301917A9"/>
    <w:rsid w:val="301B756B"/>
    <w:rsid w:val="30224D9D"/>
    <w:rsid w:val="30274161"/>
    <w:rsid w:val="304623A9"/>
    <w:rsid w:val="30662EDC"/>
    <w:rsid w:val="3068028D"/>
    <w:rsid w:val="306946C1"/>
    <w:rsid w:val="30731A7E"/>
    <w:rsid w:val="30C85944"/>
    <w:rsid w:val="30DD2A72"/>
    <w:rsid w:val="31126CE6"/>
    <w:rsid w:val="311C17EC"/>
    <w:rsid w:val="31230BE0"/>
    <w:rsid w:val="31460E11"/>
    <w:rsid w:val="315F16D9"/>
    <w:rsid w:val="316D029A"/>
    <w:rsid w:val="31B614E7"/>
    <w:rsid w:val="31B732C3"/>
    <w:rsid w:val="31B859B9"/>
    <w:rsid w:val="31BD4C02"/>
    <w:rsid w:val="31E71DFA"/>
    <w:rsid w:val="31ED53DD"/>
    <w:rsid w:val="31F91B2E"/>
    <w:rsid w:val="32027AD8"/>
    <w:rsid w:val="321115C8"/>
    <w:rsid w:val="322841C1"/>
    <w:rsid w:val="32502792"/>
    <w:rsid w:val="32672F3B"/>
    <w:rsid w:val="32701326"/>
    <w:rsid w:val="327203AE"/>
    <w:rsid w:val="327A4505"/>
    <w:rsid w:val="329F4B49"/>
    <w:rsid w:val="32BD6C42"/>
    <w:rsid w:val="32C8290C"/>
    <w:rsid w:val="32D44667"/>
    <w:rsid w:val="32DA63FF"/>
    <w:rsid w:val="32FF3174"/>
    <w:rsid w:val="331D33FC"/>
    <w:rsid w:val="331F047A"/>
    <w:rsid w:val="332D674C"/>
    <w:rsid w:val="332E6DF6"/>
    <w:rsid w:val="33381EDF"/>
    <w:rsid w:val="333A0650"/>
    <w:rsid w:val="33661445"/>
    <w:rsid w:val="339A2E9C"/>
    <w:rsid w:val="339F4F9F"/>
    <w:rsid w:val="33AA562D"/>
    <w:rsid w:val="33B2567D"/>
    <w:rsid w:val="33CA19D4"/>
    <w:rsid w:val="33D12350"/>
    <w:rsid w:val="34255C02"/>
    <w:rsid w:val="342F7A89"/>
    <w:rsid w:val="34401C96"/>
    <w:rsid w:val="344F1ED9"/>
    <w:rsid w:val="34545E97"/>
    <w:rsid w:val="348953EB"/>
    <w:rsid w:val="348E0A30"/>
    <w:rsid w:val="34931DC5"/>
    <w:rsid w:val="34951FE2"/>
    <w:rsid w:val="34A642E1"/>
    <w:rsid w:val="34A76097"/>
    <w:rsid w:val="34B61F58"/>
    <w:rsid w:val="34BB756E"/>
    <w:rsid w:val="34EA7337"/>
    <w:rsid w:val="34F14D3E"/>
    <w:rsid w:val="34F53799"/>
    <w:rsid w:val="34F767F8"/>
    <w:rsid w:val="34F96B3E"/>
    <w:rsid w:val="350678BF"/>
    <w:rsid w:val="35262C3A"/>
    <w:rsid w:val="353F3CFB"/>
    <w:rsid w:val="35452B65"/>
    <w:rsid w:val="354A71F6"/>
    <w:rsid w:val="354B26A0"/>
    <w:rsid w:val="3579545F"/>
    <w:rsid w:val="358931C8"/>
    <w:rsid w:val="358D4A67"/>
    <w:rsid w:val="359C2EFC"/>
    <w:rsid w:val="35CF0FC5"/>
    <w:rsid w:val="35D87236"/>
    <w:rsid w:val="35DC779C"/>
    <w:rsid w:val="35E0728C"/>
    <w:rsid w:val="35EC6549"/>
    <w:rsid w:val="35F057A4"/>
    <w:rsid w:val="35FC7E3E"/>
    <w:rsid w:val="361138EA"/>
    <w:rsid w:val="363560BF"/>
    <w:rsid w:val="363950D2"/>
    <w:rsid w:val="365B2DB7"/>
    <w:rsid w:val="365E4655"/>
    <w:rsid w:val="36714D18"/>
    <w:rsid w:val="36721EAF"/>
    <w:rsid w:val="36965B9D"/>
    <w:rsid w:val="36991EF4"/>
    <w:rsid w:val="369A4D71"/>
    <w:rsid w:val="36A65A03"/>
    <w:rsid w:val="36B1666C"/>
    <w:rsid w:val="36C83782"/>
    <w:rsid w:val="36D466C5"/>
    <w:rsid w:val="36D73939"/>
    <w:rsid w:val="36DD557A"/>
    <w:rsid w:val="36E25286"/>
    <w:rsid w:val="370945C1"/>
    <w:rsid w:val="3709636F"/>
    <w:rsid w:val="37307DA0"/>
    <w:rsid w:val="3748158D"/>
    <w:rsid w:val="37721F02"/>
    <w:rsid w:val="379320DC"/>
    <w:rsid w:val="379A346B"/>
    <w:rsid w:val="37B9709F"/>
    <w:rsid w:val="37BE35FD"/>
    <w:rsid w:val="37F4540B"/>
    <w:rsid w:val="37FD7DBA"/>
    <w:rsid w:val="38290BBF"/>
    <w:rsid w:val="384C05E5"/>
    <w:rsid w:val="385176F1"/>
    <w:rsid w:val="38653A79"/>
    <w:rsid w:val="38D40BFF"/>
    <w:rsid w:val="38D97FC3"/>
    <w:rsid w:val="38E66874"/>
    <w:rsid w:val="38FD1240"/>
    <w:rsid w:val="39184F8F"/>
    <w:rsid w:val="392E47B3"/>
    <w:rsid w:val="39324022"/>
    <w:rsid w:val="39367387"/>
    <w:rsid w:val="393A417B"/>
    <w:rsid w:val="393F076E"/>
    <w:rsid w:val="3956672F"/>
    <w:rsid w:val="395F671A"/>
    <w:rsid w:val="396F7F30"/>
    <w:rsid w:val="398D3E9F"/>
    <w:rsid w:val="399436D2"/>
    <w:rsid w:val="39CC01CF"/>
    <w:rsid w:val="39E82AEA"/>
    <w:rsid w:val="3A105C66"/>
    <w:rsid w:val="3A441A2A"/>
    <w:rsid w:val="3A541FF7"/>
    <w:rsid w:val="3A625AF9"/>
    <w:rsid w:val="3A6B223B"/>
    <w:rsid w:val="3A7601BF"/>
    <w:rsid w:val="3A963B7B"/>
    <w:rsid w:val="3AC4360F"/>
    <w:rsid w:val="3ACC4283"/>
    <w:rsid w:val="3AF410E4"/>
    <w:rsid w:val="3AFB06C4"/>
    <w:rsid w:val="3B070996"/>
    <w:rsid w:val="3B07350D"/>
    <w:rsid w:val="3B150AD4"/>
    <w:rsid w:val="3B1A123D"/>
    <w:rsid w:val="3B1A5974"/>
    <w:rsid w:val="3B64270E"/>
    <w:rsid w:val="3B7A69AD"/>
    <w:rsid w:val="3B8A5BD4"/>
    <w:rsid w:val="3BBC60A6"/>
    <w:rsid w:val="3BF70E8C"/>
    <w:rsid w:val="3C013E6B"/>
    <w:rsid w:val="3C17152E"/>
    <w:rsid w:val="3C22426D"/>
    <w:rsid w:val="3C4816E7"/>
    <w:rsid w:val="3C4A1903"/>
    <w:rsid w:val="3C6329C5"/>
    <w:rsid w:val="3C766E2D"/>
    <w:rsid w:val="3C8C47E9"/>
    <w:rsid w:val="3CA628B2"/>
    <w:rsid w:val="3CC147E9"/>
    <w:rsid w:val="3CC701F0"/>
    <w:rsid w:val="3CCF40AD"/>
    <w:rsid w:val="3CDE029E"/>
    <w:rsid w:val="3CEF24AB"/>
    <w:rsid w:val="3CF47C16"/>
    <w:rsid w:val="3D0D2931"/>
    <w:rsid w:val="3D5F45FC"/>
    <w:rsid w:val="3D780C0E"/>
    <w:rsid w:val="3D8212BD"/>
    <w:rsid w:val="3DA12E31"/>
    <w:rsid w:val="3DB706FD"/>
    <w:rsid w:val="3DBF3C2B"/>
    <w:rsid w:val="3DC147CE"/>
    <w:rsid w:val="3DE713D4"/>
    <w:rsid w:val="3DF84AC8"/>
    <w:rsid w:val="3E01565B"/>
    <w:rsid w:val="3E0B50C2"/>
    <w:rsid w:val="3E0C382A"/>
    <w:rsid w:val="3E0D0E3B"/>
    <w:rsid w:val="3E400D92"/>
    <w:rsid w:val="3E427CF7"/>
    <w:rsid w:val="3E481E73"/>
    <w:rsid w:val="3E4C0997"/>
    <w:rsid w:val="3E66679D"/>
    <w:rsid w:val="3E69052A"/>
    <w:rsid w:val="3E6A3B8B"/>
    <w:rsid w:val="3E6B5B61"/>
    <w:rsid w:val="3E6C3C86"/>
    <w:rsid w:val="3E6F01F8"/>
    <w:rsid w:val="3E7F33BB"/>
    <w:rsid w:val="3E88226F"/>
    <w:rsid w:val="3E886713"/>
    <w:rsid w:val="3E974BA8"/>
    <w:rsid w:val="3E9B4698"/>
    <w:rsid w:val="3EA77C22"/>
    <w:rsid w:val="3EAF0436"/>
    <w:rsid w:val="3EB01A9D"/>
    <w:rsid w:val="3EB659C0"/>
    <w:rsid w:val="3EC534C3"/>
    <w:rsid w:val="3EDD3EE0"/>
    <w:rsid w:val="3EF005B3"/>
    <w:rsid w:val="3EF913BF"/>
    <w:rsid w:val="3EFE4C27"/>
    <w:rsid w:val="3F0E5292"/>
    <w:rsid w:val="3F546C30"/>
    <w:rsid w:val="3F707EA6"/>
    <w:rsid w:val="3F731171"/>
    <w:rsid w:val="3F8C2233"/>
    <w:rsid w:val="3F9A371F"/>
    <w:rsid w:val="3FAE03FB"/>
    <w:rsid w:val="3FCE45FA"/>
    <w:rsid w:val="3FE3596A"/>
    <w:rsid w:val="3FFA719D"/>
    <w:rsid w:val="401A339B"/>
    <w:rsid w:val="401B1715"/>
    <w:rsid w:val="40201148"/>
    <w:rsid w:val="4024421A"/>
    <w:rsid w:val="40291830"/>
    <w:rsid w:val="403F49E0"/>
    <w:rsid w:val="40580367"/>
    <w:rsid w:val="4058136E"/>
    <w:rsid w:val="4066074B"/>
    <w:rsid w:val="407451A1"/>
    <w:rsid w:val="40842F0A"/>
    <w:rsid w:val="408D1F6A"/>
    <w:rsid w:val="40953369"/>
    <w:rsid w:val="40AA634A"/>
    <w:rsid w:val="40B05AAD"/>
    <w:rsid w:val="40B74A68"/>
    <w:rsid w:val="40C9486C"/>
    <w:rsid w:val="40EA637D"/>
    <w:rsid w:val="4105229D"/>
    <w:rsid w:val="410F130B"/>
    <w:rsid w:val="416741BF"/>
    <w:rsid w:val="416C231C"/>
    <w:rsid w:val="417328DE"/>
    <w:rsid w:val="41831414"/>
    <w:rsid w:val="418B5B8A"/>
    <w:rsid w:val="41994793"/>
    <w:rsid w:val="41995FBC"/>
    <w:rsid w:val="41AF7ECF"/>
    <w:rsid w:val="41C757A4"/>
    <w:rsid w:val="41CF1E7C"/>
    <w:rsid w:val="41FD751D"/>
    <w:rsid w:val="42044568"/>
    <w:rsid w:val="42162288"/>
    <w:rsid w:val="42213106"/>
    <w:rsid w:val="42380450"/>
    <w:rsid w:val="42491904"/>
    <w:rsid w:val="424E37D0"/>
    <w:rsid w:val="425A3EF7"/>
    <w:rsid w:val="426B6130"/>
    <w:rsid w:val="42937435"/>
    <w:rsid w:val="42A96C58"/>
    <w:rsid w:val="42D66A4A"/>
    <w:rsid w:val="42D90A80"/>
    <w:rsid w:val="42ED2FE9"/>
    <w:rsid w:val="42F46DE2"/>
    <w:rsid w:val="42F5572A"/>
    <w:rsid w:val="43000F6E"/>
    <w:rsid w:val="43104F29"/>
    <w:rsid w:val="43114A6E"/>
    <w:rsid w:val="43191AAD"/>
    <w:rsid w:val="43266FB9"/>
    <w:rsid w:val="436239D7"/>
    <w:rsid w:val="436513C0"/>
    <w:rsid w:val="43762FDE"/>
    <w:rsid w:val="438A394B"/>
    <w:rsid w:val="43987993"/>
    <w:rsid w:val="43B36058"/>
    <w:rsid w:val="43B9736F"/>
    <w:rsid w:val="440D0C6D"/>
    <w:rsid w:val="440E1469"/>
    <w:rsid w:val="44102666"/>
    <w:rsid w:val="44184095"/>
    <w:rsid w:val="44305883"/>
    <w:rsid w:val="44327168"/>
    <w:rsid w:val="44354C47"/>
    <w:rsid w:val="443E03E3"/>
    <w:rsid w:val="444529B0"/>
    <w:rsid w:val="445B21D4"/>
    <w:rsid w:val="44625310"/>
    <w:rsid w:val="447C034A"/>
    <w:rsid w:val="44873F3D"/>
    <w:rsid w:val="44957494"/>
    <w:rsid w:val="44CE6E4A"/>
    <w:rsid w:val="44D37FBC"/>
    <w:rsid w:val="44F639A5"/>
    <w:rsid w:val="45052574"/>
    <w:rsid w:val="4508410A"/>
    <w:rsid w:val="450B59A8"/>
    <w:rsid w:val="45140D01"/>
    <w:rsid w:val="45200EAC"/>
    <w:rsid w:val="452B429C"/>
    <w:rsid w:val="45424EFA"/>
    <w:rsid w:val="45583D70"/>
    <w:rsid w:val="457E43CC"/>
    <w:rsid w:val="458319E2"/>
    <w:rsid w:val="45991206"/>
    <w:rsid w:val="459B210C"/>
    <w:rsid w:val="45A52504"/>
    <w:rsid w:val="45B55914"/>
    <w:rsid w:val="45C2075D"/>
    <w:rsid w:val="45C83899"/>
    <w:rsid w:val="45F002CC"/>
    <w:rsid w:val="45F3102E"/>
    <w:rsid w:val="46024FFD"/>
    <w:rsid w:val="460743C1"/>
    <w:rsid w:val="460C4F6A"/>
    <w:rsid w:val="463D7DE3"/>
    <w:rsid w:val="464333BF"/>
    <w:rsid w:val="46445984"/>
    <w:rsid w:val="46496788"/>
    <w:rsid w:val="464D6B93"/>
    <w:rsid w:val="464F779D"/>
    <w:rsid w:val="46737CA9"/>
    <w:rsid w:val="46845A12"/>
    <w:rsid w:val="46D544C0"/>
    <w:rsid w:val="46F07659"/>
    <w:rsid w:val="46FC37FA"/>
    <w:rsid w:val="47005379"/>
    <w:rsid w:val="47064679"/>
    <w:rsid w:val="471D5F4F"/>
    <w:rsid w:val="472E4477"/>
    <w:rsid w:val="473531B0"/>
    <w:rsid w:val="473C009B"/>
    <w:rsid w:val="47AF6ABF"/>
    <w:rsid w:val="47D05D55"/>
    <w:rsid w:val="48010AA9"/>
    <w:rsid w:val="480B6911"/>
    <w:rsid w:val="48183D42"/>
    <w:rsid w:val="48282920"/>
    <w:rsid w:val="48296067"/>
    <w:rsid w:val="482C6361"/>
    <w:rsid w:val="48345216"/>
    <w:rsid w:val="484216E1"/>
    <w:rsid w:val="486353C4"/>
    <w:rsid w:val="48694C12"/>
    <w:rsid w:val="486F362E"/>
    <w:rsid w:val="487B2FE0"/>
    <w:rsid w:val="48853CC3"/>
    <w:rsid w:val="48855A71"/>
    <w:rsid w:val="48912668"/>
    <w:rsid w:val="48A81851"/>
    <w:rsid w:val="48B90820"/>
    <w:rsid w:val="48DF5182"/>
    <w:rsid w:val="48E24C72"/>
    <w:rsid w:val="48F21359"/>
    <w:rsid w:val="490E3CB9"/>
    <w:rsid w:val="49221512"/>
    <w:rsid w:val="492D2391"/>
    <w:rsid w:val="49407CA0"/>
    <w:rsid w:val="494B2817"/>
    <w:rsid w:val="49575660"/>
    <w:rsid w:val="496507B5"/>
    <w:rsid w:val="496F0BFB"/>
    <w:rsid w:val="49787384"/>
    <w:rsid w:val="499618FC"/>
    <w:rsid w:val="49B303BC"/>
    <w:rsid w:val="49D24CE6"/>
    <w:rsid w:val="49D40A5E"/>
    <w:rsid w:val="49DE368B"/>
    <w:rsid w:val="49E30CA1"/>
    <w:rsid w:val="49E669E4"/>
    <w:rsid w:val="4A224B22"/>
    <w:rsid w:val="4A303CCC"/>
    <w:rsid w:val="4A4C4A99"/>
    <w:rsid w:val="4A5A1B93"/>
    <w:rsid w:val="4A5F63D6"/>
    <w:rsid w:val="4A63742A"/>
    <w:rsid w:val="4A673E94"/>
    <w:rsid w:val="4A8A736F"/>
    <w:rsid w:val="4AA77F21"/>
    <w:rsid w:val="4AAB7817"/>
    <w:rsid w:val="4AB07EAF"/>
    <w:rsid w:val="4AD21BC8"/>
    <w:rsid w:val="4ADE7385"/>
    <w:rsid w:val="4AE35D7A"/>
    <w:rsid w:val="4B1650A7"/>
    <w:rsid w:val="4B22544A"/>
    <w:rsid w:val="4B3D2633"/>
    <w:rsid w:val="4B5024F5"/>
    <w:rsid w:val="4B520901"/>
    <w:rsid w:val="4B5659C9"/>
    <w:rsid w:val="4B616322"/>
    <w:rsid w:val="4B861F2C"/>
    <w:rsid w:val="4B963850"/>
    <w:rsid w:val="4BEA27BB"/>
    <w:rsid w:val="4BEC1B0D"/>
    <w:rsid w:val="4BF36A73"/>
    <w:rsid w:val="4C034C0D"/>
    <w:rsid w:val="4C06511B"/>
    <w:rsid w:val="4C2103A6"/>
    <w:rsid w:val="4C2163FF"/>
    <w:rsid w:val="4C392DFB"/>
    <w:rsid w:val="4C43011D"/>
    <w:rsid w:val="4C6A56AA"/>
    <w:rsid w:val="4C6C1422"/>
    <w:rsid w:val="4C777FC6"/>
    <w:rsid w:val="4C7C7F1A"/>
    <w:rsid w:val="4C8F1736"/>
    <w:rsid w:val="4CA02E7A"/>
    <w:rsid w:val="4CA566E2"/>
    <w:rsid w:val="4CB46925"/>
    <w:rsid w:val="4CCC3C6F"/>
    <w:rsid w:val="4CCF2B33"/>
    <w:rsid w:val="4CD7278A"/>
    <w:rsid w:val="4CDB0356"/>
    <w:rsid w:val="4CE216E4"/>
    <w:rsid w:val="4CF11927"/>
    <w:rsid w:val="4D3C7046"/>
    <w:rsid w:val="4D4001B9"/>
    <w:rsid w:val="4D4908DC"/>
    <w:rsid w:val="4D5B2724"/>
    <w:rsid w:val="4D644AB2"/>
    <w:rsid w:val="4D812CAB"/>
    <w:rsid w:val="4D826A23"/>
    <w:rsid w:val="4D8409ED"/>
    <w:rsid w:val="4DAC584E"/>
    <w:rsid w:val="4DD21759"/>
    <w:rsid w:val="4DD3102D"/>
    <w:rsid w:val="4DD454D1"/>
    <w:rsid w:val="4DD8613D"/>
    <w:rsid w:val="4DD93986"/>
    <w:rsid w:val="4DEE5E67"/>
    <w:rsid w:val="4E4361B3"/>
    <w:rsid w:val="4E484AB2"/>
    <w:rsid w:val="4E4F6905"/>
    <w:rsid w:val="4E520E8E"/>
    <w:rsid w:val="4E5B79A0"/>
    <w:rsid w:val="4E61069D"/>
    <w:rsid w:val="4E8011B5"/>
    <w:rsid w:val="4E915170"/>
    <w:rsid w:val="4E940F69"/>
    <w:rsid w:val="4EBE3A8B"/>
    <w:rsid w:val="4EC155DC"/>
    <w:rsid w:val="4ECC19DA"/>
    <w:rsid w:val="4ECD0151"/>
    <w:rsid w:val="4ECF3EEA"/>
    <w:rsid w:val="4ED813BC"/>
    <w:rsid w:val="4EDB63EB"/>
    <w:rsid w:val="4F1E1757"/>
    <w:rsid w:val="4F251D63"/>
    <w:rsid w:val="4F6C1739"/>
    <w:rsid w:val="4F7611EB"/>
    <w:rsid w:val="4F917A81"/>
    <w:rsid w:val="4F936C80"/>
    <w:rsid w:val="4FA85ABF"/>
    <w:rsid w:val="4FAC7D88"/>
    <w:rsid w:val="4FB42A47"/>
    <w:rsid w:val="4FB65F01"/>
    <w:rsid w:val="4FB8672C"/>
    <w:rsid w:val="4FC82E13"/>
    <w:rsid w:val="4FD5108C"/>
    <w:rsid w:val="4FDA7EC0"/>
    <w:rsid w:val="500C3F9D"/>
    <w:rsid w:val="50106568"/>
    <w:rsid w:val="50306C0B"/>
    <w:rsid w:val="503446B3"/>
    <w:rsid w:val="5040650A"/>
    <w:rsid w:val="504B75A0"/>
    <w:rsid w:val="50601F61"/>
    <w:rsid w:val="506202F9"/>
    <w:rsid w:val="50744D49"/>
    <w:rsid w:val="50760AC1"/>
    <w:rsid w:val="50884351"/>
    <w:rsid w:val="50B013D2"/>
    <w:rsid w:val="50B12171"/>
    <w:rsid w:val="50B45146"/>
    <w:rsid w:val="50DD1804"/>
    <w:rsid w:val="50EC48E0"/>
    <w:rsid w:val="50F9524E"/>
    <w:rsid w:val="510B5432"/>
    <w:rsid w:val="511A58F1"/>
    <w:rsid w:val="512C528B"/>
    <w:rsid w:val="51422011"/>
    <w:rsid w:val="515066FB"/>
    <w:rsid w:val="51864D34"/>
    <w:rsid w:val="51A66B43"/>
    <w:rsid w:val="51AB6549"/>
    <w:rsid w:val="51F07898"/>
    <w:rsid w:val="52024D0B"/>
    <w:rsid w:val="520B6FE7"/>
    <w:rsid w:val="523C53F3"/>
    <w:rsid w:val="5248023B"/>
    <w:rsid w:val="525E7A5F"/>
    <w:rsid w:val="5261453C"/>
    <w:rsid w:val="528D3EA0"/>
    <w:rsid w:val="529A270D"/>
    <w:rsid w:val="529F23FF"/>
    <w:rsid w:val="52B23D26"/>
    <w:rsid w:val="52C13B4A"/>
    <w:rsid w:val="52C5188C"/>
    <w:rsid w:val="52D47D21"/>
    <w:rsid w:val="52E04FF4"/>
    <w:rsid w:val="52E31E5C"/>
    <w:rsid w:val="52F91536"/>
    <w:rsid w:val="52FD1555"/>
    <w:rsid w:val="53035F10"/>
    <w:rsid w:val="53300A28"/>
    <w:rsid w:val="53486019"/>
    <w:rsid w:val="53813D08"/>
    <w:rsid w:val="53880CB9"/>
    <w:rsid w:val="538C5F06"/>
    <w:rsid w:val="538F6AB4"/>
    <w:rsid w:val="539A4AC7"/>
    <w:rsid w:val="539A6875"/>
    <w:rsid w:val="53AC0356"/>
    <w:rsid w:val="53CE6451"/>
    <w:rsid w:val="53D35588"/>
    <w:rsid w:val="53DA1367"/>
    <w:rsid w:val="53DD49B3"/>
    <w:rsid w:val="53E21FCA"/>
    <w:rsid w:val="541960B1"/>
    <w:rsid w:val="541A61FD"/>
    <w:rsid w:val="541E59C2"/>
    <w:rsid w:val="54245BC7"/>
    <w:rsid w:val="543F11CA"/>
    <w:rsid w:val="54422A68"/>
    <w:rsid w:val="54501629"/>
    <w:rsid w:val="54503D36"/>
    <w:rsid w:val="546D3F89"/>
    <w:rsid w:val="546E5AC1"/>
    <w:rsid w:val="54880DC3"/>
    <w:rsid w:val="548A4B3B"/>
    <w:rsid w:val="54977258"/>
    <w:rsid w:val="549C122C"/>
    <w:rsid w:val="54AB4AB2"/>
    <w:rsid w:val="54E1303A"/>
    <w:rsid w:val="54F2623D"/>
    <w:rsid w:val="54F42169"/>
    <w:rsid w:val="54F71AA5"/>
    <w:rsid w:val="55046600"/>
    <w:rsid w:val="550A5C7C"/>
    <w:rsid w:val="551749F3"/>
    <w:rsid w:val="551E5284"/>
    <w:rsid w:val="553E1482"/>
    <w:rsid w:val="55476777"/>
    <w:rsid w:val="55671846"/>
    <w:rsid w:val="5579414E"/>
    <w:rsid w:val="559F13A7"/>
    <w:rsid w:val="55AE6607"/>
    <w:rsid w:val="55C80ADC"/>
    <w:rsid w:val="55CA0F67"/>
    <w:rsid w:val="55CF657E"/>
    <w:rsid w:val="55E71B19"/>
    <w:rsid w:val="565166AD"/>
    <w:rsid w:val="56582A17"/>
    <w:rsid w:val="56743197"/>
    <w:rsid w:val="56757F73"/>
    <w:rsid w:val="56813D1C"/>
    <w:rsid w:val="56E46059"/>
    <w:rsid w:val="571F0551"/>
    <w:rsid w:val="571F4B9F"/>
    <w:rsid w:val="572A7F10"/>
    <w:rsid w:val="5733204C"/>
    <w:rsid w:val="574D4581"/>
    <w:rsid w:val="575C78EA"/>
    <w:rsid w:val="57767B67"/>
    <w:rsid w:val="5777513D"/>
    <w:rsid w:val="57805D82"/>
    <w:rsid w:val="57AA1051"/>
    <w:rsid w:val="57B0552D"/>
    <w:rsid w:val="57D8796C"/>
    <w:rsid w:val="57E00F16"/>
    <w:rsid w:val="57F854F2"/>
    <w:rsid w:val="58003366"/>
    <w:rsid w:val="580249E9"/>
    <w:rsid w:val="58113CA2"/>
    <w:rsid w:val="582E3A30"/>
    <w:rsid w:val="5886561A"/>
    <w:rsid w:val="58871392"/>
    <w:rsid w:val="58A91308"/>
    <w:rsid w:val="58D302F5"/>
    <w:rsid w:val="58DD0FB2"/>
    <w:rsid w:val="58E6255C"/>
    <w:rsid w:val="58E80D7E"/>
    <w:rsid w:val="58FE733D"/>
    <w:rsid w:val="590B5B1F"/>
    <w:rsid w:val="591358A6"/>
    <w:rsid w:val="591C2B54"/>
    <w:rsid w:val="59213594"/>
    <w:rsid w:val="5937763F"/>
    <w:rsid w:val="593A6404"/>
    <w:rsid w:val="59413C36"/>
    <w:rsid w:val="594A2253"/>
    <w:rsid w:val="594F1EAF"/>
    <w:rsid w:val="595219A0"/>
    <w:rsid w:val="59532A2E"/>
    <w:rsid w:val="59570D64"/>
    <w:rsid w:val="598F49A2"/>
    <w:rsid w:val="59A044B9"/>
    <w:rsid w:val="59A241A9"/>
    <w:rsid w:val="59AD4E28"/>
    <w:rsid w:val="59B01600"/>
    <w:rsid w:val="59D979CB"/>
    <w:rsid w:val="59E47241"/>
    <w:rsid w:val="59EB4145"/>
    <w:rsid w:val="5A0233C6"/>
    <w:rsid w:val="5A09766D"/>
    <w:rsid w:val="5A0E58C7"/>
    <w:rsid w:val="5A132EDD"/>
    <w:rsid w:val="5A1924BD"/>
    <w:rsid w:val="5A3115B5"/>
    <w:rsid w:val="5A415416"/>
    <w:rsid w:val="5A47702B"/>
    <w:rsid w:val="5A5A0B0C"/>
    <w:rsid w:val="5A6574B1"/>
    <w:rsid w:val="5A6A4AC7"/>
    <w:rsid w:val="5A6C31FA"/>
    <w:rsid w:val="5A6C60F1"/>
    <w:rsid w:val="5AA955EF"/>
    <w:rsid w:val="5AB93157"/>
    <w:rsid w:val="5ABA0426"/>
    <w:rsid w:val="5ACC7530"/>
    <w:rsid w:val="5ACD0632"/>
    <w:rsid w:val="5AD6188C"/>
    <w:rsid w:val="5B10566E"/>
    <w:rsid w:val="5B1A473F"/>
    <w:rsid w:val="5B26724E"/>
    <w:rsid w:val="5B280C0A"/>
    <w:rsid w:val="5B3C2907"/>
    <w:rsid w:val="5B46726A"/>
    <w:rsid w:val="5B4D241F"/>
    <w:rsid w:val="5B5E5378"/>
    <w:rsid w:val="5B68531A"/>
    <w:rsid w:val="5B696D3D"/>
    <w:rsid w:val="5B6C3892"/>
    <w:rsid w:val="5B6F6839"/>
    <w:rsid w:val="5BA5225B"/>
    <w:rsid w:val="5BC326E1"/>
    <w:rsid w:val="5BCB55C0"/>
    <w:rsid w:val="5BEF34D6"/>
    <w:rsid w:val="5BFB4899"/>
    <w:rsid w:val="5BFD6FE0"/>
    <w:rsid w:val="5C1F0BA7"/>
    <w:rsid w:val="5C2C2D25"/>
    <w:rsid w:val="5C51268C"/>
    <w:rsid w:val="5C5619C5"/>
    <w:rsid w:val="5C797243"/>
    <w:rsid w:val="5C91006C"/>
    <w:rsid w:val="5CF779FB"/>
    <w:rsid w:val="5D3D64C3"/>
    <w:rsid w:val="5D405D24"/>
    <w:rsid w:val="5D5B6A14"/>
    <w:rsid w:val="5DB04E97"/>
    <w:rsid w:val="5DB43BC6"/>
    <w:rsid w:val="5DCD14F0"/>
    <w:rsid w:val="5DD76A13"/>
    <w:rsid w:val="5DD83A40"/>
    <w:rsid w:val="5DD92876"/>
    <w:rsid w:val="5DD92D97"/>
    <w:rsid w:val="5E033269"/>
    <w:rsid w:val="5E1A2158"/>
    <w:rsid w:val="5E1C257C"/>
    <w:rsid w:val="5E280F21"/>
    <w:rsid w:val="5E4D2736"/>
    <w:rsid w:val="5E5958DA"/>
    <w:rsid w:val="5E5E2869"/>
    <w:rsid w:val="5E622F17"/>
    <w:rsid w:val="5E6A63AC"/>
    <w:rsid w:val="5E7F3778"/>
    <w:rsid w:val="5E8D14AD"/>
    <w:rsid w:val="5E9D4FBF"/>
    <w:rsid w:val="5EA15ECC"/>
    <w:rsid w:val="5EAB325C"/>
    <w:rsid w:val="5EAF25AB"/>
    <w:rsid w:val="5EB007DA"/>
    <w:rsid w:val="5EB207EC"/>
    <w:rsid w:val="5ED33999"/>
    <w:rsid w:val="5EDF5F2D"/>
    <w:rsid w:val="5EE035AA"/>
    <w:rsid w:val="5EE83548"/>
    <w:rsid w:val="5EFC7D55"/>
    <w:rsid w:val="5F04373C"/>
    <w:rsid w:val="5F16268C"/>
    <w:rsid w:val="5F1D035A"/>
    <w:rsid w:val="5F2562CA"/>
    <w:rsid w:val="5F286516"/>
    <w:rsid w:val="5F2E0448"/>
    <w:rsid w:val="5F4D50E3"/>
    <w:rsid w:val="5F8D54E0"/>
    <w:rsid w:val="5FA34D03"/>
    <w:rsid w:val="5FB86C0F"/>
    <w:rsid w:val="5FCE501B"/>
    <w:rsid w:val="5FCF3D4A"/>
    <w:rsid w:val="5FDA449D"/>
    <w:rsid w:val="5FE92E6B"/>
    <w:rsid w:val="5FEA7FDC"/>
    <w:rsid w:val="5FFE1F39"/>
    <w:rsid w:val="600F4147"/>
    <w:rsid w:val="60234FCB"/>
    <w:rsid w:val="605F2DB2"/>
    <w:rsid w:val="606379F4"/>
    <w:rsid w:val="609D3754"/>
    <w:rsid w:val="60A070F4"/>
    <w:rsid w:val="60A95399"/>
    <w:rsid w:val="60B25ACD"/>
    <w:rsid w:val="60B26302"/>
    <w:rsid w:val="60C07B37"/>
    <w:rsid w:val="60C41AE2"/>
    <w:rsid w:val="60E27AAD"/>
    <w:rsid w:val="60EF5D26"/>
    <w:rsid w:val="60F44CBD"/>
    <w:rsid w:val="610F0176"/>
    <w:rsid w:val="612C6F7A"/>
    <w:rsid w:val="614D5EC2"/>
    <w:rsid w:val="616B7CB8"/>
    <w:rsid w:val="616D55C9"/>
    <w:rsid w:val="61734BA9"/>
    <w:rsid w:val="61736957"/>
    <w:rsid w:val="61761FA3"/>
    <w:rsid w:val="61914040"/>
    <w:rsid w:val="619C7C5C"/>
    <w:rsid w:val="61A150E9"/>
    <w:rsid w:val="61A3723C"/>
    <w:rsid w:val="61B53144"/>
    <w:rsid w:val="61D94A0C"/>
    <w:rsid w:val="61E433B1"/>
    <w:rsid w:val="61EE5FDE"/>
    <w:rsid w:val="620079D8"/>
    <w:rsid w:val="621912AD"/>
    <w:rsid w:val="62215262"/>
    <w:rsid w:val="623633B0"/>
    <w:rsid w:val="62410803"/>
    <w:rsid w:val="624E034C"/>
    <w:rsid w:val="624F1172"/>
    <w:rsid w:val="62546789"/>
    <w:rsid w:val="626D15F8"/>
    <w:rsid w:val="62774225"/>
    <w:rsid w:val="627F2B16"/>
    <w:rsid w:val="62832BCA"/>
    <w:rsid w:val="628E1C9B"/>
    <w:rsid w:val="62943029"/>
    <w:rsid w:val="62B611F1"/>
    <w:rsid w:val="62DE1368"/>
    <w:rsid w:val="62E01AAE"/>
    <w:rsid w:val="62EF025F"/>
    <w:rsid w:val="62FD0BCE"/>
    <w:rsid w:val="63175457"/>
    <w:rsid w:val="63495BC1"/>
    <w:rsid w:val="634E31D8"/>
    <w:rsid w:val="63520F1A"/>
    <w:rsid w:val="63604C73"/>
    <w:rsid w:val="636C18B0"/>
    <w:rsid w:val="63997E88"/>
    <w:rsid w:val="63A304A4"/>
    <w:rsid w:val="63BB78FD"/>
    <w:rsid w:val="63CB2A7A"/>
    <w:rsid w:val="64002371"/>
    <w:rsid w:val="643F0D73"/>
    <w:rsid w:val="64610CE9"/>
    <w:rsid w:val="6461518D"/>
    <w:rsid w:val="649015CE"/>
    <w:rsid w:val="649A1701"/>
    <w:rsid w:val="64A3421D"/>
    <w:rsid w:val="64AA471A"/>
    <w:rsid w:val="64B67287"/>
    <w:rsid w:val="64DE77A6"/>
    <w:rsid w:val="64F658D5"/>
    <w:rsid w:val="6501769D"/>
    <w:rsid w:val="652A6682"/>
    <w:rsid w:val="65406257"/>
    <w:rsid w:val="654D7CEA"/>
    <w:rsid w:val="655B7E2E"/>
    <w:rsid w:val="656715F7"/>
    <w:rsid w:val="656B62C3"/>
    <w:rsid w:val="657F58CB"/>
    <w:rsid w:val="65A96DEB"/>
    <w:rsid w:val="65BD3145"/>
    <w:rsid w:val="65CE23AE"/>
    <w:rsid w:val="65D35C16"/>
    <w:rsid w:val="65F242EE"/>
    <w:rsid w:val="663516B9"/>
    <w:rsid w:val="6653074D"/>
    <w:rsid w:val="66547B9F"/>
    <w:rsid w:val="66557ECD"/>
    <w:rsid w:val="665C32B6"/>
    <w:rsid w:val="66673025"/>
    <w:rsid w:val="667C4500"/>
    <w:rsid w:val="66833198"/>
    <w:rsid w:val="66856E77"/>
    <w:rsid w:val="66AD46B9"/>
    <w:rsid w:val="66B372BF"/>
    <w:rsid w:val="66B659E8"/>
    <w:rsid w:val="66BB0B84"/>
    <w:rsid w:val="66CC2AA0"/>
    <w:rsid w:val="66E53E53"/>
    <w:rsid w:val="66E83CB4"/>
    <w:rsid w:val="66EF6A80"/>
    <w:rsid w:val="672524A2"/>
    <w:rsid w:val="67753429"/>
    <w:rsid w:val="678536E1"/>
    <w:rsid w:val="679A4C3E"/>
    <w:rsid w:val="67B0620F"/>
    <w:rsid w:val="67DA7730"/>
    <w:rsid w:val="67F11B67"/>
    <w:rsid w:val="68114F58"/>
    <w:rsid w:val="681A7B2C"/>
    <w:rsid w:val="682217B3"/>
    <w:rsid w:val="683368CD"/>
    <w:rsid w:val="68490412"/>
    <w:rsid w:val="685272C6"/>
    <w:rsid w:val="685C2AA5"/>
    <w:rsid w:val="685E0F98"/>
    <w:rsid w:val="68831B76"/>
    <w:rsid w:val="68886FC7"/>
    <w:rsid w:val="68925915"/>
    <w:rsid w:val="68970742"/>
    <w:rsid w:val="68B41D2F"/>
    <w:rsid w:val="69147306"/>
    <w:rsid w:val="69185F86"/>
    <w:rsid w:val="691959A0"/>
    <w:rsid w:val="692F561B"/>
    <w:rsid w:val="695B2625"/>
    <w:rsid w:val="698C3C21"/>
    <w:rsid w:val="699127D4"/>
    <w:rsid w:val="699738F6"/>
    <w:rsid w:val="69B1626F"/>
    <w:rsid w:val="69E144DE"/>
    <w:rsid w:val="69E14DA6"/>
    <w:rsid w:val="69EC4534"/>
    <w:rsid w:val="69FC05AE"/>
    <w:rsid w:val="6A0942FC"/>
    <w:rsid w:val="6A3F7D1E"/>
    <w:rsid w:val="6A4431FF"/>
    <w:rsid w:val="6A5D4D49"/>
    <w:rsid w:val="6A5F216E"/>
    <w:rsid w:val="6A726D0A"/>
    <w:rsid w:val="6A8A11AD"/>
    <w:rsid w:val="6A8D46AE"/>
    <w:rsid w:val="6A9158C9"/>
    <w:rsid w:val="6AA15FA4"/>
    <w:rsid w:val="6AA87672"/>
    <w:rsid w:val="6AA933EA"/>
    <w:rsid w:val="6ABC5E28"/>
    <w:rsid w:val="6AD32DC1"/>
    <w:rsid w:val="6AE663EC"/>
    <w:rsid w:val="6AEB57B0"/>
    <w:rsid w:val="6AF10F7E"/>
    <w:rsid w:val="6B0E0BA4"/>
    <w:rsid w:val="6B431148"/>
    <w:rsid w:val="6B5949F9"/>
    <w:rsid w:val="6B63526E"/>
    <w:rsid w:val="6B655563"/>
    <w:rsid w:val="6B827EC3"/>
    <w:rsid w:val="6B89021F"/>
    <w:rsid w:val="6B8B47E4"/>
    <w:rsid w:val="6B980D09"/>
    <w:rsid w:val="6BA227E7"/>
    <w:rsid w:val="6BA52DFB"/>
    <w:rsid w:val="6BB32772"/>
    <w:rsid w:val="6BB44EC9"/>
    <w:rsid w:val="6BF6615A"/>
    <w:rsid w:val="6C0B435C"/>
    <w:rsid w:val="6C1103E1"/>
    <w:rsid w:val="6C136665"/>
    <w:rsid w:val="6C152AE5"/>
    <w:rsid w:val="6C156F89"/>
    <w:rsid w:val="6C180827"/>
    <w:rsid w:val="6C1C1901"/>
    <w:rsid w:val="6C3311BD"/>
    <w:rsid w:val="6C755C79"/>
    <w:rsid w:val="6C8374F0"/>
    <w:rsid w:val="6C910945"/>
    <w:rsid w:val="6C937EAD"/>
    <w:rsid w:val="6C9C1311"/>
    <w:rsid w:val="6C9C1458"/>
    <w:rsid w:val="6C9F5299"/>
    <w:rsid w:val="6CD45A74"/>
    <w:rsid w:val="6CD75FEC"/>
    <w:rsid w:val="6CD94F0F"/>
    <w:rsid w:val="6CF7043C"/>
    <w:rsid w:val="6CFE7A1D"/>
    <w:rsid w:val="6D10066D"/>
    <w:rsid w:val="6D1E04B5"/>
    <w:rsid w:val="6D1E1E6D"/>
    <w:rsid w:val="6D231FB7"/>
    <w:rsid w:val="6D2A0812"/>
    <w:rsid w:val="6D2D20B0"/>
    <w:rsid w:val="6D3A4588"/>
    <w:rsid w:val="6D5C2D8C"/>
    <w:rsid w:val="6D716441"/>
    <w:rsid w:val="6D7D64CF"/>
    <w:rsid w:val="6DA070A2"/>
    <w:rsid w:val="6DAE590E"/>
    <w:rsid w:val="6DBC151C"/>
    <w:rsid w:val="6DC42A14"/>
    <w:rsid w:val="6DD90220"/>
    <w:rsid w:val="6DE01C9F"/>
    <w:rsid w:val="6DF606F4"/>
    <w:rsid w:val="6DFA4688"/>
    <w:rsid w:val="6DFA781D"/>
    <w:rsid w:val="6E146DCC"/>
    <w:rsid w:val="6E2F4060"/>
    <w:rsid w:val="6E4759B4"/>
    <w:rsid w:val="6E4772D5"/>
    <w:rsid w:val="6E4F6056"/>
    <w:rsid w:val="6E510020"/>
    <w:rsid w:val="6E5859B7"/>
    <w:rsid w:val="6E7B0DE6"/>
    <w:rsid w:val="6EA36ACE"/>
    <w:rsid w:val="6EB3357B"/>
    <w:rsid w:val="6ECB392F"/>
    <w:rsid w:val="6ED24445"/>
    <w:rsid w:val="6EF32E85"/>
    <w:rsid w:val="6EFC7F8C"/>
    <w:rsid w:val="6F005775"/>
    <w:rsid w:val="6F143527"/>
    <w:rsid w:val="6F262E6D"/>
    <w:rsid w:val="6F2B6777"/>
    <w:rsid w:val="6F3A0AB4"/>
    <w:rsid w:val="6F3D632C"/>
    <w:rsid w:val="6F467529"/>
    <w:rsid w:val="6F5C0623"/>
    <w:rsid w:val="6F60051B"/>
    <w:rsid w:val="6F800BBD"/>
    <w:rsid w:val="6FB95E7D"/>
    <w:rsid w:val="6FBD3BBF"/>
    <w:rsid w:val="6FD63FA2"/>
    <w:rsid w:val="6FE3114C"/>
    <w:rsid w:val="6FE35412"/>
    <w:rsid w:val="703B647C"/>
    <w:rsid w:val="704716DB"/>
    <w:rsid w:val="704F058F"/>
    <w:rsid w:val="7064403B"/>
    <w:rsid w:val="70723CA2"/>
    <w:rsid w:val="7079159D"/>
    <w:rsid w:val="709D579F"/>
    <w:rsid w:val="70AA5ADC"/>
    <w:rsid w:val="70AD1CDF"/>
    <w:rsid w:val="70C20D61"/>
    <w:rsid w:val="70C60851"/>
    <w:rsid w:val="70C828AE"/>
    <w:rsid w:val="70D70CB1"/>
    <w:rsid w:val="70F52EE5"/>
    <w:rsid w:val="70F74EAF"/>
    <w:rsid w:val="7113780F"/>
    <w:rsid w:val="711772FF"/>
    <w:rsid w:val="71187485"/>
    <w:rsid w:val="711B0F55"/>
    <w:rsid w:val="711C4915"/>
    <w:rsid w:val="71265794"/>
    <w:rsid w:val="71297032"/>
    <w:rsid w:val="7130216F"/>
    <w:rsid w:val="714479C8"/>
    <w:rsid w:val="714F4CEB"/>
    <w:rsid w:val="71512119"/>
    <w:rsid w:val="718D0ABF"/>
    <w:rsid w:val="71931991"/>
    <w:rsid w:val="71AF7537"/>
    <w:rsid w:val="71C34D91"/>
    <w:rsid w:val="71CA4371"/>
    <w:rsid w:val="71E2790D"/>
    <w:rsid w:val="71EF3DD8"/>
    <w:rsid w:val="71F17B50"/>
    <w:rsid w:val="71FE401B"/>
    <w:rsid w:val="72103231"/>
    <w:rsid w:val="72263DBE"/>
    <w:rsid w:val="723914F7"/>
    <w:rsid w:val="724F0D1A"/>
    <w:rsid w:val="72536115"/>
    <w:rsid w:val="72633879"/>
    <w:rsid w:val="726D1462"/>
    <w:rsid w:val="727E16B2"/>
    <w:rsid w:val="727E6F0A"/>
    <w:rsid w:val="72C07522"/>
    <w:rsid w:val="72C40DC1"/>
    <w:rsid w:val="72DB4729"/>
    <w:rsid w:val="72E72BBB"/>
    <w:rsid w:val="72ED47BB"/>
    <w:rsid w:val="72F47B66"/>
    <w:rsid w:val="730447AA"/>
    <w:rsid w:val="73263829"/>
    <w:rsid w:val="732F0A4D"/>
    <w:rsid w:val="733F48EB"/>
    <w:rsid w:val="73403348"/>
    <w:rsid w:val="73524714"/>
    <w:rsid w:val="737C27E7"/>
    <w:rsid w:val="73816CB2"/>
    <w:rsid w:val="73823836"/>
    <w:rsid w:val="73A86934"/>
    <w:rsid w:val="73AC6191"/>
    <w:rsid w:val="73B250BD"/>
    <w:rsid w:val="73CE721D"/>
    <w:rsid w:val="73E3171A"/>
    <w:rsid w:val="73E4479B"/>
    <w:rsid w:val="74055595"/>
    <w:rsid w:val="74055B35"/>
    <w:rsid w:val="741E09A4"/>
    <w:rsid w:val="742A559B"/>
    <w:rsid w:val="745C6E76"/>
    <w:rsid w:val="746A5998"/>
    <w:rsid w:val="747D1B6F"/>
    <w:rsid w:val="7482071C"/>
    <w:rsid w:val="74820F33"/>
    <w:rsid w:val="7491561A"/>
    <w:rsid w:val="74B03CF2"/>
    <w:rsid w:val="74C6415A"/>
    <w:rsid w:val="74CD37C7"/>
    <w:rsid w:val="74DA231A"/>
    <w:rsid w:val="74F3158F"/>
    <w:rsid w:val="750543DF"/>
    <w:rsid w:val="75137DDD"/>
    <w:rsid w:val="75287D2D"/>
    <w:rsid w:val="752B3379"/>
    <w:rsid w:val="754732AE"/>
    <w:rsid w:val="754E0E15"/>
    <w:rsid w:val="75504B8E"/>
    <w:rsid w:val="75640639"/>
    <w:rsid w:val="75693EA1"/>
    <w:rsid w:val="75834F63"/>
    <w:rsid w:val="7583774C"/>
    <w:rsid w:val="75846F2D"/>
    <w:rsid w:val="75A1540D"/>
    <w:rsid w:val="75B82733"/>
    <w:rsid w:val="75D05CCE"/>
    <w:rsid w:val="75DA6B4D"/>
    <w:rsid w:val="75E83018"/>
    <w:rsid w:val="75F25C45"/>
    <w:rsid w:val="76047570"/>
    <w:rsid w:val="760616F0"/>
    <w:rsid w:val="760D6F22"/>
    <w:rsid w:val="761F483E"/>
    <w:rsid w:val="762A4966"/>
    <w:rsid w:val="762A4CF0"/>
    <w:rsid w:val="762B73A9"/>
    <w:rsid w:val="764C17F9"/>
    <w:rsid w:val="764C3DC2"/>
    <w:rsid w:val="766034F6"/>
    <w:rsid w:val="76764AC8"/>
    <w:rsid w:val="76813D4E"/>
    <w:rsid w:val="76946CFC"/>
    <w:rsid w:val="76B31878"/>
    <w:rsid w:val="76C03F95"/>
    <w:rsid w:val="76C515AB"/>
    <w:rsid w:val="76EF6628"/>
    <w:rsid w:val="770420D4"/>
    <w:rsid w:val="77160368"/>
    <w:rsid w:val="772E7A2D"/>
    <w:rsid w:val="773504DF"/>
    <w:rsid w:val="774249AA"/>
    <w:rsid w:val="77642B72"/>
    <w:rsid w:val="77724557"/>
    <w:rsid w:val="778142D2"/>
    <w:rsid w:val="77974CF6"/>
    <w:rsid w:val="779C055E"/>
    <w:rsid w:val="77A6318B"/>
    <w:rsid w:val="77B70362"/>
    <w:rsid w:val="77C33D3D"/>
    <w:rsid w:val="77CA410B"/>
    <w:rsid w:val="77DC6BAC"/>
    <w:rsid w:val="78103538"/>
    <w:rsid w:val="781E0CC6"/>
    <w:rsid w:val="78293085"/>
    <w:rsid w:val="78370287"/>
    <w:rsid w:val="784A726E"/>
    <w:rsid w:val="784F55D0"/>
    <w:rsid w:val="785030F6"/>
    <w:rsid w:val="785B3F75"/>
    <w:rsid w:val="78605BED"/>
    <w:rsid w:val="78654DF4"/>
    <w:rsid w:val="78713799"/>
    <w:rsid w:val="789D27E0"/>
    <w:rsid w:val="78A23B1E"/>
    <w:rsid w:val="78AF42C1"/>
    <w:rsid w:val="78BF336A"/>
    <w:rsid w:val="78C14E71"/>
    <w:rsid w:val="78C935D5"/>
    <w:rsid w:val="78D00F33"/>
    <w:rsid w:val="78D83818"/>
    <w:rsid w:val="78FB5758"/>
    <w:rsid w:val="79122D57"/>
    <w:rsid w:val="791505C8"/>
    <w:rsid w:val="7928572F"/>
    <w:rsid w:val="794964C4"/>
    <w:rsid w:val="796C3F60"/>
    <w:rsid w:val="79751067"/>
    <w:rsid w:val="79A67472"/>
    <w:rsid w:val="79BF0534"/>
    <w:rsid w:val="79E24222"/>
    <w:rsid w:val="79F7478A"/>
    <w:rsid w:val="7A06141C"/>
    <w:rsid w:val="7A08012D"/>
    <w:rsid w:val="7A087CA3"/>
    <w:rsid w:val="7A112D6C"/>
    <w:rsid w:val="7A28257D"/>
    <w:rsid w:val="7A444A03"/>
    <w:rsid w:val="7A54728D"/>
    <w:rsid w:val="7A7F1A71"/>
    <w:rsid w:val="7AB50CFD"/>
    <w:rsid w:val="7ACA53E2"/>
    <w:rsid w:val="7ACE4ED2"/>
    <w:rsid w:val="7B111D10"/>
    <w:rsid w:val="7B203254"/>
    <w:rsid w:val="7B2107BC"/>
    <w:rsid w:val="7B292109"/>
    <w:rsid w:val="7B3436E2"/>
    <w:rsid w:val="7B3B711F"/>
    <w:rsid w:val="7B725253"/>
    <w:rsid w:val="7B7621B0"/>
    <w:rsid w:val="7B876E2F"/>
    <w:rsid w:val="7B8D0F26"/>
    <w:rsid w:val="7B9912F0"/>
    <w:rsid w:val="7B994BC5"/>
    <w:rsid w:val="7B9D6653"/>
    <w:rsid w:val="7BA85BC2"/>
    <w:rsid w:val="7BA9149B"/>
    <w:rsid w:val="7BE30620"/>
    <w:rsid w:val="7BF5023D"/>
    <w:rsid w:val="7C0D2017"/>
    <w:rsid w:val="7C1E59E5"/>
    <w:rsid w:val="7C320365"/>
    <w:rsid w:val="7C38637B"/>
    <w:rsid w:val="7C3E1BE4"/>
    <w:rsid w:val="7C5C7B97"/>
    <w:rsid w:val="7C5E4473"/>
    <w:rsid w:val="7C5E6EF9"/>
    <w:rsid w:val="7C725D31"/>
    <w:rsid w:val="7C80044E"/>
    <w:rsid w:val="7C9E2682"/>
    <w:rsid w:val="7CBA7AB2"/>
    <w:rsid w:val="7CBB1486"/>
    <w:rsid w:val="7CC0084B"/>
    <w:rsid w:val="7CC50BF1"/>
    <w:rsid w:val="7CCF4ACF"/>
    <w:rsid w:val="7CD35F04"/>
    <w:rsid w:val="7CD83E81"/>
    <w:rsid w:val="7CDB7433"/>
    <w:rsid w:val="7CDD764F"/>
    <w:rsid w:val="7CDE5175"/>
    <w:rsid w:val="7CDE6F23"/>
    <w:rsid w:val="7CE87DA1"/>
    <w:rsid w:val="7CEA1078"/>
    <w:rsid w:val="7CED22EC"/>
    <w:rsid w:val="7D1A0E75"/>
    <w:rsid w:val="7D1E1A15"/>
    <w:rsid w:val="7D20753B"/>
    <w:rsid w:val="7D284642"/>
    <w:rsid w:val="7D3E3E65"/>
    <w:rsid w:val="7D407EB8"/>
    <w:rsid w:val="7D420743"/>
    <w:rsid w:val="7D43160D"/>
    <w:rsid w:val="7D4551F4"/>
    <w:rsid w:val="7D46045E"/>
    <w:rsid w:val="7D60202E"/>
    <w:rsid w:val="7D603DDC"/>
    <w:rsid w:val="7D7B0C16"/>
    <w:rsid w:val="7D8F646F"/>
    <w:rsid w:val="7D9A72EE"/>
    <w:rsid w:val="7DA50364"/>
    <w:rsid w:val="7DB303AF"/>
    <w:rsid w:val="7DDB16B4"/>
    <w:rsid w:val="7DFB5AE0"/>
    <w:rsid w:val="7E3239CA"/>
    <w:rsid w:val="7E4454AB"/>
    <w:rsid w:val="7E5C0A47"/>
    <w:rsid w:val="7E5D217A"/>
    <w:rsid w:val="7E8A7362"/>
    <w:rsid w:val="7E8B6C36"/>
    <w:rsid w:val="7E8D0C00"/>
    <w:rsid w:val="7E8F2BCB"/>
    <w:rsid w:val="7E9463A6"/>
    <w:rsid w:val="7EA04DAF"/>
    <w:rsid w:val="7EA62A82"/>
    <w:rsid w:val="7EC605CA"/>
    <w:rsid w:val="7EE54599"/>
    <w:rsid w:val="7EF96296"/>
    <w:rsid w:val="7EFE1409"/>
    <w:rsid w:val="7F054C3B"/>
    <w:rsid w:val="7F160BF6"/>
    <w:rsid w:val="7F350DB7"/>
    <w:rsid w:val="7F363046"/>
    <w:rsid w:val="7F3C3B49"/>
    <w:rsid w:val="7F5434CC"/>
    <w:rsid w:val="7F5B0CFF"/>
    <w:rsid w:val="7F7B314F"/>
    <w:rsid w:val="7F8648EE"/>
    <w:rsid w:val="7F9F508F"/>
    <w:rsid w:val="7FAE0E2E"/>
    <w:rsid w:val="7FAF2DF8"/>
    <w:rsid w:val="7FDF723A"/>
    <w:rsid w:val="7FE40CF4"/>
    <w:rsid w:val="7FE701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60" w:after="60" w:line="560" w:lineRule="exact"/>
      <w:ind w:firstLine="200" w:firstLineChars="200"/>
      <w:jc w:val="center"/>
      <w:outlineLvl w:val="0"/>
    </w:pPr>
    <w:rPr>
      <w:b/>
      <w:kern w:val="44"/>
      <w:sz w:val="28"/>
    </w:rPr>
  </w:style>
  <w:style w:type="paragraph" w:styleId="3">
    <w:name w:val="heading 2"/>
    <w:basedOn w:val="1"/>
    <w:next w:val="1"/>
    <w:qFormat/>
    <w:uiPriority w:val="9"/>
    <w:pPr>
      <w:keepNext/>
      <w:keepLines/>
      <w:adjustRightInd/>
      <w:spacing w:before="120" w:after="120" w:line="480" w:lineRule="exact"/>
      <w:jc w:val="left"/>
      <w:textAlignment w:val="auto"/>
      <w:outlineLvl w:val="1"/>
    </w:pPr>
    <w:rPr>
      <w:rFonts w:ascii="黑体" w:hAnsi="Arial" w:eastAsia="楷体_GB2312"/>
      <w:b/>
      <w:kern w:val="0"/>
      <w:sz w:val="28"/>
    </w:rPr>
  </w:style>
  <w:style w:type="paragraph" w:styleId="4">
    <w:name w:val="heading 3"/>
    <w:basedOn w:val="1"/>
    <w:next w:val="1"/>
    <w:qFormat/>
    <w:uiPriority w:val="0"/>
    <w:pPr>
      <w:keepNext/>
      <w:keepLines/>
      <w:spacing w:before="260" w:after="260" w:line="413" w:lineRule="auto"/>
      <w:outlineLvl w:val="2"/>
    </w:pPr>
    <w:rPr>
      <w:b/>
      <w:sz w:val="32"/>
    </w:rPr>
  </w:style>
  <w:style w:type="paragraph" w:styleId="5">
    <w:name w:val="heading 4"/>
    <w:basedOn w:val="1"/>
    <w:next w:val="6"/>
    <w:qFormat/>
    <w:uiPriority w:val="0"/>
    <w:pPr>
      <w:keepNext/>
      <w:keepLines/>
      <w:spacing w:line="360" w:lineRule="auto"/>
      <w:jc w:val="left"/>
      <w:outlineLvl w:val="3"/>
    </w:pPr>
    <w:rPr>
      <w:rFonts w:ascii="宋体" w:hAnsi="宋体"/>
      <w:b/>
      <w:sz w:val="28"/>
    </w:rPr>
  </w:style>
  <w:style w:type="character" w:default="1" w:styleId="20">
    <w:name w:val="Default Paragraph Font"/>
    <w:semiHidden/>
    <w:qFormat/>
    <w:uiPriority w:val="0"/>
  </w:style>
  <w:style w:type="table" w:default="1" w:styleId="18">
    <w:name w:val="Normal Table"/>
    <w:semiHidden/>
    <w:uiPriority w:val="0"/>
    <w:tblPr>
      <w:tblCellMar>
        <w:top w:w="0" w:type="dxa"/>
        <w:left w:w="108" w:type="dxa"/>
        <w:bottom w:w="0" w:type="dxa"/>
        <w:right w:w="108" w:type="dxa"/>
      </w:tblCellMar>
    </w:tblPr>
  </w:style>
  <w:style w:type="paragraph" w:styleId="6">
    <w:name w:val="Normal Indent"/>
    <w:basedOn w:val="1"/>
    <w:qFormat/>
    <w:uiPriority w:val="99"/>
    <w:pPr>
      <w:autoSpaceDE w:val="0"/>
      <w:autoSpaceDN w:val="0"/>
      <w:spacing w:line="351" w:lineRule="atLeast"/>
      <w:ind w:firstLine="419"/>
    </w:pPr>
    <w:rPr>
      <w:color w:val="000000"/>
      <w:kern w:val="0"/>
      <w:lang w:val="zh-CN"/>
    </w:rPr>
  </w:style>
  <w:style w:type="paragraph" w:styleId="7">
    <w:name w:val="caption"/>
    <w:basedOn w:val="1"/>
    <w:next w:val="1"/>
    <w:qFormat/>
    <w:uiPriority w:val="0"/>
    <w:pPr>
      <w:jc w:val="center"/>
    </w:pPr>
    <w:rPr>
      <w:rFonts w:ascii="宋体" w:hAnsi="宋体" w:cs="Arial"/>
      <w:szCs w:val="21"/>
    </w:rPr>
  </w:style>
  <w:style w:type="paragraph" w:styleId="8">
    <w:name w:val="Body Text"/>
    <w:basedOn w:val="1"/>
    <w:qFormat/>
    <w:uiPriority w:val="1"/>
    <w:rPr>
      <w:kern w:val="0"/>
      <w:sz w:val="28"/>
    </w:rPr>
  </w:style>
  <w:style w:type="paragraph" w:styleId="9">
    <w:name w:val="Body Text Indent"/>
    <w:basedOn w:val="1"/>
    <w:qFormat/>
    <w:uiPriority w:val="99"/>
    <w:pPr>
      <w:spacing w:line="440" w:lineRule="exact"/>
      <w:ind w:left="840"/>
    </w:pPr>
    <w:rPr>
      <w:rFonts w:ascii="宋体" w:hAnsi="宋体"/>
      <w:spacing w:val="20"/>
      <w:sz w:val="24"/>
    </w:rPr>
  </w:style>
  <w:style w:type="paragraph" w:styleId="10">
    <w:name w:val="Plain Text"/>
    <w:basedOn w:val="1"/>
    <w:qFormat/>
    <w:uiPriority w:val="0"/>
    <w:rPr>
      <w:rFonts w:ascii="宋体" w:hAnsi="Courier New"/>
      <w:szCs w:val="21"/>
    </w:rPr>
  </w:style>
  <w:style w:type="paragraph" w:styleId="11">
    <w:name w:val="footer"/>
    <w:basedOn w:val="1"/>
    <w:qFormat/>
    <w:uiPriority w:val="99"/>
    <w:pPr>
      <w:tabs>
        <w:tab w:val="center" w:pos="4153"/>
        <w:tab w:val="right" w:pos="8306"/>
      </w:tabs>
      <w:snapToGrid w:val="0"/>
      <w:jc w:val="left"/>
    </w:pPr>
    <w:rPr>
      <w:sz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rPr>
  </w:style>
  <w:style w:type="paragraph" w:styleId="13">
    <w:name w:val="toc 1"/>
    <w:basedOn w:val="1"/>
    <w:next w:val="1"/>
    <w:qFormat/>
    <w:uiPriority w:val="39"/>
    <w:pPr>
      <w:tabs>
        <w:tab w:val="right" w:leader="dot" w:pos="8948"/>
      </w:tabs>
    </w:pPr>
    <w:rPr>
      <w:b/>
      <w:bCs/>
      <w:sz w:val="28"/>
      <w:szCs w:val="28"/>
    </w:rPr>
  </w:style>
  <w:style w:type="paragraph" w:styleId="14">
    <w:name w:val="Body Text Indent 3"/>
    <w:basedOn w:val="1"/>
    <w:qFormat/>
    <w:uiPriority w:val="99"/>
    <w:pPr>
      <w:tabs>
        <w:tab w:val="left" w:pos="0"/>
      </w:tabs>
      <w:spacing w:line="500" w:lineRule="exact"/>
      <w:ind w:left="126" w:firstLine="504" w:firstLineChars="200"/>
    </w:pPr>
    <w:rPr>
      <w:kern w:val="0"/>
      <w:sz w:val="28"/>
      <w:szCs w:val="20"/>
    </w:rPr>
  </w:style>
  <w:style w:type="paragraph" w:styleId="15">
    <w:name w:val="toc 2"/>
    <w:basedOn w:val="1"/>
    <w:next w:val="1"/>
    <w:qFormat/>
    <w:uiPriority w:val="39"/>
    <w:pPr>
      <w:ind w:left="420" w:leftChars="200"/>
    </w:pPr>
  </w:style>
  <w:style w:type="paragraph" w:styleId="16">
    <w:name w:val="Body Text First Indent"/>
    <w:basedOn w:val="8"/>
    <w:next w:val="1"/>
    <w:qFormat/>
    <w:uiPriority w:val="0"/>
    <w:pPr>
      <w:adjustRightInd/>
      <w:spacing w:after="120" w:line="240" w:lineRule="auto"/>
      <w:ind w:firstLine="420" w:firstLineChars="100"/>
      <w:textAlignment w:val="auto"/>
    </w:pPr>
    <w:rPr>
      <w:kern w:val="2"/>
      <w:sz w:val="21"/>
      <w:lang w:val="en-US" w:eastAsia="zh-CN"/>
    </w:rPr>
  </w:style>
  <w:style w:type="paragraph" w:styleId="17">
    <w:name w:val="Body Text First Indent 2"/>
    <w:basedOn w:val="1"/>
    <w:next w:val="16"/>
    <w:unhideWhenUsed/>
    <w:qFormat/>
    <w:uiPriority w:val="99"/>
    <w:pPr>
      <w:spacing w:after="120" w:line="360" w:lineRule="atLeast"/>
      <w:ind w:left="420" w:leftChars="200" w:firstLine="420" w:firstLineChars="200"/>
    </w:pPr>
    <w:rPr>
      <w:rFonts w:ascii="宋体" w:hAnsi="宋体"/>
      <w:spacing w:val="20"/>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样式 正文文字缩进 + (中文) 仿宋_GB2312 行距: 固定值 26 磅"/>
    <w:basedOn w:val="9"/>
    <w:qFormat/>
    <w:uiPriority w:val="0"/>
    <w:pPr>
      <w:adjustRightInd/>
      <w:spacing w:line="520" w:lineRule="exact"/>
      <w:ind w:left="0" w:firstLine="480" w:firstLineChars="200"/>
      <w:textAlignment w:val="auto"/>
    </w:pPr>
    <w:rPr>
      <w:rFonts w:ascii="Times New Roman" w:hAnsi="Times New Roman" w:eastAsia="仿宋_GB2312"/>
      <w:spacing w:val="0"/>
      <w:sz w:val="30"/>
    </w:rPr>
  </w:style>
  <w:style w:type="paragraph" w:customStyle="1" w:styleId="2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5">
    <w:name w:val="表格"/>
    <w:basedOn w:val="1"/>
    <w:next w:val="1"/>
    <w:qFormat/>
    <w:uiPriority w:val="0"/>
    <w:pPr>
      <w:adjustRightInd/>
      <w:spacing w:line="240" w:lineRule="auto"/>
      <w:jc w:val="center"/>
      <w:textAlignment w:val="auto"/>
    </w:pPr>
  </w:style>
  <w:style w:type="table" w:customStyle="1" w:styleId="26">
    <w:name w:val="Table Normal"/>
    <w:unhideWhenUsed/>
    <w:qFormat/>
    <w:uiPriority w:val="2"/>
    <w:pPr>
      <w:widowControl w:val="0"/>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27">
    <w:name w:val="表内容"/>
    <w:basedOn w:val="1"/>
    <w:qFormat/>
    <w:uiPriority w:val="0"/>
    <w:pPr>
      <w:spacing w:line="240" w:lineRule="auto"/>
      <w:ind w:firstLine="200" w:firstLineChars="200"/>
      <w:jc w:val="center"/>
      <w:textAlignment w:val="auto"/>
      <w:outlineLvl w:val="4"/>
    </w:pPr>
    <w:rPr>
      <w:sz w:val="28"/>
      <w:szCs w:val="24"/>
    </w:rPr>
  </w:style>
  <w:style w:type="paragraph" w:customStyle="1" w:styleId="28">
    <w:name w:val="Table Text"/>
    <w:basedOn w:val="1"/>
    <w:semiHidden/>
    <w:qFormat/>
    <w:uiPriority w:val="0"/>
    <w:rPr>
      <w:rFonts w:ascii="Arial" w:hAnsi="Arial" w:eastAsia="Arial" w:cs="Arial"/>
      <w:sz w:val="21"/>
      <w:szCs w:val="21"/>
      <w:lang w:val="en-US" w:eastAsia="en-US" w:bidi="ar-SA"/>
    </w:rPr>
  </w:style>
  <w:style w:type="paragraph" w:customStyle="1" w:styleId="29">
    <w:name w:val="正文 New"/>
    <w:qFormat/>
    <w:uiPriority w:val="0"/>
    <w:pPr>
      <w:widowControl w:val="0"/>
      <w:ind w:firstLine="200" w:firstLineChars="200"/>
      <w:jc w:val="both"/>
    </w:pPr>
    <w:rPr>
      <w:rFonts w:ascii="宋体" w:hAnsi="宋体" w:eastAsia="宋体" w:cs="Times New Roman"/>
      <w:kern w:val="2"/>
      <w:sz w:val="2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image" Target="media/image4.jpeg"/><Relationship Id="rId25" Type="http://schemas.openxmlformats.org/officeDocument/2006/relationships/image" Target="media/image3.png"/><Relationship Id="rId24" Type="http://schemas.openxmlformats.org/officeDocument/2006/relationships/image" Target="media/image2.jpeg"/><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12813</Words>
  <Characters>15601</Characters>
  <Lines>0</Lines>
  <Paragraphs>0</Paragraphs>
  <TotalTime>2</TotalTime>
  <ScaleCrop>false</ScaleCrop>
  <LinksUpToDate>false</LinksUpToDate>
  <CharactersWithSpaces>15878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2025-05-28T12:47:00Z</dcterms:created>
  <dc:creator>Administrator</dc:creator>
  <cp:lastModifiedBy>sky</cp:lastModifiedBy>
  <cp:lastPrinted>2026-08-01T03:48:00Z</cp:lastPrinted>
  <dcterms:modified xsi:type="dcterms:W3CDTF">2026-08-17T03:20:43Z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eyJoZGlkIjoiNGVjMGZmNzQ1ZGFmYmE0ZTY0NmM1ZjA0ODM1NTBmNGQiLCJ1c2VySWQiOiI0MTM5MjkxMTgifQ==</vt:lpwstr>
  </property>
  <property fmtid="{D5CDD505-2E9C-101B-9397-08002B2CF9AE}" pid="4" name="ICV">
    <vt:lpwstr>3286357274C54100A6FDFDF223273DA5_13</vt:lpwstr>
  </property>
</Properties>
</file>