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51C2">
      <w:pPr>
        <w:rPr>
          <w:rFonts w:ascii="黑体" w:eastAsia="黑体"/>
          <w:sz w:val="32"/>
          <w:szCs w:val="32"/>
        </w:rPr>
      </w:pPr>
      <w:r>
        <w:rPr>
          <w:rFonts w:hint="eastAsia" w:ascii="黑体" w:eastAsia="黑体"/>
          <w:sz w:val="32"/>
          <w:szCs w:val="32"/>
        </w:rPr>
        <w:t>附件1</w:t>
      </w:r>
    </w:p>
    <w:p w14:paraId="33692DFC">
      <w:pPr>
        <w:spacing w:beforeLines="100" w:line="230" w:lineRule="auto"/>
        <w:ind w:right="653" w:firstLine="663" w:firstLineChars="150"/>
        <w:jc w:val="center"/>
        <w:rPr>
          <w:rFonts w:hint="eastAsia" w:ascii="方正小标宋简体" w:hAnsi="宋体" w:eastAsia="方正小标宋简体" w:cs="宋体"/>
          <w:bCs/>
          <w:spacing w:val="1"/>
          <w:sz w:val="44"/>
          <w:szCs w:val="44"/>
        </w:rPr>
      </w:pPr>
      <w:r>
        <w:rPr>
          <w:rFonts w:hint="eastAsia" w:ascii="方正小标宋简体" w:hAnsi="宋体" w:eastAsia="方正小标宋简体" w:cs="宋体"/>
          <w:bCs/>
          <w:spacing w:val="1"/>
          <w:sz w:val="44"/>
          <w:szCs w:val="44"/>
        </w:rPr>
        <w:t>2025年农作物有害生物预警与防控项目</w:t>
      </w:r>
      <w:r>
        <w:rPr>
          <w:rFonts w:hint="eastAsia" w:ascii="方正小标宋简体" w:hAnsi="宋体" w:eastAsia="方正小标宋简体" w:cs="宋体"/>
          <w:bCs/>
          <w:sz w:val="44"/>
          <w:szCs w:val="44"/>
        </w:rPr>
        <w:t>实施方案</w:t>
      </w:r>
    </w:p>
    <w:p w14:paraId="36D9E1A3">
      <w:pPr>
        <w:spacing w:beforeLines="100" w:line="347" w:lineRule="auto"/>
        <w:ind w:right="20" w:firstLine="644" w:firstLineChars="200"/>
        <w:jc w:val="both"/>
        <w:rPr>
          <w:rFonts w:hint="eastAsia" w:ascii="仿宋_GB2312" w:hAnsi="仿宋" w:eastAsia="仿宋_GB2312" w:cs="仿宋"/>
          <w:sz w:val="32"/>
          <w:szCs w:val="32"/>
        </w:rPr>
      </w:pPr>
      <w:r>
        <w:rPr>
          <w:rFonts w:hint="eastAsia" w:ascii="仿宋_GB2312" w:hAnsi="仿宋" w:eastAsia="仿宋_GB2312" w:cs="仿宋"/>
          <w:spacing w:val="1"/>
          <w:sz w:val="32"/>
          <w:szCs w:val="32"/>
        </w:rPr>
        <w:t>农作物有害生物监测预警与防控项目资金主要</w:t>
      </w:r>
      <w:r>
        <w:rPr>
          <w:rFonts w:hint="eastAsia" w:ascii="仿宋_GB2312" w:hAnsi="仿宋" w:eastAsia="仿宋_GB2312" w:cs="仿宋"/>
          <w:sz w:val="32"/>
          <w:szCs w:val="32"/>
        </w:rPr>
        <w:t>用于农作物病</w:t>
      </w:r>
      <w:r>
        <w:rPr>
          <w:rFonts w:hint="eastAsia" w:ascii="仿宋_GB2312" w:hAnsi="仿宋" w:eastAsia="仿宋_GB2312" w:cs="仿宋"/>
          <w:spacing w:val="-1"/>
          <w:sz w:val="32"/>
          <w:szCs w:val="32"/>
        </w:rPr>
        <w:t>虫草鼠和疫情的监测、防控技术示范推广和农药使用监管。202</w:t>
      </w:r>
      <w:r>
        <w:rPr>
          <w:rFonts w:hint="eastAsia" w:ascii="仿宋_GB2312" w:hAnsi="仿宋" w:eastAsia="仿宋_GB2312" w:cs="仿宋"/>
          <w:spacing w:val="-2"/>
          <w:sz w:val="32"/>
          <w:szCs w:val="32"/>
        </w:rPr>
        <w:t>5</w:t>
      </w:r>
      <w:r>
        <w:rPr>
          <w:rFonts w:hint="eastAsia" w:ascii="仿宋_GB2312" w:hAnsi="仿宋" w:eastAsia="仿宋_GB2312" w:cs="仿宋"/>
          <w:spacing w:val="-8"/>
          <w:sz w:val="32"/>
          <w:szCs w:val="32"/>
        </w:rPr>
        <w:t>年项目具体实施方案如下：</w:t>
      </w:r>
    </w:p>
    <w:p w14:paraId="529A3DC2">
      <w:pPr>
        <w:spacing w:line="224" w:lineRule="auto"/>
        <w:ind w:left="644"/>
        <w:outlineLvl w:val="0"/>
        <w:rPr>
          <w:rFonts w:hint="eastAsia" w:ascii="仿宋_GB2312" w:hAnsi="黑体" w:eastAsia="仿宋_GB2312" w:cs="黑体"/>
          <w:sz w:val="32"/>
          <w:szCs w:val="32"/>
        </w:rPr>
      </w:pPr>
      <w:r>
        <w:rPr>
          <w:rFonts w:hint="eastAsia" w:ascii="仿宋_GB2312" w:hAnsi="黑体" w:eastAsia="仿宋_GB2312" w:cs="黑体"/>
          <w:b/>
          <w:bCs/>
          <w:spacing w:val="-6"/>
          <w:sz w:val="32"/>
          <w:szCs w:val="32"/>
        </w:rPr>
        <w:t>一、总体目标</w:t>
      </w:r>
    </w:p>
    <w:p w14:paraId="4FB34B98">
      <w:pPr>
        <w:spacing w:line="346" w:lineRule="auto"/>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按照“预防为主、综合防治”的植保方针，建立健全农作物重大病虫草鼠害及疫情监测预警体系，积极开</w:t>
      </w:r>
      <w:r>
        <w:rPr>
          <w:rFonts w:hint="eastAsia" w:ascii="仿宋_GB2312" w:hAnsi="仿宋" w:eastAsia="仿宋_GB2312" w:cs="仿宋"/>
          <w:spacing w:val="-1"/>
          <w:sz w:val="32"/>
          <w:szCs w:val="32"/>
        </w:rPr>
        <w:t>展农作物重大病虫</w:t>
      </w:r>
      <w:r>
        <w:rPr>
          <w:rFonts w:hint="eastAsia" w:ascii="仿宋_GB2312" w:hAnsi="仿宋" w:eastAsia="仿宋_GB2312" w:cs="仿宋"/>
          <w:sz w:val="32"/>
          <w:szCs w:val="32"/>
        </w:rPr>
        <w:t>与疫情监测预警、绿色防控示范、农药使用监测、植物重大疫情防控示范等工作，努力控制农作物重大病虫草鼠害不大面积暴发</w:t>
      </w:r>
      <w:r>
        <w:rPr>
          <w:rFonts w:hint="eastAsia" w:ascii="仿宋_GB2312" w:hAnsi="仿宋" w:eastAsia="仿宋_GB2312" w:cs="仿宋"/>
          <w:spacing w:val="1"/>
          <w:sz w:val="32"/>
          <w:szCs w:val="32"/>
        </w:rPr>
        <w:t>成灾，重大植物疫情不恶性传播蔓延。2025年粮食作物病虫总体</w:t>
      </w:r>
      <w:r>
        <w:rPr>
          <w:rFonts w:hint="eastAsia" w:ascii="仿宋_GB2312" w:hAnsi="仿宋" w:eastAsia="仿宋_GB2312" w:cs="仿宋"/>
          <w:spacing w:val="8"/>
          <w:sz w:val="32"/>
          <w:szCs w:val="32"/>
        </w:rPr>
        <w:t>危害损失率控制在5%以下，农药使用量比上年减少2%以上。</w:t>
      </w:r>
    </w:p>
    <w:p w14:paraId="79998E15">
      <w:pPr>
        <w:spacing w:line="221" w:lineRule="auto"/>
        <w:ind w:left="644"/>
        <w:outlineLvl w:val="0"/>
        <w:rPr>
          <w:rFonts w:hint="eastAsia" w:ascii="仿宋_GB2312" w:hAnsi="黑体" w:eastAsia="仿宋_GB2312" w:cs="黑体"/>
          <w:sz w:val="32"/>
          <w:szCs w:val="32"/>
        </w:rPr>
      </w:pPr>
      <w:r>
        <w:rPr>
          <w:rFonts w:hint="eastAsia" w:ascii="仿宋_GB2312" w:hAnsi="黑体" w:eastAsia="仿宋_GB2312" w:cs="黑体"/>
          <w:b/>
          <w:bCs/>
          <w:spacing w:val="-23"/>
          <w:sz w:val="32"/>
          <w:szCs w:val="32"/>
        </w:rPr>
        <w:t>二、</w:t>
      </w:r>
      <w:r>
        <w:rPr>
          <w:rFonts w:hint="eastAsia" w:ascii="仿宋_GB2312" w:hAnsi="黑体" w:eastAsia="仿宋_GB2312" w:cs="黑体"/>
          <w:spacing w:val="-57"/>
          <w:sz w:val="32"/>
          <w:szCs w:val="32"/>
        </w:rPr>
        <w:t xml:space="preserve"> </w:t>
      </w:r>
      <w:r>
        <w:rPr>
          <w:rFonts w:hint="eastAsia" w:ascii="仿宋_GB2312" w:hAnsi="黑体" w:eastAsia="仿宋_GB2312" w:cs="黑体"/>
          <w:b/>
          <w:bCs/>
          <w:spacing w:val="-23"/>
          <w:sz w:val="32"/>
          <w:szCs w:val="32"/>
        </w:rPr>
        <w:t>主要任务</w:t>
      </w:r>
    </w:p>
    <w:p w14:paraId="04A9D4CD">
      <w:pPr>
        <w:spacing w:line="346" w:lineRule="auto"/>
        <w:ind w:right="27" w:firstLine="784"/>
        <w:jc w:val="both"/>
        <w:rPr>
          <w:rFonts w:hint="eastAsia" w:ascii="仿宋_GB2312" w:hAnsi="仿宋" w:eastAsia="仿宋_GB2312" w:cs="仿宋"/>
          <w:sz w:val="32"/>
          <w:szCs w:val="32"/>
        </w:rPr>
      </w:pPr>
      <w:r>
        <w:rPr>
          <w:rFonts w:hint="eastAsia" w:ascii="仿宋_GB2312" w:hAnsi="仿宋" w:eastAsia="仿宋_GB2312" w:cs="仿宋"/>
          <w:b/>
          <w:bCs/>
          <w:spacing w:val="-2"/>
          <w:sz w:val="32"/>
          <w:szCs w:val="32"/>
        </w:rPr>
        <w:t>(一)加强监测预警。</w:t>
      </w:r>
      <w:r>
        <w:rPr>
          <w:rFonts w:hint="eastAsia" w:ascii="仿宋_GB2312" w:hAnsi="仿宋" w:eastAsia="仿宋_GB2312" w:cs="仿宋"/>
          <w:spacing w:val="5"/>
          <w:sz w:val="32"/>
          <w:szCs w:val="32"/>
        </w:rPr>
        <w:t>以粮食作物为主，在47个重点县建设188</w:t>
      </w:r>
      <w:r>
        <w:rPr>
          <w:rFonts w:hint="eastAsia" w:ascii="仿宋_GB2312" w:hAnsi="仿宋" w:eastAsia="仿宋_GB2312" w:cs="仿宋"/>
          <w:sz w:val="32"/>
          <w:szCs w:val="32"/>
        </w:rPr>
        <w:t>个病虫监测网点，每县建设4个病虫监测点，</w:t>
      </w:r>
      <w:r>
        <w:rPr>
          <w:rFonts w:hint="eastAsia" w:ascii="仿宋_GB2312" w:hAnsi="仿宋" w:eastAsia="仿宋_GB2312" w:cs="仿宋"/>
          <w:spacing w:val="-2"/>
          <w:sz w:val="32"/>
          <w:szCs w:val="32"/>
        </w:rPr>
        <w:t>通过购置监测设备、政府购买村级农</w:t>
      </w:r>
      <w:r>
        <w:rPr>
          <w:rFonts w:hint="eastAsia" w:ascii="仿宋_GB2312" w:hAnsi="仿宋" w:eastAsia="仿宋_GB2312" w:cs="仿宋"/>
          <w:spacing w:val="5"/>
          <w:sz w:val="32"/>
          <w:szCs w:val="32"/>
        </w:rPr>
        <w:t>民植保员服务及购买第三方监测服务等，</w:t>
      </w:r>
      <w:r>
        <w:rPr>
          <w:rFonts w:hint="eastAsia" w:ascii="仿宋_GB2312" w:hAnsi="仿宋" w:eastAsia="仿宋_GB2312" w:cs="仿宋"/>
          <w:sz w:val="32"/>
          <w:szCs w:val="32"/>
        </w:rPr>
        <w:t>开展农作物重大病虫害尤其是草地贪夜蛾、水稻迁飞性害虫、流行性病害和突发性病虫的监测预警，并鼓励智能化测报工具的试验、示范及应用，提升监测预</w:t>
      </w:r>
      <w:r>
        <w:rPr>
          <w:rFonts w:hint="eastAsia" w:ascii="仿宋_GB2312" w:hAnsi="仿宋" w:eastAsia="仿宋_GB2312" w:cs="仿宋"/>
          <w:spacing w:val="-1"/>
          <w:sz w:val="32"/>
          <w:szCs w:val="32"/>
        </w:rPr>
        <w:t>警信息化、数字化、智能化水平。通过“福建农作物有害生物监控信息系统”和</w:t>
      </w:r>
      <w:r>
        <w:rPr>
          <w:rFonts w:hint="eastAsia" w:ascii="仿宋_GB2312" w:hAnsi="仿宋" w:eastAsia="仿宋_GB2312" w:cs="仿宋"/>
          <w:spacing w:val="9"/>
          <w:sz w:val="32"/>
          <w:szCs w:val="32"/>
        </w:rPr>
        <w:t>“中国农业有害生物信息系统”按时报送重大病虫害发生</w:t>
      </w:r>
      <w:r>
        <w:rPr>
          <w:rFonts w:hint="eastAsia" w:ascii="仿宋_GB2312" w:hAnsi="仿宋" w:eastAsia="仿宋_GB2312" w:cs="仿宋"/>
          <w:spacing w:val="8"/>
          <w:sz w:val="32"/>
          <w:szCs w:val="32"/>
        </w:rPr>
        <w:t>信息，</w:t>
      </w:r>
      <w:r>
        <w:rPr>
          <w:rFonts w:hint="eastAsia" w:ascii="仿宋_GB2312" w:hAnsi="仿宋" w:eastAsia="仿宋_GB2312" w:cs="仿宋"/>
          <w:sz w:val="32"/>
          <w:szCs w:val="32"/>
        </w:rPr>
        <w:t xml:space="preserve"> </w:t>
      </w:r>
      <w:r>
        <w:rPr>
          <w:rFonts w:hint="eastAsia" w:ascii="仿宋_GB2312" w:hAnsi="仿宋" w:eastAsia="仿宋_GB2312" w:cs="仿宋"/>
          <w:spacing w:val="11"/>
          <w:sz w:val="32"/>
          <w:szCs w:val="32"/>
        </w:rPr>
        <w:t>适时召开病虫发生趋势会商会，及时发布病虫情</w:t>
      </w:r>
      <w:r>
        <w:rPr>
          <w:rFonts w:hint="eastAsia" w:ascii="仿宋_GB2312" w:hAnsi="仿宋" w:eastAsia="仿宋_GB2312" w:cs="仿宋"/>
          <w:spacing w:val="10"/>
          <w:sz w:val="32"/>
          <w:szCs w:val="32"/>
        </w:rPr>
        <w:t>报，为指导病虫</w:t>
      </w:r>
      <w:r>
        <w:rPr>
          <w:rFonts w:hint="eastAsia" w:ascii="仿宋_GB2312" w:hAnsi="仿宋" w:eastAsia="仿宋_GB2312" w:cs="仿宋"/>
          <w:sz w:val="32"/>
          <w:szCs w:val="32"/>
        </w:rPr>
        <w:t>防控提供科学依据。</w:t>
      </w:r>
    </w:p>
    <w:p w14:paraId="7FB7D4FC">
      <w:pPr>
        <w:spacing w:line="353" w:lineRule="auto"/>
        <w:ind w:right="18" w:firstLine="683" w:firstLineChars="200"/>
        <w:jc w:val="both"/>
        <w:rPr>
          <w:rFonts w:hint="eastAsia" w:ascii="仿宋_GB2312" w:hAnsi="仿宋" w:eastAsia="仿宋_GB2312" w:cs="仿宋"/>
          <w:sz w:val="32"/>
          <w:szCs w:val="32"/>
        </w:rPr>
      </w:pPr>
      <w:r>
        <w:rPr>
          <w:rFonts w:hint="eastAsia" w:ascii="仿宋_GB2312" w:hAnsi="仿宋" w:eastAsia="仿宋_GB2312" w:cs="仿宋"/>
          <w:b/>
          <w:bCs/>
          <w:spacing w:val="10"/>
          <w:sz w:val="32"/>
          <w:szCs w:val="32"/>
        </w:rPr>
        <w:t>(二)组织绿色防控示范。</w:t>
      </w:r>
      <w:r>
        <w:rPr>
          <w:rFonts w:hint="eastAsia" w:ascii="仿宋_GB2312" w:hAnsi="仿宋" w:eastAsia="仿宋_GB2312" w:cs="仿宋"/>
          <w:sz w:val="32"/>
          <w:szCs w:val="32"/>
        </w:rPr>
        <w:t xml:space="preserve"> </w:t>
      </w:r>
      <w:r>
        <w:rPr>
          <w:rFonts w:hint="eastAsia" w:ascii="仿宋_GB2312" w:hAnsi="仿宋" w:eastAsia="仿宋_GB2312" w:cs="仿宋"/>
          <w:spacing w:val="10"/>
          <w:sz w:val="32"/>
          <w:szCs w:val="32"/>
        </w:rPr>
        <w:t>在30个示范县分别建设水稻、茶</w:t>
      </w:r>
      <w:r>
        <w:rPr>
          <w:rFonts w:hint="eastAsia" w:ascii="仿宋_GB2312" w:hAnsi="仿宋" w:eastAsia="仿宋_GB2312" w:cs="仿宋"/>
          <w:spacing w:val="11"/>
          <w:sz w:val="32"/>
          <w:szCs w:val="32"/>
        </w:rPr>
        <w:t>叶、蔬菜、果树等病虫害绿色防控示范区，每示范县建设绿色防</w:t>
      </w:r>
      <w:r>
        <w:rPr>
          <w:rFonts w:hint="eastAsia" w:ascii="仿宋_GB2312" w:hAnsi="仿宋" w:eastAsia="仿宋_GB2312" w:cs="仿宋"/>
          <w:spacing w:val="10"/>
          <w:sz w:val="32"/>
          <w:szCs w:val="32"/>
        </w:rPr>
        <w:t>控核心示范面积1700亩，示范推广以健康栽培为基础，以生物防治、生态控制、物理防治、理化诱控为主，辅以化学防治等综合</w:t>
      </w:r>
      <w:r>
        <w:rPr>
          <w:rFonts w:hint="eastAsia" w:ascii="仿宋_GB2312" w:hAnsi="仿宋" w:eastAsia="仿宋_GB2312" w:cs="仿宋"/>
          <w:spacing w:val="6"/>
          <w:sz w:val="32"/>
          <w:szCs w:val="32"/>
        </w:rPr>
        <w:t>技术的绿色防控措施，辐射推动绿色防控技术的应用与推广。</w:t>
      </w:r>
    </w:p>
    <w:p w14:paraId="1E3B9A39">
      <w:pPr>
        <w:spacing w:line="353" w:lineRule="auto"/>
        <w:ind w:right="18" w:firstLine="723" w:firstLineChars="200"/>
        <w:jc w:val="both"/>
        <w:rPr>
          <w:rFonts w:hint="eastAsia" w:ascii="仿宋_GB2312" w:hAnsi="仿宋" w:eastAsia="仿宋_GB2312" w:cs="仿宋"/>
          <w:sz w:val="32"/>
          <w:szCs w:val="32"/>
        </w:rPr>
      </w:pPr>
      <w:r>
        <w:rPr>
          <w:rFonts w:hint="eastAsia" w:ascii="仿宋_GB2312" w:hAnsi="仿宋" w:eastAsia="仿宋_GB2312" w:cs="仿宋"/>
          <w:b/>
          <w:bCs/>
          <w:spacing w:val="20"/>
          <w:sz w:val="32"/>
          <w:szCs w:val="32"/>
        </w:rPr>
        <w:t>(三)建立农药使用监测。</w:t>
      </w:r>
      <w:r>
        <w:rPr>
          <w:rFonts w:hint="eastAsia" w:ascii="仿宋_GB2312" w:hAnsi="仿宋" w:eastAsia="仿宋_GB2312" w:cs="仿宋"/>
          <w:spacing w:val="20"/>
          <w:sz w:val="32"/>
          <w:szCs w:val="32"/>
        </w:rPr>
        <w:t>在36个县建设农药使用监测点</w:t>
      </w:r>
      <w:r>
        <w:rPr>
          <w:rFonts w:hint="eastAsia" w:ascii="仿宋_GB2312" w:hAnsi="仿宋" w:eastAsia="仿宋_GB2312" w:cs="仿宋"/>
          <w:sz w:val="32"/>
          <w:szCs w:val="32"/>
        </w:rPr>
        <w:t xml:space="preserve"> </w:t>
      </w:r>
      <w:r>
        <w:rPr>
          <w:rFonts w:hint="eastAsia" w:ascii="仿宋_GB2312" w:hAnsi="仿宋" w:eastAsia="仿宋_GB2312" w:cs="仿宋"/>
          <w:spacing w:val="15"/>
          <w:sz w:val="32"/>
          <w:szCs w:val="32"/>
        </w:rPr>
        <w:t>360个，每县根据种植作物合理布局建立10个点。监测点农</w:t>
      </w:r>
      <w:r>
        <w:rPr>
          <w:rFonts w:hint="eastAsia" w:ascii="仿宋_GB2312" w:hAnsi="仿宋" w:eastAsia="仿宋_GB2312" w:cs="仿宋"/>
          <w:spacing w:val="14"/>
          <w:sz w:val="32"/>
          <w:szCs w:val="32"/>
        </w:rPr>
        <w:t>作物</w:t>
      </w:r>
      <w:r>
        <w:rPr>
          <w:rFonts w:hint="eastAsia" w:ascii="仿宋_GB2312" w:hAnsi="仿宋" w:eastAsia="仿宋_GB2312" w:cs="仿宋"/>
          <w:spacing w:val="10"/>
          <w:sz w:val="32"/>
          <w:szCs w:val="32"/>
        </w:rPr>
        <w:t>每次施药时，及时通过“福建省农药使用调查与监测系统”填报</w:t>
      </w:r>
      <w:r>
        <w:rPr>
          <w:rFonts w:hint="eastAsia" w:ascii="仿宋_GB2312" w:hAnsi="仿宋" w:eastAsia="仿宋_GB2312" w:cs="仿宋"/>
          <w:spacing w:val="7"/>
          <w:sz w:val="32"/>
          <w:szCs w:val="32"/>
        </w:rPr>
        <w:t>农户用药情况，为我省农药减量增效及科学指导用药提供依据</w:t>
      </w:r>
      <w:r>
        <w:rPr>
          <w:rFonts w:hint="eastAsia" w:ascii="仿宋_GB2312" w:hAnsi="仿宋" w:eastAsia="仿宋_GB2312" w:cs="仿宋"/>
          <w:spacing w:val="6"/>
          <w:sz w:val="32"/>
          <w:szCs w:val="32"/>
        </w:rPr>
        <w:t>。</w:t>
      </w:r>
    </w:p>
    <w:p w14:paraId="1B844B37">
      <w:pPr>
        <w:spacing w:line="353" w:lineRule="auto"/>
        <w:ind w:right="18" w:firstLine="804"/>
        <w:jc w:val="both"/>
        <w:rPr>
          <w:rFonts w:hint="eastAsia" w:ascii="仿宋_GB2312" w:hAnsi="仿宋" w:eastAsia="仿宋_GB2312" w:cs="仿宋"/>
          <w:sz w:val="32"/>
          <w:szCs w:val="32"/>
        </w:rPr>
      </w:pPr>
      <w:r>
        <w:rPr>
          <w:rFonts w:hint="eastAsia" w:ascii="仿宋_GB2312" w:hAnsi="仿宋" w:eastAsia="仿宋_GB2312" w:cs="仿宋"/>
          <w:b/>
          <w:bCs/>
          <w:spacing w:val="9"/>
          <w:sz w:val="32"/>
          <w:szCs w:val="32"/>
        </w:rPr>
        <w:t>(四)强化植物疫情监控。</w:t>
      </w:r>
      <w:r>
        <w:rPr>
          <w:rFonts w:hint="eastAsia" w:ascii="仿宋_GB2312" w:hAnsi="仿宋" w:eastAsia="仿宋_GB2312" w:cs="仿宋"/>
          <w:spacing w:val="39"/>
          <w:sz w:val="32"/>
          <w:szCs w:val="32"/>
        </w:rPr>
        <w:t xml:space="preserve"> </w:t>
      </w:r>
      <w:r>
        <w:rPr>
          <w:rFonts w:hint="eastAsia" w:ascii="仿宋_GB2312" w:hAnsi="仿宋" w:eastAsia="仿宋_GB2312" w:cs="仿宋"/>
          <w:spacing w:val="9"/>
          <w:sz w:val="32"/>
          <w:szCs w:val="32"/>
        </w:rPr>
        <w:t>加强重大植物疫情监测与调</w:t>
      </w:r>
      <w:r>
        <w:rPr>
          <w:rFonts w:hint="eastAsia" w:ascii="仿宋_GB2312" w:hAnsi="仿宋" w:eastAsia="仿宋_GB2312" w:cs="仿宋"/>
          <w:spacing w:val="8"/>
          <w:sz w:val="32"/>
          <w:szCs w:val="32"/>
        </w:rPr>
        <w:t>查工</w:t>
      </w:r>
      <w:r>
        <w:rPr>
          <w:rFonts w:hint="eastAsia" w:ascii="仿宋_GB2312" w:hAnsi="仿宋" w:eastAsia="仿宋_GB2312" w:cs="仿宋"/>
          <w:spacing w:val="11"/>
          <w:sz w:val="32"/>
          <w:szCs w:val="32"/>
        </w:rPr>
        <w:t>作，每月定期开展全省疫情普查与上报，规范疫</w:t>
      </w:r>
      <w:r>
        <w:rPr>
          <w:rFonts w:hint="eastAsia" w:ascii="仿宋_GB2312" w:hAnsi="仿宋" w:eastAsia="仿宋_GB2312" w:cs="仿宋"/>
          <w:spacing w:val="10"/>
          <w:sz w:val="32"/>
          <w:szCs w:val="32"/>
        </w:rPr>
        <w:t>情信息报送，加强数据分析，提升疫情报告的准确性、时效性。组织13个项目县</w:t>
      </w:r>
      <w:r>
        <w:rPr>
          <w:rFonts w:hint="eastAsia" w:ascii="仿宋_GB2312" w:hAnsi="仿宋" w:eastAsia="仿宋_GB2312" w:cs="仿宋"/>
          <w:spacing w:val="5"/>
          <w:sz w:val="32"/>
          <w:szCs w:val="32"/>
        </w:rPr>
        <w:t>开展红火蚁、柑橘黄龙病等重大检疫病虫防控示范。</w:t>
      </w:r>
    </w:p>
    <w:p w14:paraId="4D105363">
      <w:pPr>
        <w:spacing w:line="222" w:lineRule="auto"/>
        <w:ind w:left="674"/>
        <w:outlineLvl w:val="0"/>
        <w:rPr>
          <w:rFonts w:hint="eastAsia" w:ascii="仿宋_GB2312" w:hAnsi="黑体" w:eastAsia="仿宋_GB2312" w:cs="黑体"/>
          <w:sz w:val="32"/>
          <w:szCs w:val="32"/>
        </w:rPr>
      </w:pPr>
      <w:r>
        <w:rPr>
          <w:rFonts w:hint="eastAsia" w:ascii="仿宋_GB2312" w:hAnsi="黑体" w:eastAsia="仿宋_GB2312" w:cs="黑体"/>
          <w:b/>
          <w:bCs/>
          <w:spacing w:val="-4"/>
          <w:sz w:val="32"/>
          <w:szCs w:val="32"/>
        </w:rPr>
        <w:t>三、</w:t>
      </w:r>
      <w:r>
        <w:rPr>
          <w:rFonts w:hint="eastAsia" w:ascii="仿宋_GB2312" w:hAnsi="黑体" w:eastAsia="仿宋_GB2312" w:cs="黑体"/>
          <w:spacing w:val="-62"/>
          <w:sz w:val="32"/>
          <w:szCs w:val="32"/>
        </w:rPr>
        <w:t xml:space="preserve"> </w:t>
      </w:r>
      <w:r>
        <w:rPr>
          <w:rFonts w:hint="eastAsia" w:ascii="仿宋_GB2312" w:hAnsi="黑体" w:eastAsia="仿宋_GB2312" w:cs="黑体"/>
          <w:b/>
          <w:bCs/>
          <w:spacing w:val="-4"/>
          <w:sz w:val="32"/>
          <w:szCs w:val="32"/>
        </w:rPr>
        <w:t>补助范围与标准</w:t>
      </w:r>
    </w:p>
    <w:p w14:paraId="03086BF0">
      <w:pPr>
        <w:spacing w:before="233" w:line="224" w:lineRule="auto"/>
        <w:ind w:left="804"/>
        <w:rPr>
          <w:rFonts w:hint="eastAsia" w:ascii="仿宋_GB2312" w:hAnsi="楷体" w:eastAsia="仿宋_GB2312" w:cs="楷体"/>
          <w:sz w:val="32"/>
          <w:szCs w:val="32"/>
        </w:rPr>
      </w:pPr>
      <w:r>
        <w:rPr>
          <w:rFonts w:hint="eastAsia" w:ascii="仿宋_GB2312" w:hAnsi="楷体" w:eastAsia="仿宋_GB2312" w:cs="楷体"/>
          <w:b/>
          <w:bCs/>
          <w:spacing w:val="15"/>
          <w:sz w:val="32"/>
          <w:szCs w:val="32"/>
        </w:rPr>
        <w:t>(一)县级植保部门任务目标及补助标准</w:t>
      </w:r>
    </w:p>
    <w:p w14:paraId="33A9F94D">
      <w:pPr>
        <w:spacing w:line="602" w:lineRule="exact"/>
        <w:ind w:firstLine="660" w:firstLineChars="200"/>
        <w:jc w:val="both"/>
        <w:rPr>
          <w:rFonts w:hint="eastAsia" w:ascii="仿宋_GB2312" w:hAnsi="仿宋" w:eastAsia="仿宋_GB2312" w:cs="仿宋"/>
          <w:spacing w:val="5"/>
          <w:sz w:val="32"/>
          <w:szCs w:val="32"/>
        </w:rPr>
      </w:pPr>
      <w:r>
        <w:rPr>
          <w:rFonts w:hint="eastAsia" w:ascii="仿宋_GB2312" w:hAnsi="仿宋" w:eastAsia="仿宋_GB2312" w:cs="仿宋"/>
          <w:spacing w:val="5"/>
          <w:sz w:val="32"/>
          <w:szCs w:val="32"/>
        </w:rPr>
        <w:t>项目县(市、区)按照以下四个因素承担任务数量分配项目资金</w:t>
      </w:r>
      <w:r>
        <w:rPr>
          <w:rFonts w:hint="eastAsia" w:ascii="仿宋_GB2312" w:hAnsi="仿宋" w:eastAsia="仿宋_GB2312" w:cs="仿宋"/>
          <w:spacing w:val="-15"/>
          <w:sz w:val="32"/>
          <w:szCs w:val="32"/>
        </w:rPr>
        <w:t>：</w:t>
      </w:r>
    </w:p>
    <w:p w14:paraId="4310365F">
      <w:pPr>
        <w:spacing w:line="614"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1.建设农作物病虫监测点，每县补助资金7万元、建设4个点(惠安县、上杭县2024年病虫害监测任务完成靠后，该项资金各调减2万元)；</w:t>
      </w:r>
    </w:p>
    <w:p w14:paraId="530C13C5">
      <w:pPr>
        <w:spacing w:line="222" w:lineRule="auto"/>
        <w:ind w:firstLine="660" w:firstLineChars="200"/>
        <w:rPr>
          <w:rFonts w:hint="eastAsia" w:ascii="仿宋_GB2312" w:hAnsi="仿宋" w:eastAsia="仿宋_GB2312" w:cs="仿宋"/>
          <w:spacing w:val="-4"/>
          <w:sz w:val="32"/>
          <w:szCs w:val="32"/>
        </w:rPr>
      </w:pPr>
      <w:r>
        <w:rPr>
          <w:rFonts w:hint="eastAsia" w:ascii="仿宋_GB2312" w:hAnsi="仿宋" w:eastAsia="仿宋_GB2312" w:cs="仿宋"/>
          <w:spacing w:val="5"/>
          <w:sz w:val="32"/>
          <w:szCs w:val="32"/>
        </w:rPr>
        <w:t>2.</w:t>
      </w:r>
      <w:r>
        <w:rPr>
          <w:rFonts w:hint="eastAsia" w:ascii="仿宋_GB2312" w:hAnsi="仿宋" w:eastAsia="仿宋_GB2312" w:cs="仿宋"/>
          <w:spacing w:val="-4"/>
          <w:sz w:val="32"/>
          <w:szCs w:val="32"/>
        </w:rPr>
        <w:t>建设农药使用监测点，每县补助资金5万元、建设10个点；</w:t>
      </w:r>
    </w:p>
    <w:p w14:paraId="4E484F29">
      <w:pPr>
        <w:spacing w:line="592" w:lineRule="exact"/>
        <w:ind w:firstLine="660" w:firstLineChars="200"/>
        <w:rPr>
          <w:rFonts w:hint="eastAsia" w:ascii="仿宋_GB2312" w:hAnsi="仿宋" w:eastAsia="仿宋_GB2312" w:cs="仿宋"/>
          <w:spacing w:val="5"/>
          <w:sz w:val="32"/>
          <w:szCs w:val="32"/>
        </w:rPr>
      </w:pPr>
      <w:r>
        <w:rPr>
          <w:rFonts w:hint="eastAsia" w:ascii="仿宋_GB2312" w:hAnsi="仿宋" w:eastAsia="仿宋_GB2312" w:cs="仿宋"/>
          <w:spacing w:val="5"/>
          <w:sz w:val="32"/>
          <w:szCs w:val="32"/>
        </w:rPr>
        <w:t>3.建设绿色防控核心示范片，每县补助资金5万元、建设面积1700亩；</w:t>
      </w:r>
    </w:p>
    <w:p w14:paraId="0F4262CF">
      <w:pPr>
        <w:spacing w:line="594" w:lineRule="exact"/>
        <w:ind w:firstLine="660" w:firstLineChars="200"/>
        <w:rPr>
          <w:rFonts w:hint="eastAsia" w:ascii="仿宋_GB2312" w:hAnsi="仿宋" w:eastAsia="仿宋_GB2312" w:cs="仿宋"/>
          <w:spacing w:val="5"/>
          <w:sz w:val="32"/>
          <w:szCs w:val="32"/>
        </w:rPr>
      </w:pPr>
      <w:r>
        <w:rPr>
          <w:rFonts w:hint="eastAsia" w:ascii="仿宋_GB2312" w:hAnsi="仿宋" w:eastAsia="仿宋_GB2312" w:cs="仿宋"/>
          <w:spacing w:val="5"/>
          <w:sz w:val="32"/>
          <w:szCs w:val="32"/>
        </w:rPr>
        <w:t>4.建设植物检疫性疫情防控示范点，每县补助资金5万元、建设1个点。</w:t>
      </w:r>
    </w:p>
    <w:p w14:paraId="0E59DEFE">
      <w:pPr>
        <w:spacing w:before="226" w:line="224" w:lineRule="auto"/>
        <w:ind w:left="814"/>
        <w:rPr>
          <w:rFonts w:hint="eastAsia" w:ascii="仿宋_GB2312" w:hAnsi="楷体" w:eastAsia="仿宋_GB2312" w:cs="楷体"/>
          <w:sz w:val="32"/>
          <w:szCs w:val="32"/>
        </w:rPr>
      </w:pPr>
      <w:r>
        <w:rPr>
          <w:rFonts w:hint="eastAsia" w:ascii="仿宋_GB2312" w:hAnsi="楷体" w:eastAsia="仿宋_GB2312" w:cs="楷体"/>
          <w:b/>
          <w:bCs/>
          <w:spacing w:val="16"/>
          <w:sz w:val="32"/>
          <w:szCs w:val="32"/>
        </w:rPr>
        <w:t xml:space="preserve"> (二)设区市植保部门任务目标及补助标准</w:t>
      </w:r>
    </w:p>
    <w:p w14:paraId="70040ECB">
      <w:pPr>
        <w:spacing w:line="346" w:lineRule="auto"/>
        <w:ind w:right="79" w:firstLine="629"/>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除厦门市、平潭综合实验区外，承担任务的8个设区市植保部门每个补助10万元，任务指标：上报植物疫情月报12期，农作物重大病虫害周报20期。</w:t>
      </w:r>
    </w:p>
    <w:p w14:paraId="1951C706">
      <w:pPr>
        <w:spacing w:line="222" w:lineRule="auto"/>
        <w:ind w:left="634"/>
        <w:rPr>
          <w:rFonts w:hint="eastAsia" w:ascii="仿宋_GB2312" w:hAnsi="黑体" w:eastAsia="仿宋_GB2312" w:cs="黑体"/>
          <w:sz w:val="32"/>
          <w:szCs w:val="32"/>
        </w:rPr>
      </w:pPr>
      <w:r>
        <w:rPr>
          <w:rFonts w:hint="eastAsia" w:ascii="仿宋_GB2312" w:hAnsi="黑体" w:eastAsia="仿宋_GB2312" w:cs="黑体"/>
          <w:b/>
          <w:bCs/>
          <w:spacing w:val="-13"/>
          <w:sz w:val="32"/>
          <w:szCs w:val="32"/>
        </w:rPr>
        <w:t>四、</w:t>
      </w:r>
      <w:r>
        <w:rPr>
          <w:rFonts w:hint="eastAsia" w:ascii="仿宋_GB2312" w:hAnsi="黑体" w:eastAsia="仿宋_GB2312" w:cs="黑体"/>
          <w:spacing w:val="-70"/>
          <w:sz w:val="32"/>
          <w:szCs w:val="32"/>
        </w:rPr>
        <w:t xml:space="preserve"> </w:t>
      </w:r>
      <w:r>
        <w:rPr>
          <w:rFonts w:hint="eastAsia" w:ascii="仿宋_GB2312" w:hAnsi="黑体" w:eastAsia="仿宋_GB2312" w:cs="黑体"/>
          <w:b/>
          <w:bCs/>
          <w:spacing w:val="-13"/>
          <w:sz w:val="32"/>
          <w:szCs w:val="32"/>
        </w:rPr>
        <w:t>工作要求</w:t>
      </w:r>
    </w:p>
    <w:p w14:paraId="6A159001">
      <w:pPr>
        <w:spacing w:line="346" w:lineRule="auto"/>
        <w:ind w:firstLine="651" w:firstLineChars="200"/>
        <w:rPr>
          <w:rFonts w:hint="eastAsia" w:ascii="仿宋_GB2312" w:hAnsi="仿宋" w:eastAsia="仿宋_GB2312" w:cs="仿宋"/>
          <w:spacing w:val="11"/>
          <w:sz w:val="32"/>
          <w:szCs w:val="32"/>
        </w:rPr>
      </w:pPr>
      <w:r>
        <w:rPr>
          <w:rFonts w:hint="eastAsia" w:ascii="仿宋_GB2312" w:hAnsi="仿宋" w:eastAsia="仿宋_GB2312" w:cs="仿宋"/>
          <w:b/>
          <w:bCs/>
          <w:spacing w:val="2"/>
          <w:sz w:val="32"/>
          <w:szCs w:val="32"/>
        </w:rPr>
        <w:t>1.</w:t>
      </w:r>
      <w:r>
        <w:rPr>
          <w:rFonts w:hint="eastAsia" w:ascii="仿宋_GB2312" w:hAnsi="仿宋" w:eastAsia="仿宋_GB2312" w:cs="仿宋"/>
          <w:b/>
          <w:spacing w:val="5"/>
          <w:sz w:val="32"/>
          <w:szCs w:val="32"/>
        </w:rPr>
        <w:t>落实责任目标。</w:t>
      </w:r>
      <w:r>
        <w:rPr>
          <w:rFonts w:hint="eastAsia" w:ascii="仿宋_GB2312" w:hAnsi="仿宋" w:eastAsia="仿宋_GB2312" w:cs="仿宋"/>
          <w:spacing w:val="11"/>
          <w:sz w:val="32"/>
          <w:szCs w:val="32"/>
        </w:rPr>
        <w:t>推动各级政府健全农作物重大病虫害和植物疫情监控体系，加强组织协调，落实属地责任和岗位职责，形成“上下联动、多层推动、</w:t>
      </w:r>
      <w:r>
        <w:rPr>
          <w:rFonts w:hint="eastAsia" w:ascii="仿宋_GB2312" w:hAnsi="仿宋" w:eastAsia="仿宋_GB2312" w:cs="仿宋"/>
          <w:spacing w:val="11"/>
          <w:sz w:val="32"/>
          <w:szCs w:val="32"/>
          <w:lang w:eastAsia="zh-CN"/>
        </w:rPr>
        <w:t>各司其职</w:t>
      </w:r>
      <w:r>
        <w:rPr>
          <w:rFonts w:hint="eastAsia" w:ascii="仿宋_GB2312" w:hAnsi="仿宋" w:eastAsia="仿宋_GB2312" w:cs="仿宋"/>
          <w:spacing w:val="11"/>
          <w:sz w:val="32"/>
          <w:szCs w:val="32"/>
        </w:rPr>
        <w:t>”的防控工作机制。</w:t>
      </w:r>
    </w:p>
    <w:p w14:paraId="03FD1F9E">
      <w:pPr>
        <w:spacing w:line="346" w:lineRule="auto"/>
        <w:ind w:right="27" w:firstLine="651" w:firstLineChars="200"/>
        <w:jc w:val="both"/>
        <w:rPr>
          <w:rFonts w:hint="eastAsia" w:ascii="仿宋_GB2312" w:hAnsi="仿宋" w:eastAsia="仿宋_GB2312" w:cs="仿宋"/>
          <w:sz w:val="32"/>
          <w:szCs w:val="32"/>
        </w:rPr>
      </w:pPr>
      <w:r>
        <w:rPr>
          <w:rFonts w:hint="eastAsia" w:ascii="仿宋_GB2312" w:hAnsi="仿宋" w:eastAsia="仿宋_GB2312" w:cs="仿宋"/>
          <w:b/>
          <w:bCs/>
          <w:spacing w:val="2"/>
          <w:sz w:val="32"/>
          <w:szCs w:val="32"/>
        </w:rPr>
        <w:t>2.细化实施方案。</w:t>
      </w:r>
      <w:r>
        <w:rPr>
          <w:rFonts w:hint="eastAsia" w:ascii="仿宋_GB2312" w:hAnsi="仿宋" w:eastAsia="仿宋_GB2312" w:cs="仿宋"/>
          <w:sz w:val="32"/>
          <w:szCs w:val="32"/>
        </w:rPr>
        <w:t xml:space="preserve"> 各级农业农村部门要按照专项资金管理办法要求，针对目标任务、绩效指标等，结合本地实际情况，</w:t>
      </w:r>
      <w:bookmarkStart w:id="0" w:name="_GoBack"/>
      <w:bookmarkEnd w:id="0"/>
      <w:r>
        <w:rPr>
          <w:rFonts w:hint="eastAsia" w:ascii="仿宋_GB2312" w:hAnsi="仿宋" w:eastAsia="仿宋_GB2312" w:cs="仿宋"/>
          <w:sz w:val="32"/>
          <w:szCs w:val="32"/>
        </w:rPr>
        <w:t>编制专项实施方案或办法，进一步细化任务补助对象资格或条件、补助标准、明确补助资金申请、分配和拨付程序、切实抓好项目组织实施，验收审核、预算调整、绩效监控等内容，推进项目有好有快开展。</w:t>
      </w:r>
    </w:p>
    <w:p w14:paraId="7289A799">
      <w:pPr>
        <w:spacing w:line="351" w:lineRule="auto"/>
        <w:ind w:firstLine="714"/>
        <w:rPr>
          <w:rFonts w:hint="eastAsia" w:ascii="仿宋_GB2312" w:hAnsi="仿宋" w:eastAsia="仿宋_GB2312" w:cs="仿宋"/>
          <w:spacing w:val="15"/>
          <w:sz w:val="32"/>
          <w:szCs w:val="32"/>
        </w:rPr>
      </w:pPr>
      <w:r>
        <w:rPr>
          <w:rFonts w:hint="eastAsia" w:ascii="仿宋_GB2312" w:hAnsi="仿宋" w:eastAsia="仿宋_GB2312" w:cs="仿宋"/>
          <w:b/>
          <w:bCs/>
          <w:spacing w:val="3"/>
          <w:sz w:val="32"/>
          <w:szCs w:val="32"/>
        </w:rPr>
        <w:t>3.加快资金支出。</w:t>
      </w:r>
      <w:r>
        <w:rPr>
          <w:rFonts w:hint="eastAsia" w:ascii="仿宋_GB2312" w:hAnsi="仿宋" w:eastAsia="仿宋_GB2312" w:cs="仿宋"/>
          <w:spacing w:val="3"/>
          <w:sz w:val="32"/>
          <w:szCs w:val="32"/>
        </w:rPr>
        <w:t>要早谋划、早安排、早执行、早验收</w:t>
      </w:r>
      <w:r>
        <w:rPr>
          <w:rFonts w:hint="eastAsia" w:ascii="仿宋_GB2312" w:hAnsi="仿宋" w:eastAsia="仿宋_GB2312" w:cs="仿宋"/>
          <w:spacing w:val="2"/>
          <w:sz w:val="32"/>
          <w:szCs w:val="32"/>
        </w:rPr>
        <w:t>，加</w:t>
      </w:r>
      <w:r>
        <w:rPr>
          <w:rFonts w:hint="eastAsia" w:ascii="仿宋_GB2312" w:hAnsi="仿宋" w:eastAsia="仿宋_GB2312" w:cs="仿宋"/>
          <w:spacing w:val="12"/>
          <w:sz w:val="32"/>
          <w:szCs w:val="32"/>
        </w:rPr>
        <w:t>快项目资金支出进度，及时在“福</w:t>
      </w:r>
      <w:r>
        <w:rPr>
          <w:rFonts w:hint="eastAsia" w:ascii="宋体" w:hAnsi="宋体" w:eastAsia="宋体" w:cs="宋体"/>
          <w:spacing w:val="12"/>
          <w:sz w:val="32"/>
          <w:szCs w:val="32"/>
        </w:rPr>
        <w:t>建省农业农村厅</w:t>
      </w:r>
      <w:r>
        <w:rPr>
          <w:rFonts w:hint="eastAsia" w:ascii="仿宋_GB2312" w:hAnsi="仿宋" w:eastAsia="仿宋_GB2312" w:cs="仿宋"/>
          <w:spacing w:val="12"/>
          <w:sz w:val="32"/>
          <w:szCs w:val="32"/>
        </w:rPr>
        <w:t>财政资金上报系</w:t>
      </w:r>
      <w:r>
        <w:rPr>
          <w:rFonts w:hint="eastAsia" w:ascii="仿宋_GB2312" w:hAnsi="仿宋" w:eastAsia="仿宋_GB2312" w:cs="仿宋"/>
          <w:spacing w:val="11"/>
          <w:sz w:val="32"/>
          <w:szCs w:val="32"/>
        </w:rPr>
        <w:t>统”中进行填报，按序完成资金支出要求。项目资金使用按照</w:t>
      </w:r>
      <w:r>
        <w:rPr>
          <w:rFonts w:hint="eastAsia" w:ascii="仿宋_GB2312" w:hAnsi="仿宋" w:eastAsia="仿宋_GB2312" w:cs="仿宋"/>
          <w:spacing w:val="30"/>
          <w:sz w:val="32"/>
          <w:szCs w:val="32"/>
        </w:rPr>
        <w:t>专项资金管理办法</w:t>
      </w:r>
      <w:r>
        <w:rPr>
          <w:rFonts w:hint="eastAsia" w:ascii="仿宋_GB2312" w:hAnsi="仿宋" w:eastAsia="仿宋_GB2312" w:cs="仿宋"/>
          <w:spacing w:val="15"/>
          <w:sz w:val="32"/>
          <w:szCs w:val="32"/>
        </w:rPr>
        <w:t>执行，专款专用，不得截留、挤占、挪用等。</w:t>
      </w:r>
    </w:p>
    <w:p w14:paraId="692F0F63">
      <w:pPr>
        <w:spacing w:line="357" w:lineRule="auto"/>
        <w:ind w:right="16" w:firstLine="704"/>
        <w:jc w:val="both"/>
        <w:rPr>
          <w:rFonts w:hint="eastAsia" w:ascii="仿宋_GB2312" w:hAnsi="仿宋" w:eastAsia="仿宋_GB2312" w:cs="仿宋"/>
          <w:spacing w:val="15"/>
          <w:sz w:val="32"/>
          <w:szCs w:val="32"/>
        </w:rPr>
      </w:pPr>
      <w:r>
        <w:rPr>
          <w:rFonts w:hint="eastAsia" w:ascii="仿宋_GB2312" w:hAnsi="仿宋" w:eastAsia="仿宋_GB2312" w:cs="仿宋"/>
          <w:b/>
          <w:spacing w:val="15"/>
          <w:sz w:val="32"/>
          <w:szCs w:val="32"/>
        </w:rPr>
        <w:t>4.做好项目公开。</w:t>
      </w:r>
      <w:r>
        <w:rPr>
          <w:rFonts w:hint="eastAsia" w:ascii="仿宋_GB2312" w:hAnsi="仿宋" w:eastAsia="仿宋_GB2312" w:cs="仿宋"/>
          <w:spacing w:val="15"/>
          <w:sz w:val="32"/>
          <w:szCs w:val="32"/>
        </w:rPr>
        <w:t>按照“应公开尽公开”“谁分配、谁公开，谁使用、谁公开，分配到哪里、公开到哪里”的原则，依托市县政府网站、农业农村部门网站等多种载体与方式，做到资金政策、资金分配、项目申报、项目评审、项目实施、项目验收“六公开”，全面接受社会和群众监督，提高项目资金使用的透明度和群众参与度。</w:t>
      </w:r>
    </w:p>
    <w:p w14:paraId="1805E587">
      <w:pPr>
        <w:spacing w:line="357" w:lineRule="auto"/>
        <w:ind w:right="16" w:firstLine="704"/>
        <w:jc w:val="both"/>
        <w:rPr>
          <w:rFonts w:hint="eastAsia" w:ascii="仿宋_GB2312" w:hAnsi="仿宋" w:eastAsia="仿宋_GB2312" w:cs="仿宋"/>
          <w:spacing w:val="15"/>
          <w:sz w:val="32"/>
          <w:szCs w:val="32"/>
        </w:rPr>
      </w:pPr>
      <w:r>
        <w:rPr>
          <w:rFonts w:hint="eastAsia" w:ascii="仿宋_GB2312" w:hAnsi="仿宋" w:eastAsia="仿宋_GB2312" w:cs="仿宋"/>
          <w:b/>
          <w:spacing w:val="15"/>
          <w:sz w:val="32"/>
          <w:szCs w:val="32"/>
        </w:rPr>
        <w:t>5.加强绩效监控。</w:t>
      </w:r>
      <w:r>
        <w:rPr>
          <w:rFonts w:hint="eastAsia" w:ascii="仿宋_GB2312" w:hAnsi="仿宋" w:eastAsia="仿宋_GB2312" w:cs="仿宋"/>
          <w:spacing w:val="15"/>
          <w:sz w:val="32"/>
          <w:szCs w:val="32"/>
        </w:rPr>
        <w:t>加大专项资金使用管理过程监控力度，确保规范有序开展、保证执行进度，各项目单位要求季度调度一次项目进展情况，分别于项目执行年的6月25日，9月25日将项目任务指标和资金支出情况报设区市汇总后上报省植保植检总站，12月20日前将项目档案归档工作、确保有关材料长期保存、随时可查、内容完整等。</w:t>
      </w:r>
    </w:p>
    <w:p w14:paraId="19EBAFEC">
      <w:pPr>
        <w:spacing w:line="357" w:lineRule="auto"/>
        <w:ind w:right="16" w:firstLine="704"/>
        <w:jc w:val="both"/>
        <w:rPr>
          <w:rFonts w:ascii="仿宋_GB2312" w:hAnsi="仿宋_GB2312" w:eastAsia="仿宋_GB2312" w:cs="仿宋_GB2312"/>
          <w:sz w:val="28"/>
          <w:szCs w:val="28"/>
        </w:rPr>
      </w:pPr>
      <w:r>
        <w:rPr>
          <w:rFonts w:hint="eastAsia" w:ascii="仿宋_GB2312" w:hAnsi="仿宋" w:eastAsia="仿宋_GB2312" w:cs="仿宋"/>
          <w:b/>
          <w:spacing w:val="15"/>
          <w:sz w:val="32"/>
          <w:szCs w:val="32"/>
        </w:rPr>
        <w:t>6.开展监督检查。</w:t>
      </w:r>
      <w:r>
        <w:rPr>
          <w:rFonts w:hint="eastAsia" w:ascii="仿宋_GB2312" w:hAnsi="仿宋" w:eastAsia="仿宋_GB2312" w:cs="仿宋"/>
          <w:spacing w:val="15"/>
          <w:sz w:val="32"/>
          <w:szCs w:val="32"/>
        </w:rPr>
        <w:t>各级农业农村部门要通过日常监督、专项督查、结合出差下乡进行抽查等多种方式，加强对资金使用情况的督查，按照项目资金中等风险管理要求，每2年进行1次专项监督检查，保证项目资金合规使用。</w:t>
      </w:r>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8B21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3ZjU2MDkxNTk5ODUxN2FhNGZmY2I4MjMzZmZiZTcifQ=="/>
  </w:docVars>
  <w:rsids>
    <w:rsidRoot w:val="00EB7231"/>
    <w:rsid w:val="000347B2"/>
    <w:rsid w:val="00095085"/>
    <w:rsid w:val="000C2504"/>
    <w:rsid w:val="000E652E"/>
    <w:rsid w:val="00167003"/>
    <w:rsid w:val="00182BC7"/>
    <w:rsid w:val="00241A23"/>
    <w:rsid w:val="003179E2"/>
    <w:rsid w:val="003435ED"/>
    <w:rsid w:val="00387E78"/>
    <w:rsid w:val="003C1840"/>
    <w:rsid w:val="003D7620"/>
    <w:rsid w:val="004D69DC"/>
    <w:rsid w:val="005934B2"/>
    <w:rsid w:val="005E1AE6"/>
    <w:rsid w:val="00656199"/>
    <w:rsid w:val="00780F35"/>
    <w:rsid w:val="00817937"/>
    <w:rsid w:val="0086100B"/>
    <w:rsid w:val="00950737"/>
    <w:rsid w:val="00960AE9"/>
    <w:rsid w:val="009720E0"/>
    <w:rsid w:val="009753EB"/>
    <w:rsid w:val="009A5D8B"/>
    <w:rsid w:val="00A37346"/>
    <w:rsid w:val="00A564D6"/>
    <w:rsid w:val="00A574FF"/>
    <w:rsid w:val="00AD19BA"/>
    <w:rsid w:val="00AD5D12"/>
    <w:rsid w:val="00AF7B67"/>
    <w:rsid w:val="00BA461B"/>
    <w:rsid w:val="00C20CA2"/>
    <w:rsid w:val="00CC6396"/>
    <w:rsid w:val="00D93C86"/>
    <w:rsid w:val="00DC24F9"/>
    <w:rsid w:val="00DD186C"/>
    <w:rsid w:val="00E32F75"/>
    <w:rsid w:val="00E916E5"/>
    <w:rsid w:val="00EB4D50"/>
    <w:rsid w:val="00EB7231"/>
    <w:rsid w:val="00F668DB"/>
    <w:rsid w:val="01857805"/>
    <w:rsid w:val="02EB5366"/>
    <w:rsid w:val="22204E78"/>
    <w:rsid w:val="49943C69"/>
    <w:rsid w:val="4B594581"/>
    <w:rsid w:val="5C0F1DCA"/>
    <w:rsid w:val="61730EFA"/>
    <w:rsid w:val="673570AF"/>
    <w:rsid w:val="71A46F63"/>
    <w:rsid w:val="7CB2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uiPriority="9" w:name="heading 3"/>
    <w:lsdException w:uiPriority="9" w:name="heading 4"/>
    <w:lsdException w:uiPriority="9"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11"/>
    <w:qFormat/>
    <w:uiPriority w:val="9"/>
    <w:pPr>
      <w:keepNext/>
      <w:keepLines/>
      <w:widowControl w:val="0"/>
      <w:kinsoku/>
      <w:autoSpaceDE/>
      <w:autoSpaceDN/>
      <w:adjustRightInd/>
      <w:snapToGrid/>
      <w:spacing w:before="340" w:after="330" w:line="578" w:lineRule="auto"/>
      <w:jc w:val="both"/>
      <w:textAlignment w:val="auto"/>
      <w:outlineLvl w:val="0"/>
    </w:pPr>
    <w:rPr>
      <w:rFonts w:asciiTheme="minorHAnsi" w:hAnsiTheme="minorHAnsi" w:cstheme="minorBidi"/>
      <w:b/>
      <w:bCs/>
      <w:snapToGrid/>
      <w:color w:val="auto"/>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semiHidden/>
    <w:unhideWhenUsed/>
    <w:qFormat/>
    <w:uiPriority w:val="99"/>
    <w:pPr>
      <w:tabs>
        <w:tab w:val="center" w:pos="4153"/>
        <w:tab w:val="right" w:pos="8306"/>
      </w:tabs>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Subtitle"/>
    <w:basedOn w:val="1"/>
    <w:next w:val="1"/>
    <w:link w:val="13"/>
    <w:qFormat/>
    <w:uiPriority w:val="11"/>
    <w:pPr>
      <w:widowControl w:val="0"/>
      <w:kinsoku/>
      <w:autoSpaceDE/>
      <w:autoSpaceDN/>
      <w:adjustRightInd/>
      <w:snapToGrid/>
      <w:spacing w:before="240" w:after="60" w:line="312" w:lineRule="auto"/>
      <w:jc w:val="center"/>
      <w:textAlignment w:val="auto"/>
      <w:outlineLvl w:val="1"/>
    </w:pPr>
    <w:rPr>
      <w:rFonts w:eastAsia="宋体" w:asciiTheme="majorHAnsi" w:hAnsiTheme="majorHAnsi" w:cstheme="majorBidi"/>
      <w:b/>
      <w:bCs/>
      <w:snapToGrid/>
      <w:color w:val="auto"/>
      <w:kern w:val="28"/>
      <w:sz w:val="32"/>
      <w:szCs w:val="32"/>
    </w:rPr>
  </w:style>
  <w:style w:type="paragraph" w:styleId="6">
    <w:name w:val="Title"/>
    <w:basedOn w:val="1"/>
    <w:next w:val="1"/>
    <w:link w:val="12"/>
    <w:qFormat/>
    <w:uiPriority w:val="10"/>
    <w:pPr>
      <w:widowControl w:val="0"/>
      <w:kinsoku/>
      <w:autoSpaceDE/>
      <w:autoSpaceDN/>
      <w:adjustRightInd/>
      <w:snapToGrid/>
      <w:spacing w:before="240" w:after="60"/>
      <w:jc w:val="center"/>
      <w:textAlignment w:val="auto"/>
      <w:outlineLvl w:val="0"/>
    </w:pPr>
    <w:rPr>
      <w:rFonts w:eastAsia="宋体" w:asciiTheme="majorHAnsi" w:hAnsiTheme="majorHAnsi" w:cstheme="majorBidi"/>
      <w:b/>
      <w:bCs/>
      <w:snapToGrid/>
      <w:color w:val="auto"/>
      <w:kern w:val="2"/>
      <w:sz w:val="32"/>
      <w:szCs w:val="32"/>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标题 1 Char"/>
    <w:basedOn w:val="8"/>
    <w:link w:val="2"/>
    <w:qFormat/>
    <w:uiPriority w:val="9"/>
    <w:rPr>
      <w:b/>
      <w:bCs/>
      <w:kern w:val="44"/>
      <w:sz w:val="44"/>
      <w:szCs w:val="44"/>
    </w:rPr>
  </w:style>
  <w:style w:type="character" w:customStyle="1" w:styleId="12">
    <w:name w:val="标题 Char"/>
    <w:basedOn w:val="8"/>
    <w:link w:val="6"/>
    <w:qFormat/>
    <w:uiPriority w:val="10"/>
    <w:rPr>
      <w:rFonts w:eastAsia="宋体" w:asciiTheme="majorHAnsi" w:hAnsiTheme="majorHAnsi" w:cstheme="majorBidi"/>
      <w:b/>
      <w:bCs/>
      <w:sz w:val="32"/>
      <w:szCs w:val="32"/>
    </w:rPr>
  </w:style>
  <w:style w:type="character" w:customStyle="1" w:styleId="13">
    <w:name w:val="副标题 Char"/>
    <w:basedOn w:val="8"/>
    <w:link w:val="5"/>
    <w:qFormat/>
    <w:uiPriority w:val="11"/>
    <w:rPr>
      <w:rFonts w:eastAsia="宋体" w:asciiTheme="majorHAnsi" w:hAnsiTheme="majorHAnsi" w:cstheme="majorBidi"/>
      <w:b/>
      <w:bCs/>
      <w:kern w:val="28"/>
      <w:sz w:val="32"/>
      <w:szCs w:val="32"/>
    </w:rPr>
  </w:style>
  <w:style w:type="character" w:customStyle="1" w:styleId="14">
    <w:name w:val="不明显强调1"/>
    <w:basedOn w:val="8"/>
    <w:qFormat/>
    <w:uiPriority w:val="19"/>
    <w:rPr>
      <w:i/>
      <w:iCs/>
      <w:color w:val="7F7F7F" w:themeColor="text1" w:themeTint="7F"/>
    </w:rPr>
  </w:style>
  <w:style w:type="character" w:customStyle="1" w:styleId="15">
    <w:name w:val="明显强调1"/>
    <w:basedOn w:val="8"/>
    <w:qFormat/>
    <w:uiPriority w:val="21"/>
    <w:rPr>
      <w:b/>
      <w:bCs/>
      <w:i/>
      <w:iCs/>
      <w:color w:val="4F81BD" w:themeColor="accent1"/>
    </w:rPr>
  </w:style>
  <w:style w:type="character" w:customStyle="1" w:styleId="16">
    <w:name w:val="页眉 Char"/>
    <w:basedOn w:val="8"/>
    <w:link w:val="4"/>
    <w:semiHidden/>
    <w:qFormat/>
    <w:uiPriority w:val="99"/>
    <w:rPr>
      <w:rFonts w:ascii="Arial" w:hAnsi="Arial" w:cs="Arial"/>
      <w:snapToGrid w:val="0"/>
      <w:color w:val="000000"/>
      <w:kern w:val="0"/>
      <w:sz w:val="18"/>
      <w:szCs w:val="18"/>
    </w:rPr>
  </w:style>
  <w:style w:type="character" w:customStyle="1" w:styleId="17">
    <w:name w:val="页脚 Char"/>
    <w:basedOn w:val="8"/>
    <w:link w:val="3"/>
    <w:semiHidden/>
    <w:qFormat/>
    <w:uiPriority w:val="99"/>
    <w:rPr>
      <w:rFonts w:ascii="Arial" w:hAnsi="Arial" w:cs="Arial"/>
      <w:snapToGrid w:val="0"/>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1880</Words>
  <Characters>1927</Characters>
  <Lines>13</Lines>
  <Paragraphs>3</Paragraphs>
  <TotalTime>164</TotalTime>
  <ScaleCrop>false</ScaleCrop>
  <LinksUpToDate>false</LinksUpToDate>
  <CharactersWithSpaces>1936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2022-06-23T02:25:00Z</dcterms:created>
  <dc:creator>Administrator</dc:creator>
  <cp:lastModifiedBy>吴小懒</cp:lastModifiedBy>
  <dcterms:modified xsi:type="dcterms:W3CDTF">2025-06-25T08:35:23Z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B1BB697D5F7B42B4A38C2A18CE48DA5F</vt:lpwstr>
  </property>
  <property fmtid="{D5CDD505-2E9C-101B-9397-08002B2CF9AE}" pid="4" name="KSOTemplateDocerSaveRecord">
    <vt:lpwstr>eyJoZGlkIjoiNTg3NDgyZjJjNjkzYTVkZDMwNWFhODRiMzEzZTI0MDgiLCJ1c2VySWQiOiI3NDMyNTM1MzkifQ==</vt:lpwstr>
  </property>
</Properties>
</file>