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E0EC8">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themeColor="text1"/>
          <w:sz w:val="44"/>
          <w:szCs w:val="44"/>
          <w14:textFill>
            <w14:solidFill>
              <w14:schemeClr w14:val="tx1"/>
            </w14:solidFill>
          </w14:textFill>
        </w:rPr>
      </w:pPr>
      <w:r>
        <w:rPr>
          <w:rFonts w:hint="default" w:ascii="Times New Roman" w:hAnsi="Times New Roman" w:eastAsia="方正小标宋简体" w:cs="Times New Roman"/>
          <w:color w:val="000000" w:themeColor="text1"/>
          <w:sz w:val="44"/>
          <w:szCs w:val="44"/>
          <w14:textFill>
            <w14:solidFill>
              <w14:schemeClr w14:val="tx1"/>
            </w14:solidFill>
          </w14:textFill>
        </w:rPr>
        <w:t>明溪县烟草制品零售点合理布局</w:t>
      </w:r>
      <w:r>
        <w:rPr>
          <w:rFonts w:hint="default" w:ascii="Times New Roman" w:hAnsi="Times New Roman" w:eastAsia="方正小标宋简体" w:cs="Times New Roman"/>
          <w:color w:val="000000" w:themeColor="text1"/>
          <w:sz w:val="44"/>
          <w:szCs w:val="44"/>
          <w:lang w:eastAsia="zh-CN"/>
          <w14:textFill>
            <w14:solidFill>
              <w14:schemeClr w14:val="tx1"/>
            </w14:solidFill>
          </w14:textFill>
        </w:rPr>
        <w:t>管理</w:t>
      </w:r>
      <w:r>
        <w:rPr>
          <w:rFonts w:hint="default" w:ascii="Times New Roman" w:hAnsi="Times New Roman" w:eastAsia="方正小标宋简体" w:cs="Times New Roman"/>
          <w:color w:val="000000" w:themeColor="text1"/>
          <w:sz w:val="44"/>
          <w:szCs w:val="44"/>
          <w14:textFill>
            <w14:solidFill>
              <w14:schemeClr w14:val="tx1"/>
            </w14:solidFill>
          </w14:textFill>
        </w:rPr>
        <w:t>规定</w:t>
      </w:r>
    </w:p>
    <w:p w14:paraId="2FB10284">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（征求意见稿）</w:t>
      </w:r>
    </w:p>
    <w:p w14:paraId="3E6B0D2C">
      <w:pPr>
        <w:spacing w:line="590" w:lineRule="exact"/>
        <w:jc w:val="center"/>
        <w:rPr>
          <w:rFonts w:hint="default" w:ascii="Times New Roman" w:hAnsi="Times New Roman" w:eastAsia="黑体" w:cs="Times New Roman"/>
          <w:color w:val="000000" w:themeColor="text1"/>
          <w:sz w:val="32"/>
          <w:szCs w:val="32"/>
          <w14:textFill>
            <w14:solidFill>
              <w14:schemeClr w14:val="tx1"/>
            </w14:solidFill>
          </w14:textFill>
        </w:rPr>
      </w:pPr>
    </w:p>
    <w:p w14:paraId="66D4A035">
      <w:pPr>
        <w:spacing w:line="590" w:lineRule="exact"/>
        <w:jc w:val="center"/>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第一章</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32"/>
          <w:szCs w:val="32"/>
          <w14:textFill>
            <w14:solidFill>
              <w14:schemeClr w14:val="tx1"/>
            </w14:solidFill>
          </w14:textFill>
        </w:rPr>
        <w:t xml:space="preserve"> 总</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32"/>
          <w:szCs w:val="32"/>
          <w14:textFill>
            <w14:solidFill>
              <w14:schemeClr w14:val="tx1"/>
            </w14:solidFill>
          </w14:textFill>
        </w:rPr>
        <w:t>则</w:t>
      </w:r>
    </w:p>
    <w:p w14:paraId="1F6BFC70">
      <w:pPr>
        <w:autoSpaceDE w:val="0"/>
        <w:autoSpaceDN w:val="0"/>
        <w:adjustRightInd w:val="0"/>
        <w:spacing w:line="590" w:lineRule="exact"/>
        <w:ind w:firstLine="640"/>
        <w:rPr>
          <w:rFonts w:hint="default" w:ascii="Times New Roman" w:hAnsi="Times New Roman" w:eastAsia="仿宋_GB2312" w:cs="Times New Roman"/>
          <w:b/>
          <w:bCs/>
          <w:color w:val="000000" w:themeColor="text1"/>
          <w:sz w:val="32"/>
          <w:szCs w:val="32"/>
          <w14:textFill>
            <w14:solidFill>
              <w14:schemeClr w14:val="tx1"/>
            </w14:solidFill>
          </w14:textFill>
        </w:rPr>
      </w:pPr>
    </w:p>
    <w:p w14:paraId="65D20ED1">
      <w:pPr>
        <w:autoSpaceDE w:val="0"/>
        <w:autoSpaceDN w:val="0"/>
        <w:adjustRightInd w:val="0"/>
        <w:spacing w:line="600" w:lineRule="exact"/>
        <w:ind w:firstLine="641"/>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第一条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为规范烟草制品零售市场秩序，加强烟草制品零售点布局管理，合理配置市场资源，维护国家利益和消费者利益，根据《中华人民共和国烟草专卖法》《中华人民共和国行政许可法》《中华人民共和国烟草专卖法实施条例》《烟草专卖许可证管理办法》（中华人民共和国工业和信息化部令第37号）、《烟草专卖许可证管理办法实施细则》（国烟法〔2020〕205号）、《国家烟草专卖局关于印发完善烟草专卖零售许可管理优化政务服务工作指引的通知》（国烟法〔2024〕55号）等法律、法规、规章的相关规定，结合明溪县实际，制定本规定。</w:t>
      </w:r>
    </w:p>
    <w:p w14:paraId="6D0B9F83">
      <w:pPr>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 xml:space="preserve">第二条 </w:t>
      </w:r>
      <w:r>
        <w:rPr>
          <w:rFonts w:hint="default" w:ascii="Times New Roman" w:hAnsi="Times New Roman" w:eastAsia="仿宋_GB2312" w:cs="Times New Roman"/>
          <w:color w:val="000000" w:themeColor="text1"/>
          <w:sz w:val="32"/>
          <w:szCs w:val="32"/>
          <w14:textFill>
            <w14:solidFill>
              <w14:schemeClr w14:val="tx1"/>
            </w14:solidFill>
          </w14:textFill>
        </w:rPr>
        <w:t>烟草制品零售点合理布局遵循依法行政、科学规划、服务社会、均衡发展的原则，烟草制品零售点设置坚持公开、公平、公正，方便消费的原则。</w:t>
      </w:r>
    </w:p>
    <w:p w14:paraId="288EBE20">
      <w:pPr>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已持有烟草专卖零售许可证的个体工商户、法人或其他组织办理延续申请，除经营场所的安全要求、中小学及幼儿园周围、经营场所条件发生变化导致其既不符合取得许可时条件也不符合申请延续时的零售点合理布局规划要求的限制规定外，不受所在地烟草制品零售点合理布局规划及其他规定调整的影响。</w:t>
      </w:r>
    </w:p>
    <w:p w14:paraId="453093F5">
      <w:pPr>
        <w:autoSpaceDE w:val="0"/>
        <w:autoSpaceDN w:val="0"/>
        <w:adjustRightInd w:val="0"/>
        <w:spacing w:line="600" w:lineRule="exact"/>
        <w:ind w:firstLine="64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 xml:space="preserve">第三条 </w:t>
      </w:r>
      <w:r>
        <w:rPr>
          <w:rFonts w:hint="default" w:ascii="Times New Roman" w:hAnsi="Times New Roman" w:eastAsia="仿宋_GB2312" w:cs="Times New Roman"/>
          <w:color w:val="000000" w:themeColor="text1"/>
          <w:sz w:val="32"/>
          <w:szCs w:val="32"/>
          <w14:textFill>
            <w14:solidFill>
              <w14:schemeClr w14:val="tx1"/>
            </w14:solidFill>
          </w14:textFill>
        </w:rPr>
        <w:t>本规定适用于明溪县行政区划内烟草制品零售点的设置与管理。明溪县烟草专卖局实施烟草专卖零售许可应当遵循本规定，并进行有效的监督管理。</w:t>
      </w:r>
    </w:p>
    <w:p w14:paraId="01520635">
      <w:pPr>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 xml:space="preserve">第四条 </w:t>
      </w:r>
      <w:r>
        <w:rPr>
          <w:rFonts w:hint="default" w:ascii="Times New Roman" w:hAnsi="Times New Roman" w:eastAsia="仿宋_GB2312" w:cs="Times New Roman"/>
          <w:color w:val="000000" w:themeColor="text1"/>
          <w:sz w:val="32"/>
          <w:szCs w:val="32"/>
          <w14:textFill>
            <w14:solidFill>
              <w14:schemeClr w14:val="tx1"/>
            </w14:solidFill>
          </w14:textFill>
        </w:rPr>
        <w:t>烟草制品零售点（以下简称零售点）是指依法取得烟草专卖零售许可证从事烟草制品零售业务的公民、法人及其他组织开展烟草制品零售业务的经营场所。</w:t>
      </w:r>
    </w:p>
    <w:p w14:paraId="5D902BC3">
      <w:pPr>
        <w:pStyle w:val="3"/>
        <w:keepNext w:val="0"/>
        <w:keepLines w:val="0"/>
        <w:widowControl/>
        <w:suppressLineNumbers w:val="0"/>
        <w:spacing w:before="75" w:beforeAutospacing="0" w:after="75" w:afterAutospacing="0"/>
        <w:ind w:left="0" w:right="0"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 xml:space="preserve">第五条 </w:t>
      </w:r>
      <w:r>
        <w:rPr>
          <w:rFonts w:hint="default" w:ascii="Times New Roman" w:hAnsi="Times New Roman" w:eastAsia="仿宋_GB2312" w:cs="Times New Roman"/>
          <w:color w:val="000000" w:themeColor="text1"/>
          <w:sz w:val="32"/>
          <w:szCs w:val="32"/>
          <w14:textFill>
            <w14:solidFill>
              <w14:schemeClr w14:val="tx1"/>
            </w14:solidFill>
          </w14:textFill>
        </w:rPr>
        <w:t>本规定所称的合理布局是指烟草制品零售点设置施行“总量</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测算</w:t>
      </w:r>
      <w:r>
        <w:rPr>
          <w:rFonts w:hint="default" w:ascii="Times New Roman" w:hAnsi="Times New Roman" w:eastAsia="仿宋_GB2312" w:cs="Times New Roman"/>
          <w:color w:val="000000" w:themeColor="text1"/>
          <w:sz w:val="32"/>
          <w:szCs w:val="32"/>
          <w14:textFill>
            <w14:solidFill>
              <w14:schemeClr w14:val="tx1"/>
            </w14:solidFill>
          </w14:textFill>
        </w:rPr>
        <w:t>+区域单元+积分</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优先</w:t>
      </w:r>
      <w:r>
        <w:rPr>
          <w:rFonts w:hint="default" w:ascii="Times New Roman" w:hAnsi="Times New Roman" w:eastAsia="仿宋_GB2312" w:cs="Times New Roman"/>
          <w:color w:val="000000" w:themeColor="text1"/>
          <w:sz w:val="32"/>
          <w:szCs w:val="32"/>
          <w14:textFill>
            <w14:solidFill>
              <w14:schemeClr w14:val="tx1"/>
            </w14:solidFill>
          </w14:textFill>
        </w:rPr>
        <w:t>”模式，综合考虑辖区内人口数量、城乡人口分布、经济发展水平、交通状况、居民消费能力、消费行为习惯、城建规划、现有零售户情况、市场容量等因素，将辖区划分为若干个区域单元，并</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测算</w:t>
      </w:r>
      <w:r>
        <w:rPr>
          <w:rFonts w:hint="default" w:ascii="Times New Roman" w:hAnsi="Times New Roman" w:eastAsia="仿宋_GB2312" w:cs="Times New Roman"/>
          <w:color w:val="000000" w:themeColor="text1"/>
          <w:sz w:val="32"/>
          <w:szCs w:val="32"/>
          <w14:textFill>
            <w14:solidFill>
              <w14:schemeClr w14:val="tx1"/>
            </w14:solidFill>
          </w14:textFill>
        </w:rPr>
        <w:t>确定各区域单元零售点</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合理容量。各烟草制品零售点应当符合区域单元合理容量规划数限制，同一单元内多个申请人同时申请的，按照积分高低确定办理顺序。</w:t>
      </w:r>
    </w:p>
    <w:p w14:paraId="77B1C58D">
      <w:pPr>
        <w:spacing w:line="600" w:lineRule="exact"/>
        <w:ind w:firstLine="645"/>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 xml:space="preserve">第六条 </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明溪县</w:t>
      </w:r>
      <w:r>
        <w:rPr>
          <w:rFonts w:hint="default" w:ascii="Times New Roman" w:hAnsi="Times New Roman" w:eastAsia="仿宋_GB2312" w:cs="Times New Roman"/>
          <w:color w:val="000000" w:themeColor="text1"/>
          <w:sz w:val="32"/>
          <w:szCs w:val="32"/>
          <w14:textFill>
            <w14:solidFill>
              <w14:schemeClr w14:val="tx1"/>
            </w14:solidFill>
          </w14:textFill>
        </w:rPr>
        <w:t>烟草专卖局烟草制品零售点合理布局管理委员会应根据宏观环境、政策法规、城市建设、市场状态的变化，对零售点合理布局实行适时评估、动态管理，于每年</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11</w:t>
      </w:r>
      <w:r>
        <w:rPr>
          <w:rFonts w:hint="default" w:ascii="Times New Roman" w:hAnsi="Times New Roman" w:eastAsia="仿宋_GB2312" w:cs="Times New Roman"/>
          <w:color w:val="000000" w:themeColor="text1"/>
          <w:sz w:val="32"/>
          <w:szCs w:val="32"/>
          <w14:textFill>
            <w14:solidFill>
              <w14:schemeClr w14:val="tx1"/>
            </w14:solidFill>
          </w14:textFill>
        </w:rPr>
        <w:t>月对部分区域单元零售点规划</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合理容量</w:t>
      </w:r>
      <w:r>
        <w:rPr>
          <w:rFonts w:hint="default" w:ascii="Times New Roman" w:hAnsi="Times New Roman" w:eastAsia="仿宋_GB2312" w:cs="Times New Roman"/>
          <w:color w:val="000000" w:themeColor="text1"/>
          <w:sz w:val="32"/>
          <w:szCs w:val="32"/>
          <w14:textFill>
            <w14:solidFill>
              <w14:schemeClr w14:val="tx1"/>
            </w14:solidFill>
          </w14:textFill>
        </w:rPr>
        <w:t>进行调整并</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释放“退一进一”名额，其余时间正常受理、核查、轮候。</w:t>
      </w:r>
      <w:r>
        <w:rPr>
          <w:rFonts w:hint="default" w:ascii="Times New Roman" w:hAnsi="Times New Roman" w:eastAsia="仿宋_GB2312" w:cs="Times New Roman"/>
          <w:color w:val="000000" w:themeColor="text1"/>
          <w:sz w:val="32"/>
          <w:szCs w:val="32"/>
          <w14:textFill>
            <w14:solidFill>
              <w14:schemeClr w14:val="tx1"/>
            </w14:solidFill>
          </w14:textFill>
        </w:rPr>
        <w:t>（零售点合理布局管理委员会工作程序规定参照附件</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附件4</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w:t>
      </w:r>
    </w:p>
    <w:p w14:paraId="17A11BD4">
      <w:pPr>
        <w:pStyle w:val="3"/>
        <w:keepNext w:val="0"/>
        <w:keepLines w:val="0"/>
        <w:widowControl/>
        <w:suppressLineNumbers w:val="0"/>
        <w:spacing w:before="75" w:beforeAutospacing="0" w:after="75" w:afterAutospacing="0"/>
        <w:ind w:left="0" w:right="0" w:firstLine="640" w:firstLineChars="200"/>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明溪县</w:t>
      </w:r>
      <w:r>
        <w:rPr>
          <w:rFonts w:hint="default" w:ascii="Times New Roman" w:hAnsi="Times New Roman" w:eastAsia="仿宋_GB2312" w:cs="Times New Roman"/>
          <w:color w:val="000000" w:themeColor="text1"/>
          <w:sz w:val="32"/>
          <w:szCs w:val="32"/>
          <w14:textFill>
            <w14:solidFill>
              <w14:schemeClr w14:val="tx1"/>
            </w14:solidFill>
          </w14:textFill>
        </w:rPr>
        <w:t>烟草专卖局</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于每年</w:t>
      </w:r>
      <w:r>
        <w:rPr>
          <w:rFonts w:hint="default" w:ascii="Times New Roman" w:hAnsi="Times New Roman" w:eastAsia="仿宋_GB2312" w:cs="Times New Roman"/>
          <w:color w:val="000000" w:themeColor="text1"/>
          <w:sz w:val="32"/>
          <w:szCs w:val="32"/>
          <w14:textFill>
            <w14:solidFill>
              <w14:schemeClr w14:val="tx1"/>
            </w14:solidFill>
          </w14:textFill>
        </w:rPr>
        <w:t>根据《明溪县合理布局规划积分评定标准》（附件</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对符合申请烟草专卖零售许可证法定条件的申请人进行积分评定。申请人提交佐证材料的截止时间为</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每年</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11月20日</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w:t>
      </w:r>
    </w:p>
    <w:p w14:paraId="2D3DDE90">
      <w:pPr>
        <w:pStyle w:val="3"/>
        <w:keepNext w:val="0"/>
        <w:keepLines w:val="0"/>
        <w:widowControl/>
        <w:suppressLineNumbers w:val="0"/>
        <w:spacing w:before="75" w:beforeAutospacing="0" w:after="75" w:afterAutospacing="0"/>
        <w:ind w:left="0" w:right="0" w:firstLine="640" w:firstLineChars="200"/>
        <w:rPr>
          <w:rFonts w:hint="default" w:ascii="Times New Roman" w:hAnsi="Times New Roman" w:eastAsia="仿宋_GB2312" w:cs="Times New Roman"/>
          <w:color w:val="000000" w:themeColor="text1"/>
          <w:kern w:val="2"/>
          <w:sz w:val="36"/>
          <w:szCs w:val="36"/>
          <w:lang w:val="en-US" w:eastAsia="zh-CN" w:bidi="ar-SA"/>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明溪县烟草专卖局</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将评定结果在</w:t>
      </w:r>
      <w:r>
        <w:rPr>
          <w:rFonts w:hint="default" w:ascii="Times New Roman" w:hAnsi="Times New Roman" w:eastAsia="仿宋_GB2312" w:cs="Times New Roman"/>
          <w:color w:val="000000" w:themeColor="text1"/>
          <w:sz w:val="32"/>
          <w:szCs w:val="32"/>
          <w14:textFill>
            <w14:solidFill>
              <w14:schemeClr w14:val="tx1"/>
            </w14:solidFill>
          </w14:textFill>
        </w:rPr>
        <w:t>明溪县人民政府网站及明溪县烟草专卖局行政服务中心公示栏</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公示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公示结果无异议后，当年</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12月30日前</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按照</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积分从高到低确定办理顺序</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；积分相同的，按照申请时间的先后顺序办理。未能在当批次获得办理的申请人，保留其申请资格并进入轮候队列，轮候顺序按积分高低排列，后续有退出名额时依次递补。</w:t>
      </w:r>
    </w:p>
    <w:p w14:paraId="56C4F400">
      <w:pPr>
        <w:pStyle w:val="3"/>
        <w:keepNext w:val="0"/>
        <w:keepLines w:val="0"/>
        <w:widowControl/>
        <w:suppressLineNumbers w:val="0"/>
        <w:spacing w:before="75" w:beforeAutospacing="0" w:after="75" w:afterAutospacing="0"/>
        <w:ind w:left="0" w:right="0" w:firstLine="640" w:firstLineChars="200"/>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u w:val="none"/>
          <w:lang w:val="en-US" w:eastAsia="zh-CN" w:bidi="ar-SA"/>
          <w14:textFill>
            <w14:solidFill>
              <w14:schemeClr w14:val="tx1"/>
            </w14:solidFill>
          </w14:textFill>
        </w:rPr>
        <w:t>轮候队列的有效期为36个月。</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超过有效期仍未获得办理的，申请人需重新提交申请材料并重新评定积分。轮候期间，申请人经营条件发生变化的，应及时更新佐证材料，积分重新评定。</w:t>
      </w:r>
    </w:p>
    <w:p w14:paraId="70E44894">
      <w:pPr>
        <w:spacing w:line="600" w:lineRule="exact"/>
        <w:ind w:firstLine="645"/>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 xml:space="preserve">第七条 </w:t>
      </w:r>
      <w:r>
        <w:rPr>
          <w:rFonts w:hint="default" w:ascii="Times New Roman" w:hAnsi="Times New Roman" w:eastAsia="仿宋_GB2312" w:cs="Times New Roman"/>
          <w:color w:val="000000" w:themeColor="text1"/>
          <w:sz w:val="32"/>
          <w:szCs w:val="32"/>
          <w14:textFill>
            <w14:solidFill>
              <w14:schemeClr w14:val="tx1"/>
            </w14:solidFill>
          </w14:textFill>
        </w:rPr>
        <w:t>明溪县烟草专卖局</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即时</w:t>
      </w:r>
      <w:r>
        <w:rPr>
          <w:rFonts w:hint="default" w:ascii="Times New Roman" w:hAnsi="Times New Roman" w:eastAsia="仿宋_GB2312" w:cs="Times New Roman"/>
          <w:color w:val="000000" w:themeColor="text1"/>
          <w:sz w:val="32"/>
          <w:szCs w:val="32"/>
          <w14:textFill>
            <w14:solidFill>
              <w14:schemeClr w14:val="tx1"/>
            </w14:solidFill>
          </w14:textFill>
        </w:rPr>
        <w:t>将零售许可证变动情况在明溪县人民政府网站及明溪县烟草专卖局行政服务中心公示栏公</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示</w:t>
      </w:r>
      <w:r>
        <w:rPr>
          <w:rFonts w:hint="default" w:ascii="Times New Roman" w:hAnsi="Times New Roman" w:eastAsia="仿宋_GB2312" w:cs="Times New Roman"/>
          <w:color w:val="000000" w:themeColor="text1"/>
          <w:sz w:val="32"/>
          <w:szCs w:val="32"/>
          <w14:textFill>
            <w14:solidFill>
              <w14:schemeClr w14:val="tx1"/>
            </w14:solidFill>
          </w14:textFill>
        </w:rPr>
        <w:t>。</w:t>
      </w:r>
    </w:p>
    <w:p w14:paraId="1F3FA113">
      <w:pPr>
        <w:autoSpaceDE w:val="0"/>
        <w:autoSpaceDN w:val="0"/>
        <w:adjustRightInd w:val="0"/>
        <w:spacing w:line="600" w:lineRule="exact"/>
        <w:ind w:firstLine="64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八</w:t>
      </w:r>
      <w:r>
        <w:rPr>
          <w:rFonts w:hint="default" w:ascii="Times New Roman" w:hAnsi="Times New Roman" w:eastAsia="黑体" w:cs="Times New Roman"/>
          <w:color w:val="000000" w:themeColor="text1"/>
          <w:sz w:val="32"/>
          <w:szCs w:val="32"/>
          <w14:textFill>
            <w14:solidFill>
              <w14:schemeClr w14:val="tx1"/>
            </w14:solidFill>
          </w14:textFill>
        </w:rPr>
        <w:t xml:space="preserve">条 </w:t>
      </w:r>
      <w:r>
        <w:rPr>
          <w:rFonts w:hint="default" w:ascii="Times New Roman" w:hAnsi="Times New Roman" w:eastAsia="仿宋_GB2312" w:cs="Times New Roman"/>
          <w:color w:val="000000" w:themeColor="text1"/>
          <w:sz w:val="32"/>
          <w:szCs w:val="32"/>
          <w14:textFill>
            <w14:solidFill>
              <w14:schemeClr w14:val="tx1"/>
            </w14:solidFill>
          </w14:textFill>
        </w:rPr>
        <w:t>烟草专卖零售许可证有效期内，企业名称、个体工商户名称、法定代表人或其他组织负责人、经营者姓名以及经营地址名称等登记事项发生改变，以及企业类型发生改变但经营主体未变化的，持证人应当及时提出变更申请。</w:t>
      </w:r>
    </w:p>
    <w:p w14:paraId="1845388A">
      <w:pPr>
        <w:autoSpaceDE w:val="0"/>
        <w:autoSpaceDN w:val="0"/>
        <w:adjustRightInd w:val="0"/>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组成形式为家庭经营的个体工商户，持证人在家庭成员间变化并在原经营地址继续经营的，可以申请变更烟草专卖零售许可证。因道路规划、城市建设等客观原因造成从核定经营地址变更到原发证机关辖区内其他地址经营的,持证人应当提前提出变更申请。</w:t>
      </w:r>
    </w:p>
    <w:p w14:paraId="102DB6D6">
      <w:pPr>
        <w:autoSpaceDE w:val="0"/>
        <w:autoSpaceDN w:val="0"/>
        <w:adjustRightInd w:val="0"/>
        <w:spacing w:line="600" w:lineRule="exact"/>
        <w:ind w:firstLine="64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九</w:t>
      </w:r>
      <w:r>
        <w:rPr>
          <w:rFonts w:hint="default" w:ascii="Times New Roman" w:hAnsi="Times New Roman" w:eastAsia="黑体" w:cs="Times New Roman"/>
          <w:color w:val="000000" w:themeColor="text1"/>
          <w:sz w:val="32"/>
          <w:szCs w:val="32"/>
          <w14:textFill>
            <w14:solidFill>
              <w14:schemeClr w14:val="tx1"/>
            </w14:solidFill>
          </w14:textFill>
        </w:rPr>
        <w:t xml:space="preserve">条 </w:t>
      </w:r>
      <w:r>
        <w:rPr>
          <w:rFonts w:hint="default" w:ascii="Times New Roman" w:hAnsi="Times New Roman" w:eastAsia="仿宋_GB2312" w:cs="Times New Roman"/>
          <w:color w:val="000000" w:themeColor="text1"/>
          <w:sz w:val="32"/>
          <w:szCs w:val="32"/>
          <w14:textFill>
            <w14:solidFill>
              <w14:schemeClr w14:val="tx1"/>
            </w14:solidFill>
          </w14:textFill>
        </w:rPr>
        <w:t>申请人条件</w:t>
      </w:r>
    </w:p>
    <w:p w14:paraId="205BBAAF">
      <w:pPr>
        <w:autoSpaceDE w:val="0"/>
        <w:autoSpaceDN w:val="0"/>
        <w:adjustRightInd w:val="0"/>
        <w:spacing w:line="600" w:lineRule="exact"/>
        <w:ind w:firstLine="640" w:firstLineChars="20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申请人为公民的，</w:t>
      </w:r>
      <w:r>
        <w:rPr>
          <w:rFonts w:hint="default" w:ascii="Times New Roman" w:hAnsi="Times New Roman" w:eastAsia="仿宋_GB2312" w:cs="Times New Roman"/>
          <w:color w:val="000000" w:themeColor="text1"/>
          <w:sz w:val="32"/>
          <w:szCs w:val="32"/>
          <w14:textFill>
            <w14:solidFill>
              <w14:schemeClr w14:val="tx1"/>
            </w14:solidFill>
          </w14:textFill>
        </w:rPr>
        <w:t>应当持有有效的居民身份证，且年满18周岁具有完全民事行为能力</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；申请人为法人或其他组织的，应当具备合法有效的经营资格，且</w:t>
      </w:r>
      <w:r>
        <w:rPr>
          <w:rFonts w:hint="default" w:ascii="Times New Roman" w:hAnsi="Times New Roman" w:eastAsia="仿宋_GB2312" w:cs="Times New Roman"/>
          <w:color w:val="000000" w:themeColor="text1"/>
          <w:sz w:val="32"/>
          <w:szCs w:val="32"/>
          <w14:textFill>
            <w14:solidFill>
              <w14:schemeClr w14:val="tx1"/>
            </w14:solidFill>
          </w14:textFill>
        </w:rPr>
        <w:t>法定代表人</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或</w:t>
      </w:r>
      <w:r>
        <w:rPr>
          <w:rFonts w:hint="default" w:ascii="Times New Roman" w:hAnsi="Times New Roman" w:eastAsia="仿宋_GB2312" w:cs="Times New Roman"/>
          <w:color w:val="000000" w:themeColor="text1"/>
          <w:sz w:val="32"/>
          <w:szCs w:val="32"/>
          <w14:textFill>
            <w14:solidFill>
              <w14:schemeClr w14:val="tx1"/>
            </w14:solidFill>
          </w14:textFill>
        </w:rPr>
        <w:t>负责人</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应</w:t>
      </w:r>
      <w:r>
        <w:rPr>
          <w:rFonts w:hint="default" w:ascii="Times New Roman" w:hAnsi="Times New Roman" w:eastAsia="仿宋_GB2312" w:cs="Times New Roman"/>
          <w:color w:val="000000" w:themeColor="text1"/>
          <w:sz w:val="32"/>
          <w:szCs w:val="32"/>
          <w14:textFill>
            <w14:solidFill>
              <w14:schemeClr w14:val="tx1"/>
            </w14:solidFill>
          </w14:textFill>
        </w:rPr>
        <w:t>年满18周岁具有完全民事行为能力</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4E16B69C">
      <w:pPr>
        <w:autoSpaceDE w:val="0"/>
        <w:autoSpaceDN w:val="0"/>
        <w:adjustRightInd w:val="0"/>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 xml:space="preserve">第十条 </w:t>
      </w:r>
      <w:r>
        <w:rPr>
          <w:rFonts w:hint="default" w:ascii="Times New Roman" w:hAnsi="Times New Roman" w:eastAsia="仿宋_GB2312" w:cs="Times New Roman"/>
          <w:color w:val="000000" w:themeColor="text1"/>
          <w:sz w:val="32"/>
          <w:szCs w:val="32"/>
          <w14:textFill>
            <w14:solidFill>
              <w14:schemeClr w14:val="tx1"/>
            </w14:solidFill>
          </w14:textFill>
        </w:rPr>
        <w:t>经营条件</w:t>
      </w:r>
    </w:p>
    <w:p w14:paraId="03B67E20">
      <w:pPr>
        <w:autoSpaceDE w:val="0"/>
        <w:autoSpaceDN w:val="0"/>
        <w:adjustRightInd w:val="0"/>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有与住所相独立的固定经营场所，且符合“一址一证”的要求。</w:t>
      </w:r>
    </w:p>
    <w:p w14:paraId="2B58369E">
      <w:pPr>
        <w:autoSpaceDE w:val="0"/>
        <w:autoSpaceDN w:val="0"/>
        <w:adjustRightInd w:val="0"/>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有独立的柜台、货架等设施用于陈列、存放、销售烟草制品等已完成基本装修，能提供整洁、安全经营环境的场所。</w:t>
      </w:r>
    </w:p>
    <w:p w14:paraId="67E324E5">
      <w:pPr>
        <w:autoSpaceDE w:val="0"/>
        <w:autoSpaceDN w:val="0"/>
        <w:adjustRightInd w:val="0"/>
        <w:spacing w:line="600" w:lineRule="exact"/>
        <w:ind w:firstLine="640" w:firstLineChars="20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经营场所与住所的范围划分，由烟草专卖行政执法人员现场实地勘查、记录，并经申请人签字确认。</w:t>
      </w:r>
    </w:p>
    <w:p w14:paraId="2311B23E">
      <w:pPr>
        <w:autoSpaceDE w:val="0"/>
        <w:autoSpaceDN w:val="0"/>
        <w:adjustRightInd w:val="0"/>
        <w:spacing w:line="590" w:lineRule="exact"/>
        <w:rPr>
          <w:rFonts w:hint="default" w:ascii="Times New Roman" w:hAnsi="Times New Roman" w:eastAsia="黑体" w:cs="Times New Roman"/>
          <w:color w:val="000000" w:themeColor="text1"/>
          <w:sz w:val="32"/>
          <w:szCs w:val="32"/>
          <w14:textFill>
            <w14:solidFill>
              <w14:schemeClr w14:val="tx1"/>
            </w14:solidFill>
          </w14:textFill>
        </w:rPr>
      </w:pPr>
    </w:p>
    <w:p w14:paraId="05BCDF83">
      <w:pPr>
        <w:autoSpaceDE w:val="0"/>
        <w:autoSpaceDN w:val="0"/>
        <w:adjustRightInd w:val="0"/>
        <w:spacing w:line="590" w:lineRule="exact"/>
        <w:jc w:val="center"/>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 xml:space="preserve">第二章 </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32"/>
          <w:szCs w:val="32"/>
          <w14:textFill>
            <w14:solidFill>
              <w14:schemeClr w14:val="tx1"/>
            </w14:solidFill>
          </w14:textFill>
        </w:rPr>
        <w:t>合理布局规划标准</w:t>
      </w:r>
    </w:p>
    <w:p w14:paraId="52D0243D">
      <w:pPr>
        <w:autoSpaceDE w:val="0"/>
        <w:autoSpaceDN w:val="0"/>
        <w:adjustRightInd w:val="0"/>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p>
    <w:p w14:paraId="3B3FA695">
      <w:pPr>
        <w:spacing w:line="600" w:lineRule="exact"/>
        <w:ind w:firstLine="640" w:firstLineChars="20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 xml:space="preserve"> 第十</w:t>
      </w:r>
      <w:r>
        <w:rPr>
          <w:rFonts w:hint="default" w:ascii="Times New Roman" w:hAnsi="Times New Roman" w:eastAsia="黑体" w:cs="Times New Roman"/>
          <w:color w:val="000000" w:themeColor="text1"/>
          <w:sz w:val="32"/>
          <w:szCs w:val="32"/>
          <w:lang w:eastAsia="zh-CN"/>
          <w14:textFill>
            <w14:solidFill>
              <w14:schemeClr w14:val="tx1"/>
            </w14:solidFill>
          </w14:textFill>
        </w:rPr>
        <w:t>一</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各</w:t>
      </w:r>
      <w:r>
        <w:rPr>
          <w:rFonts w:hint="default" w:ascii="Times New Roman" w:hAnsi="Times New Roman" w:eastAsia="仿宋_GB2312" w:cs="Times New Roman"/>
          <w:color w:val="000000" w:themeColor="text1"/>
          <w:sz w:val="32"/>
          <w:szCs w:val="32"/>
          <w14:textFill>
            <w14:solidFill>
              <w14:schemeClr w14:val="tx1"/>
            </w14:solidFill>
          </w14:textFill>
        </w:rPr>
        <w:t>区域单元烟草制品零售点</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合理容量</w:t>
      </w:r>
      <w:r>
        <w:rPr>
          <w:rFonts w:hint="default" w:ascii="Times New Roman" w:hAnsi="Times New Roman" w:eastAsia="仿宋_GB2312" w:cs="Times New Roman"/>
          <w:color w:val="000000" w:themeColor="text1"/>
          <w:sz w:val="32"/>
          <w:szCs w:val="32"/>
          <w14:textFill>
            <w14:solidFill>
              <w14:schemeClr w14:val="tx1"/>
            </w14:solidFill>
          </w14:textFill>
        </w:rPr>
        <w:t>规划标准</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5634839F">
      <w:pPr>
        <w:pStyle w:val="3"/>
        <w:keepNext w:val="0"/>
        <w:keepLines w:val="0"/>
        <w:widowControl/>
        <w:suppressLineNumbers w:val="0"/>
        <w:spacing w:before="75" w:beforeAutospacing="0" w:after="75" w:afterAutospacing="0"/>
        <w:ind w:left="0" w:right="0" w:firstLine="640" w:firstLineChars="200"/>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（一）根据单元内人口数量、现有零售点经营指标（条均价、销售数量、申请率、盈利数额等）综合测算；</w:t>
      </w:r>
    </w:p>
    <w:p w14:paraId="50993930">
      <w:pPr>
        <w:pStyle w:val="3"/>
        <w:keepNext w:val="0"/>
        <w:keepLines w:val="0"/>
        <w:widowControl/>
        <w:suppressLineNumbers w:val="0"/>
        <w:spacing w:before="75" w:beforeAutospacing="0" w:after="75" w:afterAutospacing="0"/>
        <w:ind w:left="0" w:right="0" w:firstLine="640" w:firstLineChars="200"/>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（二）新建成并投入使用的商住小区需综合商家入驻、住户入住率、人流量等因素，参照前款规定测算该区域单元零售点数量。</w:t>
      </w:r>
    </w:p>
    <w:p w14:paraId="503E4930">
      <w:pPr>
        <w:pStyle w:val="3"/>
        <w:keepNext w:val="0"/>
        <w:keepLines w:val="0"/>
        <w:widowControl/>
        <w:suppressLineNumbers w:val="0"/>
        <w:spacing w:before="75" w:beforeAutospacing="0" w:after="75" w:afterAutospacing="0"/>
        <w:ind w:left="0" w:right="0" w:firstLine="640" w:firstLineChars="200"/>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（三）动态调整机制：明溪县烟草专卖局烟草制品零售点合理布局管理委员会应于每年11月对辖区各区域单元的合理容量进行评估调整。</w:t>
      </w:r>
    </w:p>
    <w:p w14:paraId="212C8113">
      <w:pPr>
        <w:widowControl/>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 xml:space="preserve"> 第</w:t>
      </w:r>
      <w:r>
        <w:rPr>
          <w:rFonts w:hint="default" w:ascii="Times New Roman" w:hAnsi="Times New Roman" w:eastAsia="黑体" w:cs="Times New Roman"/>
          <w:color w:val="000000" w:themeColor="text1"/>
          <w:sz w:val="32"/>
          <w:szCs w:val="32"/>
          <w:lang w:eastAsia="zh-CN"/>
          <w14:textFill>
            <w14:solidFill>
              <w14:schemeClr w14:val="tx1"/>
            </w14:solidFill>
          </w14:textFill>
        </w:rPr>
        <w:t>十二</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以下情形不予设置烟草制品零售点：</w:t>
      </w:r>
    </w:p>
    <w:p w14:paraId="1325501D">
      <w:pPr>
        <w:spacing w:line="600" w:lineRule="exact"/>
        <w:ind w:firstLine="640" w:firstLineChars="200"/>
        <w:rPr>
          <w:rFonts w:hint="default" w:ascii="Times New Roman" w:hAnsi="Times New Roman" w:eastAsia="仿宋_GB2312" w:cs="Times New Roman"/>
          <w:color w:val="000000" w:themeColor="text1"/>
          <w:sz w:val="32"/>
          <w:szCs w:val="32"/>
          <w:highlight w:val="yellow"/>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（一）经营场所位于中、小学校（含特殊教育学校、中等职业学校、专门学校等含有未成年学生的学校）周围50米范围以内、幼儿园周围20米范围以内；</w:t>
      </w:r>
    </w:p>
    <w:p w14:paraId="7FFFCD94">
      <w:pPr>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（二）党政机关内部等政府、行政主管部门明令禁止经营烟草制品的区域； </w:t>
      </w:r>
    </w:p>
    <w:p w14:paraId="0383310E">
      <w:pPr>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（三）经营五金、建材、农药、化肥等易造成烟草制品污染的场所；</w:t>
      </w:r>
    </w:p>
    <w:p w14:paraId="04F31EDD">
      <w:pPr>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（四）经营药品、医疗器械及提供诊疗服务等医疗卫生机构；</w:t>
      </w:r>
    </w:p>
    <w:p w14:paraId="27757030">
      <w:pPr>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（五）母婴用品店、文具用品店、玩具店、游乐场所等基于未成年人保护不适宜经营烟草制品的场所；</w:t>
      </w:r>
    </w:p>
    <w:p w14:paraId="0175563F">
      <w:pPr>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（六）经营场所基于安全因素不适宜经营烟草制品的场所，如：生产或经营化工、油漆、散装汽油、鞭炮、液化气、燃油等易燃易爆、有毒有害或有强烈</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刺激</w:t>
      </w:r>
      <w:r>
        <w:rPr>
          <w:rFonts w:hint="default" w:ascii="Times New Roman" w:hAnsi="Times New Roman" w:eastAsia="仿宋_GB2312" w:cs="Times New Roman"/>
          <w:color w:val="000000" w:themeColor="text1"/>
          <w:sz w:val="32"/>
          <w:szCs w:val="32"/>
          <w14:textFill>
            <w14:solidFill>
              <w14:schemeClr w14:val="tx1"/>
            </w14:solidFill>
          </w14:textFill>
        </w:rPr>
        <w:t>性气味物品的场所内及其他需要重点防火的区域；</w:t>
      </w:r>
    </w:p>
    <w:p w14:paraId="4289A342">
      <w:pPr>
        <w:widowControl/>
        <w:snapToGrid w:val="0"/>
        <w:spacing w:line="600" w:lineRule="exact"/>
        <w:ind w:firstLine="640" w:firstLineChars="200"/>
        <w:jc w:val="left"/>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（七）国家烟草专卖局规定的其他情形；</w:t>
      </w:r>
    </w:p>
    <w:p w14:paraId="09E26DC9">
      <w:pPr>
        <w:widowControl/>
        <w:snapToGrid w:val="0"/>
        <w:spacing w:line="600" w:lineRule="exact"/>
        <w:ind w:firstLine="640" w:firstLineChars="200"/>
        <w:jc w:val="left"/>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（八）法律、法规、规章等规定的其他情形。</w:t>
      </w:r>
    </w:p>
    <w:p w14:paraId="3DF1B896">
      <w:pPr>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 xml:space="preserve"> 第</w:t>
      </w:r>
      <w:r>
        <w:rPr>
          <w:rFonts w:hint="default" w:ascii="Times New Roman" w:hAnsi="Times New Roman" w:eastAsia="黑体" w:cs="Times New Roman"/>
          <w:color w:val="000000" w:themeColor="text1"/>
          <w:sz w:val="32"/>
          <w:szCs w:val="32"/>
          <w:lang w:eastAsia="zh-CN"/>
          <w14:textFill>
            <w14:solidFill>
              <w14:schemeClr w14:val="tx1"/>
            </w14:solidFill>
          </w14:textFill>
        </w:rPr>
        <w:t>十三</w:t>
      </w:r>
      <w:r>
        <w:rPr>
          <w:rFonts w:hint="default" w:ascii="Times New Roman" w:hAnsi="Times New Roman" w:eastAsia="黑体" w:cs="Times New Roman"/>
          <w:color w:val="000000" w:themeColor="text1"/>
          <w:sz w:val="32"/>
          <w:szCs w:val="32"/>
          <w14:textFill>
            <w14:solidFill>
              <w14:schemeClr w14:val="tx1"/>
            </w14:solidFill>
          </w14:textFill>
        </w:rPr>
        <w:t xml:space="preserve">条 </w:t>
      </w:r>
      <w:r>
        <w:rPr>
          <w:rFonts w:hint="default" w:ascii="Times New Roman" w:hAnsi="Times New Roman" w:eastAsia="仿宋_GB2312" w:cs="Times New Roman"/>
          <w:color w:val="000000" w:themeColor="text1"/>
          <w:sz w:val="32"/>
          <w:szCs w:val="32"/>
          <w14:textFill>
            <w14:solidFill>
              <w14:schemeClr w14:val="tx1"/>
            </w14:solidFill>
          </w14:textFill>
        </w:rPr>
        <w:t>以下情形不予核发烟草专卖零售许可证：</w:t>
      </w:r>
    </w:p>
    <w:p w14:paraId="689ABB42">
      <w:pPr>
        <w:spacing w:line="600" w:lineRule="exact"/>
        <w:ind w:firstLine="645"/>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（一）不符合我县零售点合理布局要求的；</w:t>
      </w:r>
    </w:p>
    <w:p w14:paraId="6D2C3425">
      <w:pPr>
        <w:spacing w:line="600" w:lineRule="exact"/>
        <w:ind w:firstLine="645"/>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（二）申请人被取消从事烟草专卖业务资格不满三年的</w:t>
      </w:r>
    </w:p>
    <w:p w14:paraId="0EF4AAC0">
      <w:pPr>
        <w:spacing w:line="600" w:lineRule="exact"/>
        <w:ind w:firstLine="645"/>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（三）因申请人隐瞒有关情况或者提供虚假材料，烟草专卖局作出不予受理或不予发证决定后，申请人在一年内再次提出申请的；</w:t>
      </w:r>
    </w:p>
    <w:p w14:paraId="25F8B9A5">
      <w:pPr>
        <w:spacing w:line="600" w:lineRule="exact"/>
        <w:ind w:firstLine="645"/>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（四）因申请人以欺骗、贿赂等不正当手段取得零售许可证被撤销后，申请人三年内再次提出申请的；</w:t>
      </w:r>
    </w:p>
    <w:p w14:paraId="2209D522">
      <w:pPr>
        <w:spacing w:line="600" w:lineRule="exact"/>
        <w:ind w:firstLine="645"/>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（五）申请人未领取零售许可证经营烟草专卖品业务，被追究刑事责任，或在一年内被执法机关处罚两次以上，在三年内提出申请的；</w:t>
      </w:r>
    </w:p>
    <w:p w14:paraId="075EA49C">
      <w:pPr>
        <w:spacing w:line="600" w:lineRule="exact"/>
        <w:ind w:firstLine="645"/>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（六）申请人为外商投资的商业企业或个体工商户，或者外商投资的商业企业或个体工商户以特许、吸纳加盟店及其他再投资等形式变相从事烟草专卖品经营业务的；</w:t>
      </w:r>
    </w:p>
    <w:p w14:paraId="2B3D91A4">
      <w:pPr>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（七）利用信息网络渠道或利用自动售货机（柜）及其他无人售卖形式，销售或者变相销售烟草制品；</w:t>
      </w:r>
    </w:p>
    <w:p w14:paraId="089F94FD">
      <w:pPr>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（八）其他法律、法规、规章等规定不予核发的情形。</w:t>
      </w:r>
    </w:p>
    <w:p w14:paraId="143A319E">
      <w:pPr>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十四</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以下情形不受</w:t>
      </w:r>
      <w:r>
        <w:rPr>
          <w:rFonts w:hint="default" w:ascii="Times New Roman" w:hAnsi="Times New Roman" w:eastAsia="仿宋_GB2312" w:cs="Times New Roman"/>
          <w:color w:val="000000" w:themeColor="text1"/>
          <w:kern w:val="0"/>
          <w:sz w:val="32"/>
          <w:szCs w:val="32"/>
          <w14:textFill>
            <w14:solidFill>
              <w14:schemeClr w14:val="tx1"/>
            </w14:solidFill>
          </w14:textFill>
        </w:rPr>
        <w:t>区域单元</w:t>
      </w:r>
      <w:r>
        <w:rPr>
          <w:rFonts w:hint="default" w:ascii="Times New Roman" w:hAnsi="Times New Roman" w:eastAsia="仿宋_GB2312" w:cs="Times New Roman"/>
          <w:color w:val="000000" w:themeColor="text1"/>
          <w:sz w:val="32"/>
          <w:szCs w:val="32"/>
          <w14:textFill>
            <w14:solidFill>
              <w14:schemeClr w14:val="tx1"/>
            </w14:solidFill>
          </w14:textFill>
        </w:rPr>
        <w:t>规划的限制：</w:t>
      </w:r>
    </w:p>
    <w:p w14:paraId="714D2405">
      <w:pPr>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（一）</w:t>
      </w:r>
      <w:r>
        <w:rPr>
          <w:rFonts w:hint="default" w:ascii="Times New Roman" w:hAnsi="Times New Roman" w:eastAsia="仿宋_GB2312" w:cs="Times New Roman"/>
          <w:color w:val="000000" w:themeColor="text1"/>
          <w:kern w:val="2"/>
          <w:sz w:val="32"/>
          <w:szCs w:val="32"/>
          <w:u w:val="none"/>
          <w:lang w:val="en-US" w:eastAsia="zh-CN" w:bidi="ar-SA"/>
          <w14:textFill>
            <w14:solidFill>
              <w14:schemeClr w14:val="tx1"/>
            </w14:solidFill>
          </w14:textFill>
        </w:rPr>
        <w:t>营业面积达1000平方米以上的超市；</w:t>
      </w:r>
    </w:p>
    <w:p w14:paraId="6E9EE257">
      <w:pPr>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（二）娱乐服务类营业面积1500平方米以上。其中，酒店、宾馆应具备</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但不限于住宿、餐饮、娱乐、会议等服务和设施</w:t>
      </w:r>
      <w:r>
        <w:rPr>
          <w:rFonts w:hint="default" w:ascii="Times New Roman" w:hAnsi="Times New Roman" w:eastAsia="仿宋_GB2312" w:cs="Times New Roman"/>
          <w:color w:val="000000" w:themeColor="text1"/>
          <w:sz w:val="32"/>
          <w:szCs w:val="32"/>
          <w14:textFill>
            <w14:solidFill>
              <w14:schemeClr w14:val="tx1"/>
            </w14:solidFill>
          </w14:textFill>
        </w:rPr>
        <w:t>；KTV内应设有营业面积20平</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方</w:t>
      </w:r>
      <w:r>
        <w:rPr>
          <w:rFonts w:hint="default" w:ascii="Times New Roman" w:hAnsi="Times New Roman" w:eastAsia="仿宋_GB2312" w:cs="Times New Roman"/>
          <w:color w:val="000000" w:themeColor="text1"/>
          <w:sz w:val="32"/>
          <w:szCs w:val="32"/>
          <w14:textFill>
            <w14:solidFill>
              <w14:schemeClr w14:val="tx1"/>
            </w14:solidFill>
          </w14:textFill>
        </w:rPr>
        <w:t>米以上的自选超市；</w:t>
      </w:r>
    </w:p>
    <w:p w14:paraId="1F5575D0">
      <w:pPr>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（三）</w:t>
      </w:r>
      <w:r>
        <w:rPr>
          <w:rFonts w:hint="default" w:ascii="Times New Roman" w:hAnsi="Times New Roman" w:eastAsia="仿宋_GB2312" w:cs="Times New Roman"/>
          <w:color w:val="000000" w:themeColor="text1"/>
          <w:sz w:val="32"/>
          <w:szCs w:val="32"/>
          <w14:textFill>
            <w14:solidFill>
              <w14:schemeClr w14:val="tx1"/>
            </w14:solidFill>
          </w14:textFill>
        </w:rPr>
        <w:t>高速公路服务区、汽车站、铁路车站、旅游景区（AAAA级以上），需从事烟草制品零售业务的经营场所，可在该区域设置一个零售点；</w:t>
      </w:r>
    </w:p>
    <w:p w14:paraId="7256AC18">
      <w:pPr>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（四）持有烟草专卖零售许可证，原持证人死亡之日起90个自然日内，共同居住的具有完全民事行为能力的配偶、父母或子女在原经营地址、经营范围内继续从事卷烟零售业务，</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申请人满足烟草专卖零售许可证全部法定申请条件时，</w:t>
      </w:r>
      <w:r>
        <w:rPr>
          <w:rFonts w:hint="default" w:ascii="Times New Roman" w:hAnsi="Times New Roman" w:eastAsia="仿宋_GB2312" w:cs="Times New Roman"/>
          <w:color w:val="000000" w:themeColor="text1"/>
          <w:sz w:val="32"/>
          <w:szCs w:val="32"/>
          <w14:textFill>
            <w14:solidFill>
              <w14:schemeClr w14:val="tx1"/>
            </w14:solidFill>
          </w14:textFill>
        </w:rPr>
        <w:t>原许可证依法注销后重新申领；</w:t>
      </w:r>
    </w:p>
    <w:p w14:paraId="65845672">
      <w:pPr>
        <w:autoSpaceDE w:val="0"/>
        <w:autoSpaceDN w:val="0"/>
        <w:adjustRightInd w:val="0"/>
        <w:spacing w:line="600" w:lineRule="exact"/>
        <w:ind w:firstLine="64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（五）符合本规定</w:t>
      </w:r>
      <w:r>
        <w:rPr>
          <w:rFonts w:hint="default" w:ascii="Times New Roman" w:hAnsi="Times New Roman" w:eastAsia="仿宋_GB2312" w:cs="Times New Roman"/>
          <w:color w:val="000000" w:themeColor="text1"/>
          <w:sz w:val="32"/>
          <w:szCs w:val="32"/>
          <w:u w:val="none"/>
          <w14:textFill>
            <w14:solidFill>
              <w14:schemeClr w14:val="tx1"/>
            </w14:solidFill>
          </w14:textFill>
        </w:rPr>
        <w:t>第十</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二</w:t>
      </w:r>
      <w:r>
        <w:rPr>
          <w:rFonts w:hint="default" w:ascii="Times New Roman" w:hAnsi="Times New Roman" w:eastAsia="仿宋_GB2312" w:cs="Times New Roman"/>
          <w:color w:val="000000" w:themeColor="text1"/>
          <w:sz w:val="32"/>
          <w:szCs w:val="32"/>
          <w:u w:val="none"/>
          <w14:textFill>
            <w14:solidFill>
              <w14:schemeClr w14:val="tx1"/>
            </w14:solidFill>
          </w14:textFill>
        </w:rPr>
        <w:t>条第一项</w:t>
      </w:r>
      <w:r>
        <w:rPr>
          <w:rFonts w:hint="default" w:ascii="Times New Roman" w:hAnsi="Times New Roman" w:eastAsia="仿宋_GB2312" w:cs="Times New Roman"/>
          <w:color w:val="000000" w:themeColor="text1"/>
          <w:sz w:val="32"/>
          <w:szCs w:val="32"/>
          <w14:textFill>
            <w14:solidFill>
              <w14:schemeClr w14:val="tx1"/>
            </w14:solidFill>
          </w14:textFill>
        </w:rPr>
        <w:t>的持证零售点，为继续经营需要搬迁至本辖区其他地址经营，经营主体未发生变化且在原许可证有效期内的，可以重新申领</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（新申请的经营地址应当全部满足本规定场所、距离等法定条件）</w:t>
      </w:r>
      <w:r>
        <w:rPr>
          <w:rFonts w:hint="default" w:ascii="Times New Roman" w:hAnsi="Times New Roman" w:eastAsia="仿宋_GB2312" w:cs="Times New Roman"/>
          <w:color w:val="000000" w:themeColor="text1"/>
          <w:sz w:val="32"/>
          <w:szCs w:val="32"/>
          <w14:textFill>
            <w14:solidFill>
              <w14:schemeClr w14:val="tx1"/>
            </w14:solidFill>
          </w14:textFill>
        </w:rPr>
        <w:t>；</w:t>
      </w:r>
    </w:p>
    <w:p w14:paraId="2589DA7C">
      <w:pPr>
        <w:autoSpaceDE w:val="0"/>
        <w:autoSpaceDN w:val="0"/>
        <w:adjustRightInd w:val="0"/>
        <w:spacing w:line="600" w:lineRule="exact"/>
        <w:ind w:firstLine="64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（六）持有烟草专卖零售许可证的国有企业，按照国家关于发展混合所有制经济的要求，经国家有关部门批准为国有控股的混合所有制企业，且继续从事烟草制品零售业务的，原许可证依法注销后重新申领的；</w:t>
      </w:r>
    </w:p>
    <w:p w14:paraId="0BB0B853">
      <w:pPr>
        <w:autoSpaceDE w:val="0"/>
        <w:autoSpaceDN w:val="0"/>
        <w:adjustRightInd w:val="0"/>
        <w:spacing w:line="600" w:lineRule="exact"/>
        <w:ind w:firstLine="64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（七）</w:t>
      </w:r>
      <w:r>
        <w:rPr>
          <w:rFonts w:hint="default" w:ascii="Times New Roman" w:hAnsi="Times New Roman" w:eastAsia="仿宋_GB2312" w:cs="Times New Roman"/>
          <w:color w:val="000000" w:themeColor="text1"/>
          <w:sz w:val="32"/>
          <w:szCs w:val="32"/>
          <w14:textFill>
            <w14:solidFill>
              <w14:schemeClr w14:val="tx1"/>
            </w14:solidFill>
          </w14:textFill>
        </w:rPr>
        <w:t>持有烟草专卖零售许可证的企业客户，因企业发展、转型升级等原因，企业类型由小规模纳税企业变更为一般纳税企业，导致营业执照代码发生变化，但经营地址等其他条件未发生变化的</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2514B570">
      <w:pPr>
        <w:autoSpaceDE w:val="0"/>
        <w:autoSpaceDN w:val="0"/>
        <w:adjustRightInd w:val="0"/>
        <w:spacing w:line="600" w:lineRule="exact"/>
        <w:ind w:firstLine="64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（八）新建成并投入使用的商住小区可以预设1个零售点合理容量，</w:t>
      </w:r>
      <w:r>
        <w:rPr>
          <w:rFonts w:hint="default" w:ascii="Times New Roman" w:hAnsi="Times New Roman" w:eastAsia="仿宋_GB2312" w:cs="Times New Roman"/>
          <w:color w:val="000000" w:themeColor="text1"/>
          <w:kern w:val="2"/>
          <w:sz w:val="32"/>
          <w:szCs w:val="32"/>
          <w:u w:val="none"/>
          <w:lang w:val="en-US" w:eastAsia="zh-CN" w:bidi="ar-SA"/>
          <w14:textFill>
            <w14:solidFill>
              <w14:schemeClr w14:val="tx1"/>
            </w14:solidFill>
          </w14:textFill>
        </w:rPr>
        <w:t>由明溪县烟草专卖局烟草制品零售点合理布局管理委员会集体讨论决定</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w:t>
      </w:r>
    </w:p>
    <w:p w14:paraId="3E9CEA88">
      <w:pPr>
        <w:pStyle w:val="3"/>
        <w:keepNext w:val="0"/>
        <w:keepLines w:val="0"/>
        <w:widowControl/>
        <w:suppressLineNumbers w:val="0"/>
        <w:spacing w:before="75" w:beforeAutospacing="0" w:after="75" w:afterAutospacing="0"/>
        <w:ind w:left="0" w:right="0" w:firstLine="640" w:firstLineChars="200"/>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第十五条 为鼓励新型优质业态发展，对属于以下类型的申请人，在积分评定中按照附件1标准给予加分，并在同等积分条件下优先办理（若积分相同，则按照申请时间的先后顺序办理）：</w:t>
      </w:r>
    </w:p>
    <w:p w14:paraId="145A5C59">
      <w:pPr>
        <w:pStyle w:val="3"/>
        <w:keepNext w:val="0"/>
        <w:keepLines w:val="0"/>
        <w:widowControl/>
        <w:suppressLineNumbers w:val="0"/>
        <w:spacing w:before="75" w:beforeAutospacing="0" w:after="75" w:afterAutospacing="0"/>
        <w:ind w:left="0" w:right="0" w:firstLine="640" w:firstLineChars="200"/>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（一）现代连锁便利店；</w:t>
      </w:r>
    </w:p>
    <w:p w14:paraId="22EDED0A">
      <w:pPr>
        <w:pStyle w:val="3"/>
        <w:keepNext w:val="0"/>
        <w:keepLines w:val="0"/>
        <w:widowControl/>
        <w:suppressLineNumbers w:val="0"/>
        <w:spacing w:before="75" w:beforeAutospacing="0" w:after="75" w:afterAutospacing="0"/>
        <w:ind w:left="0" w:right="0" w:firstLine="640" w:firstLineChars="200"/>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（二）专业店（以销售酒类、食品类商品为主）；</w:t>
      </w:r>
    </w:p>
    <w:p w14:paraId="284FCE47">
      <w:pPr>
        <w:pStyle w:val="3"/>
        <w:keepNext w:val="0"/>
        <w:keepLines w:val="0"/>
        <w:widowControl/>
        <w:suppressLineNumbers w:val="0"/>
        <w:spacing w:before="75" w:beforeAutospacing="0" w:after="75" w:afterAutospacing="0"/>
        <w:ind w:left="0" w:right="0" w:firstLine="640" w:firstLineChars="200"/>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（三）超市（</w:t>
      </w:r>
      <w:r>
        <w:rPr>
          <w:rFonts w:hint="default" w:ascii="Times New Roman" w:hAnsi="Times New Roman" w:eastAsia="仿宋_GB2312" w:cs="Times New Roman"/>
          <w:color w:val="000000" w:themeColor="text1"/>
          <w:kern w:val="2"/>
          <w:sz w:val="32"/>
          <w:szCs w:val="32"/>
          <w:u w:val="none"/>
          <w:lang w:val="en-US" w:eastAsia="zh-CN" w:bidi="ar-SA"/>
          <w14:textFill>
            <w14:solidFill>
              <w14:schemeClr w14:val="tx1"/>
            </w14:solidFill>
          </w14:textFill>
        </w:rPr>
        <w:t>营业面积200-1000平方米</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w:t>
      </w:r>
    </w:p>
    <w:p w14:paraId="12C34A7A">
      <w:pPr>
        <w:pStyle w:val="3"/>
        <w:keepNext w:val="0"/>
        <w:keepLines w:val="0"/>
        <w:widowControl/>
        <w:suppressLineNumbers w:val="0"/>
        <w:spacing w:before="75" w:beforeAutospacing="0" w:after="75" w:afterAutospacing="0"/>
        <w:ind w:left="0" w:right="0" w:firstLine="640" w:firstLineChars="200"/>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（四）其他经合理布局管理委员会认定的新型优质业态。</w:t>
      </w:r>
    </w:p>
    <w:p w14:paraId="0229C505">
      <w:pPr>
        <w:widowControl/>
        <w:spacing w:line="590" w:lineRule="exact"/>
        <w:rPr>
          <w:rFonts w:hint="default" w:ascii="Times New Roman" w:hAnsi="Times New Roman" w:eastAsia="黑体" w:cs="Times New Roman"/>
          <w:color w:val="000000" w:themeColor="text1"/>
          <w:sz w:val="32"/>
          <w:szCs w:val="32"/>
          <w14:textFill>
            <w14:solidFill>
              <w14:schemeClr w14:val="tx1"/>
            </w14:solidFill>
          </w14:textFill>
        </w:rPr>
      </w:pPr>
    </w:p>
    <w:p w14:paraId="23216BD2">
      <w:pPr>
        <w:spacing w:line="590" w:lineRule="exact"/>
        <w:jc w:val="center"/>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 xml:space="preserve">第三章 </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32"/>
          <w:szCs w:val="32"/>
          <w14:textFill>
            <w14:solidFill>
              <w14:schemeClr w14:val="tx1"/>
            </w14:solidFill>
          </w14:textFill>
        </w:rPr>
        <w:t>附</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32"/>
          <w:szCs w:val="32"/>
          <w14:textFill>
            <w14:solidFill>
              <w14:schemeClr w14:val="tx1"/>
            </w14:solidFill>
          </w14:textFill>
        </w:rPr>
        <w:t>则</w:t>
      </w:r>
    </w:p>
    <w:p w14:paraId="5193DDFD">
      <w:pPr>
        <w:autoSpaceDE w:val="0"/>
        <w:autoSpaceDN w:val="0"/>
        <w:adjustRightInd w:val="0"/>
        <w:spacing w:line="590" w:lineRule="exact"/>
        <w:rPr>
          <w:rFonts w:hint="default" w:ascii="Times New Roman" w:hAnsi="Times New Roman" w:eastAsia="仿宋_GB2312" w:cs="Times New Roman"/>
          <w:b/>
          <w:bCs/>
          <w:color w:val="000000" w:themeColor="text1"/>
          <w:sz w:val="32"/>
          <w:szCs w:val="32"/>
          <w14:textFill>
            <w14:solidFill>
              <w14:schemeClr w14:val="tx1"/>
            </w14:solidFill>
          </w14:textFill>
        </w:rPr>
      </w:pPr>
    </w:p>
    <w:p w14:paraId="48B71970">
      <w:pPr>
        <w:autoSpaceDE w:val="0"/>
        <w:autoSpaceDN w:val="0"/>
        <w:adjustRightInd w:val="0"/>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 xml:space="preserve"> 第十</w:t>
      </w:r>
      <w:r>
        <w:rPr>
          <w:rFonts w:hint="default" w:ascii="Times New Roman" w:hAnsi="Times New Roman" w:eastAsia="黑体" w:cs="Times New Roman"/>
          <w:color w:val="000000" w:themeColor="text1"/>
          <w:sz w:val="32"/>
          <w:szCs w:val="32"/>
          <w:lang w:eastAsia="zh-CN"/>
          <w14:textFill>
            <w14:solidFill>
              <w14:schemeClr w14:val="tx1"/>
            </w14:solidFill>
          </w14:textFill>
        </w:rPr>
        <w:t>六</w:t>
      </w:r>
      <w:r>
        <w:rPr>
          <w:rFonts w:hint="default" w:ascii="Times New Roman" w:hAnsi="Times New Roman" w:eastAsia="黑体" w:cs="Times New Roman"/>
          <w:color w:val="000000" w:themeColor="text1"/>
          <w:sz w:val="32"/>
          <w:szCs w:val="32"/>
          <w14:textFill>
            <w14:solidFill>
              <w14:schemeClr w14:val="tx1"/>
            </w14:solidFill>
          </w14:textFill>
        </w:rPr>
        <w:t xml:space="preserve">条 </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本规定中的“总量测算”是指基于辖区人口数量、经济发展水平、消费需求等因素，对各区域单元零售点合理容量进行科学测算。全县烟草专卖零售许可证总量应当与经济社会发展水平相适应，不预先设定年度硬性增长上限。</w:t>
      </w:r>
    </w:p>
    <w:p w14:paraId="0370722E">
      <w:pPr>
        <w:autoSpaceDE w:val="0"/>
        <w:autoSpaceDN w:val="0"/>
        <w:adjustRightInd w:val="0"/>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第十</w:t>
      </w:r>
      <w:r>
        <w:rPr>
          <w:rFonts w:hint="default" w:ascii="Times New Roman" w:hAnsi="Times New Roman" w:eastAsia="黑体" w:cs="Times New Roman"/>
          <w:color w:val="000000" w:themeColor="text1"/>
          <w:sz w:val="32"/>
          <w:szCs w:val="32"/>
          <w:lang w:eastAsia="zh-CN"/>
          <w14:textFill>
            <w14:solidFill>
              <w14:schemeClr w14:val="tx1"/>
            </w14:solidFill>
          </w14:textFill>
        </w:rPr>
        <w:t>七</w:t>
      </w:r>
      <w:r>
        <w:rPr>
          <w:rFonts w:hint="default" w:ascii="Times New Roman" w:hAnsi="Times New Roman" w:eastAsia="黑体" w:cs="Times New Roman"/>
          <w:color w:val="000000" w:themeColor="text1"/>
          <w:sz w:val="32"/>
          <w:szCs w:val="32"/>
          <w14:textFill>
            <w14:solidFill>
              <w14:schemeClr w14:val="tx1"/>
            </w14:solidFill>
          </w14:textFill>
        </w:rPr>
        <w:t xml:space="preserve">条 </w:t>
      </w:r>
      <w:r>
        <w:rPr>
          <w:rFonts w:hint="default" w:ascii="Times New Roman" w:hAnsi="Times New Roman" w:eastAsia="仿宋_GB2312" w:cs="Times New Roman"/>
          <w:color w:val="000000" w:themeColor="text1"/>
          <w:sz w:val="32"/>
          <w:szCs w:val="32"/>
          <w14:textFill>
            <w14:solidFill>
              <w14:schemeClr w14:val="tx1"/>
            </w14:solidFill>
          </w14:textFill>
        </w:rPr>
        <w:t>本规定中的“中、小学校周边50米范围以内、幼儿园周围20米范围以内”是指正常进出通道口中心点距离50米/20米范围内（证明属应急通道的除外）。</w:t>
      </w:r>
    </w:p>
    <w:p w14:paraId="672CE5B3">
      <w:pPr>
        <w:autoSpaceDE w:val="0"/>
        <w:autoSpaceDN w:val="0"/>
        <w:adjustRightInd w:val="0"/>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测量间距、距离需在符合道路交通安全有关规定的前提下，按行人行走的最短距离进行测量；起始点之间有机动车道的，测量时需沿最近的行人过街设施或人行横道测量，并以距离行人过街设施或人行横道最近的一侧测量。</w:t>
      </w:r>
    </w:p>
    <w:p w14:paraId="56BBD808">
      <w:pPr>
        <w:autoSpaceDE w:val="0"/>
        <w:autoSpaceDN w:val="0"/>
        <w:adjustRightInd w:val="0"/>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十八</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本规定中的“一址一证”是指一个经营地址只设置一个烟草制品零售点，门牌号不同但空间连续构成一体经营场所的，按照一址申请办理。</w:t>
      </w:r>
    </w:p>
    <w:p w14:paraId="4D477967">
      <w:pPr>
        <w:autoSpaceDE w:val="0"/>
        <w:autoSpaceDN w:val="0"/>
        <w:adjustRightInd w:val="0"/>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本规定所称的营业面积，以</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不动产权证</w:t>
      </w:r>
      <w:r>
        <w:rPr>
          <w:rFonts w:hint="default" w:ascii="Times New Roman" w:hAnsi="Times New Roman" w:eastAsia="仿宋_GB2312" w:cs="Times New Roman"/>
          <w:color w:val="000000" w:themeColor="text1"/>
          <w:sz w:val="32"/>
          <w:szCs w:val="32"/>
          <w14:textFill>
            <w14:solidFill>
              <w14:schemeClr w14:val="tx1"/>
            </w14:solidFill>
          </w14:textFill>
        </w:rPr>
        <w:t>登记的房屋建筑面积为准。（未办理不动产权证的，应提供用地及规划许可的相关证明）</w:t>
      </w:r>
    </w:p>
    <w:p w14:paraId="0CE9C9BE">
      <w:pPr>
        <w:autoSpaceDE w:val="0"/>
        <w:autoSpaceDN w:val="0"/>
        <w:adjustRightInd w:val="0"/>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本规定中的“固定经营场所”是指非违章建筑、待拆迁建筑、集装箱、易拆除的临时搭建物等及其他占用公共消防通道的经营场所。“与住所相独立”，是指经营场所自成一体，与卧室、厨房、客厅等生活起居功能场所相</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隔离</w:t>
      </w:r>
      <w:r>
        <w:rPr>
          <w:rFonts w:hint="default" w:ascii="Times New Roman" w:hAnsi="Times New Roman" w:eastAsia="仿宋_GB2312" w:cs="Times New Roman"/>
          <w:color w:val="000000" w:themeColor="text1"/>
          <w:sz w:val="32"/>
          <w:szCs w:val="32"/>
          <w14:textFill>
            <w14:solidFill>
              <w14:schemeClr w14:val="tx1"/>
            </w14:solidFill>
          </w14:textFill>
        </w:rPr>
        <w:t>的场所。</w:t>
      </w:r>
    </w:p>
    <w:p w14:paraId="44790DF1">
      <w:pPr>
        <w:autoSpaceDE w:val="0"/>
        <w:autoSpaceDN w:val="0"/>
        <w:adjustRightInd w:val="0"/>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w:t>
      </w:r>
      <w:r>
        <w:rPr>
          <w:rFonts w:hint="default" w:ascii="Times New Roman" w:hAnsi="Times New Roman" w:eastAsia="黑体" w:cs="Times New Roman"/>
          <w:color w:val="000000" w:themeColor="text1"/>
          <w:sz w:val="32"/>
          <w:szCs w:val="32"/>
          <w:lang w:eastAsia="zh-CN"/>
          <w14:textFill>
            <w14:solidFill>
              <w14:schemeClr w14:val="tx1"/>
            </w14:solidFill>
          </w14:textFill>
        </w:rPr>
        <w:t>十九</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本规定中的“条均价”是指当期烟草制品平均零售价格；“销售数量”是指当月烟草制品订单销量；“申请率”是指当期零售点申请数量占零售户数量的比例；“盈利数额”是零售户订单金额×毛利率。</w:t>
      </w:r>
    </w:p>
    <w:p w14:paraId="4E1B75D4">
      <w:pPr>
        <w:autoSpaceDE w:val="0"/>
        <w:autoSpaceDN w:val="0"/>
        <w:adjustRightInd w:val="0"/>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第二十条</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本规定中的“基于安全因素不适宜经营烟草制品的场所”，不包含具备安全措施保障的加油站便利店（符合《关于中国海洋石油总公司申请在本企业加油站便利店销售香烟的复函》(国烟专〔2014〕339号文）规定条件）</w:t>
      </w:r>
    </w:p>
    <w:p w14:paraId="720EFE98">
      <w:pPr>
        <w:autoSpaceDE w:val="0"/>
        <w:autoSpaceDN w:val="0"/>
        <w:adjustRightInd w:val="0"/>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第二十</w:t>
      </w:r>
      <w:r>
        <w:rPr>
          <w:rFonts w:hint="default" w:ascii="Times New Roman" w:hAnsi="Times New Roman" w:eastAsia="黑体" w:cs="Times New Roman"/>
          <w:color w:val="000000" w:themeColor="text1"/>
          <w:sz w:val="32"/>
          <w:szCs w:val="32"/>
          <w:lang w:eastAsia="zh-CN"/>
          <w14:textFill>
            <w14:solidFill>
              <w14:schemeClr w14:val="tx1"/>
            </w14:solidFill>
          </w14:textFill>
        </w:rPr>
        <w:t>一</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本规定中的“以上”含本数。</w:t>
      </w:r>
    </w:p>
    <w:p w14:paraId="647067A8">
      <w:pPr>
        <w:autoSpaceDE w:val="0"/>
        <w:autoSpaceDN w:val="0"/>
        <w:adjustRightInd w:val="0"/>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第二十</w:t>
      </w:r>
      <w:r>
        <w:rPr>
          <w:rFonts w:hint="default" w:ascii="Times New Roman" w:hAnsi="Times New Roman" w:eastAsia="黑体" w:cs="Times New Roman"/>
          <w:color w:val="000000" w:themeColor="text1"/>
          <w:sz w:val="32"/>
          <w:szCs w:val="32"/>
          <w:lang w:eastAsia="zh-CN"/>
          <w14:textFill>
            <w14:solidFill>
              <w14:schemeClr w14:val="tx1"/>
            </w14:solidFill>
          </w14:textFill>
        </w:rPr>
        <w:t>二</w:t>
      </w:r>
      <w:r>
        <w:rPr>
          <w:rFonts w:hint="default" w:ascii="Times New Roman" w:hAnsi="Times New Roman" w:eastAsia="黑体" w:cs="Times New Roman"/>
          <w:color w:val="000000" w:themeColor="text1"/>
          <w:sz w:val="32"/>
          <w:szCs w:val="32"/>
          <w14:textFill>
            <w14:solidFill>
              <w14:schemeClr w14:val="tx1"/>
            </w14:solidFill>
          </w14:textFill>
        </w:rPr>
        <w:t>条</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本规定中的“家庭经营的个体工商户”是指营 业执照中组成形式是家庭经营的个体工商户。</w:t>
      </w:r>
    </w:p>
    <w:p w14:paraId="439AC27B">
      <w:pPr>
        <w:autoSpaceDE w:val="0"/>
        <w:autoSpaceDN w:val="0"/>
        <w:adjustRightInd w:val="0"/>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“家庭成员间”“烈士家属”“军属”是指配偶、父母、子女以及相互负有扶养义务的近亲属。</w:t>
      </w:r>
    </w:p>
    <w:p w14:paraId="70A47E5A">
      <w:pPr>
        <w:autoSpaceDE w:val="0"/>
        <w:autoSpaceDN w:val="0"/>
        <w:adjustRightInd w:val="0"/>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第二十</w:t>
      </w:r>
      <w:r>
        <w:rPr>
          <w:rFonts w:hint="default" w:ascii="Times New Roman" w:hAnsi="Times New Roman" w:eastAsia="黑体" w:cs="Times New Roman"/>
          <w:color w:val="000000" w:themeColor="text1"/>
          <w:sz w:val="32"/>
          <w:szCs w:val="32"/>
          <w:lang w:eastAsia="zh-CN"/>
          <w14:textFill>
            <w14:solidFill>
              <w14:schemeClr w14:val="tx1"/>
            </w14:solidFill>
          </w14:textFill>
        </w:rPr>
        <w:t>三</w:t>
      </w:r>
      <w:r>
        <w:rPr>
          <w:rFonts w:hint="default" w:ascii="Times New Roman" w:hAnsi="Times New Roman" w:eastAsia="黑体" w:cs="Times New Roman"/>
          <w:color w:val="000000" w:themeColor="text1"/>
          <w:sz w:val="32"/>
          <w:szCs w:val="32"/>
          <w14:textFill>
            <w14:solidFill>
              <w14:schemeClr w14:val="tx1"/>
            </w14:solidFill>
          </w14:textFill>
        </w:rPr>
        <w:t>条　</w:t>
      </w:r>
      <w:r>
        <w:rPr>
          <w:rFonts w:hint="default" w:ascii="Times New Roman" w:hAnsi="Times New Roman" w:eastAsia="仿宋_GB2312" w:cs="Times New Roman"/>
          <w:color w:val="000000" w:themeColor="text1"/>
          <w:sz w:val="32"/>
          <w:szCs w:val="32"/>
          <w14:textFill>
            <w14:solidFill>
              <w14:schemeClr w14:val="tx1"/>
            </w14:solidFill>
          </w14:textFill>
        </w:rPr>
        <w:t>本规定</w:t>
      </w:r>
      <w:r>
        <w:rPr>
          <w:rFonts w:hint="default" w:ascii="Times New Roman" w:hAnsi="Times New Roman" w:eastAsia="仿宋_GB2312" w:cs="Times New Roman"/>
          <w:color w:val="000000" w:themeColor="text1"/>
          <w:sz w:val="32"/>
          <w:szCs w:val="32"/>
          <w:u w:val="none"/>
          <w14:textFill>
            <w14:solidFill>
              <w14:schemeClr w14:val="tx1"/>
            </w14:solidFill>
          </w14:textFill>
        </w:rPr>
        <w:t>自</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发文之日</w:t>
      </w:r>
      <w:r>
        <w:rPr>
          <w:rFonts w:hint="default" w:ascii="Times New Roman" w:hAnsi="Times New Roman" w:eastAsia="仿宋_GB2312" w:cs="Times New Roman"/>
          <w:color w:val="000000" w:themeColor="text1"/>
          <w:sz w:val="32"/>
          <w:szCs w:val="32"/>
          <w:u w:val="none"/>
          <w14:textFill>
            <w14:solidFill>
              <w14:schemeClr w14:val="tx1"/>
            </w14:solidFill>
          </w14:textFill>
        </w:rPr>
        <w:t>起施行</w:t>
      </w:r>
      <w:r>
        <w:rPr>
          <w:rFonts w:hint="default" w:ascii="Times New Roman" w:hAnsi="Times New Roman" w:eastAsia="仿宋_GB2312" w:cs="Times New Roman"/>
          <w:color w:val="000000" w:themeColor="text1"/>
          <w:sz w:val="32"/>
          <w:szCs w:val="32"/>
          <w14:textFill>
            <w14:solidFill>
              <w14:schemeClr w14:val="tx1"/>
            </w14:solidFill>
          </w14:textFill>
        </w:rPr>
        <w:t>，由福建省明溪县烟草专卖局负责解释。法律、法规、规章及上级部门规定有不同的，从其规定。</w:t>
      </w:r>
    </w:p>
    <w:p w14:paraId="173F5FD8">
      <w:pPr>
        <w:autoSpaceDE w:val="0"/>
        <w:autoSpaceDN w:val="0"/>
        <w:adjustRightInd w:val="0"/>
        <w:spacing w:beforeLines="0" w:afterLines="0" w:line="58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本规定实施前已完成轮候登记的申请人，直接纳入本规定轮候库，按照本规定积分标准重新开展积分评定。</w:t>
      </w:r>
    </w:p>
    <w:p w14:paraId="74DF22FC">
      <w:pPr>
        <w:autoSpaceDE w:val="0"/>
        <w:autoSpaceDN w:val="0"/>
        <w:adjustRightInd w:val="0"/>
        <w:spacing w:line="60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第二十</w:t>
      </w:r>
      <w:r>
        <w:rPr>
          <w:rFonts w:hint="default" w:ascii="Times New Roman" w:hAnsi="Times New Roman" w:eastAsia="黑体" w:cs="Times New Roman"/>
          <w:color w:val="000000" w:themeColor="text1"/>
          <w:sz w:val="32"/>
          <w:szCs w:val="32"/>
          <w:lang w:eastAsia="zh-CN"/>
          <w14:textFill>
            <w14:solidFill>
              <w14:schemeClr w14:val="tx1"/>
            </w14:solidFill>
          </w14:textFill>
        </w:rPr>
        <w:t>四</w:t>
      </w:r>
      <w:r>
        <w:rPr>
          <w:rFonts w:hint="default" w:ascii="Times New Roman" w:hAnsi="Times New Roman" w:eastAsia="黑体" w:cs="Times New Roman"/>
          <w:color w:val="000000" w:themeColor="text1"/>
          <w:sz w:val="32"/>
          <w:szCs w:val="32"/>
          <w14:textFill>
            <w14:solidFill>
              <w14:schemeClr w14:val="tx1"/>
            </w14:solidFill>
          </w14:textFill>
        </w:rPr>
        <w:t>条　</w:t>
      </w: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12</w:t>
      </w:r>
      <w:r>
        <w:rPr>
          <w:rFonts w:hint="default" w:ascii="Times New Roman" w:hAnsi="Times New Roman" w:eastAsia="仿宋_GB2312" w:cs="Times New Roman"/>
          <w:color w:val="000000" w:themeColor="text1"/>
          <w:sz w:val="32"/>
          <w:szCs w:val="32"/>
          <w14:textFill>
            <w14:solidFill>
              <w14:schemeClr w14:val="tx1"/>
            </w14:solidFill>
          </w14:textFill>
        </w:rPr>
        <w:t>月3</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14:textFill>
            <w14:solidFill>
              <w14:schemeClr w14:val="tx1"/>
            </w14:solidFill>
          </w14:textFill>
        </w:rPr>
        <w:t>日颁布的《明溪县烟草制品零售 点合理布局规定》（溪烟法〔202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号）同时废止。</w:t>
      </w:r>
    </w:p>
    <w:p w14:paraId="46A77FF2">
      <w:pPr>
        <w:rPr>
          <w:rFonts w:hint="default" w:ascii="Times New Roman" w:hAnsi="Times New Roman" w:eastAsia="黑体" w:cs="Times New Roman"/>
          <w:color w:val="000000" w:themeColor="text1"/>
          <w:sz w:val="32"/>
          <w:szCs w:val="32"/>
          <w14:textFill>
            <w14:solidFill>
              <w14:schemeClr w14:val="tx1"/>
            </w14:solidFill>
          </w14:textFill>
        </w:rPr>
      </w:pPr>
    </w:p>
    <w:p w14:paraId="555395BD">
      <w:pPr>
        <w:rPr>
          <w:rFonts w:hint="default" w:ascii="Times New Roman" w:hAnsi="Times New Roman" w:eastAsia="黑体" w:cs="Times New Roman"/>
          <w:color w:val="000000" w:themeColor="text1"/>
          <w:sz w:val="32"/>
          <w:szCs w:val="32"/>
          <w14:textFill>
            <w14:solidFill>
              <w14:schemeClr w14:val="tx1"/>
            </w14:solidFill>
          </w14:textFill>
        </w:rPr>
      </w:pPr>
    </w:p>
    <w:p w14:paraId="6907E97B">
      <w:pPr>
        <w:rPr>
          <w:rFonts w:hint="default" w:ascii="Times New Roman" w:hAnsi="Times New Roman" w:eastAsia="黑体" w:cs="Times New Roman"/>
          <w:color w:val="000000" w:themeColor="text1"/>
          <w:sz w:val="32"/>
          <w:szCs w:val="32"/>
          <w14:textFill>
            <w14:solidFill>
              <w14:schemeClr w14:val="tx1"/>
            </w14:solidFill>
          </w14:textFill>
        </w:rPr>
      </w:pPr>
    </w:p>
    <w:p w14:paraId="73C8C65B">
      <w:pPr>
        <w:rPr>
          <w:rFonts w:hint="default" w:ascii="Times New Roman" w:hAnsi="Times New Roman" w:eastAsia="黑体" w:cs="Times New Roman"/>
          <w:color w:val="000000" w:themeColor="text1"/>
          <w:sz w:val="32"/>
          <w:szCs w:val="32"/>
          <w14:textFill>
            <w14:solidFill>
              <w14:schemeClr w14:val="tx1"/>
            </w14:solidFill>
          </w14:textFill>
        </w:rPr>
      </w:pPr>
    </w:p>
    <w:p w14:paraId="4593119F">
      <w:pPr>
        <w:rPr>
          <w:rFonts w:hint="default" w:ascii="Times New Roman" w:hAnsi="Times New Roman" w:eastAsia="黑体" w:cs="Times New Roman"/>
          <w:color w:val="000000" w:themeColor="text1"/>
          <w:sz w:val="32"/>
          <w:szCs w:val="32"/>
          <w14:textFill>
            <w14:solidFill>
              <w14:schemeClr w14:val="tx1"/>
            </w14:solidFill>
          </w14:textFill>
        </w:rPr>
      </w:pPr>
    </w:p>
    <w:p w14:paraId="1B8B013B">
      <w:pPr>
        <w:rPr>
          <w:rFonts w:hint="default" w:ascii="Times New Roman" w:hAnsi="Times New Roman" w:eastAsia="黑体" w:cs="Times New Roman"/>
          <w:color w:val="000000" w:themeColor="text1"/>
          <w:sz w:val="32"/>
          <w:szCs w:val="32"/>
          <w14:textFill>
            <w14:solidFill>
              <w14:schemeClr w14:val="tx1"/>
            </w14:solidFill>
          </w14:textFill>
        </w:rPr>
      </w:pPr>
    </w:p>
    <w:p w14:paraId="700950EA">
      <w:pPr>
        <w:rPr>
          <w:rFonts w:hint="default" w:ascii="Times New Roman" w:hAnsi="Times New Roman" w:eastAsia="黑体" w:cs="Times New Roman"/>
          <w:color w:val="000000" w:themeColor="text1"/>
          <w:sz w:val="32"/>
          <w:szCs w:val="32"/>
          <w14:textFill>
            <w14:solidFill>
              <w14:schemeClr w14:val="tx1"/>
            </w14:solidFill>
          </w14:textFill>
        </w:rPr>
      </w:pPr>
    </w:p>
    <w:p w14:paraId="3CF91E23">
      <w:pPr>
        <w:rPr>
          <w:rFonts w:hint="default" w:ascii="Times New Roman" w:hAnsi="Times New Roman" w:eastAsia="黑体" w:cs="Times New Roman"/>
          <w:color w:val="000000" w:themeColor="text1"/>
          <w:sz w:val="32"/>
          <w:szCs w:val="32"/>
          <w14:textFill>
            <w14:solidFill>
              <w14:schemeClr w14:val="tx1"/>
            </w14:solidFill>
          </w14:textFill>
        </w:rPr>
      </w:pPr>
    </w:p>
    <w:p w14:paraId="17318E3C">
      <w:pPr>
        <w:rPr>
          <w:rFonts w:hint="default" w:ascii="Times New Roman" w:hAnsi="Times New Roman" w:eastAsia="黑体" w:cs="Times New Roman"/>
          <w:color w:val="000000" w:themeColor="text1"/>
          <w:sz w:val="32"/>
          <w:szCs w:val="32"/>
          <w14:textFill>
            <w14:solidFill>
              <w14:schemeClr w14:val="tx1"/>
            </w14:solidFill>
          </w14:textFill>
        </w:rPr>
      </w:pPr>
    </w:p>
    <w:p w14:paraId="46C43839">
      <w:pPr>
        <w:rPr>
          <w:rFonts w:hint="default" w:ascii="Times New Roman" w:hAnsi="Times New Roman" w:eastAsia="黑体" w:cs="Times New Roman"/>
          <w:color w:val="000000" w:themeColor="text1"/>
          <w:sz w:val="32"/>
          <w:szCs w:val="32"/>
          <w14:textFill>
            <w14:solidFill>
              <w14:schemeClr w14:val="tx1"/>
            </w14:solidFill>
          </w14:textFill>
        </w:rPr>
      </w:pPr>
    </w:p>
    <w:p w14:paraId="6880FBEE">
      <w:pPr>
        <w:rPr>
          <w:rFonts w:hint="default" w:ascii="Times New Roman" w:hAnsi="Times New Roman" w:eastAsia="黑体" w:cs="Times New Roman"/>
          <w:color w:val="000000" w:themeColor="text1"/>
          <w:sz w:val="32"/>
          <w:szCs w:val="32"/>
          <w14:textFill>
            <w14:solidFill>
              <w14:schemeClr w14:val="tx1"/>
            </w14:solidFill>
          </w14:textFill>
        </w:rPr>
      </w:pPr>
    </w:p>
    <w:p w14:paraId="084D407E">
      <w:pPr>
        <w:rPr>
          <w:rFonts w:hint="default" w:ascii="Times New Roman" w:hAnsi="Times New Roman" w:eastAsia="黑体" w:cs="Times New Roman"/>
          <w:color w:val="000000" w:themeColor="text1"/>
          <w:sz w:val="32"/>
          <w:szCs w:val="32"/>
          <w14:textFill>
            <w14:solidFill>
              <w14:schemeClr w14:val="tx1"/>
            </w14:solidFill>
          </w14:textFill>
        </w:rPr>
      </w:pPr>
      <w:bookmarkStart w:id="0" w:name="_GoBack"/>
      <w:bookmarkEnd w:id="0"/>
    </w:p>
    <w:p w14:paraId="71E2BF68">
      <w:pPr>
        <w:rPr>
          <w:rFonts w:hint="default" w:ascii="Times New Roman" w:hAnsi="Times New Roman" w:eastAsia="黑体" w:cs="Times New Roman"/>
          <w:color w:val="000000" w:themeColor="text1"/>
          <w:sz w:val="32"/>
          <w:szCs w:val="32"/>
          <w14:textFill>
            <w14:solidFill>
              <w14:schemeClr w14:val="tx1"/>
            </w14:solidFill>
          </w14:textFill>
        </w:rPr>
      </w:pPr>
    </w:p>
    <w:p w14:paraId="639C0E27">
      <w:pPr>
        <w:rPr>
          <w:rFonts w:hint="default" w:ascii="Times New Roman" w:hAnsi="Times New Roman" w:eastAsia="黑体" w:cs="Times New Roman"/>
          <w:color w:val="000000" w:themeColor="text1"/>
          <w:sz w:val="32"/>
          <w:szCs w:val="32"/>
          <w14:textFill>
            <w14:solidFill>
              <w14:schemeClr w14:val="tx1"/>
            </w14:solidFill>
          </w14:textFill>
        </w:rPr>
      </w:pPr>
    </w:p>
    <w:p w14:paraId="3BFA0AC3">
      <w:pPr>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附件</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14:textFill>
            <w14:solidFill>
              <w14:schemeClr w14:val="tx1"/>
            </w14:solidFill>
          </w14:textFill>
        </w:rPr>
        <w:tab/>
      </w:r>
    </w:p>
    <w:p w14:paraId="7C4E11E7">
      <w:pPr>
        <w:autoSpaceDE w:val="0"/>
        <w:autoSpaceDN w:val="0"/>
        <w:adjustRightInd w:val="0"/>
        <w:spacing w:afterLines="50" w:line="600" w:lineRule="exact"/>
        <w:jc w:val="center"/>
        <w:rPr>
          <w:rFonts w:hint="default" w:ascii="Times New Roman" w:hAnsi="Times New Roman" w:eastAsia="方正小标宋简体" w:cs="Times New Roman"/>
          <w:color w:val="000000" w:themeColor="text1"/>
          <w:sz w:val="44"/>
          <w:szCs w:val="44"/>
          <w14:textFill>
            <w14:solidFill>
              <w14:schemeClr w14:val="tx1"/>
            </w14:solidFill>
          </w14:textFill>
        </w:rPr>
      </w:pPr>
      <w:r>
        <w:rPr>
          <w:rFonts w:hint="default" w:ascii="Times New Roman" w:hAnsi="Times New Roman" w:eastAsia="方正小标宋简体" w:cs="Times New Roman"/>
          <w:color w:val="000000" w:themeColor="text1"/>
          <w:sz w:val="44"/>
          <w:szCs w:val="44"/>
          <w14:textFill>
            <w14:solidFill>
              <w14:schemeClr w14:val="tx1"/>
            </w14:solidFill>
          </w14:textFill>
        </w:rPr>
        <w:t>明溪县合理布局规划积分评定标准</w:t>
      </w:r>
    </w:p>
    <w:tbl>
      <w:tblPr>
        <w:tblStyle w:val="4"/>
        <w:tblW w:w="9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2144"/>
        <w:gridCol w:w="5670"/>
        <w:gridCol w:w="847"/>
      </w:tblGrid>
      <w:tr w14:paraId="3D0C9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shd w:val="clear" w:color="auto" w:fill="auto"/>
            <w:vAlign w:val="center"/>
          </w:tcPr>
          <w:p w14:paraId="61D900A0">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8"/>
                <w:szCs w:val="28"/>
                <w14:textFill>
                  <w14:solidFill>
                    <w14:schemeClr w14:val="tx1"/>
                  </w14:solidFill>
                </w14:textFill>
              </w:rPr>
            </w:pPr>
            <w:r>
              <w:rPr>
                <w:rFonts w:hint="default" w:ascii="Times New Roman" w:hAnsi="Times New Roman" w:eastAsia="仿宋_GB2312" w:cs="Times New Roman"/>
                <w:b w:val="0"/>
                <w:bCs w:val="0"/>
                <w:color w:val="000000" w:themeColor="text1"/>
                <w:sz w:val="28"/>
                <w:szCs w:val="28"/>
                <w14:textFill>
                  <w14:solidFill>
                    <w14:schemeClr w14:val="tx1"/>
                  </w14:solidFill>
                </w14:textFill>
              </w:rPr>
              <w:t>序号</w:t>
            </w:r>
          </w:p>
        </w:tc>
        <w:tc>
          <w:tcPr>
            <w:tcW w:w="2144" w:type="dxa"/>
            <w:shd w:val="clear" w:color="auto" w:fill="auto"/>
            <w:vAlign w:val="center"/>
          </w:tcPr>
          <w:p w14:paraId="23CBB6EB">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8"/>
                <w:szCs w:val="28"/>
                <w14:textFill>
                  <w14:solidFill>
                    <w14:schemeClr w14:val="tx1"/>
                  </w14:solidFill>
                </w14:textFill>
              </w:rPr>
            </w:pPr>
            <w:r>
              <w:rPr>
                <w:rFonts w:hint="default" w:ascii="Times New Roman" w:hAnsi="Times New Roman" w:eastAsia="仿宋_GB2312" w:cs="Times New Roman"/>
                <w:b w:val="0"/>
                <w:bCs w:val="0"/>
                <w:color w:val="000000" w:themeColor="text1"/>
                <w:sz w:val="28"/>
                <w:szCs w:val="28"/>
                <w14:textFill>
                  <w14:solidFill>
                    <w14:schemeClr w14:val="tx1"/>
                  </w14:solidFill>
                </w14:textFill>
              </w:rPr>
              <w:t>内容</w:t>
            </w:r>
          </w:p>
        </w:tc>
        <w:tc>
          <w:tcPr>
            <w:tcW w:w="5670" w:type="dxa"/>
            <w:shd w:val="clear" w:color="auto" w:fill="auto"/>
            <w:vAlign w:val="center"/>
          </w:tcPr>
          <w:p w14:paraId="52A32460">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8"/>
                <w:szCs w:val="28"/>
                <w14:textFill>
                  <w14:solidFill>
                    <w14:schemeClr w14:val="tx1"/>
                  </w14:solidFill>
                </w14:textFill>
              </w:rPr>
            </w:pPr>
            <w:r>
              <w:rPr>
                <w:rFonts w:hint="default" w:ascii="Times New Roman" w:hAnsi="Times New Roman" w:eastAsia="仿宋_GB2312" w:cs="Times New Roman"/>
                <w:b w:val="0"/>
                <w:bCs w:val="0"/>
                <w:color w:val="000000" w:themeColor="text1"/>
                <w:sz w:val="28"/>
                <w:szCs w:val="28"/>
                <w14:textFill>
                  <w14:solidFill>
                    <w14:schemeClr w14:val="tx1"/>
                  </w14:solidFill>
                </w14:textFill>
              </w:rPr>
              <w:t>评定标准</w:t>
            </w:r>
          </w:p>
        </w:tc>
        <w:tc>
          <w:tcPr>
            <w:tcW w:w="847" w:type="dxa"/>
            <w:shd w:val="clear" w:color="auto" w:fill="auto"/>
            <w:vAlign w:val="center"/>
          </w:tcPr>
          <w:p w14:paraId="17654839">
            <w:pPr>
              <w:widowControl/>
              <w:jc w:val="center"/>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eastAsia="仿宋_GB2312" w:cs="Times New Roman"/>
                <w:b w:val="0"/>
                <w:bCs w:val="0"/>
                <w:color w:val="000000" w:themeColor="text1"/>
                <w:sz w:val="28"/>
                <w:szCs w:val="28"/>
                <w14:textFill>
                  <w14:solidFill>
                    <w14:schemeClr w14:val="tx1"/>
                  </w14:solidFill>
                </w14:textFill>
              </w:rPr>
              <w:t>积分</w:t>
            </w:r>
          </w:p>
        </w:tc>
      </w:tr>
      <w:tr w14:paraId="53461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460" w:type="dxa"/>
            <w:gridSpan w:val="4"/>
            <w:shd w:val="clear" w:color="auto" w:fill="auto"/>
            <w:vAlign w:val="center"/>
          </w:tcPr>
          <w:p w14:paraId="03A8A9F4">
            <w:pPr>
              <w:widowControl/>
              <w:jc w:val="cente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szCs w:val="24"/>
                <w:lang w:val="en-US" w:eastAsia="zh-CN"/>
                <w14:textFill>
                  <w14:solidFill>
                    <w14:schemeClr w14:val="tx1"/>
                  </w14:solidFill>
                </w14:textFill>
              </w:rPr>
              <w:t>基础分</w:t>
            </w:r>
          </w:p>
        </w:tc>
      </w:tr>
      <w:tr w14:paraId="4C914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shd w:val="clear" w:color="auto" w:fill="auto"/>
            <w:vAlign w:val="center"/>
          </w:tcPr>
          <w:p w14:paraId="4424526A">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1</w:t>
            </w:r>
          </w:p>
        </w:tc>
        <w:tc>
          <w:tcPr>
            <w:tcW w:w="2144" w:type="dxa"/>
            <w:shd w:val="clear" w:color="auto" w:fill="auto"/>
            <w:vAlign w:val="center"/>
          </w:tcPr>
          <w:p w14:paraId="56621ADD">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lang w:eastAsia="zh-CN"/>
                <w14:textFill>
                  <w14:solidFill>
                    <w14:schemeClr w14:val="tx1"/>
                  </w14:solidFill>
                </w14:textFill>
              </w:rPr>
              <w:t>符合法定条件</w:t>
            </w:r>
          </w:p>
        </w:tc>
        <w:tc>
          <w:tcPr>
            <w:tcW w:w="5670" w:type="dxa"/>
            <w:shd w:val="clear" w:color="auto" w:fill="auto"/>
            <w:vAlign w:val="center"/>
          </w:tcPr>
          <w:p w14:paraId="75E6F139">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《中华人民共和国烟草专卖法实施条例》</w:t>
            </w:r>
            <w:r>
              <w:rPr>
                <w:rFonts w:hint="default" w:ascii="Times New Roman" w:hAnsi="Times New Roman" w:eastAsia="仿宋_GB2312" w:cs="Times New Roman"/>
                <w:b w:val="0"/>
                <w:bCs w:val="0"/>
                <w:color w:val="000000" w:themeColor="text1"/>
                <w:sz w:val="24"/>
                <w:lang w:eastAsia="zh-CN"/>
                <w14:textFill>
                  <w14:solidFill>
                    <w14:schemeClr w14:val="tx1"/>
                  </w14:solidFill>
                </w14:textFill>
              </w:rPr>
              <w:t>第九条</w:t>
            </w:r>
          </w:p>
        </w:tc>
        <w:tc>
          <w:tcPr>
            <w:tcW w:w="847" w:type="dxa"/>
            <w:shd w:val="clear" w:color="auto" w:fill="auto"/>
            <w:vAlign w:val="center"/>
          </w:tcPr>
          <w:p w14:paraId="6B25CB3B">
            <w:pPr>
              <w:widowControl/>
              <w:jc w:val="cente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40分</w:t>
            </w:r>
          </w:p>
        </w:tc>
      </w:tr>
      <w:tr w14:paraId="1F980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460" w:type="dxa"/>
            <w:gridSpan w:val="4"/>
            <w:shd w:val="clear" w:color="auto" w:fill="auto"/>
            <w:vAlign w:val="center"/>
          </w:tcPr>
          <w:p w14:paraId="2C12EA74">
            <w:pPr>
              <w:widowControl/>
              <w:jc w:val="center"/>
              <w:rPr>
                <w:rFonts w:hint="default" w:ascii="Times New Roman" w:hAnsi="Times New Roman" w:eastAsia="仿宋_GB2312" w:cs="Times New Roman"/>
                <w:b w:val="0"/>
                <w:bCs w:val="0"/>
                <w:color w:val="000000" w:themeColor="text1"/>
                <w:sz w:val="24"/>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szCs w:val="24"/>
                <w:lang w:eastAsia="zh-CN"/>
                <w14:textFill>
                  <w14:solidFill>
                    <w14:schemeClr w14:val="tx1"/>
                  </w14:solidFill>
                </w14:textFill>
              </w:rPr>
              <w:t>附加分</w:t>
            </w:r>
          </w:p>
        </w:tc>
      </w:tr>
      <w:tr w14:paraId="04C0A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shd w:val="clear" w:color="auto" w:fill="auto"/>
            <w:vAlign w:val="center"/>
          </w:tcPr>
          <w:p w14:paraId="7DCA71CC">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2</w:t>
            </w:r>
          </w:p>
        </w:tc>
        <w:tc>
          <w:tcPr>
            <w:tcW w:w="2144" w:type="dxa"/>
            <w:shd w:val="clear" w:color="auto" w:fill="auto"/>
            <w:vAlign w:val="center"/>
          </w:tcPr>
          <w:p w14:paraId="357D329F">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银行征信记录</w:t>
            </w:r>
          </w:p>
        </w:tc>
        <w:tc>
          <w:tcPr>
            <w:tcW w:w="5670" w:type="dxa"/>
            <w:shd w:val="clear" w:color="auto" w:fill="auto"/>
            <w:vAlign w:val="center"/>
          </w:tcPr>
          <w:p w14:paraId="09021F66">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能提供</w:t>
            </w:r>
            <w:r>
              <w:rPr>
                <w:rFonts w:hint="default" w:ascii="Times New Roman" w:hAnsi="Times New Roman" w:eastAsia="仿宋_GB2312" w:cs="Times New Roman"/>
                <w:b w:val="0"/>
                <w:bCs w:val="0"/>
                <w:color w:val="000000" w:themeColor="text1"/>
                <w:sz w:val="24"/>
                <w:lang w:eastAsia="zh-CN"/>
                <w14:textFill>
                  <w14:solidFill>
                    <w14:schemeClr w14:val="tx1"/>
                  </w14:solidFill>
                </w14:textFill>
              </w:rPr>
              <w:t>人民</w:t>
            </w:r>
            <w:r>
              <w:rPr>
                <w:rFonts w:hint="default" w:ascii="Times New Roman" w:hAnsi="Times New Roman" w:eastAsia="仿宋_GB2312" w:cs="Times New Roman"/>
                <w:b w:val="0"/>
                <w:bCs w:val="0"/>
                <w:color w:val="000000" w:themeColor="text1"/>
                <w:sz w:val="24"/>
                <w14:textFill>
                  <w14:solidFill>
                    <w14:schemeClr w14:val="tx1"/>
                  </w14:solidFill>
                </w14:textFill>
              </w:rPr>
              <w:t>银行出具的征信记录证明且无严重不良记录</w:t>
            </w:r>
          </w:p>
        </w:tc>
        <w:tc>
          <w:tcPr>
            <w:tcW w:w="847" w:type="dxa"/>
            <w:shd w:val="clear" w:color="auto" w:fill="auto"/>
            <w:vAlign w:val="center"/>
          </w:tcPr>
          <w:p w14:paraId="1BF5A39B">
            <w:pPr>
              <w:widowControl/>
              <w:jc w:val="center"/>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10分</w:t>
            </w:r>
          </w:p>
        </w:tc>
      </w:tr>
      <w:tr w14:paraId="68AB5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799" w:type="dxa"/>
            <w:shd w:val="clear" w:color="auto" w:fill="auto"/>
            <w:vAlign w:val="center"/>
          </w:tcPr>
          <w:p w14:paraId="3BECD8B4">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3</w:t>
            </w:r>
          </w:p>
        </w:tc>
        <w:tc>
          <w:tcPr>
            <w:tcW w:w="2144" w:type="dxa"/>
            <w:shd w:val="clear" w:color="auto" w:fill="auto"/>
            <w:vAlign w:val="center"/>
          </w:tcPr>
          <w:p w14:paraId="6B04258F">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企业信用等级</w:t>
            </w:r>
          </w:p>
        </w:tc>
        <w:tc>
          <w:tcPr>
            <w:tcW w:w="5670" w:type="dxa"/>
            <w:shd w:val="clear" w:color="auto" w:fill="auto"/>
            <w:vAlign w:val="center"/>
          </w:tcPr>
          <w:p w14:paraId="578C0B33">
            <w:pPr>
              <w:autoSpaceDE w:val="0"/>
              <w:autoSpaceDN w:val="0"/>
              <w:adjustRightInd w:val="0"/>
              <w:spacing w:line="600" w:lineRule="exact"/>
              <w:jc w:val="left"/>
              <w:rPr>
                <w:rFonts w:hint="default" w:ascii="Times New Roman" w:hAnsi="Times New Roman" w:eastAsia="仿宋_GB2312" w:cs="Times New Roman"/>
                <w:b w:val="0"/>
                <w:bCs w:val="0"/>
                <w:color w:val="000000" w:themeColor="text1"/>
                <w:sz w:val="24"/>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市场监督管理局评定</w:t>
            </w: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B</w:t>
            </w:r>
            <w:r>
              <w:rPr>
                <w:rFonts w:hint="default" w:ascii="Times New Roman" w:hAnsi="Times New Roman" w:eastAsia="仿宋_GB2312" w:cs="Times New Roman"/>
                <w:b w:val="0"/>
                <w:bCs w:val="0"/>
                <w:color w:val="000000" w:themeColor="text1"/>
                <w:sz w:val="24"/>
                <w14:textFill>
                  <w14:solidFill>
                    <w14:schemeClr w14:val="tx1"/>
                  </w14:solidFill>
                </w14:textFill>
              </w:rPr>
              <w:t>级</w:t>
            </w:r>
            <w:r>
              <w:rPr>
                <w:rFonts w:hint="default" w:ascii="Times New Roman" w:hAnsi="Times New Roman" w:eastAsia="仿宋_GB2312" w:cs="Times New Roman"/>
                <w:b w:val="0"/>
                <w:bCs w:val="0"/>
                <w:color w:val="000000" w:themeColor="text1"/>
                <w:sz w:val="24"/>
                <w:lang w:eastAsia="zh-CN"/>
                <w14:textFill>
                  <w14:solidFill>
                    <w14:schemeClr w14:val="tx1"/>
                  </w14:solidFill>
                </w14:textFill>
              </w:rPr>
              <w:t>以上</w:t>
            </w:r>
          </w:p>
        </w:tc>
        <w:tc>
          <w:tcPr>
            <w:tcW w:w="847" w:type="dxa"/>
            <w:shd w:val="clear" w:color="auto" w:fill="auto"/>
            <w:vAlign w:val="center"/>
          </w:tcPr>
          <w:p w14:paraId="1BEBAF26">
            <w:pPr>
              <w:widowControl/>
              <w:jc w:val="center"/>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10分</w:t>
            </w:r>
          </w:p>
        </w:tc>
      </w:tr>
      <w:tr w14:paraId="3AAC7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799" w:type="dxa"/>
            <w:shd w:val="clear" w:color="auto" w:fill="auto"/>
            <w:vAlign w:val="center"/>
          </w:tcPr>
          <w:p w14:paraId="2B6A99C1">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4</w:t>
            </w:r>
          </w:p>
        </w:tc>
        <w:tc>
          <w:tcPr>
            <w:tcW w:w="2144" w:type="dxa"/>
            <w:shd w:val="clear" w:color="auto" w:fill="auto"/>
            <w:vAlign w:val="center"/>
          </w:tcPr>
          <w:p w14:paraId="2B733617">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烈士家属</w:t>
            </w:r>
          </w:p>
        </w:tc>
        <w:tc>
          <w:tcPr>
            <w:tcW w:w="5670" w:type="dxa"/>
            <w:shd w:val="clear" w:color="auto" w:fill="auto"/>
            <w:vAlign w:val="center"/>
          </w:tcPr>
          <w:p w14:paraId="113C484C">
            <w:pPr>
              <w:autoSpaceDE w:val="0"/>
              <w:autoSpaceDN w:val="0"/>
              <w:adjustRightInd w:val="0"/>
              <w:spacing w:line="600" w:lineRule="exact"/>
              <w:jc w:val="left"/>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提供相应证明</w:t>
            </w:r>
          </w:p>
        </w:tc>
        <w:tc>
          <w:tcPr>
            <w:tcW w:w="847" w:type="dxa"/>
            <w:shd w:val="clear" w:color="auto" w:fill="auto"/>
            <w:vAlign w:val="center"/>
          </w:tcPr>
          <w:p w14:paraId="4A198D6E">
            <w:pPr>
              <w:widowControl/>
              <w:jc w:val="center"/>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cs="Times New Roman"/>
                <w:b w:val="0"/>
                <w:bCs w:val="0"/>
                <w:color w:val="000000" w:themeColor="text1"/>
                <w:sz w:val="24"/>
                <w14:textFill>
                  <w14:solidFill>
                    <w14:schemeClr w14:val="tx1"/>
                  </w14:solidFill>
                </w14:textFill>
              </w:rPr>
              <w:t>10分</w:t>
            </w:r>
          </w:p>
        </w:tc>
      </w:tr>
      <w:tr w14:paraId="2797E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799" w:type="dxa"/>
            <w:shd w:val="clear" w:color="auto" w:fill="auto"/>
            <w:vAlign w:val="center"/>
          </w:tcPr>
          <w:p w14:paraId="38DC841B">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5</w:t>
            </w:r>
          </w:p>
        </w:tc>
        <w:tc>
          <w:tcPr>
            <w:tcW w:w="2144" w:type="dxa"/>
            <w:shd w:val="clear" w:color="auto" w:fill="auto"/>
            <w:vAlign w:val="center"/>
          </w:tcPr>
          <w:p w14:paraId="3A8FDAF4">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军属</w:t>
            </w:r>
            <w:r>
              <w:rPr>
                <w:rFonts w:hint="default" w:ascii="Times New Roman" w:hAnsi="Times New Roman" w:eastAsia="仿宋_GB2312" w:cs="Times New Roman"/>
                <w:b w:val="0"/>
                <w:bCs w:val="0"/>
                <w:color w:val="000000" w:themeColor="text1"/>
                <w:sz w:val="24"/>
                <w:u w:val="none"/>
                <w:lang w:eastAsia="zh-CN"/>
                <w14:textFill>
                  <w14:solidFill>
                    <w14:schemeClr w14:val="tx1"/>
                  </w14:solidFill>
                </w14:textFill>
              </w:rPr>
              <w:t>、退役军人</w:t>
            </w:r>
          </w:p>
        </w:tc>
        <w:tc>
          <w:tcPr>
            <w:tcW w:w="5670" w:type="dxa"/>
            <w:shd w:val="clear" w:color="auto" w:fill="auto"/>
            <w:vAlign w:val="center"/>
          </w:tcPr>
          <w:p w14:paraId="68C682F2">
            <w:pPr>
              <w:autoSpaceDE w:val="0"/>
              <w:autoSpaceDN w:val="0"/>
              <w:adjustRightInd w:val="0"/>
              <w:spacing w:line="600" w:lineRule="exact"/>
              <w:jc w:val="left"/>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提供相应证明</w:t>
            </w:r>
          </w:p>
        </w:tc>
        <w:tc>
          <w:tcPr>
            <w:tcW w:w="847" w:type="dxa"/>
            <w:shd w:val="clear" w:color="auto" w:fill="auto"/>
            <w:vAlign w:val="center"/>
          </w:tcPr>
          <w:p w14:paraId="4DB96FEB">
            <w:pPr>
              <w:widowControl/>
              <w:jc w:val="center"/>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5分</w:t>
            </w:r>
          </w:p>
        </w:tc>
      </w:tr>
      <w:tr w14:paraId="48DAB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trPr>
        <w:tc>
          <w:tcPr>
            <w:tcW w:w="799" w:type="dxa"/>
            <w:shd w:val="clear" w:color="auto" w:fill="auto"/>
            <w:vAlign w:val="center"/>
          </w:tcPr>
          <w:p w14:paraId="6E0B6D0D">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6</w:t>
            </w:r>
          </w:p>
        </w:tc>
        <w:tc>
          <w:tcPr>
            <w:tcW w:w="2144" w:type="dxa"/>
            <w:shd w:val="clear" w:color="auto" w:fill="auto"/>
            <w:vAlign w:val="center"/>
          </w:tcPr>
          <w:p w14:paraId="527A5B6F">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登记备案</w:t>
            </w:r>
          </w:p>
        </w:tc>
        <w:tc>
          <w:tcPr>
            <w:tcW w:w="5670" w:type="dxa"/>
            <w:shd w:val="clear" w:color="auto" w:fill="auto"/>
            <w:vAlign w:val="center"/>
          </w:tcPr>
          <w:p w14:paraId="3829A207">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达到1年以上(不足一年按一年)的加1分，1年以上未满三年的每多一个月加0.1分，最高不超3.3分</w:t>
            </w:r>
          </w:p>
        </w:tc>
        <w:tc>
          <w:tcPr>
            <w:tcW w:w="847" w:type="dxa"/>
            <w:shd w:val="clear" w:color="auto" w:fill="auto"/>
            <w:vAlign w:val="center"/>
          </w:tcPr>
          <w:p w14:paraId="37C83A01">
            <w:pPr>
              <w:widowControl/>
              <w:jc w:val="center"/>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cs="Times New Roman"/>
                <w:b w:val="0"/>
                <w:bCs w:val="0"/>
                <w:color w:val="000000" w:themeColor="text1"/>
                <w:sz w:val="24"/>
                <w14:textFill>
                  <w14:solidFill>
                    <w14:schemeClr w14:val="tx1"/>
                  </w14:solidFill>
                </w14:textFill>
              </w:rPr>
              <w:t>3.</w:t>
            </w:r>
            <w:r>
              <w:rPr>
                <w:rFonts w:hint="default" w:ascii="Times New Roman" w:hAnsi="Times New Roman" w:cs="Times New Roman"/>
                <w:b w:val="0"/>
                <w:bCs w:val="0"/>
                <w:color w:val="000000" w:themeColor="text1"/>
                <w:sz w:val="24"/>
                <w:lang w:val="en-US" w:eastAsia="zh-CN"/>
                <w14:textFill>
                  <w14:solidFill>
                    <w14:schemeClr w14:val="tx1"/>
                  </w14:solidFill>
                </w14:textFill>
              </w:rPr>
              <w:t>4</w:t>
            </w:r>
            <w:r>
              <w:rPr>
                <w:rFonts w:hint="default" w:ascii="Times New Roman" w:hAnsi="Times New Roman" w:cs="Times New Roman"/>
                <w:b w:val="0"/>
                <w:bCs w:val="0"/>
                <w:color w:val="000000" w:themeColor="text1"/>
                <w:sz w:val="24"/>
                <w14:textFill>
                  <w14:solidFill>
                    <w14:schemeClr w14:val="tx1"/>
                  </w14:solidFill>
                </w14:textFill>
              </w:rPr>
              <w:t>分</w:t>
            </w:r>
          </w:p>
        </w:tc>
      </w:tr>
      <w:tr w14:paraId="6147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shd w:val="clear" w:color="auto" w:fill="auto"/>
            <w:vAlign w:val="center"/>
          </w:tcPr>
          <w:p w14:paraId="1AD0B130">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7</w:t>
            </w:r>
          </w:p>
        </w:tc>
        <w:tc>
          <w:tcPr>
            <w:tcW w:w="2144" w:type="dxa"/>
            <w:shd w:val="clear" w:color="auto" w:fill="auto"/>
            <w:vAlign w:val="center"/>
          </w:tcPr>
          <w:p w14:paraId="4E895C65">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与距离最近烟草制品零售点距离</w:t>
            </w:r>
          </w:p>
        </w:tc>
        <w:tc>
          <w:tcPr>
            <w:tcW w:w="5670" w:type="dxa"/>
            <w:shd w:val="clear" w:color="auto" w:fill="auto"/>
            <w:vAlign w:val="center"/>
          </w:tcPr>
          <w:p w14:paraId="47660726">
            <w:pPr>
              <w:autoSpaceDE w:val="0"/>
              <w:autoSpaceDN w:val="0"/>
              <w:adjustRightInd w:val="0"/>
              <w:spacing w:line="600" w:lineRule="exact"/>
              <w:jc w:val="left"/>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5</w:t>
            </w: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0</w:t>
            </w:r>
            <w:r>
              <w:rPr>
                <w:rFonts w:hint="default" w:ascii="Times New Roman" w:hAnsi="Times New Roman" w:eastAsia="仿宋_GB2312" w:cs="Times New Roman"/>
                <w:b w:val="0"/>
                <w:bCs w:val="0"/>
                <w:color w:val="000000" w:themeColor="text1"/>
                <w:sz w:val="24"/>
                <w14:textFill>
                  <w14:solidFill>
                    <w14:schemeClr w14:val="tx1"/>
                  </w14:solidFill>
                </w14:textFill>
              </w:rPr>
              <w:t>米以上加2分</w:t>
            </w:r>
          </w:p>
        </w:tc>
        <w:tc>
          <w:tcPr>
            <w:tcW w:w="847" w:type="dxa"/>
            <w:shd w:val="clear" w:color="auto" w:fill="auto"/>
            <w:vAlign w:val="center"/>
          </w:tcPr>
          <w:p w14:paraId="3C6D4024">
            <w:pPr>
              <w:widowControl/>
              <w:jc w:val="center"/>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cs="Times New Roman"/>
                <w:b w:val="0"/>
                <w:bCs w:val="0"/>
                <w:color w:val="000000" w:themeColor="text1"/>
                <w:sz w:val="24"/>
                <w14:textFill>
                  <w14:solidFill>
                    <w14:schemeClr w14:val="tx1"/>
                  </w14:solidFill>
                </w14:textFill>
              </w:rPr>
              <w:t>2分</w:t>
            </w:r>
          </w:p>
        </w:tc>
      </w:tr>
      <w:tr w14:paraId="48FFF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799" w:type="dxa"/>
            <w:vMerge w:val="restart"/>
            <w:shd w:val="clear" w:color="auto" w:fill="auto"/>
            <w:vAlign w:val="center"/>
          </w:tcPr>
          <w:p w14:paraId="35C5886D">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8</w:t>
            </w:r>
          </w:p>
        </w:tc>
        <w:tc>
          <w:tcPr>
            <w:tcW w:w="2144" w:type="dxa"/>
            <w:vMerge w:val="restart"/>
            <w:shd w:val="clear" w:color="auto" w:fill="auto"/>
            <w:vAlign w:val="center"/>
          </w:tcPr>
          <w:p w14:paraId="44F24728">
            <w:pPr>
              <w:keepNext w:val="0"/>
              <w:keepLines w:val="0"/>
              <w:pageBreakBefore w:val="0"/>
              <w:widowControl w:val="0"/>
              <w:kinsoku/>
              <w:wordWrap/>
              <w:overflowPunct/>
              <w:topLinePunct w:val="0"/>
              <w:autoSpaceDE w:val="0"/>
              <w:autoSpaceDN w:val="0"/>
              <w:bidi w:val="0"/>
              <w:adjustRightInd w:val="0"/>
              <w:snapToGrid/>
              <w:spacing w:line="500" w:lineRule="exact"/>
              <w:jc w:val="center"/>
              <w:textAlignment w:val="auto"/>
              <w:rPr>
                <w:rFonts w:hint="default" w:ascii="Times New Roman" w:hAnsi="Times New Roman" w:eastAsia="仿宋_GB2312" w:cs="Times New Roman"/>
                <w:b w:val="0"/>
                <w:bCs w:val="0"/>
                <w:color w:val="000000" w:themeColor="text1"/>
                <w:sz w:val="24"/>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lang w:eastAsia="zh-CN"/>
                <w14:textFill>
                  <w14:solidFill>
                    <w14:schemeClr w14:val="tx1"/>
                  </w14:solidFill>
                </w14:textFill>
              </w:rPr>
              <w:t>残疾证等级</w:t>
            </w:r>
          </w:p>
        </w:tc>
        <w:tc>
          <w:tcPr>
            <w:tcW w:w="5670" w:type="dxa"/>
            <w:shd w:val="clear" w:color="auto" w:fill="auto"/>
            <w:vAlign w:val="center"/>
          </w:tcPr>
          <w:p w14:paraId="4B8CF396">
            <w:pPr>
              <w:autoSpaceDE w:val="0"/>
              <w:autoSpaceDN w:val="0"/>
              <w:adjustRightInd w:val="0"/>
              <w:spacing w:line="600" w:lineRule="exact"/>
              <w:jc w:val="left"/>
              <w:rPr>
                <w:rFonts w:hint="default" w:ascii="Times New Roman" w:hAnsi="Times New Roman" w:eastAsia="仿宋_GB2312" w:cs="Times New Roman"/>
                <w:b w:val="0"/>
                <w:bCs w:val="0"/>
                <w:color w:val="000000" w:themeColor="text1"/>
                <w:sz w:val="24"/>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等级</w:t>
            </w:r>
            <w:r>
              <w:rPr>
                <w:rFonts w:hint="default" w:ascii="Times New Roman" w:hAnsi="Times New Roman" w:eastAsia="仿宋_GB2312" w:cs="Times New Roman"/>
                <w:b w:val="0"/>
                <w:bCs w:val="0"/>
                <w:color w:val="000000" w:themeColor="text1"/>
                <w:sz w:val="24"/>
                <w:lang w:eastAsia="zh-CN"/>
                <w14:textFill>
                  <w14:solidFill>
                    <w14:schemeClr w14:val="tx1"/>
                  </w14:solidFill>
                </w14:textFill>
              </w:rPr>
              <w:t>二级以上</w:t>
            </w:r>
          </w:p>
        </w:tc>
        <w:tc>
          <w:tcPr>
            <w:tcW w:w="847" w:type="dxa"/>
            <w:shd w:val="clear" w:color="auto" w:fill="auto"/>
            <w:vAlign w:val="center"/>
          </w:tcPr>
          <w:p w14:paraId="34917B2A">
            <w:pPr>
              <w:widowControl/>
              <w:jc w:val="center"/>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cs="Times New Roman"/>
                <w:b w:val="0"/>
                <w:bCs w:val="0"/>
                <w:color w:val="000000" w:themeColor="text1"/>
                <w:sz w:val="24"/>
                <w14:textFill>
                  <w14:solidFill>
                    <w14:schemeClr w14:val="tx1"/>
                  </w14:solidFill>
                </w14:textFill>
              </w:rPr>
              <w:t>3分</w:t>
            </w:r>
          </w:p>
        </w:tc>
      </w:tr>
      <w:tr w14:paraId="3EB86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799" w:type="dxa"/>
            <w:vMerge w:val="continue"/>
            <w:shd w:val="clear" w:color="auto" w:fill="auto"/>
            <w:vAlign w:val="center"/>
          </w:tcPr>
          <w:p w14:paraId="29167A27">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14:textFill>
                  <w14:solidFill>
                    <w14:schemeClr w14:val="tx1"/>
                  </w14:solidFill>
                </w14:textFill>
              </w:rPr>
            </w:pPr>
          </w:p>
        </w:tc>
        <w:tc>
          <w:tcPr>
            <w:tcW w:w="2144" w:type="dxa"/>
            <w:vMerge w:val="continue"/>
            <w:shd w:val="clear" w:color="auto" w:fill="auto"/>
            <w:vAlign w:val="center"/>
          </w:tcPr>
          <w:p w14:paraId="339AC6C5">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p>
        </w:tc>
        <w:tc>
          <w:tcPr>
            <w:tcW w:w="5670" w:type="dxa"/>
            <w:shd w:val="clear" w:color="auto" w:fill="auto"/>
            <w:vAlign w:val="center"/>
          </w:tcPr>
          <w:p w14:paraId="2B790A9D">
            <w:pPr>
              <w:autoSpaceDE w:val="0"/>
              <w:autoSpaceDN w:val="0"/>
              <w:adjustRightInd w:val="0"/>
              <w:spacing w:line="600" w:lineRule="exact"/>
              <w:jc w:val="left"/>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等级</w:t>
            </w:r>
            <w:r>
              <w:rPr>
                <w:rFonts w:hint="default" w:ascii="Times New Roman" w:hAnsi="Times New Roman" w:eastAsia="仿宋_GB2312" w:cs="Times New Roman"/>
                <w:b w:val="0"/>
                <w:bCs w:val="0"/>
                <w:color w:val="000000" w:themeColor="text1"/>
                <w:sz w:val="24"/>
                <w:lang w:eastAsia="zh-CN"/>
                <w14:textFill>
                  <w14:solidFill>
                    <w14:schemeClr w14:val="tx1"/>
                  </w14:solidFill>
                </w14:textFill>
              </w:rPr>
              <w:t>三</w:t>
            </w:r>
            <w:r>
              <w:rPr>
                <w:rFonts w:hint="default" w:ascii="Times New Roman" w:hAnsi="Times New Roman" w:eastAsia="仿宋_GB2312" w:cs="Times New Roman"/>
                <w:b w:val="0"/>
                <w:bCs w:val="0"/>
                <w:color w:val="000000" w:themeColor="text1"/>
                <w:sz w:val="24"/>
                <w14:textFill>
                  <w14:solidFill>
                    <w14:schemeClr w14:val="tx1"/>
                  </w14:solidFill>
                </w14:textFill>
              </w:rPr>
              <w:t>级</w:t>
            </w:r>
          </w:p>
        </w:tc>
        <w:tc>
          <w:tcPr>
            <w:tcW w:w="847" w:type="dxa"/>
            <w:shd w:val="clear" w:color="auto" w:fill="auto"/>
            <w:vAlign w:val="center"/>
          </w:tcPr>
          <w:p w14:paraId="01004129">
            <w:pPr>
              <w:widowControl/>
              <w:jc w:val="center"/>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cs="Times New Roman"/>
                <w:b w:val="0"/>
                <w:bCs w:val="0"/>
                <w:color w:val="000000" w:themeColor="text1"/>
                <w:sz w:val="24"/>
                <w14:textFill>
                  <w14:solidFill>
                    <w14:schemeClr w14:val="tx1"/>
                  </w14:solidFill>
                </w14:textFill>
              </w:rPr>
              <w:t>2分</w:t>
            </w:r>
          </w:p>
        </w:tc>
      </w:tr>
      <w:tr w14:paraId="42EB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799" w:type="dxa"/>
            <w:vMerge w:val="continue"/>
            <w:shd w:val="clear" w:color="auto" w:fill="auto"/>
            <w:vAlign w:val="center"/>
          </w:tcPr>
          <w:p w14:paraId="7A882DC5">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14:textFill>
                  <w14:solidFill>
                    <w14:schemeClr w14:val="tx1"/>
                  </w14:solidFill>
                </w14:textFill>
              </w:rPr>
            </w:pPr>
          </w:p>
        </w:tc>
        <w:tc>
          <w:tcPr>
            <w:tcW w:w="2144" w:type="dxa"/>
            <w:vMerge w:val="continue"/>
            <w:shd w:val="clear" w:color="auto" w:fill="auto"/>
            <w:vAlign w:val="center"/>
          </w:tcPr>
          <w:p w14:paraId="43F2C8A7">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p>
        </w:tc>
        <w:tc>
          <w:tcPr>
            <w:tcW w:w="5670" w:type="dxa"/>
            <w:shd w:val="clear" w:color="auto" w:fill="auto"/>
            <w:vAlign w:val="center"/>
          </w:tcPr>
          <w:p w14:paraId="4A730438">
            <w:pPr>
              <w:autoSpaceDE w:val="0"/>
              <w:autoSpaceDN w:val="0"/>
              <w:adjustRightInd w:val="0"/>
              <w:spacing w:line="600" w:lineRule="exact"/>
              <w:jc w:val="left"/>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等级</w:t>
            </w:r>
            <w:r>
              <w:rPr>
                <w:rFonts w:hint="default" w:ascii="Times New Roman" w:hAnsi="Times New Roman" w:eastAsia="仿宋_GB2312" w:cs="Times New Roman"/>
                <w:b w:val="0"/>
                <w:bCs w:val="0"/>
                <w:color w:val="000000" w:themeColor="text1"/>
                <w:sz w:val="24"/>
                <w:lang w:eastAsia="zh-CN"/>
                <w14:textFill>
                  <w14:solidFill>
                    <w14:schemeClr w14:val="tx1"/>
                  </w14:solidFill>
                </w14:textFill>
              </w:rPr>
              <w:t>四</w:t>
            </w:r>
            <w:r>
              <w:rPr>
                <w:rFonts w:hint="default" w:ascii="Times New Roman" w:hAnsi="Times New Roman" w:eastAsia="仿宋_GB2312" w:cs="Times New Roman"/>
                <w:b w:val="0"/>
                <w:bCs w:val="0"/>
                <w:color w:val="000000" w:themeColor="text1"/>
                <w:sz w:val="24"/>
                <w14:textFill>
                  <w14:solidFill>
                    <w14:schemeClr w14:val="tx1"/>
                  </w14:solidFill>
                </w14:textFill>
              </w:rPr>
              <w:t>级</w:t>
            </w:r>
          </w:p>
        </w:tc>
        <w:tc>
          <w:tcPr>
            <w:tcW w:w="847" w:type="dxa"/>
            <w:shd w:val="clear" w:color="auto" w:fill="auto"/>
            <w:vAlign w:val="center"/>
          </w:tcPr>
          <w:p w14:paraId="761BDD05">
            <w:pPr>
              <w:widowControl/>
              <w:jc w:val="center"/>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cs="Times New Roman"/>
                <w:b w:val="0"/>
                <w:bCs w:val="0"/>
                <w:color w:val="000000" w:themeColor="text1"/>
                <w:sz w:val="24"/>
                <w14:textFill>
                  <w14:solidFill>
                    <w14:schemeClr w14:val="tx1"/>
                  </w14:solidFill>
                </w14:textFill>
              </w:rPr>
              <w:t>1分</w:t>
            </w:r>
          </w:p>
        </w:tc>
      </w:tr>
      <w:tr w14:paraId="212A4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shd w:val="clear" w:color="auto" w:fill="auto"/>
            <w:vAlign w:val="center"/>
          </w:tcPr>
          <w:p w14:paraId="43C20D3E">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9</w:t>
            </w:r>
          </w:p>
        </w:tc>
        <w:tc>
          <w:tcPr>
            <w:tcW w:w="2144" w:type="dxa"/>
            <w:shd w:val="clear" w:color="auto" w:fill="auto"/>
            <w:vAlign w:val="center"/>
          </w:tcPr>
          <w:p w14:paraId="48A0AB90">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经营业态类型属于传统便利店</w:t>
            </w:r>
          </w:p>
        </w:tc>
        <w:tc>
          <w:tcPr>
            <w:tcW w:w="5670" w:type="dxa"/>
            <w:shd w:val="clear" w:color="auto" w:fill="auto"/>
            <w:vAlign w:val="center"/>
          </w:tcPr>
          <w:p w14:paraId="00157C87">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以销售即食商品、饮料、酒</w:t>
            </w: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类</w:t>
            </w:r>
            <w:r>
              <w:rPr>
                <w:rFonts w:hint="default" w:ascii="Times New Roman" w:hAnsi="Times New Roman" w:eastAsia="仿宋_GB2312" w:cs="Times New Roman"/>
                <w:b w:val="0"/>
                <w:bCs w:val="0"/>
                <w:color w:val="000000" w:themeColor="text1"/>
                <w:sz w:val="24"/>
                <w14:textFill>
                  <w14:solidFill>
                    <w14:schemeClr w14:val="tx1"/>
                  </w14:solidFill>
                </w14:textFill>
              </w:rPr>
              <w:t>及日用品为主；无商品信息管理系统或具备初级信息管理系统；经营模式传统且独立，无明显品牌形象；营业面积一般在200平方米以下</w:t>
            </w:r>
          </w:p>
        </w:tc>
        <w:tc>
          <w:tcPr>
            <w:tcW w:w="847" w:type="dxa"/>
            <w:shd w:val="clear" w:color="auto" w:fill="auto"/>
            <w:vAlign w:val="center"/>
          </w:tcPr>
          <w:p w14:paraId="6ACED669">
            <w:pPr>
              <w:widowControl/>
              <w:jc w:val="center"/>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2分</w:t>
            </w:r>
          </w:p>
        </w:tc>
      </w:tr>
      <w:tr w14:paraId="04C47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shd w:val="clear" w:color="auto" w:fill="auto"/>
            <w:vAlign w:val="center"/>
          </w:tcPr>
          <w:p w14:paraId="40620369">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10</w:t>
            </w:r>
          </w:p>
        </w:tc>
        <w:tc>
          <w:tcPr>
            <w:tcW w:w="2144" w:type="dxa"/>
            <w:shd w:val="clear" w:color="auto" w:fill="auto"/>
            <w:vAlign w:val="center"/>
          </w:tcPr>
          <w:p w14:paraId="63E276CE">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经营业态类型属于现代单体便利店</w:t>
            </w:r>
          </w:p>
        </w:tc>
        <w:tc>
          <w:tcPr>
            <w:tcW w:w="5670" w:type="dxa"/>
            <w:shd w:val="clear" w:color="auto" w:fill="auto"/>
            <w:vAlign w:val="center"/>
          </w:tcPr>
          <w:p w14:paraId="1BD5576E">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以销售即食商品、饮料、酒</w:t>
            </w: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类</w:t>
            </w:r>
            <w:r>
              <w:rPr>
                <w:rFonts w:hint="default" w:ascii="Times New Roman" w:hAnsi="Times New Roman" w:eastAsia="仿宋_GB2312" w:cs="Times New Roman"/>
                <w:b w:val="0"/>
                <w:bCs w:val="0"/>
                <w:color w:val="000000" w:themeColor="text1"/>
                <w:sz w:val="24"/>
                <w14:textFill>
                  <w14:solidFill>
                    <w14:schemeClr w14:val="tx1"/>
                  </w14:solidFill>
                </w14:textFill>
              </w:rPr>
              <w:t>及日用品为主，以开架自选、消费者在收银台结算为主要经营形式；管理信息化程度高，配备零售终端管理系统，能够提供正规发票或购物清单；单店自主经营管理；营业面积一般在200平方米以下</w:t>
            </w:r>
          </w:p>
        </w:tc>
        <w:tc>
          <w:tcPr>
            <w:tcW w:w="847" w:type="dxa"/>
            <w:shd w:val="clear" w:color="auto" w:fill="auto"/>
            <w:vAlign w:val="center"/>
          </w:tcPr>
          <w:p w14:paraId="5A6687A2">
            <w:pPr>
              <w:widowControl/>
              <w:jc w:val="center"/>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4分</w:t>
            </w:r>
          </w:p>
        </w:tc>
      </w:tr>
      <w:tr w14:paraId="22801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shd w:val="clear" w:color="auto" w:fill="auto"/>
            <w:vAlign w:val="center"/>
          </w:tcPr>
          <w:p w14:paraId="06DD6A72">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11</w:t>
            </w:r>
          </w:p>
        </w:tc>
        <w:tc>
          <w:tcPr>
            <w:tcW w:w="2144" w:type="dxa"/>
            <w:shd w:val="clear" w:color="auto" w:fill="auto"/>
            <w:vAlign w:val="center"/>
          </w:tcPr>
          <w:p w14:paraId="3FE068A4">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经营业态类型属于现代连锁便利店</w:t>
            </w:r>
          </w:p>
        </w:tc>
        <w:tc>
          <w:tcPr>
            <w:tcW w:w="5670" w:type="dxa"/>
            <w:shd w:val="clear" w:color="auto" w:fill="auto"/>
            <w:vAlign w:val="center"/>
          </w:tcPr>
          <w:p w14:paraId="0B0A8951">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以销售即食商品、饮料、酒</w:t>
            </w: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类</w:t>
            </w:r>
            <w:r>
              <w:rPr>
                <w:rFonts w:hint="default" w:ascii="Times New Roman" w:hAnsi="Times New Roman" w:eastAsia="仿宋_GB2312" w:cs="Times New Roman"/>
                <w:b w:val="0"/>
                <w:bCs w:val="0"/>
                <w:color w:val="000000" w:themeColor="text1"/>
                <w:sz w:val="24"/>
                <w14:textFill>
                  <w14:solidFill>
                    <w14:schemeClr w14:val="tx1"/>
                  </w14:solidFill>
                </w14:textFill>
              </w:rPr>
              <w:t>及日用品为主，以开架自选、消费者在收银台结算为主要经营形式；管理信息化程度高，配备零售终端管理系统，能够提供正规发票或购物清单；具有统一连锁品牌，以直营或加盟方式开展经营管理；营业面积一般在200平方米以下</w:t>
            </w:r>
          </w:p>
        </w:tc>
        <w:tc>
          <w:tcPr>
            <w:tcW w:w="847" w:type="dxa"/>
            <w:shd w:val="clear" w:color="auto" w:fill="auto"/>
            <w:vAlign w:val="center"/>
          </w:tcPr>
          <w:p w14:paraId="186F18F4">
            <w:pPr>
              <w:widowControl/>
              <w:jc w:val="center"/>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6分</w:t>
            </w:r>
          </w:p>
        </w:tc>
      </w:tr>
      <w:tr w14:paraId="7C8D5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shd w:val="clear" w:color="auto" w:fill="auto"/>
            <w:vAlign w:val="center"/>
          </w:tcPr>
          <w:p w14:paraId="3A1B119C">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12</w:t>
            </w:r>
          </w:p>
        </w:tc>
        <w:tc>
          <w:tcPr>
            <w:tcW w:w="2144" w:type="dxa"/>
            <w:shd w:val="clear" w:color="auto" w:fill="auto"/>
            <w:vAlign w:val="center"/>
          </w:tcPr>
          <w:p w14:paraId="7F5BA05F">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经营业态类型</w:t>
            </w: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属于专业店</w:t>
            </w:r>
          </w:p>
        </w:tc>
        <w:tc>
          <w:tcPr>
            <w:tcW w:w="5670" w:type="dxa"/>
            <w:shd w:val="clear" w:color="auto" w:fill="auto"/>
            <w:vAlign w:val="center"/>
          </w:tcPr>
          <w:p w14:paraId="0DDA5D29">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以</w:t>
            </w: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专门</w:t>
            </w:r>
            <w:r>
              <w:rPr>
                <w:rFonts w:hint="default" w:ascii="Times New Roman" w:hAnsi="Times New Roman" w:eastAsia="仿宋_GB2312" w:cs="Times New Roman"/>
                <w:b w:val="0"/>
                <w:bCs w:val="0"/>
                <w:color w:val="000000" w:themeColor="text1"/>
                <w:sz w:val="24"/>
                <w14:textFill>
                  <w14:solidFill>
                    <w14:schemeClr w14:val="tx1"/>
                  </w14:solidFill>
                </w14:textFill>
              </w:rPr>
              <w:t>销售酒类</w:t>
            </w:r>
            <w:r>
              <w:rPr>
                <w:rFonts w:hint="default" w:ascii="Times New Roman" w:hAnsi="Times New Roman" w:eastAsia="仿宋_GB2312" w:cs="Times New Roman"/>
                <w:b w:val="0"/>
                <w:bCs w:val="0"/>
                <w:color w:val="000000" w:themeColor="text1"/>
                <w:sz w:val="24"/>
                <w:lang w:eastAsia="zh-CN"/>
                <w14:textFill>
                  <w14:solidFill>
                    <w14:schemeClr w14:val="tx1"/>
                  </w14:solidFill>
                </w14:textFill>
              </w:rPr>
              <w:t>、</w:t>
            </w: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食品类</w:t>
            </w:r>
            <w:r>
              <w:rPr>
                <w:rFonts w:hint="default" w:ascii="Times New Roman" w:hAnsi="Times New Roman" w:eastAsia="仿宋_GB2312" w:cs="Times New Roman"/>
                <w:b w:val="0"/>
                <w:bCs w:val="0"/>
                <w:color w:val="000000" w:themeColor="text1"/>
                <w:sz w:val="24"/>
                <w14:textFill>
                  <w14:solidFill>
                    <w14:schemeClr w14:val="tx1"/>
                  </w14:solidFill>
                </w14:textFill>
              </w:rPr>
              <w:t>商品为主，</w:t>
            </w: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能</w:t>
            </w:r>
            <w:r>
              <w:rPr>
                <w:rFonts w:hint="default" w:ascii="Times New Roman" w:hAnsi="Times New Roman" w:eastAsia="仿宋_GB2312" w:cs="Times New Roman"/>
                <w:b w:val="0"/>
                <w:bCs w:val="0"/>
                <w:color w:val="000000" w:themeColor="text1"/>
                <w:sz w:val="24"/>
                <w14:textFill>
                  <w14:solidFill>
                    <w14:schemeClr w14:val="tx1"/>
                  </w14:solidFill>
                </w14:textFill>
              </w:rPr>
              <w:t>体现专业性、深度性、品种丰富、现场售卖人员可提供专业建议</w:t>
            </w:r>
            <w:r>
              <w:rPr>
                <w:rFonts w:hint="default" w:ascii="Times New Roman" w:hAnsi="Times New Roman" w:eastAsia="仿宋_GB2312" w:cs="Times New Roman"/>
                <w:b w:val="0"/>
                <w:bCs w:val="0"/>
                <w:color w:val="000000" w:themeColor="text1"/>
                <w:sz w:val="24"/>
                <w:lang w:eastAsia="zh-CN"/>
                <w14:textFill>
                  <w14:solidFill>
                    <w14:schemeClr w14:val="tx1"/>
                  </w14:solidFill>
                </w14:textFill>
              </w:rPr>
              <w:t>；管理信息化程度高，配备零售终端管理系统，能够提供正规发票或购物清单</w:t>
            </w:r>
          </w:p>
        </w:tc>
        <w:tc>
          <w:tcPr>
            <w:tcW w:w="847" w:type="dxa"/>
            <w:shd w:val="clear" w:color="auto" w:fill="auto"/>
            <w:vAlign w:val="center"/>
          </w:tcPr>
          <w:p w14:paraId="2F012BC9">
            <w:pPr>
              <w:widowControl/>
              <w:jc w:val="center"/>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8分</w:t>
            </w:r>
          </w:p>
        </w:tc>
      </w:tr>
      <w:tr w14:paraId="57708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shd w:val="clear" w:color="auto" w:fill="auto"/>
            <w:vAlign w:val="center"/>
          </w:tcPr>
          <w:p w14:paraId="11B9AF84">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13</w:t>
            </w:r>
          </w:p>
        </w:tc>
        <w:tc>
          <w:tcPr>
            <w:tcW w:w="2144" w:type="dxa"/>
            <w:shd w:val="clear" w:color="auto" w:fill="auto"/>
            <w:vAlign w:val="center"/>
          </w:tcPr>
          <w:p w14:paraId="1579DDFF">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经营业态类型属于超市</w:t>
            </w:r>
          </w:p>
        </w:tc>
        <w:tc>
          <w:tcPr>
            <w:tcW w:w="5670" w:type="dxa"/>
            <w:shd w:val="clear" w:color="auto" w:fill="auto"/>
            <w:vAlign w:val="center"/>
          </w:tcPr>
          <w:p w14:paraId="582D7313">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以销售食品、日用品为主，商品种类比较丰富，满足消费者一次性选购大众化适用品需求，通常可提供食品现场加工或现场就餐服务；出入口分设、收银台集中，以开架自选、消费者在出口处结算为主要经营形式；管理信息化程度高，配备零售终端管理系统统一管理商品和进销存等，能够提供正规发票和购物清单；营业面积一般在200平方米及以上。</w:t>
            </w:r>
          </w:p>
        </w:tc>
        <w:tc>
          <w:tcPr>
            <w:tcW w:w="847" w:type="dxa"/>
            <w:shd w:val="clear" w:color="auto" w:fill="auto"/>
            <w:vAlign w:val="center"/>
          </w:tcPr>
          <w:p w14:paraId="3ACEA1BA">
            <w:pPr>
              <w:widowControl/>
              <w:jc w:val="center"/>
              <w:rPr>
                <w:rFonts w:hint="default" w:ascii="Times New Roman" w:hAnsi="Times New Roman"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10分</w:t>
            </w:r>
          </w:p>
        </w:tc>
      </w:tr>
    </w:tbl>
    <w:tbl>
      <w:tblPr>
        <w:tblStyle w:val="5"/>
        <w:tblpPr w:leftFromText="180" w:rightFromText="180" w:vertAnchor="text" w:tblpX="10426" w:tblpY="-1678"/>
        <w:tblOverlap w:val="never"/>
        <w:tblW w:w="12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84"/>
      </w:tblGrid>
      <w:tr w14:paraId="2BF30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2784" w:type="dxa"/>
          </w:tcPr>
          <w:p w14:paraId="20E7EA8F">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default" w:ascii="Times New Roman" w:hAnsi="Times New Roman" w:eastAsia="仿宋_GB2312" w:cs="Times New Roman"/>
                <w:color w:val="000000" w:themeColor="text1"/>
                <w:sz w:val="24"/>
                <w:vertAlign w:val="baseline"/>
                <w14:textFill>
                  <w14:solidFill>
                    <w14:schemeClr w14:val="tx1"/>
                  </w14:solidFill>
                </w14:textFill>
              </w:rPr>
            </w:pPr>
          </w:p>
        </w:tc>
      </w:tr>
    </w:tbl>
    <w:p w14:paraId="2B7701F4">
      <w:pPr>
        <w:keepNext w:val="0"/>
        <w:keepLines w:val="0"/>
        <w:pageBreakBefore w:val="0"/>
        <w:widowControl w:val="0"/>
        <w:kinsoku/>
        <w:wordWrap/>
        <w:overflowPunct/>
        <w:topLinePunct w:val="0"/>
        <w:autoSpaceDE w:val="0"/>
        <w:autoSpaceDN w:val="0"/>
        <w:bidi w:val="0"/>
        <w:adjustRightInd w:val="0"/>
        <w:snapToGrid/>
        <w:spacing w:line="500" w:lineRule="exact"/>
        <w:ind w:firstLine="480" w:firstLineChars="200"/>
        <w:textAlignment w:val="auto"/>
        <w:rPr>
          <w:rFonts w:hint="default" w:ascii="Times New Roman" w:hAnsi="Times New Roman" w:eastAsia="仿宋_GB2312" w:cs="Times New Roman"/>
          <w:color w:val="000000" w:themeColor="text1"/>
          <w:sz w:val="24"/>
          <w14:textFill>
            <w14:solidFill>
              <w14:schemeClr w14:val="tx1"/>
            </w14:solidFill>
          </w14:textFill>
        </w:rPr>
      </w:pPr>
      <w:r>
        <w:rPr>
          <w:rFonts w:hint="default" w:ascii="Times New Roman" w:hAnsi="Times New Roman" w:eastAsia="仿宋_GB2312" w:cs="Times New Roman"/>
          <w:color w:val="000000" w:themeColor="text1"/>
          <w:sz w:val="24"/>
          <w14:textFill>
            <w14:solidFill>
              <w14:schemeClr w14:val="tx1"/>
            </w14:solidFill>
          </w14:textFill>
        </w:rPr>
        <w:t>注：业态标准参照《零售业态分类》国家标准(GB/T 18106-2021)及《中国卷烟销售公司关于进一步加强烟草零售客户基础信息管理工作的通知》</w:t>
      </w:r>
      <w:r>
        <w:rPr>
          <w:rFonts w:hint="default" w:ascii="Times New Roman" w:hAnsi="Times New Roman" w:eastAsia="仿宋_GB2312" w:cs="Times New Roman"/>
          <w:color w:val="000000" w:themeColor="text1"/>
          <w:sz w:val="24"/>
          <w:lang w:eastAsia="zh-CN"/>
          <w14:textFill>
            <w14:solidFill>
              <w14:schemeClr w14:val="tx1"/>
            </w14:solidFill>
          </w14:textFill>
        </w:rPr>
        <w:t>（</w:t>
      </w:r>
      <w:r>
        <w:rPr>
          <w:rFonts w:hint="default" w:ascii="Times New Roman" w:hAnsi="Times New Roman" w:eastAsia="仿宋_GB2312" w:cs="Times New Roman"/>
          <w:color w:val="000000" w:themeColor="text1"/>
          <w:sz w:val="24"/>
          <w14:textFill>
            <w14:solidFill>
              <w14:schemeClr w14:val="tx1"/>
            </w14:solidFill>
          </w14:textFill>
        </w:rPr>
        <w:t>中烟销网[2022]26号</w:t>
      </w:r>
      <w:r>
        <w:rPr>
          <w:rFonts w:hint="default" w:ascii="Times New Roman" w:hAnsi="Times New Roman" w:eastAsia="仿宋_GB2312" w:cs="Times New Roman"/>
          <w:color w:val="000000" w:themeColor="text1"/>
          <w:sz w:val="24"/>
          <w:lang w:eastAsia="zh-CN"/>
          <w14:textFill>
            <w14:solidFill>
              <w14:schemeClr w14:val="tx1"/>
            </w14:solidFill>
          </w14:textFill>
        </w:rPr>
        <w:t>）</w:t>
      </w:r>
      <w:r>
        <w:rPr>
          <w:rFonts w:hint="default" w:ascii="Times New Roman" w:hAnsi="Times New Roman" w:eastAsia="仿宋_GB2312" w:cs="Times New Roman"/>
          <w:color w:val="000000" w:themeColor="text1"/>
          <w:sz w:val="24"/>
          <w14:textFill>
            <w14:solidFill>
              <w14:schemeClr w14:val="tx1"/>
            </w14:solidFill>
          </w14:textFill>
        </w:rPr>
        <w:t>文件；申请人</w:t>
      </w:r>
      <w:r>
        <w:rPr>
          <w:rFonts w:hint="default" w:ascii="Times New Roman" w:hAnsi="Times New Roman" w:eastAsia="仿宋_GB2312" w:cs="Times New Roman"/>
          <w:color w:val="000000" w:themeColor="text1"/>
          <w:sz w:val="24"/>
          <w:lang w:eastAsia="zh-CN"/>
          <w14:textFill>
            <w14:solidFill>
              <w14:schemeClr w14:val="tx1"/>
            </w14:solidFill>
          </w14:textFill>
        </w:rPr>
        <w:t>的</w:t>
      </w:r>
      <w:r>
        <w:rPr>
          <w:rFonts w:hint="default" w:ascii="Times New Roman" w:hAnsi="Times New Roman" w:eastAsia="仿宋_GB2312" w:cs="Times New Roman"/>
          <w:color w:val="000000" w:themeColor="text1"/>
          <w:sz w:val="24"/>
          <w14:textFill>
            <w14:solidFill>
              <w14:schemeClr w14:val="tx1"/>
            </w14:solidFill>
          </w14:textFill>
        </w:rPr>
        <w:t>总积分</w:t>
      </w:r>
      <w:r>
        <w:rPr>
          <w:rFonts w:hint="default" w:ascii="Times New Roman" w:hAnsi="Times New Roman" w:eastAsia="仿宋_GB2312" w:cs="Times New Roman"/>
          <w:color w:val="000000" w:themeColor="text1"/>
          <w:sz w:val="24"/>
          <w:lang w:eastAsia="zh-CN"/>
          <w14:textFill>
            <w14:solidFill>
              <w14:schemeClr w14:val="tx1"/>
            </w14:solidFill>
          </w14:textFill>
        </w:rPr>
        <w:t>为</w:t>
      </w:r>
      <w:r>
        <w:rPr>
          <w:rFonts w:hint="default" w:ascii="Times New Roman" w:hAnsi="Times New Roman" w:eastAsia="仿宋_GB2312" w:cs="Times New Roman"/>
          <w:color w:val="000000" w:themeColor="text1"/>
          <w:sz w:val="24"/>
          <w14:textFill>
            <w14:solidFill>
              <w14:schemeClr w14:val="tx1"/>
            </w14:solidFill>
          </w14:textFill>
        </w:rPr>
        <w:t>各项分值</w:t>
      </w:r>
      <w:r>
        <w:rPr>
          <w:rFonts w:hint="default" w:ascii="Times New Roman" w:hAnsi="Times New Roman" w:eastAsia="仿宋_GB2312" w:cs="Times New Roman"/>
          <w:color w:val="000000" w:themeColor="text1"/>
          <w:sz w:val="24"/>
          <w:lang w:eastAsia="zh-CN"/>
          <w14:textFill>
            <w14:solidFill>
              <w14:schemeClr w14:val="tx1"/>
            </w14:solidFill>
          </w14:textFill>
        </w:rPr>
        <w:t>的</w:t>
      </w:r>
      <w:r>
        <w:rPr>
          <w:rFonts w:hint="default" w:ascii="Times New Roman" w:hAnsi="Times New Roman" w:eastAsia="仿宋_GB2312" w:cs="Times New Roman"/>
          <w:color w:val="000000" w:themeColor="text1"/>
          <w:sz w:val="24"/>
          <w14:textFill>
            <w14:solidFill>
              <w14:schemeClr w14:val="tx1"/>
            </w14:solidFill>
          </w14:textFill>
        </w:rPr>
        <w:t>累加，积分评定结果及排名将由</w:t>
      </w:r>
      <w:r>
        <w:rPr>
          <w:rFonts w:hint="default" w:ascii="Times New Roman" w:hAnsi="Times New Roman" w:eastAsia="仿宋_GB2312" w:cs="Times New Roman"/>
          <w:color w:val="000000" w:themeColor="text1"/>
          <w:sz w:val="24"/>
          <w:lang w:eastAsia="zh-CN"/>
          <w14:textFill>
            <w14:solidFill>
              <w14:schemeClr w14:val="tx1"/>
            </w14:solidFill>
          </w14:textFill>
        </w:rPr>
        <w:t>福建省</w:t>
      </w:r>
      <w:r>
        <w:rPr>
          <w:rFonts w:hint="default" w:ascii="Times New Roman" w:hAnsi="Times New Roman" w:eastAsia="仿宋_GB2312" w:cs="Times New Roman"/>
          <w:color w:val="000000" w:themeColor="text1"/>
          <w:sz w:val="24"/>
          <w14:textFill>
            <w14:solidFill>
              <w14:schemeClr w14:val="tx1"/>
            </w14:solidFill>
          </w14:textFill>
        </w:rPr>
        <w:t>明溪县烟草专卖局负责公示。积分仅作为轮候排序依据，不作为烟草专卖零售许可法定申请条件。</w:t>
      </w:r>
    </w:p>
    <w:p w14:paraId="1CA8E652">
      <w:pPr>
        <w:keepNext w:val="0"/>
        <w:keepLines w:val="0"/>
        <w:pageBreakBefore w:val="0"/>
        <w:widowControl w:val="0"/>
        <w:kinsoku/>
        <w:wordWrap/>
        <w:overflowPunct/>
        <w:topLinePunct w:val="0"/>
        <w:autoSpaceDE w:val="0"/>
        <w:autoSpaceDN w:val="0"/>
        <w:bidi w:val="0"/>
        <w:adjustRightInd w:val="0"/>
        <w:snapToGrid/>
        <w:spacing w:line="500" w:lineRule="exact"/>
        <w:ind w:firstLine="480" w:firstLineChars="200"/>
        <w:textAlignment w:val="auto"/>
        <w:rPr>
          <w:rFonts w:hint="default" w:ascii="Times New Roman" w:hAnsi="Times New Roman" w:eastAsia="仿宋_GB2312" w:cs="Times New Roman"/>
          <w:color w:val="000000" w:themeColor="text1"/>
          <w:sz w:val="24"/>
          <w14:textFill>
            <w14:solidFill>
              <w14:schemeClr w14:val="tx1"/>
            </w14:solidFill>
          </w14:textFill>
        </w:rPr>
      </w:pPr>
    </w:p>
    <w:p w14:paraId="23380E6E">
      <w:pPr>
        <w:keepNext w:val="0"/>
        <w:keepLines w:val="0"/>
        <w:pageBreakBefore w:val="0"/>
        <w:widowControl w:val="0"/>
        <w:kinsoku/>
        <w:wordWrap/>
        <w:overflowPunct/>
        <w:topLinePunct w:val="0"/>
        <w:autoSpaceDE w:val="0"/>
        <w:autoSpaceDN w:val="0"/>
        <w:bidi w:val="0"/>
        <w:adjustRightInd w:val="0"/>
        <w:snapToGrid/>
        <w:spacing w:line="500" w:lineRule="exact"/>
        <w:ind w:firstLine="480" w:firstLineChars="200"/>
        <w:textAlignment w:val="auto"/>
        <w:rPr>
          <w:rFonts w:hint="default" w:ascii="Times New Roman" w:hAnsi="Times New Roman" w:eastAsia="仿宋_GB2312" w:cs="Times New Roman"/>
          <w:color w:val="000000" w:themeColor="text1"/>
          <w:sz w:val="24"/>
          <w14:textFill>
            <w14:solidFill>
              <w14:schemeClr w14:val="tx1"/>
            </w14:solidFill>
          </w14:textFill>
        </w:rPr>
      </w:pPr>
    </w:p>
    <w:p w14:paraId="735D0E41">
      <w:pPr>
        <w:rPr>
          <w:rFonts w:hint="default" w:ascii="Times New Roman" w:hAnsi="Times New Roman" w:eastAsia="黑体" w:cs="Times New Roman"/>
          <w:color w:val="000000" w:themeColor="text1"/>
          <w:sz w:val="32"/>
          <w:szCs w:val="32"/>
          <w14:textFill>
            <w14:solidFill>
              <w14:schemeClr w14:val="tx1"/>
            </w14:solidFill>
          </w14:textFill>
        </w:rPr>
      </w:pPr>
    </w:p>
    <w:p w14:paraId="6AF5708A">
      <w:pPr>
        <w:rPr>
          <w:rFonts w:hint="default" w:ascii="Times New Roman" w:hAnsi="Times New Roman" w:eastAsia="黑体" w:cs="Times New Roman"/>
          <w:color w:val="000000" w:themeColor="text1"/>
          <w:sz w:val="32"/>
          <w:szCs w:val="32"/>
          <w14:textFill>
            <w14:solidFill>
              <w14:schemeClr w14:val="tx1"/>
            </w14:solidFill>
          </w14:textFill>
        </w:rPr>
      </w:pPr>
    </w:p>
    <w:p w14:paraId="6D7AB42E">
      <w:pPr>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附件</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ab/>
      </w:r>
    </w:p>
    <w:p w14:paraId="623BCE6D">
      <w:pPr>
        <w:spacing w:line="700" w:lineRule="exact"/>
        <w:jc w:val="center"/>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方正小标宋简体" w:cs="Times New Roman"/>
          <w:color w:val="000000" w:themeColor="text1"/>
          <w:sz w:val="44"/>
          <w:szCs w:val="44"/>
          <w:lang w:eastAsia="zh-CN"/>
          <w14:textFill>
            <w14:solidFill>
              <w14:schemeClr w14:val="tx1"/>
            </w14:solidFill>
          </w14:textFill>
        </w:rPr>
        <w:t>申请人积分评定表</w:t>
      </w:r>
    </w:p>
    <w:tbl>
      <w:tblPr>
        <w:tblStyle w:val="4"/>
        <w:tblW w:w="9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3883"/>
        <w:gridCol w:w="3926"/>
        <w:gridCol w:w="12"/>
        <w:gridCol w:w="835"/>
      </w:tblGrid>
      <w:tr w14:paraId="2ADD6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clear" w:color="auto" w:fill="auto"/>
            <w:vAlign w:val="center"/>
          </w:tcPr>
          <w:p w14:paraId="2789DF53">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8"/>
                <w:szCs w:val="28"/>
                <w14:textFill>
                  <w14:solidFill>
                    <w14:schemeClr w14:val="tx1"/>
                  </w14:solidFill>
                </w14:textFill>
              </w:rPr>
            </w:pPr>
            <w:r>
              <w:rPr>
                <w:rFonts w:hint="default" w:ascii="Times New Roman" w:hAnsi="Times New Roman" w:eastAsia="仿宋_GB2312" w:cs="Times New Roman"/>
                <w:b w:val="0"/>
                <w:bCs w:val="0"/>
                <w:color w:val="000000" w:themeColor="text1"/>
                <w:sz w:val="28"/>
                <w:szCs w:val="28"/>
                <w14:textFill>
                  <w14:solidFill>
                    <w14:schemeClr w14:val="tx1"/>
                  </w14:solidFill>
                </w14:textFill>
              </w:rPr>
              <w:t>序号</w:t>
            </w:r>
          </w:p>
        </w:tc>
        <w:tc>
          <w:tcPr>
            <w:tcW w:w="3883" w:type="dxa"/>
            <w:shd w:val="clear" w:color="auto" w:fill="auto"/>
            <w:vAlign w:val="center"/>
          </w:tcPr>
          <w:p w14:paraId="032C0AED">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8"/>
                <w:szCs w:val="28"/>
                <w14:textFill>
                  <w14:solidFill>
                    <w14:schemeClr w14:val="tx1"/>
                  </w14:solidFill>
                </w14:textFill>
              </w:rPr>
            </w:pPr>
            <w:r>
              <w:rPr>
                <w:rFonts w:hint="default" w:ascii="Times New Roman" w:hAnsi="Times New Roman" w:eastAsia="仿宋_GB2312" w:cs="Times New Roman"/>
                <w:b w:val="0"/>
                <w:bCs w:val="0"/>
                <w:color w:val="000000" w:themeColor="text1"/>
                <w:sz w:val="28"/>
                <w:szCs w:val="28"/>
                <w14:textFill>
                  <w14:solidFill>
                    <w14:schemeClr w14:val="tx1"/>
                  </w14:solidFill>
                </w14:textFill>
              </w:rPr>
              <w:t>内容</w:t>
            </w:r>
          </w:p>
        </w:tc>
        <w:tc>
          <w:tcPr>
            <w:tcW w:w="3926" w:type="dxa"/>
            <w:shd w:val="clear" w:color="auto" w:fill="auto"/>
            <w:vAlign w:val="center"/>
          </w:tcPr>
          <w:p w14:paraId="55421740">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8"/>
                <w:szCs w:val="28"/>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8"/>
                <w:szCs w:val="28"/>
                <w:lang w:eastAsia="zh-CN"/>
                <w14:textFill>
                  <w14:solidFill>
                    <w14:schemeClr w14:val="tx1"/>
                  </w14:solidFill>
                </w14:textFill>
              </w:rPr>
              <w:t>达标情况</w:t>
            </w:r>
          </w:p>
        </w:tc>
        <w:tc>
          <w:tcPr>
            <w:tcW w:w="847" w:type="dxa"/>
            <w:gridSpan w:val="2"/>
            <w:shd w:val="clear" w:color="auto" w:fill="auto"/>
            <w:vAlign w:val="center"/>
          </w:tcPr>
          <w:p w14:paraId="3D45FA79">
            <w:pPr>
              <w:widowControl/>
              <w:jc w:val="center"/>
              <w:rPr>
                <w:rFonts w:hint="default" w:ascii="Times New Roman" w:hAnsi="Times New Roman" w:eastAsia="宋体" w:cs="Times New Roman"/>
                <w:b w:val="0"/>
                <w:bCs w:val="0"/>
                <w:color w:val="000000" w:themeColor="text1"/>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8"/>
                <w:szCs w:val="28"/>
                <w:lang w:eastAsia="zh-CN"/>
                <w14:textFill>
                  <w14:solidFill>
                    <w14:schemeClr w14:val="tx1"/>
                  </w14:solidFill>
                </w14:textFill>
              </w:rPr>
              <w:t>得分</w:t>
            </w:r>
          </w:p>
        </w:tc>
      </w:tr>
      <w:tr w14:paraId="1D604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9460" w:type="dxa"/>
            <w:gridSpan w:val="5"/>
            <w:shd w:val="clear" w:color="auto" w:fill="auto"/>
            <w:vAlign w:val="center"/>
          </w:tcPr>
          <w:p w14:paraId="23FDA67B">
            <w:pPr>
              <w:widowControl/>
              <w:jc w:val="center"/>
              <w:rPr>
                <w:rFonts w:hint="default" w:ascii="Times New Roman" w:hAnsi="Times New Roman" w:eastAsia="宋体" w:cs="Times New Roman"/>
                <w:b w:val="0"/>
                <w:bCs w:val="0"/>
                <w:color w:val="000000" w:themeColor="text1"/>
                <w:sz w:val="24"/>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szCs w:val="24"/>
                <w:lang w:eastAsia="zh-CN"/>
                <w14:textFill>
                  <w14:solidFill>
                    <w14:schemeClr w14:val="tx1"/>
                  </w14:solidFill>
                </w14:textFill>
              </w:rPr>
              <w:t>基础分</w:t>
            </w:r>
          </w:p>
        </w:tc>
      </w:tr>
      <w:tr w14:paraId="3E688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clear" w:color="auto" w:fill="auto"/>
            <w:vAlign w:val="center"/>
          </w:tcPr>
          <w:p w14:paraId="3EEFA4F6">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1</w:t>
            </w:r>
          </w:p>
        </w:tc>
        <w:tc>
          <w:tcPr>
            <w:tcW w:w="3883" w:type="dxa"/>
            <w:shd w:val="clear" w:color="auto" w:fill="auto"/>
            <w:vAlign w:val="center"/>
          </w:tcPr>
          <w:p w14:paraId="0407C64C">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b w:val="0"/>
                <w:bCs w:val="0"/>
                <w:color w:val="000000" w:themeColor="text1"/>
                <w:sz w:val="24"/>
                <w:lang w:eastAsia="zh-CN"/>
                <w14:textFill>
                  <w14:solidFill>
                    <w14:schemeClr w14:val="tx1"/>
                  </w14:solidFill>
                </w14:textFill>
              </w:rPr>
              <w:t>符合法定条件</w:t>
            </w:r>
          </w:p>
        </w:tc>
        <w:tc>
          <w:tcPr>
            <w:tcW w:w="3926" w:type="dxa"/>
            <w:shd w:val="clear" w:color="auto" w:fill="auto"/>
            <w:vAlign w:val="center"/>
          </w:tcPr>
          <w:p w14:paraId="7A299282">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p>
        </w:tc>
        <w:tc>
          <w:tcPr>
            <w:tcW w:w="847" w:type="dxa"/>
            <w:gridSpan w:val="2"/>
            <w:shd w:val="clear" w:color="auto" w:fill="auto"/>
            <w:vAlign w:val="center"/>
          </w:tcPr>
          <w:p w14:paraId="2A600FB6">
            <w:pPr>
              <w:widowControl/>
              <w:jc w:val="center"/>
              <w:rPr>
                <w:rFonts w:hint="default" w:ascii="Times New Roman" w:hAnsi="Times New Roman" w:cs="Times New Roman"/>
                <w:b w:val="0"/>
                <w:bCs w:val="0"/>
                <w:color w:val="000000" w:themeColor="text1"/>
                <w:sz w:val="24"/>
                <w14:textFill>
                  <w14:solidFill>
                    <w14:schemeClr w14:val="tx1"/>
                  </w14:solidFill>
                </w14:textFill>
              </w:rPr>
            </w:pPr>
          </w:p>
        </w:tc>
      </w:tr>
      <w:tr w14:paraId="229E4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460" w:type="dxa"/>
            <w:gridSpan w:val="5"/>
            <w:shd w:val="clear" w:color="auto" w:fill="auto"/>
            <w:vAlign w:val="center"/>
          </w:tcPr>
          <w:p w14:paraId="4690ED53">
            <w:pPr>
              <w:widowControl/>
              <w:jc w:val="center"/>
              <w:rPr>
                <w:rFonts w:hint="default" w:ascii="Times New Roman" w:hAnsi="Times New Roman" w:eastAsia="宋体" w:cs="Times New Roman"/>
                <w:b w:val="0"/>
                <w:bCs w:val="0"/>
                <w:color w:val="000000" w:themeColor="text1"/>
                <w:sz w:val="24"/>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szCs w:val="24"/>
                <w:lang w:eastAsia="zh-CN"/>
                <w14:textFill>
                  <w14:solidFill>
                    <w14:schemeClr w14:val="tx1"/>
                  </w14:solidFill>
                </w14:textFill>
              </w:rPr>
              <w:t>附加分</w:t>
            </w:r>
          </w:p>
        </w:tc>
      </w:tr>
      <w:tr w14:paraId="5BB93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clear" w:color="auto" w:fill="auto"/>
            <w:vAlign w:val="center"/>
          </w:tcPr>
          <w:p w14:paraId="61DA46BD">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2</w:t>
            </w:r>
          </w:p>
        </w:tc>
        <w:tc>
          <w:tcPr>
            <w:tcW w:w="3883" w:type="dxa"/>
            <w:shd w:val="clear" w:color="auto" w:fill="auto"/>
            <w:vAlign w:val="center"/>
          </w:tcPr>
          <w:p w14:paraId="03B7FDF9">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银行征信记录</w:t>
            </w:r>
          </w:p>
        </w:tc>
        <w:tc>
          <w:tcPr>
            <w:tcW w:w="3926" w:type="dxa"/>
            <w:shd w:val="clear" w:color="auto" w:fill="auto"/>
            <w:vAlign w:val="center"/>
          </w:tcPr>
          <w:p w14:paraId="58AFD2EC">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p>
        </w:tc>
        <w:tc>
          <w:tcPr>
            <w:tcW w:w="847" w:type="dxa"/>
            <w:gridSpan w:val="2"/>
            <w:shd w:val="clear" w:color="auto" w:fill="auto"/>
            <w:vAlign w:val="center"/>
          </w:tcPr>
          <w:p w14:paraId="1CDCEBD7">
            <w:pPr>
              <w:widowControl/>
              <w:jc w:val="center"/>
              <w:rPr>
                <w:rFonts w:hint="default" w:ascii="Times New Roman" w:hAnsi="Times New Roman" w:cs="Times New Roman"/>
                <w:b w:val="0"/>
                <w:bCs w:val="0"/>
                <w:color w:val="000000" w:themeColor="text1"/>
                <w:sz w:val="24"/>
                <w14:textFill>
                  <w14:solidFill>
                    <w14:schemeClr w14:val="tx1"/>
                  </w14:solidFill>
                </w14:textFill>
              </w:rPr>
            </w:pPr>
          </w:p>
        </w:tc>
      </w:tr>
      <w:tr w14:paraId="3394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804" w:type="dxa"/>
            <w:shd w:val="clear" w:color="auto" w:fill="auto"/>
            <w:vAlign w:val="center"/>
          </w:tcPr>
          <w:p w14:paraId="4501D860">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3</w:t>
            </w:r>
          </w:p>
        </w:tc>
        <w:tc>
          <w:tcPr>
            <w:tcW w:w="3883" w:type="dxa"/>
            <w:shd w:val="clear" w:color="auto" w:fill="auto"/>
            <w:vAlign w:val="center"/>
          </w:tcPr>
          <w:p w14:paraId="4A68E9A6">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企业信用等级</w:t>
            </w:r>
          </w:p>
        </w:tc>
        <w:tc>
          <w:tcPr>
            <w:tcW w:w="3926" w:type="dxa"/>
            <w:shd w:val="clear" w:color="auto" w:fill="auto"/>
            <w:vAlign w:val="center"/>
          </w:tcPr>
          <w:p w14:paraId="1C3EA02B">
            <w:pPr>
              <w:autoSpaceDE w:val="0"/>
              <w:autoSpaceDN w:val="0"/>
              <w:adjustRightInd w:val="0"/>
              <w:spacing w:line="600" w:lineRule="exact"/>
              <w:jc w:val="left"/>
              <w:rPr>
                <w:rFonts w:hint="default" w:ascii="Times New Roman" w:hAnsi="Times New Roman" w:eastAsia="仿宋_GB2312" w:cs="Times New Roman"/>
                <w:b w:val="0"/>
                <w:bCs w:val="0"/>
                <w:color w:val="000000" w:themeColor="text1"/>
                <w:sz w:val="24"/>
                <w14:textFill>
                  <w14:solidFill>
                    <w14:schemeClr w14:val="tx1"/>
                  </w14:solidFill>
                </w14:textFill>
              </w:rPr>
            </w:pPr>
          </w:p>
        </w:tc>
        <w:tc>
          <w:tcPr>
            <w:tcW w:w="847" w:type="dxa"/>
            <w:gridSpan w:val="2"/>
            <w:shd w:val="clear" w:color="auto" w:fill="auto"/>
            <w:vAlign w:val="center"/>
          </w:tcPr>
          <w:p w14:paraId="02DE5F46">
            <w:pPr>
              <w:widowControl/>
              <w:jc w:val="center"/>
              <w:rPr>
                <w:rFonts w:hint="default" w:ascii="Times New Roman" w:hAnsi="Times New Roman" w:cs="Times New Roman"/>
                <w:b w:val="0"/>
                <w:bCs w:val="0"/>
                <w:color w:val="000000" w:themeColor="text1"/>
                <w:sz w:val="24"/>
                <w14:textFill>
                  <w14:solidFill>
                    <w14:schemeClr w14:val="tx1"/>
                  </w14:solidFill>
                </w14:textFill>
              </w:rPr>
            </w:pPr>
          </w:p>
        </w:tc>
      </w:tr>
      <w:tr w14:paraId="6F9EC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804" w:type="dxa"/>
            <w:shd w:val="clear" w:color="auto" w:fill="auto"/>
            <w:vAlign w:val="center"/>
          </w:tcPr>
          <w:p w14:paraId="1D590984">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4</w:t>
            </w:r>
          </w:p>
        </w:tc>
        <w:tc>
          <w:tcPr>
            <w:tcW w:w="3883" w:type="dxa"/>
            <w:shd w:val="clear" w:color="auto" w:fill="auto"/>
            <w:vAlign w:val="center"/>
          </w:tcPr>
          <w:p w14:paraId="143E355D">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烈士家属</w:t>
            </w:r>
          </w:p>
        </w:tc>
        <w:tc>
          <w:tcPr>
            <w:tcW w:w="3926" w:type="dxa"/>
            <w:shd w:val="clear" w:color="auto" w:fill="auto"/>
            <w:vAlign w:val="center"/>
          </w:tcPr>
          <w:p w14:paraId="08E32AB7">
            <w:pPr>
              <w:autoSpaceDE w:val="0"/>
              <w:autoSpaceDN w:val="0"/>
              <w:adjustRightInd w:val="0"/>
              <w:spacing w:line="600" w:lineRule="exact"/>
              <w:jc w:val="left"/>
              <w:rPr>
                <w:rFonts w:hint="default" w:ascii="Times New Roman" w:hAnsi="Times New Roman" w:eastAsia="仿宋_GB2312" w:cs="Times New Roman"/>
                <w:b w:val="0"/>
                <w:bCs w:val="0"/>
                <w:color w:val="000000" w:themeColor="text1"/>
                <w:sz w:val="24"/>
                <w14:textFill>
                  <w14:solidFill>
                    <w14:schemeClr w14:val="tx1"/>
                  </w14:solidFill>
                </w14:textFill>
              </w:rPr>
            </w:pPr>
          </w:p>
        </w:tc>
        <w:tc>
          <w:tcPr>
            <w:tcW w:w="847" w:type="dxa"/>
            <w:gridSpan w:val="2"/>
            <w:shd w:val="clear" w:color="auto" w:fill="auto"/>
            <w:vAlign w:val="center"/>
          </w:tcPr>
          <w:p w14:paraId="14BA9432">
            <w:pPr>
              <w:widowControl/>
              <w:jc w:val="center"/>
              <w:rPr>
                <w:rFonts w:hint="default" w:ascii="Times New Roman" w:hAnsi="Times New Roman" w:cs="Times New Roman"/>
                <w:b w:val="0"/>
                <w:bCs w:val="0"/>
                <w:color w:val="000000" w:themeColor="text1"/>
                <w:sz w:val="24"/>
                <w14:textFill>
                  <w14:solidFill>
                    <w14:schemeClr w14:val="tx1"/>
                  </w14:solidFill>
                </w14:textFill>
              </w:rPr>
            </w:pPr>
          </w:p>
        </w:tc>
      </w:tr>
      <w:tr w14:paraId="6194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804" w:type="dxa"/>
            <w:shd w:val="clear" w:color="auto" w:fill="auto"/>
            <w:vAlign w:val="center"/>
          </w:tcPr>
          <w:p w14:paraId="3B1320B1">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5</w:t>
            </w:r>
          </w:p>
        </w:tc>
        <w:tc>
          <w:tcPr>
            <w:tcW w:w="3883" w:type="dxa"/>
            <w:shd w:val="clear" w:color="auto" w:fill="auto"/>
            <w:vAlign w:val="center"/>
          </w:tcPr>
          <w:p w14:paraId="2B4ACA36">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军属</w:t>
            </w:r>
            <w:r>
              <w:rPr>
                <w:rFonts w:hint="default" w:ascii="Times New Roman" w:hAnsi="Times New Roman" w:eastAsia="仿宋_GB2312" w:cs="Times New Roman"/>
                <w:b w:val="0"/>
                <w:bCs w:val="0"/>
                <w:color w:val="000000" w:themeColor="text1"/>
                <w:sz w:val="24"/>
                <w:u w:val="none"/>
                <w:lang w:eastAsia="zh-CN"/>
                <w14:textFill>
                  <w14:solidFill>
                    <w14:schemeClr w14:val="tx1"/>
                  </w14:solidFill>
                </w14:textFill>
              </w:rPr>
              <w:t>、退役军人</w:t>
            </w:r>
          </w:p>
        </w:tc>
        <w:tc>
          <w:tcPr>
            <w:tcW w:w="3926" w:type="dxa"/>
            <w:shd w:val="clear" w:color="auto" w:fill="auto"/>
            <w:vAlign w:val="center"/>
          </w:tcPr>
          <w:p w14:paraId="6B3C9583">
            <w:pPr>
              <w:autoSpaceDE w:val="0"/>
              <w:autoSpaceDN w:val="0"/>
              <w:adjustRightInd w:val="0"/>
              <w:spacing w:line="600" w:lineRule="exact"/>
              <w:jc w:val="left"/>
              <w:rPr>
                <w:rFonts w:hint="default" w:ascii="Times New Roman" w:hAnsi="Times New Roman" w:eastAsia="仿宋_GB2312" w:cs="Times New Roman"/>
                <w:b w:val="0"/>
                <w:bCs w:val="0"/>
                <w:color w:val="000000" w:themeColor="text1"/>
                <w:sz w:val="24"/>
                <w14:textFill>
                  <w14:solidFill>
                    <w14:schemeClr w14:val="tx1"/>
                  </w14:solidFill>
                </w14:textFill>
              </w:rPr>
            </w:pPr>
          </w:p>
        </w:tc>
        <w:tc>
          <w:tcPr>
            <w:tcW w:w="847" w:type="dxa"/>
            <w:gridSpan w:val="2"/>
            <w:shd w:val="clear" w:color="auto" w:fill="auto"/>
            <w:vAlign w:val="center"/>
          </w:tcPr>
          <w:p w14:paraId="35CE8A10">
            <w:pPr>
              <w:widowControl/>
              <w:jc w:val="both"/>
              <w:rPr>
                <w:rFonts w:hint="default" w:ascii="Times New Roman" w:hAnsi="Times New Roman" w:cs="Times New Roman"/>
                <w:b w:val="0"/>
                <w:bCs w:val="0"/>
                <w:color w:val="000000" w:themeColor="text1"/>
                <w:sz w:val="24"/>
                <w14:textFill>
                  <w14:solidFill>
                    <w14:schemeClr w14:val="tx1"/>
                  </w14:solidFill>
                </w14:textFill>
              </w:rPr>
            </w:pPr>
          </w:p>
        </w:tc>
      </w:tr>
      <w:tr w14:paraId="174DD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04" w:type="dxa"/>
            <w:shd w:val="clear" w:color="auto" w:fill="auto"/>
            <w:vAlign w:val="center"/>
          </w:tcPr>
          <w:p w14:paraId="78FBF6F7">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6</w:t>
            </w:r>
          </w:p>
        </w:tc>
        <w:tc>
          <w:tcPr>
            <w:tcW w:w="3883" w:type="dxa"/>
            <w:shd w:val="clear" w:color="auto" w:fill="auto"/>
            <w:vAlign w:val="center"/>
          </w:tcPr>
          <w:p w14:paraId="6B470D23">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登记备案</w:t>
            </w:r>
          </w:p>
        </w:tc>
        <w:tc>
          <w:tcPr>
            <w:tcW w:w="3926" w:type="dxa"/>
            <w:shd w:val="clear" w:color="auto" w:fill="auto"/>
            <w:vAlign w:val="center"/>
          </w:tcPr>
          <w:p w14:paraId="1CFF5E77">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lang w:eastAsia="zh-CN"/>
                <w14:textFill>
                  <w14:solidFill>
                    <w14:schemeClr w14:val="tx1"/>
                  </w14:solidFill>
                </w14:textFill>
              </w:rPr>
              <w:t>自</w:t>
            </w: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 xml:space="preserve">   年  月  日起开始登记备案。</w:t>
            </w:r>
          </w:p>
        </w:tc>
        <w:tc>
          <w:tcPr>
            <w:tcW w:w="847" w:type="dxa"/>
            <w:gridSpan w:val="2"/>
            <w:shd w:val="clear" w:color="auto" w:fill="auto"/>
            <w:vAlign w:val="center"/>
          </w:tcPr>
          <w:p w14:paraId="63EA72EA">
            <w:pPr>
              <w:widowControl/>
              <w:jc w:val="center"/>
              <w:rPr>
                <w:rFonts w:hint="default" w:ascii="Times New Roman" w:hAnsi="Times New Roman" w:cs="Times New Roman"/>
                <w:b w:val="0"/>
                <w:bCs w:val="0"/>
                <w:color w:val="000000" w:themeColor="text1"/>
                <w:sz w:val="24"/>
                <w14:textFill>
                  <w14:solidFill>
                    <w14:schemeClr w14:val="tx1"/>
                  </w14:solidFill>
                </w14:textFill>
              </w:rPr>
            </w:pPr>
          </w:p>
        </w:tc>
      </w:tr>
      <w:tr w14:paraId="75A2A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804" w:type="dxa"/>
            <w:shd w:val="clear" w:color="auto" w:fill="auto"/>
            <w:vAlign w:val="center"/>
          </w:tcPr>
          <w:p w14:paraId="69F9A7D6">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7</w:t>
            </w:r>
          </w:p>
        </w:tc>
        <w:tc>
          <w:tcPr>
            <w:tcW w:w="3883" w:type="dxa"/>
            <w:shd w:val="clear" w:color="auto" w:fill="auto"/>
            <w:vAlign w:val="center"/>
          </w:tcPr>
          <w:p w14:paraId="4D54FC06">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与距离最近烟草制品零售点距离</w:t>
            </w:r>
            <w:r>
              <w:rPr>
                <w:rFonts w:hint="default" w:ascii="Times New Roman" w:hAnsi="Times New Roman" w:eastAsia="仿宋_GB2312" w:cs="Times New Roman"/>
                <w:b w:val="0"/>
                <w:bCs w:val="0"/>
                <w:color w:val="000000" w:themeColor="text1"/>
                <w:sz w:val="24"/>
                <w:u w:val="none"/>
                <w:lang w:val="en-US" w:eastAsia="zh-CN"/>
                <w14:textFill>
                  <w14:solidFill>
                    <w14:schemeClr w14:val="tx1"/>
                  </w14:solidFill>
                </w14:textFill>
              </w:rPr>
              <w:t>50米</w:t>
            </w: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以上</w:t>
            </w:r>
          </w:p>
        </w:tc>
        <w:tc>
          <w:tcPr>
            <w:tcW w:w="3926" w:type="dxa"/>
            <w:shd w:val="clear" w:color="auto" w:fill="auto"/>
            <w:vAlign w:val="center"/>
          </w:tcPr>
          <w:p w14:paraId="2E5F0273">
            <w:pPr>
              <w:autoSpaceDE w:val="0"/>
              <w:autoSpaceDN w:val="0"/>
              <w:adjustRightInd w:val="0"/>
              <w:spacing w:line="600" w:lineRule="exact"/>
              <w:jc w:val="left"/>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pPr>
          </w:p>
        </w:tc>
        <w:tc>
          <w:tcPr>
            <w:tcW w:w="847" w:type="dxa"/>
            <w:gridSpan w:val="2"/>
            <w:shd w:val="clear" w:color="auto" w:fill="auto"/>
            <w:vAlign w:val="center"/>
          </w:tcPr>
          <w:p w14:paraId="7F6E65B0">
            <w:pPr>
              <w:widowControl/>
              <w:jc w:val="center"/>
              <w:rPr>
                <w:rFonts w:hint="default" w:ascii="Times New Roman" w:hAnsi="Times New Roman" w:cs="Times New Roman"/>
                <w:b w:val="0"/>
                <w:bCs w:val="0"/>
                <w:color w:val="000000" w:themeColor="text1"/>
                <w:sz w:val="24"/>
                <w14:textFill>
                  <w14:solidFill>
                    <w14:schemeClr w14:val="tx1"/>
                  </w14:solidFill>
                </w14:textFill>
              </w:rPr>
            </w:pPr>
          </w:p>
        </w:tc>
      </w:tr>
      <w:tr w14:paraId="12742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804" w:type="dxa"/>
            <w:vMerge w:val="restart"/>
            <w:shd w:val="clear" w:color="auto" w:fill="auto"/>
            <w:vAlign w:val="center"/>
          </w:tcPr>
          <w:p w14:paraId="53619128">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8</w:t>
            </w:r>
          </w:p>
        </w:tc>
        <w:tc>
          <w:tcPr>
            <w:tcW w:w="3883" w:type="dxa"/>
            <w:shd w:val="clear" w:color="auto" w:fill="auto"/>
            <w:vAlign w:val="center"/>
          </w:tcPr>
          <w:p w14:paraId="55B5DF6E">
            <w:pPr>
              <w:autoSpaceDE w:val="0"/>
              <w:autoSpaceDN w:val="0"/>
              <w:adjustRightInd w:val="0"/>
              <w:spacing w:line="600" w:lineRule="exact"/>
              <w:jc w:val="left"/>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lang w:eastAsia="zh-CN"/>
                <w14:textFill>
                  <w14:solidFill>
                    <w14:schemeClr w14:val="tx1"/>
                  </w14:solidFill>
                </w14:textFill>
              </w:rPr>
              <w:t>残疾证等级二级以上</w:t>
            </w:r>
          </w:p>
        </w:tc>
        <w:tc>
          <w:tcPr>
            <w:tcW w:w="3938" w:type="dxa"/>
            <w:gridSpan w:val="2"/>
            <w:shd w:val="clear" w:color="auto" w:fill="auto"/>
            <w:vAlign w:val="center"/>
          </w:tcPr>
          <w:p w14:paraId="769BC95A">
            <w:pPr>
              <w:widowControl/>
              <w:jc w:val="center"/>
              <w:rPr>
                <w:rFonts w:hint="default" w:ascii="Times New Roman" w:hAnsi="Times New Roman" w:cs="Times New Roman"/>
                <w:b w:val="0"/>
                <w:bCs w:val="0"/>
                <w:color w:val="000000" w:themeColor="text1"/>
                <w:sz w:val="24"/>
                <w14:textFill>
                  <w14:solidFill>
                    <w14:schemeClr w14:val="tx1"/>
                  </w14:solidFill>
                </w14:textFill>
              </w:rPr>
            </w:pPr>
          </w:p>
        </w:tc>
        <w:tc>
          <w:tcPr>
            <w:tcW w:w="835" w:type="dxa"/>
            <w:shd w:val="clear" w:color="auto" w:fill="auto"/>
            <w:vAlign w:val="center"/>
          </w:tcPr>
          <w:p w14:paraId="1EA07306">
            <w:pPr>
              <w:widowControl/>
              <w:jc w:val="center"/>
              <w:rPr>
                <w:rFonts w:hint="default" w:ascii="Times New Roman" w:hAnsi="Times New Roman" w:cs="Times New Roman"/>
                <w:b w:val="0"/>
                <w:bCs w:val="0"/>
                <w:color w:val="000000" w:themeColor="text1"/>
                <w:sz w:val="24"/>
                <w14:textFill>
                  <w14:solidFill>
                    <w14:schemeClr w14:val="tx1"/>
                  </w14:solidFill>
                </w14:textFill>
              </w:rPr>
            </w:pPr>
          </w:p>
        </w:tc>
      </w:tr>
      <w:tr w14:paraId="7B38D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804" w:type="dxa"/>
            <w:vMerge w:val="continue"/>
            <w:shd w:val="clear" w:color="auto" w:fill="auto"/>
            <w:vAlign w:val="center"/>
          </w:tcPr>
          <w:p w14:paraId="2EE03C95">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14:textFill>
                  <w14:solidFill>
                    <w14:schemeClr w14:val="tx1"/>
                  </w14:solidFill>
                </w14:textFill>
              </w:rPr>
            </w:pPr>
          </w:p>
        </w:tc>
        <w:tc>
          <w:tcPr>
            <w:tcW w:w="3883" w:type="dxa"/>
            <w:shd w:val="clear" w:color="auto" w:fill="auto"/>
            <w:vAlign w:val="center"/>
          </w:tcPr>
          <w:p w14:paraId="46D55BC1">
            <w:pPr>
              <w:autoSpaceDE w:val="0"/>
              <w:autoSpaceDN w:val="0"/>
              <w:adjustRightInd w:val="0"/>
              <w:spacing w:line="600" w:lineRule="exact"/>
              <w:jc w:val="left"/>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lang w:eastAsia="zh-CN"/>
                <w14:textFill>
                  <w14:solidFill>
                    <w14:schemeClr w14:val="tx1"/>
                  </w14:solidFill>
                </w14:textFill>
              </w:rPr>
              <w:t>残疾证等级三级</w:t>
            </w:r>
          </w:p>
        </w:tc>
        <w:tc>
          <w:tcPr>
            <w:tcW w:w="3938" w:type="dxa"/>
            <w:gridSpan w:val="2"/>
            <w:shd w:val="clear" w:color="auto" w:fill="auto"/>
            <w:vAlign w:val="center"/>
          </w:tcPr>
          <w:p w14:paraId="66E0F1F2">
            <w:pPr>
              <w:widowControl/>
              <w:jc w:val="center"/>
              <w:rPr>
                <w:rFonts w:hint="default" w:ascii="Times New Roman" w:hAnsi="Times New Roman" w:cs="Times New Roman"/>
                <w:b w:val="0"/>
                <w:bCs w:val="0"/>
                <w:color w:val="000000" w:themeColor="text1"/>
                <w:sz w:val="24"/>
                <w14:textFill>
                  <w14:solidFill>
                    <w14:schemeClr w14:val="tx1"/>
                  </w14:solidFill>
                </w14:textFill>
              </w:rPr>
            </w:pPr>
          </w:p>
        </w:tc>
        <w:tc>
          <w:tcPr>
            <w:tcW w:w="835" w:type="dxa"/>
            <w:shd w:val="clear" w:color="auto" w:fill="auto"/>
            <w:vAlign w:val="center"/>
          </w:tcPr>
          <w:p w14:paraId="40659A39">
            <w:pPr>
              <w:widowControl/>
              <w:jc w:val="center"/>
              <w:rPr>
                <w:rFonts w:hint="default" w:ascii="Times New Roman" w:hAnsi="Times New Roman" w:cs="Times New Roman"/>
                <w:b w:val="0"/>
                <w:bCs w:val="0"/>
                <w:color w:val="000000" w:themeColor="text1"/>
                <w:sz w:val="24"/>
                <w14:textFill>
                  <w14:solidFill>
                    <w14:schemeClr w14:val="tx1"/>
                  </w14:solidFill>
                </w14:textFill>
              </w:rPr>
            </w:pPr>
          </w:p>
        </w:tc>
      </w:tr>
      <w:tr w14:paraId="375C3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804" w:type="dxa"/>
            <w:vMerge w:val="continue"/>
            <w:shd w:val="clear" w:color="auto" w:fill="auto"/>
            <w:vAlign w:val="center"/>
          </w:tcPr>
          <w:p w14:paraId="338E7E92">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14:textFill>
                  <w14:solidFill>
                    <w14:schemeClr w14:val="tx1"/>
                  </w14:solidFill>
                </w14:textFill>
              </w:rPr>
            </w:pPr>
          </w:p>
        </w:tc>
        <w:tc>
          <w:tcPr>
            <w:tcW w:w="3883" w:type="dxa"/>
            <w:shd w:val="clear" w:color="auto" w:fill="auto"/>
            <w:vAlign w:val="center"/>
          </w:tcPr>
          <w:p w14:paraId="4A771D45">
            <w:pPr>
              <w:autoSpaceDE w:val="0"/>
              <w:autoSpaceDN w:val="0"/>
              <w:adjustRightInd w:val="0"/>
              <w:spacing w:line="600" w:lineRule="exact"/>
              <w:jc w:val="left"/>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lang w:eastAsia="zh-CN"/>
                <w14:textFill>
                  <w14:solidFill>
                    <w14:schemeClr w14:val="tx1"/>
                  </w14:solidFill>
                </w14:textFill>
              </w:rPr>
              <w:t>残疾证等级四级</w:t>
            </w:r>
          </w:p>
        </w:tc>
        <w:tc>
          <w:tcPr>
            <w:tcW w:w="3938" w:type="dxa"/>
            <w:gridSpan w:val="2"/>
            <w:shd w:val="clear" w:color="auto" w:fill="auto"/>
            <w:vAlign w:val="center"/>
          </w:tcPr>
          <w:p w14:paraId="10950BAE">
            <w:pPr>
              <w:widowControl/>
              <w:jc w:val="center"/>
              <w:rPr>
                <w:rFonts w:hint="default" w:ascii="Times New Roman" w:hAnsi="Times New Roman" w:cs="Times New Roman"/>
                <w:b w:val="0"/>
                <w:bCs w:val="0"/>
                <w:color w:val="000000" w:themeColor="text1"/>
                <w:sz w:val="24"/>
                <w14:textFill>
                  <w14:solidFill>
                    <w14:schemeClr w14:val="tx1"/>
                  </w14:solidFill>
                </w14:textFill>
              </w:rPr>
            </w:pPr>
          </w:p>
        </w:tc>
        <w:tc>
          <w:tcPr>
            <w:tcW w:w="835" w:type="dxa"/>
            <w:shd w:val="clear" w:color="auto" w:fill="auto"/>
            <w:vAlign w:val="center"/>
          </w:tcPr>
          <w:p w14:paraId="2B507C47">
            <w:pPr>
              <w:widowControl/>
              <w:jc w:val="center"/>
              <w:rPr>
                <w:rFonts w:hint="default" w:ascii="Times New Roman" w:hAnsi="Times New Roman" w:cs="Times New Roman"/>
                <w:b w:val="0"/>
                <w:bCs w:val="0"/>
                <w:color w:val="000000" w:themeColor="text1"/>
                <w:sz w:val="24"/>
                <w14:textFill>
                  <w14:solidFill>
                    <w14:schemeClr w14:val="tx1"/>
                  </w14:solidFill>
                </w14:textFill>
              </w:rPr>
            </w:pPr>
          </w:p>
        </w:tc>
      </w:tr>
      <w:tr w14:paraId="75112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clear" w:color="auto" w:fill="auto"/>
            <w:vAlign w:val="center"/>
          </w:tcPr>
          <w:p w14:paraId="4428F87C">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9</w:t>
            </w:r>
          </w:p>
        </w:tc>
        <w:tc>
          <w:tcPr>
            <w:tcW w:w="3883" w:type="dxa"/>
            <w:shd w:val="clear" w:color="auto" w:fill="auto"/>
            <w:vAlign w:val="center"/>
          </w:tcPr>
          <w:p w14:paraId="36BD737C">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经营业态类型属于传统便利店</w:t>
            </w:r>
          </w:p>
        </w:tc>
        <w:tc>
          <w:tcPr>
            <w:tcW w:w="3926" w:type="dxa"/>
            <w:shd w:val="clear" w:color="auto" w:fill="auto"/>
            <w:vAlign w:val="center"/>
          </w:tcPr>
          <w:p w14:paraId="445A2C9E">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p>
        </w:tc>
        <w:tc>
          <w:tcPr>
            <w:tcW w:w="847" w:type="dxa"/>
            <w:gridSpan w:val="2"/>
            <w:shd w:val="clear" w:color="auto" w:fill="auto"/>
            <w:vAlign w:val="center"/>
          </w:tcPr>
          <w:p w14:paraId="69A6DEB5">
            <w:pPr>
              <w:widowControl/>
              <w:jc w:val="center"/>
              <w:rPr>
                <w:rFonts w:hint="default" w:ascii="Times New Roman" w:hAnsi="Times New Roman" w:cs="Times New Roman"/>
                <w:b w:val="0"/>
                <w:bCs w:val="0"/>
                <w:color w:val="000000" w:themeColor="text1"/>
                <w:sz w:val="24"/>
                <w14:textFill>
                  <w14:solidFill>
                    <w14:schemeClr w14:val="tx1"/>
                  </w14:solidFill>
                </w14:textFill>
              </w:rPr>
            </w:pPr>
          </w:p>
        </w:tc>
      </w:tr>
      <w:tr w14:paraId="51889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clear" w:color="auto" w:fill="auto"/>
            <w:vAlign w:val="center"/>
          </w:tcPr>
          <w:p w14:paraId="0FC3ABEA">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10</w:t>
            </w:r>
          </w:p>
        </w:tc>
        <w:tc>
          <w:tcPr>
            <w:tcW w:w="3883" w:type="dxa"/>
            <w:shd w:val="clear" w:color="auto" w:fill="auto"/>
            <w:vAlign w:val="center"/>
          </w:tcPr>
          <w:p w14:paraId="3A1C5507">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经营业态类型属于现代单体便利店</w:t>
            </w:r>
          </w:p>
        </w:tc>
        <w:tc>
          <w:tcPr>
            <w:tcW w:w="3926" w:type="dxa"/>
            <w:shd w:val="clear" w:color="auto" w:fill="auto"/>
            <w:vAlign w:val="center"/>
          </w:tcPr>
          <w:p w14:paraId="497430AB">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p>
        </w:tc>
        <w:tc>
          <w:tcPr>
            <w:tcW w:w="847" w:type="dxa"/>
            <w:gridSpan w:val="2"/>
            <w:shd w:val="clear" w:color="auto" w:fill="auto"/>
            <w:vAlign w:val="center"/>
          </w:tcPr>
          <w:p w14:paraId="1BFA52AD">
            <w:pPr>
              <w:widowControl/>
              <w:jc w:val="center"/>
              <w:rPr>
                <w:rFonts w:hint="default" w:ascii="Times New Roman" w:hAnsi="Times New Roman" w:cs="Times New Roman"/>
                <w:b w:val="0"/>
                <w:bCs w:val="0"/>
                <w:color w:val="000000" w:themeColor="text1"/>
                <w:sz w:val="24"/>
                <w14:textFill>
                  <w14:solidFill>
                    <w14:schemeClr w14:val="tx1"/>
                  </w14:solidFill>
                </w14:textFill>
              </w:rPr>
            </w:pPr>
          </w:p>
        </w:tc>
      </w:tr>
      <w:tr w14:paraId="73451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clear" w:color="auto" w:fill="auto"/>
            <w:vAlign w:val="center"/>
          </w:tcPr>
          <w:p w14:paraId="7263D789">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11</w:t>
            </w:r>
          </w:p>
        </w:tc>
        <w:tc>
          <w:tcPr>
            <w:tcW w:w="3883" w:type="dxa"/>
            <w:shd w:val="clear" w:color="auto" w:fill="auto"/>
            <w:vAlign w:val="center"/>
          </w:tcPr>
          <w:p w14:paraId="1D82244B">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经营业态类型属于现代连锁便利店</w:t>
            </w:r>
          </w:p>
        </w:tc>
        <w:tc>
          <w:tcPr>
            <w:tcW w:w="3926" w:type="dxa"/>
            <w:shd w:val="clear" w:color="auto" w:fill="auto"/>
            <w:vAlign w:val="center"/>
          </w:tcPr>
          <w:p w14:paraId="209E8AB2">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p>
        </w:tc>
        <w:tc>
          <w:tcPr>
            <w:tcW w:w="847" w:type="dxa"/>
            <w:gridSpan w:val="2"/>
            <w:shd w:val="clear" w:color="auto" w:fill="auto"/>
            <w:vAlign w:val="center"/>
          </w:tcPr>
          <w:p w14:paraId="0683FCFC">
            <w:pPr>
              <w:widowControl/>
              <w:jc w:val="center"/>
              <w:rPr>
                <w:rFonts w:hint="default" w:ascii="Times New Roman" w:hAnsi="Times New Roman" w:cs="Times New Roman"/>
                <w:b w:val="0"/>
                <w:bCs w:val="0"/>
                <w:color w:val="000000" w:themeColor="text1"/>
                <w:sz w:val="24"/>
                <w14:textFill>
                  <w14:solidFill>
                    <w14:schemeClr w14:val="tx1"/>
                  </w14:solidFill>
                </w14:textFill>
              </w:rPr>
            </w:pPr>
          </w:p>
        </w:tc>
      </w:tr>
      <w:tr w14:paraId="3551B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clear" w:color="auto" w:fill="auto"/>
            <w:vAlign w:val="center"/>
          </w:tcPr>
          <w:p w14:paraId="00D6ECCC">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12</w:t>
            </w:r>
          </w:p>
        </w:tc>
        <w:tc>
          <w:tcPr>
            <w:tcW w:w="3883" w:type="dxa"/>
            <w:shd w:val="clear" w:color="auto" w:fill="auto"/>
            <w:vAlign w:val="center"/>
          </w:tcPr>
          <w:p w14:paraId="52B8C61E">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lang w:eastAsia="zh-CN"/>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经营业态类型</w:t>
            </w:r>
            <w:r>
              <w:rPr>
                <w:rFonts w:hint="default" w:ascii="Times New Roman" w:hAnsi="Times New Roman" w:eastAsia="仿宋_GB2312" w:cs="Times New Roman"/>
                <w:b w:val="0"/>
                <w:bCs w:val="0"/>
                <w:color w:val="000000" w:themeColor="text1"/>
                <w:sz w:val="24"/>
                <w:lang w:val="en-US" w:eastAsia="zh-CN"/>
                <w14:textFill>
                  <w14:solidFill>
                    <w14:schemeClr w14:val="tx1"/>
                  </w14:solidFill>
                </w14:textFill>
              </w:rPr>
              <w:t>属于专业店</w:t>
            </w:r>
          </w:p>
        </w:tc>
        <w:tc>
          <w:tcPr>
            <w:tcW w:w="3926" w:type="dxa"/>
            <w:shd w:val="clear" w:color="auto" w:fill="auto"/>
            <w:vAlign w:val="center"/>
          </w:tcPr>
          <w:p w14:paraId="21AA90DE">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p>
        </w:tc>
        <w:tc>
          <w:tcPr>
            <w:tcW w:w="847" w:type="dxa"/>
            <w:gridSpan w:val="2"/>
            <w:shd w:val="clear" w:color="auto" w:fill="auto"/>
            <w:vAlign w:val="center"/>
          </w:tcPr>
          <w:p w14:paraId="7B3C5A54">
            <w:pPr>
              <w:widowControl/>
              <w:jc w:val="center"/>
              <w:rPr>
                <w:rFonts w:hint="default" w:ascii="Times New Roman" w:hAnsi="Times New Roman" w:cs="Times New Roman"/>
                <w:b w:val="0"/>
                <w:bCs w:val="0"/>
                <w:color w:val="000000" w:themeColor="text1"/>
                <w:sz w:val="24"/>
                <w14:textFill>
                  <w14:solidFill>
                    <w14:schemeClr w14:val="tx1"/>
                  </w14:solidFill>
                </w14:textFill>
              </w:rPr>
            </w:pPr>
          </w:p>
        </w:tc>
      </w:tr>
      <w:tr w14:paraId="6D844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shd w:val="clear" w:color="auto" w:fill="auto"/>
            <w:vAlign w:val="center"/>
          </w:tcPr>
          <w:p w14:paraId="6CAD556B">
            <w:pPr>
              <w:autoSpaceDE w:val="0"/>
              <w:autoSpaceDN w:val="0"/>
              <w:adjustRightInd w:val="0"/>
              <w:spacing w:line="600" w:lineRule="exact"/>
              <w:jc w:val="center"/>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13</w:t>
            </w:r>
          </w:p>
        </w:tc>
        <w:tc>
          <w:tcPr>
            <w:tcW w:w="3883" w:type="dxa"/>
            <w:shd w:val="clear" w:color="auto" w:fill="auto"/>
            <w:vAlign w:val="center"/>
          </w:tcPr>
          <w:p w14:paraId="0A3EE434">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r>
              <w:rPr>
                <w:rFonts w:hint="default" w:ascii="Times New Roman" w:hAnsi="Times New Roman" w:eastAsia="仿宋_GB2312" w:cs="Times New Roman"/>
                <w:b w:val="0"/>
                <w:bCs w:val="0"/>
                <w:color w:val="000000" w:themeColor="text1"/>
                <w:sz w:val="24"/>
                <w14:textFill>
                  <w14:solidFill>
                    <w14:schemeClr w14:val="tx1"/>
                  </w14:solidFill>
                </w14:textFill>
              </w:rPr>
              <w:t>经营业态类型属于超市</w:t>
            </w:r>
          </w:p>
        </w:tc>
        <w:tc>
          <w:tcPr>
            <w:tcW w:w="3926" w:type="dxa"/>
            <w:shd w:val="clear" w:color="auto" w:fill="auto"/>
            <w:vAlign w:val="center"/>
          </w:tcPr>
          <w:p w14:paraId="3E1FB6E0">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default" w:ascii="Times New Roman" w:hAnsi="Times New Roman" w:eastAsia="仿宋_GB2312" w:cs="Times New Roman"/>
                <w:b w:val="0"/>
                <w:bCs w:val="0"/>
                <w:color w:val="000000" w:themeColor="text1"/>
                <w:sz w:val="24"/>
                <w14:textFill>
                  <w14:solidFill>
                    <w14:schemeClr w14:val="tx1"/>
                  </w14:solidFill>
                </w14:textFill>
              </w:rPr>
            </w:pPr>
          </w:p>
        </w:tc>
        <w:tc>
          <w:tcPr>
            <w:tcW w:w="847" w:type="dxa"/>
            <w:gridSpan w:val="2"/>
            <w:shd w:val="clear" w:color="auto" w:fill="auto"/>
            <w:vAlign w:val="center"/>
          </w:tcPr>
          <w:p w14:paraId="12D5E51B">
            <w:pPr>
              <w:widowControl/>
              <w:jc w:val="center"/>
              <w:rPr>
                <w:rFonts w:hint="default" w:ascii="Times New Roman" w:hAnsi="Times New Roman" w:cs="Times New Roman"/>
                <w:b w:val="0"/>
                <w:bCs w:val="0"/>
                <w:color w:val="000000" w:themeColor="text1"/>
                <w:sz w:val="24"/>
                <w14:textFill>
                  <w14:solidFill>
                    <w14:schemeClr w14:val="tx1"/>
                  </w14:solidFill>
                </w14:textFill>
              </w:rPr>
            </w:pPr>
          </w:p>
        </w:tc>
      </w:tr>
    </w:tbl>
    <w:p w14:paraId="203C3465">
      <w:pPr>
        <w:keepNext w:val="0"/>
        <w:keepLines w:val="0"/>
        <w:pageBreakBefore w:val="0"/>
        <w:widowControl w:val="0"/>
        <w:kinsoku/>
        <w:wordWrap/>
        <w:overflowPunct/>
        <w:topLinePunct w:val="0"/>
        <w:autoSpaceDE w:val="0"/>
        <w:autoSpaceDN w:val="0"/>
        <w:bidi w:val="0"/>
        <w:adjustRightInd w:val="0"/>
        <w:snapToGrid/>
        <w:spacing w:line="500" w:lineRule="exact"/>
        <w:ind w:firstLine="560" w:firstLineChars="200"/>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lang w:eastAsia="zh-CN"/>
          <w14:textFill>
            <w14:solidFill>
              <w14:schemeClr w14:val="tx1"/>
            </w14:solidFill>
          </w14:textFill>
        </w:rPr>
        <w:t>申请人签名：</w:t>
      </w: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 xml:space="preserve">                       经办人签名：</w:t>
      </w:r>
    </w:p>
    <w:p w14:paraId="6FFBEFD6">
      <w:pPr>
        <w:rPr>
          <w:rFonts w:hint="default" w:ascii="Times New Roman" w:hAnsi="Times New Roman" w:eastAsia="黑体" w:cs="Times New Roman"/>
          <w:color w:val="000000" w:themeColor="text1"/>
          <w:sz w:val="32"/>
          <w:szCs w:val="32"/>
          <w14:textFill>
            <w14:solidFill>
              <w14:schemeClr w14:val="tx1"/>
            </w14:solidFill>
          </w14:textFill>
        </w:rPr>
      </w:pPr>
    </w:p>
    <w:p w14:paraId="046E823E">
      <w:pPr>
        <w:rPr>
          <w:rFonts w:hint="default" w:ascii="Times New Roman" w:hAnsi="Times New Roman" w:eastAsia="黑体" w:cs="Times New Roman"/>
          <w:color w:val="000000" w:themeColor="text1"/>
          <w:sz w:val="32"/>
          <w:szCs w:val="32"/>
          <w14:textFill>
            <w14:solidFill>
              <w14:schemeClr w14:val="tx1"/>
            </w14:solidFill>
          </w14:textFill>
        </w:rPr>
      </w:pPr>
    </w:p>
    <w:p w14:paraId="3CA1C5EA">
      <w:pPr>
        <w:rPr>
          <w:rFonts w:hint="default" w:ascii="Times New Roman" w:hAnsi="Times New Roman" w:eastAsia="黑体" w:cs="Times New Roman"/>
          <w:color w:val="000000" w:themeColor="text1"/>
          <w:sz w:val="32"/>
          <w:szCs w:val="32"/>
          <w:lang w:eastAsia="zh-CN"/>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附件</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3</w:t>
      </w:r>
    </w:p>
    <w:p w14:paraId="284309C1">
      <w:pPr>
        <w:spacing w:line="700" w:lineRule="exact"/>
        <w:jc w:val="center"/>
        <w:rPr>
          <w:rFonts w:hint="default" w:ascii="Times New Roman" w:hAnsi="Times New Roman" w:eastAsia="方正小标宋简体" w:cs="Times New Roman"/>
          <w:color w:val="000000" w:themeColor="text1"/>
          <w:sz w:val="44"/>
          <w:szCs w:val="44"/>
          <w14:textFill>
            <w14:solidFill>
              <w14:schemeClr w14:val="tx1"/>
            </w14:solidFill>
          </w14:textFill>
        </w:rPr>
      </w:pPr>
      <w:r>
        <w:rPr>
          <w:rFonts w:hint="default" w:ascii="Times New Roman" w:hAnsi="Times New Roman" w:eastAsia="方正小标宋简体" w:cs="Times New Roman"/>
          <w:color w:val="000000" w:themeColor="text1"/>
          <w:sz w:val="44"/>
          <w:szCs w:val="44"/>
          <w14:textFill>
            <w14:solidFill>
              <w14:schemeClr w14:val="tx1"/>
            </w14:solidFill>
          </w14:textFill>
        </w:rPr>
        <w:t>零售点合理布局管理委员会工作程序规定</w:t>
      </w:r>
    </w:p>
    <w:p w14:paraId="308775DD">
      <w:pPr>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p>
    <w:p w14:paraId="3A787018">
      <w:pPr>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一、烟草专卖局烟草制品零售点合理布局管理委员会组成人员</w:t>
      </w:r>
    </w:p>
    <w:p w14:paraId="2CB8C755">
      <w:pPr>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主  任：局长(经理)</w:t>
      </w:r>
    </w:p>
    <w:p w14:paraId="1C514BD6">
      <w:pPr>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副主任：分管专卖副局长、分管卷烟副经理、纪检员</w:t>
      </w:r>
    </w:p>
    <w:p w14:paraId="6EBB112A">
      <w:pPr>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成  员：专卖管理办公室主任、副主任、行政服务中心负责人、证件管理员</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卷烟</w:t>
      </w:r>
      <w:r>
        <w:rPr>
          <w:rFonts w:hint="default" w:ascii="Times New Roman" w:hAnsi="Times New Roman" w:eastAsia="仿宋_GB2312" w:cs="Times New Roman"/>
          <w:color w:val="000000" w:themeColor="text1"/>
          <w:sz w:val="32"/>
          <w:szCs w:val="32"/>
          <w14:textFill>
            <w14:solidFill>
              <w14:schemeClr w14:val="tx1"/>
            </w14:solidFill>
          </w14:textFill>
        </w:rPr>
        <w:t>办主任、各专卖管理所所长、监察员、法制员。</w:t>
      </w:r>
    </w:p>
    <w:p w14:paraId="15EA643C">
      <w:pPr>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下设办公室：主任由专卖管理办公室主任担任。</w:t>
      </w:r>
    </w:p>
    <w:p w14:paraId="621E8649">
      <w:pPr>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二、合理布局管理委员会工作职责</w:t>
      </w:r>
    </w:p>
    <w:p w14:paraId="109ADE71">
      <w:pPr>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 根据所辖区域的人口数量、交通状况、经济发展水平、消费能力、城建规划等相关社会情势的变化和社会各界人士的建议，对烟草制品零售点布局规划的意见征集、布局数量调整、修订及解释等进行研究审议。</w:t>
      </w:r>
    </w:p>
    <w:p w14:paraId="3B1531FA">
      <w:pPr>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 对现有零售点合理布局规划的实施情况进行评估，可根据运行情况对合理布局规划内容进行调整。</w:t>
      </w:r>
    </w:p>
    <w:p w14:paraId="46B18B36">
      <w:pPr>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三、烟草制品零售点合理布局管理委员会工作程序</w:t>
      </w:r>
    </w:p>
    <w:p w14:paraId="1A8591B0">
      <w:pPr>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 由证件管理员收集整理布局规划建议上报行政服务中心负责人初审。</w:t>
      </w:r>
    </w:p>
    <w:p w14:paraId="348DAE40">
      <w:pPr>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 行政服务中心负责人根据证件管理员上报的初审材料填写《烟草制品零售点布局规划调整建议表》(附件</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)，提交管理委员会办公室审核。</w:t>
      </w:r>
    </w:p>
    <w:p w14:paraId="577FE039">
      <w:pPr>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 管理委员会办公室负责人对《烟草制品零售点合理布局规划调整建议表》进行审查核实后，提请管理委员会召开全体委员会议审议决定；</w:t>
      </w:r>
    </w:p>
    <w:p w14:paraId="12830616">
      <w:pPr>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 对作出的决定予以公示。</w:t>
      </w:r>
    </w:p>
    <w:p w14:paraId="531D5CC3">
      <w:pPr>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p>
    <w:p w14:paraId="328AD179">
      <w:pPr>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 </w:t>
      </w:r>
    </w:p>
    <w:p w14:paraId="1FAB052A">
      <w:pPr>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 </w:t>
      </w:r>
    </w:p>
    <w:p w14:paraId="11949F79">
      <w:pPr>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 </w:t>
      </w:r>
    </w:p>
    <w:p w14:paraId="492339DB">
      <w:pPr>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 </w:t>
      </w:r>
    </w:p>
    <w:p w14:paraId="1C467477">
      <w:pPr>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 </w:t>
      </w:r>
    </w:p>
    <w:p w14:paraId="377CA80E">
      <w:pPr>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 </w:t>
      </w:r>
    </w:p>
    <w:p w14:paraId="06233383">
      <w:pPr>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br w:type="page"/>
      </w:r>
      <w:r>
        <w:rPr>
          <w:rFonts w:hint="default" w:ascii="Times New Roman" w:hAnsi="Times New Roman" w:eastAsia="黑体" w:cs="Times New Roman"/>
          <w:color w:val="000000" w:themeColor="text1"/>
          <w:sz w:val="32"/>
          <w:szCs w:val="32"/>
          <w14:textFill>
            <w14:solidFill>
              <w14:schemeClr w14:val="tx1"/>
            </w14:solidFill>
          </w14:textFill>
        </w:rPr>
        <w:t>附件</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4</w:t>
      </w:r>
    </w:p>
    <w:p w14:paraId="7D67201D">
      <w:pPr>
        <w:spacing w:line="700" w:lineRule="exact"/>
        <w:ind w:firstLine="0" w:firstLineChars="0"/>
        <w:jc w:val="center"/>
        <w:rPr>
          <w:rFonts w:hint="default" w:ascii="Times New Roman" w:hAnsi="Times New Roman" w:eastAsia="方正小标宋简体" w:cs="Times New Roman"/>
          <w:color w:val="000000" w:themeColor="text1"/>
          <w:sz w:val="44"/>
          <w:szCs w:val="44"/>
          <w14:textFill>
            <w14:solidFill>
              <w14:schemeClr w14:val="tx1"/>
            </w14:solidFill>
          </w14:textFill>
        </w:rPr>
      </w:pPr>
      <w:r>
        <w:rPr>
          <w:rFonts w:hint="default" w:ascii="Times New Roman" w:hAnsi="Times New Roman" w:eastAsia="方正小标宋简体" w:cs="Times New Roman"/>
          <w:color w:val="000000" w:themeColor="text1"/>
          <w:sz w:val="44"/>
          <w:szCs w:val="44"/>
          <w14:textFill>
            <w14:solidFill>
              <w14:schemeClr w14:val="tx1"/>
            </w14:solidFill>
          </w14:textFill>
        </w:rPr>
        <w:t>烟草制品零售点布局规划调整建议表</w:t>
      </w:r>
    </w:p>
    <w:tbl>
      <w:tblPr>
        <w:tblStyle w:val="4"/>
        <w:tblW w:w="8833"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0"/>
        <w:gridCol w:w="2253"/>
        <w:gridCol w:w="1050"/>
        <w:gridCol w:w="1995"/>
        <w:gridCol w:w="735"/>
        <w:gridCol w:w="2100"/>
      </w:tblGrid>
      <w:tr w14:paraId="7BEFA4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700" w:type="dxa"/>
            <w:tcBorders>
              <w:top w:val="single" w:color="auto" w:sz="12" w:space="0"/>
              <w:left w:val="single" w:color="auto" w:sz="12" w:space="0"/>
              <w:bottom w:val="single" w:color="auto" w:sz="6" w:space="0"/>
              <w:right w:val="single" w:color="auto" w:sz="6" w:space="0"/>
            </w:tcBorders>
            <w:noWrap w:val="0"/>
            <w:vAlign w:val="center"/>
          </w:tcPr>
          <w:p w14:paraId="04B2B218">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spacing w:val="-6"/>
                <w:kern w:val="0"/>
                <w:sz w:val="24"/>
                <w:lang w:bidi="ar"/>
                <w14:textFill>
                  <w14:solidFill>
                    <w14:schemeClr w14:val="tx1"/>
                  </w14:solidFill>
                </w14:textFill>
              </w:rPr>
              <w:t>时间</w:t>
            </w:r>
          </w:p>
        </w:tc>
        <w:tc>
          <w:tcPr>
            <w:tcW w:w="2253" w:type="dxa"/>
            <w:tcBorders>
              <w:top w:val="single" w:color="auto" w:sz="12" w:space="0"/>
              <w:left w:val="nil"/>
              <w:bottom w:val="single" w:color="auto" w:sz="6" w:space="0"/>
              <w:right w:val="single" w:color="auto" w:sz="6" w:space="0"/>
            </w:tcBorders>
            <w:noWrap w:val="0"/>
            <w:vAlign w:val="center"/>
          </w:tcPr>
          <w:p w14:paraId="30E47B3F">
            <w:pPr>
              <w:keepNext w:val="0"/>
              <w:keepLines w:val="0"/>
              <w:suppressLineNumbers w:val="0"/>
              <w:adjustRightInd w:val="0"/>
              <w:snapToGrid w:val="0"/>
              <w:spacing w:before="0" w:beforeAutospacing="0" w:after="0" w:afterAutospacing="0" w:line="240" w:lineRule="atLeast"/>
              <w:ind w:left="0" w:right="0"/>
              <w:jc w:val="right"/>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spacing w:val="-6"/>
                <w:kern w:val="0"/>
                <w:sz w:val="24"/>
                <w:lang w:bidi="ar"/>
                <w14:textFill>
                  <w14:solidFill>
                    <w14:schemeClr w14:val="tx1"/>
                  </w14:solidFill>
                </w14:textFill>
              </w:rPr>
              <w:t xml:space="preserve">     年  月  日</w:t>
            </w:r>
          </w:p>
        </w:tc>
        <w:tc>
          <w:tcPr>
            <w:tcW w:w="1050" w:type="dxa"/>
            <w:tcBorders>
              <w:top w:val="single" w:color="auto" w:sz="12" w:space="0"/>
              <w:left w:val="nil"/>
              <w:bottom w:val="single" w:color="auto" w:sz="6" w:space="0"/>
              <w:right w:val="single" w:color="auto" w:sz="6" w:space="0"/>
            </w:tcBorders>
            <w:noWrap w:val="0"/>
            <w:vAlign w:val="center"/>
          </w:tcPr>
          <w:p w14:paraId="3624F8AA">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eastAsia="仿宋_GB2312" w:cs="Times New Roman"/>
                <w:color w:val="000000" w:themeColor="text1"/>
                <w:spacing w:val="-6"/>
                <w:kern w:val="0"/>
                <w:sz w:val="24"/>
                <w:lang w:bidi="ar"/>
                <w14:textFill>
                  <w14:solidFill>
                    <w14:schemeClr w14:val="tx1"/>
                  </w14:solidFill>
                </w14:textFill>
              </w:rPr>
            </w:pPr>
            <w:r>
              <w:rPr>
                <w:rFonts w:hint="default" w:ascii="Times New Roman" w:hAnsi="Times New Roman" w:eastAsia="仿宋_GB2312" w:cs="Times New Roman"/>
                <w:color w:val="000000" w:themeColor="text1"/>
                <w:spacing w:val="-6"/>
                <w:kern w:val="0"/>
                <w:sz w:val="24"/>
                <w:lang w:bidi="ar"/>
                <w14:textFill>
                  <w14:solidFill>
                    <w14:schemeClr w14:val="tx1"/>
                  </w14:solidFill>
                </w14:textFill>
              </w:rPr>
              <w:t>建议</w:t>
            </w:r>
          </w:p>
          <w:p w14:paraId="5FA9B0EF">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spacing w:val="-6"/>
                <w:kern w:val="0"/>
                <w:sz w:val="24"/>
                <w:lang w:bidi="ar"/>
                <w14:textFill>
                  <w14:solidFill>
                    <w14:schemeClr w14:val="tx1"/>
                  </w14:solidFill>
                </w14:textFill>
              </w:rPr>
              <w:t>单位</w:t>
            </w:r>
          </w:p>
        </w:tc>
        <w:tc>
          <w:tcPr>
            <w:tcW w:w="1995" w:type="dxa"/>
            <w:tcBorders>
              <w:top w:val="single" w:color="auto" w:sz="12" w:space="0"/>
              <w:left w:val="nil"/>
              <w:bottom w:val="single" w:color="auto" w:sz="6" w:space="0"/>
              <w:right w:val="single" w:color="auto" w:sz="6" w:space="0"/>
            </w:tcBorders>
            <w:noWrap w:val="0"/>
            <w:vAlign w:val="center"/>
          </w:tcPr>
          <w:p w14:paraId="1DC04F7B">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spacing w:val="-6"/>
                <w:kern w:val="0"/>
                <w:sz w:val="24"/>
                <w:lang w:bidi="ar"/>
                <w14:textFill>
                  <w14:solidFill>
                    <w14:schemeClr w14:val="tx1"/>
                  </w14:solidFill>
                </w14:textFill>
              </w:rPr>
              <w:t xml:space="preserve">   行政服务中心</w:t>
            </w:r>
          </w:p>
        </w:tc>
        <w:tc>
          <w:tcPr>
            <w:tcW w:w="735" w:type="dxa"/>
            <w:tcBorders>
              <w:top w:val="single" w:color="auto" w:sz="12" w:space="0"/>
              <w:left w:val="nil"/>
              <w:bottom w:val="single" w:color="auto" w:sz="6" w:space="0"/>
              <w:right w:val="single" w:color="auto" w:sz="6" w:space="0"/>
            </w:tcBorders>
            <w:noWrap/>
            <w:vAlign w:val="center"/>
          </w:tcPr>
          <w:p w14:paraId="65F85548">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spacing w:val="-6"/>
                <w:kern w:val="0"/>
                <w:sz w:val="24"/>
                <w:lang w:bidi="ar"/>
                <w14:textFill>
                  <w14:solidFill>
                    <w14:schemeClr w14:val="tx1"/>
                  </w14:solidFill>
                </w14:textFill>
              </w:rPr>
              <w:t>编号</w:t>
            </w:r>
          </w:p>
        </w:tc>
        <w:tc>
          <w:tcPr>
            <w:tcW w:w="2100" w:type="dxa"/>
            <w:tcBorders>
              <w:top w:val="single" w:color="auto" w:sz="12" w:space="0"/>
              <w:left w:val="nil"/>
              <w:bottom w:val="single" w:color="auto" w:sz="6" w:space="0"/>
              <w:right w:val="single" w:color="auto" w:sz="12" w:space="0"/>
            </w:tcBorders>
            <w:noWrap w:val="0"/>
            <w:vAlign w:val="center"/>
          </w:tcPr>
          <w:p w14:paraId="11506E8B">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spacing w:val="-6"/>
                <w:kern w:val="0"/>
                <w:sz w:val="24"/>
                <w:lang w:bidi="ar"/>
                <w14:textFill>
                  <w14:solidFill>
                    <w14:schemeClr w14:val="tx1"/>
                  </w14:solidFill>
                </w14:textFill>
              </w:rPr>
              <w:t>〔     〕     号</w:t>
            </w:r>
          </w:p>
        </w:tc>
      </w:tr>
      <w:tr w14:paraId="716D18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700" w:type="dxa"/>
            <w:tcBorders>
              <w:top w:val="single" w:color="auto" w:sz="6" w:space="0"/>
              <w:left w:val="single" w:color="auto" w:sz="12" w:space="0"/>
              <w:bottom w:val="single" w:color="auto" w:sz="4" w:space="0"/>
              <w:right w:val="single" w:color="auto" w:sz="6" w:space="0"/>
            </w:tcBorders>
            <w:noWrap w:val="0"/>
            <w:vAlign w:val="center"/>
          </w:tcPr>
          <w:p w14:paraId="38B98BED">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spacing w:val="-6"/>
                <w:kern w:val="0"/>
                <w:sz w:val="24"/>
                <w:lang w:bidi="ar"/>
                <w14:textFill>
                  <w14:solidFill>
                    <w14:schemeClr w14:val="tx1"/>
                  </w14:solidFill>
                </w14:textFill>
              </w:rPr>
              <w:t>许可证 管理情况概述</w:t>
            </w:r>
          </w:p>
        </w:tc>
        <w:tc>
          <w:tcPr>
            <w:tcW w:w="8133" w:type="dxa"/>
            <w:gridSpan w:val="5"/>
            <w:tcBorders>
              <w:top w:val="single" w:color="auto" w:sz="6" w:space="0"/>
              <w:left w:val="nil"/>
              <w:bottom w:val="single" w:color="auto" w:sz="4" w:space="0"/>
              <w:right w:val="single" w:color="auto" w:sz="12" w:space="0"/>
            </w:tcBorders>
            <w:noWrap w:val="0"/>
            <w:vAlign w:val="top"/>
          </w:tcPr>
          <w:p w14:paraId="73BC2B62">
            <w:pPr>
              <w:keepNext w:val="0"/>
              <w:keepLines w:val="0"/>
              <w:suppressLineNumbers w:val="0"/>
              <w:adjustRightInd w:val="0"/>
              <w:snapToGrid w:val="0"/>
              <w:spacing w:before="0" w:beforeAutospacing="0" w:after="0" w:afterAutospacing="0" w:line="240" w:lineRule="atLeast"/>
              <w:ind w:left="0" w:right="0"/>
              <w:jc w:val="left"/>
              <w:rPr>
                <w:rFonts w:hint="default" w:ascii="Times New Roman" w:hAnsi="Times New Roman" w:cs="Times New Roman"/>
                <w:color w:val="000000" w:themeColor="text1"/>
                <w:kern w:val="0"/>
                <w:sz w:val="24"/>
                <w14:textFill>
                  <w14:solidFill>
                    <w14:schemeClr w14:val="tx1"/>
                  </w14:solidFill>
                </w14:textFill>
              </w:rPr>
            </w:pPr>
          </w:p>
        </w:tc>
      </w:tr>
      <w:tr w14:paraId="522397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700" w:type="dxa"/>
            <w:tcBorders>
              <w:top w:val="single" w:color="auto" w:sz="4" w:space="0"/>
              <w:left w:val="single" w:color="auto" w:sz="12" w:space="0"/>
              <w:bottom w:val="single" w:color="auto" w:sz="6" w:space="0"/>
              <w:right w:val="single" w:color="auto" w:sz="6" w:space="0"/>
            </w:tcBorders>
            <w:noWrap w:val="0"/>
            <w:vAlign w:val="center"/>
          </w:tcPr>
          <w:p w14:paraId="0FDDCF56">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spacing w:val="-6"/>
                <w:kern w:val="0"/>
                <w:sz w:val="24"/>
                <w:lang w:bidi="ar"/>
                <w14:textFill>
                  <w14:solidFill>
                    <w14:schemeClr w14:val="tx1"/>
                  </w14:solidFill>
                </w14:textFill>
              </w:rPr>
              <w:t>修</w:t>
            </w:r>
          </w:p>
          <w:p w14:paraId="25CABE7A">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spacing w:val="-6"/>
                <w:kern w:val="0"/>
                <w:sz w:val="24"/>
                <w:lang w:bidi="ar"/>
                <w14:textFill>
                  <w14:solidFill>
                    <w14:schemeClr w14:val="tx1"/>
                  </w14:solidFill>
                </w14:textFill>
              </w:rPr>
              <w:t>改</w:t>
            </w:r>
          </w:p>
          <w:p w14:paraId="6634412B">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spacing w:val="-6"/>
                <w:kern w:val="0"/>
                <w:sz w:val="24"/>
                <w:lang w:bidi="ar"/>
                <w14:textFill>
                  <w14:solidFill>
                    <w14:schemeClr w14:val="tx1"/>
                  </w14:solidFill>
                </w14:textFill>
              </w:rPr>
              <w:t>或</w:t>
            </w:r>
          </w:p>
          <w:p w14:paraId="2B724AEE">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spacing w:val="-6"/>
                <w:kern w:val="0"/>
                <w:sz w:val="24"/>
                <w:lang w:bidi="ar"/>
                <w14:textFill>
                  <w14:solidFill>
                    <w14:schemeClr w14:val="tx1"/>
                  </w14:solidFill>
                </w14:textFill>
              </w:rPr>
              <w:t>补</w:t>
            </w:r>
          </w:p>
          <w:p w14:paraId="7B5D758B">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spacing w:val="-6"/>
                <w:kern w:val="0"/>
                <w:sz w:val="24"/>
                <w:lang w:bidi="ar"/>
                <w14:textFill>
                  <w14:solidFill>
                    <w14:schemeClr w14:val="tx1"/>
                  </w14:solidFill>
                </w14:textFill>
              </w:rPr>
              <w:t>充</w:t>
            </w:r>
          </w:p>
          <w:p w14:paraId="04932D76">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spacing w:val="-6"/>
                <w:kern w:val="0"/>
                <w:sz w:val="24"/>
                <w:lang w:bidi="ar"/>
                <w14:textFill>
                  <w14:solidFill>
                    <w14:schemeClr w14:val="tx1"/>
                  </w14:solidFill>
                </w14:textFill>
              </w:rPr>
              <w:t>内</w:t>
            </w:r>
          </w:p>
          <w:p w14:paraId="260F3288">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spacing w:val="-6"/>
                <w:kern w:val="0"/>
                <w:sz w:val="24"/>
                <w:lang w:bidi="ar"/>
                <w14:textFill>
                  <w14:solidFill>
                    <w14:schemeClr w14:val="tx1"/>
                  </w14:solidFill>
                </w14:textFill>
              </w:rPr>
              <w:t>容</w:t>
            </w:r>
          </w:p>
        </w:tc>
        <w:tc>
          <w:tcPr>
            <w:tcW w:w="8133" w:type="dxa"/>
            <w:gridSpan w:val="5"/>
            <w:tcBorders>
              <w:top w:val="single" w:color="auto" w:sz="4" w:space="0"/>
              <w:left w:val="nil"/>
              <w:bottom w:val="single" w:color="auto" w:sz="6" w:space="0"/>
              <w:right w:val="single" w:color="auto" w:sz="12" w:space="0"/>
            </w:tcBorders>
            <w:noWrap w:val="0"/>
            <w:vAlign w:val="top"/>
          </w:tcPr>
          <w:p w14:paraId="7D3A62E4">
            <w:pPr>
              <w:keepNext w:val="0"/>
              <w:keepLines w:val="0"/>
              <w:suppressLineNumbers w:val="0"/>
              <w:adjustRightInd w:val="0"/>
              <w:snapToGrid w:val="0"/>
              <w:spacing w:before="0" w:beforeAutospacing="0" w:after="0" w:afterAutospacing="0" w:line="240" w:lineRule="atLeast"/>
              <w:ind w:left="0" w:right="0"/>
              <w:jc w:val="left"/>
              <w:rPr>
                <w:rFonts w:hint="default" w:ascii="Times New Roman" w:hAnsi="Times New Roman" w:cs="Times New Roman"/>
                <w:color w:val="000000" w:themeColor="text1"/>
                <w:kern w:val="0"/>
                <w:sz w:val="24"/>
                <w14:textFill>
                  <w14:solidFill>
                    <w14:schemeClr w14:val="tx1"/>
                  </w14:solidFill>
                </w14:textFill>
              </w:rPr>
            </w:pPr>
          </w:p>
          <w:p w14:paraId="7342E039">
            <w:pPr>
              <w:keepNext w:val="0"/>
              <w:keepLines w:val="0"/>
              <w:suppressLineNumbers w:val="0"/>
              <w:adjustRightInd w:val="0"/>
              <w:snapToGrid w:val="0"/>
              <w:spacing w:before="0" w:beforeAutospacing="0" w:after="0" w:afterAutospacing="0" w:line="240" w:lineRule="atLeast"/>
              <w:ind w:left="0" w:right="0"/>
              <w:jc w:val="left"/>
              <w:rPr>
                <w:rFonts w:hint="default" w:ascii="Times New Roman" w:hAnsi="Times New Roman" w:cs="Times New Roman"/>
                <w:color w:val="000000" w:themeColor="text1"/>
                <w:kern w:val="0"/>
                <w:sz w:val="24"/>
                <w14:textFill>
                  <w14:solidFill>
                    <w14:schemeClr w14:val="tx1"/>
                  </w14:solidFill>
                </w14:textFill>
              </w:rPr>
            </w:pPr>
          </w:p>
          <w:p w14:paraId="14A79874">
            <w:pPr>
              <w:keepNext w:val="0"/>
              <w:keepLines w:val="0"/>
              <w:suppressLineNumbers w:val="0"/>
              <w:adjustRightInd w:val="0"/>
              <w:snapToGrid w:val="0"/>
              <w:spacing w:before="0" w:beforeAutospacing="0" w:after="0" w:afterAutospacing="0" w:line="240" w:lineRule="atLeast"/>
              <w:ind w:left="0" w:right="0"/>
              <w:jc w:val="left"/>
              <w:rPr>
                <w:rFonts w:hint="default" w:ascii="Times New Roman" w:hAnsi="Times New Roman" w:cs="Times New Roman"/>
                <w:color w:val="000000" w:themeColor="text1"/>
                <w:kern w:val="0"/>
                <w:sz w:val="24"/>
                <w14:textFill>
                  <w14:solidFill>
                    <w14:schemeClr w14:val="tx1"/>
                  </w14:solidFill>
                </w14:textFill>
              </w:rPr>
            </w:pPr>
          </w:p>
          <w:p w14:paraId="429D4237">
            <w:pPr>
              <w:keepNext w:val="0"/>
              <w:keepLines w:val="0"/>
              <w:suppressLineNumbers w:val="0"/>
              <w:adjustRightInd w:val="0"/>
              <w:snapToGrid w:val="0"/>
              <w:spacing w:before="0" w:beforeAutospacing="0" w:after="0" w:afterAutospacing="0" w:line="240" w:lineRule="atLeast"/>
              <w:ind w:left="0" w:right="0"/>
              <w:jc w:val="left"/>
              <w:rPr>
                <w:rFonts w:hint="default" w:ascii="Times New Roman" w:hAnsi="Times New Roman" w:cs="Times New Roman"/>
                <w:color w:val="000000" w:themeColor="text1"/>
                <w:kern w:val="0"/>
                <w:sz w:val="24"/>
                <w14:textFill>
                  <w14:solidFill>
                    <w14:schemeClr w14:val="tx1"/>
                  </w14:solidFill>
                </w14:textFill>
              </w:rPr>
            </w:pPr>
          </w:p>
          <w:p w14:paraId="4841CE93">
            <w:pPr>
              <w:keepNext w:val="0"/>
              <w:keepLines w:val="0"/>
              <w:suppressLineNumbers w:val="0"/>
              <w:adjustRightInd w:val="0"/>
              <w:snapToGrid w:val="0"/>
              <w:spacing w:before="0" w:beforeAutospacing="0" w:after="0" w:afterAutospacing="0" w:line="240" w:lineRule="atLeast"/>
              <w:ind w:left="0" w:right="0"/>
              <w:jc w:val="left"/>
              <w:rPr>
                <w:rFonts w:hint="default" w:ascii="Times New Roman" w:hAnsi="Times New Roman" w:cs="Times New Roman"/>
                <w:color w:val="000000" w:themeColor="text1"/>
                <w:kern w:val="0"/>
                <w:sz w:val="24"/>
                <w14:textFill>
                  <w14:solidFill>
                    <w14:schemeClr w14:val="tx1"/>
                  </w14:solidFill>
                </w14:textFill>
              </w:rPr>
            </w:pPr>
          </w:p>
          <w:p w14:paraId="4EFF34D0">
            <w:pPr>
              <w:keepNext w:val="0"/>
              <w:keepLines w:val="0"/>
              <w:suppressLineNumbers w:val="0"/>
              <w:adjustRightInd w:val="0"/>
              <w:snapToGrid w:val="0"/>
              <w:spacing w:before="0" w:beforeAutospacing="0" w:after="0" w:afterAutospacing="0" w:line="240" w:lineRule="atLeast"/>
              <w:ind w:left="0" w:right="0"/>
              <w:jc w:val="left"/>
              <w:rPr>
                <w:rFonts w:hint="default" w:ascii="Times New Roman" w:hAnsi="Times New Roman" w:cs="Times New Roman"/>
                <w:color w:val="000000" w:themeColor="text1"/>
                <w:kern w:val="0"/>
                <w:sz w:val="24"/>
                <w14:textFill>
                  <w14:solidFill>
                    <w14:schemeClr w14:val="tx1"/>
                  </w14:solidFill>
                </w14:textFill>
              </w:rPr>
            </w:pPr>
          </w:p>
          <w:p w14:paraId="470D34B2">
            <w:pPr>
              <w:keepNext w:val="0"/>
              <w:keepLines w:val="0"/>
              <w:suppressLineNumbers w:val="0"/>
              <w:adjustRightInd w:val="0"/>
              <w:snapToGrid w:val="0"/>
              <w:spacing w:before="0" w:beforeAutospacing="0" w:after="0" w:afterAutospacing="0" w:line="240" w:lineRule="atLeast"/>
              <w:ind w:left="0" w:right="0"/>
              <w:jc w:val="left"/>
              <w:rPr>
                <w:rFonts w:hint="default" w:ascii="Times New Roman" w:hAnsi="Times New Roman" w:cs="Times New Roman"/>
                <w:color w:val="000000" w:themeColor="text1"/>
                <w:kern w:val="0"/>
                <w:sz w:val="24"/>
                <w14:textFill>
                  <w14:solidFill>
                    <w14:schemeClr w14:val="tx1"/>
                  </w14:solidFill>
                </w14:textFill>
              </w:rPr>
            </w:pPr>
          </w:p>
          <w:p w14:paraId="22A26E9A">
            <w:pPr>
              <w:keepNext w:val="0"/>
              <w:keepLines w:val="0"/>
              <w:suppressLineNumbers w:val="0"/>
              <w:adjustRightInd w:val="0"/>
              <w:snapToGrid w:val="0"/>
              <w:spacing w:before="0" w:beforeAutospacing="0" w:after="0" w:afterAutospacing="0" w:line="240" w:lineRule="atLeast"/>
              <w:ind w:left="0" w:right="0"/>
              <w:jc w:val="left"/>
              <w:rPr>
                <w:rFonts w:hint="default" w:ascii="Times New Roman" w:hAnsi="Times New Roman" w:cs="Times New Roman"/>
                <w:color w:val="000000" w:themeColor="text1"/>
                <w:kern w:val="0"/>
                <w:sz w:val="24"/>
                <w14:textFill>
                  <w14:solidFill>
                    <w14:schemeClr w14:val="tx1"/>
                  </w14:solidFill>
                </w14:textFill>
              </w:rPr>
            </w:pPr>
          </w:p>
          <w:p w14:paraId="7E5AE241">
            <w:pPr>
              <w:keepNext w:val="0"/>
              <w:keepLines w:val="0"/>
              <w:suppressLineNumbers w:val="0"/>
              <w:adjustRightInd w:val="0"/>
              <w:snapToGrid w:val="0"/>
              <w:spacing w:before="0" w:beforeAutospacing="0" w:after="0" w:afterAutospacing="0" w:line="240" w:lineRule="atLeast"/>
              <w:ind w:left="0" w:right="0"/>
              <w:jc w:val="left"/>
              <w:rPr>
                <w:rFonts w:hint="default" w:ascii="Times New Roman" w:hAnsi="Times New Roman" w:cs="Times New Roman"/>
                <w:color w:val="000000" w:themeColor="text1"/>
                <w:kern w:val="0"/>
                <w:sz w:val="24"/>
                <w14:textFill>
                  <w14:solidFill>
                    <w14:schemeClr w14:val="tx1"/>
                  </w14:solidFill>
                </w14:textFill>
              </w:rPr>
            </w:pPr>
          </w:p>
          <w:p w14:paraId="5E585B89">
            <w:pPr>
              <w:keepNext w:val="0"/>
              <w:keepLines w:val="0"/>
              <w:suppressLineNumbers w:val="0"/>
              <w:adjustRightInd w:val="0"/>
              <w:snapToGrid w:val="0"/>
              <w:spacing w:before="0" w:beforeAutospacing="0" w:after="0" w:afterAutospacing="0" w:line="240" w:lineRule="atLeast"/>
              <w:ind w:left="0" w:right="0" w:firstLine="480" w:firstLineChars="200"/>
              <w:jc w:val="left"/>
              <w:rPr>
                <w:rFonts w:hint="default" w:ascii="Times New Roman" w:hAnsi="Times New Roman" w:cs="Times New Roman"/>
                <w:color w:val="000000" w:themeColor="text1"/>
                <w:kern w:val="0"/>
                <w:sz w:val="24"/>
                <w14:textFill>
                  <w14:solidFill>
                    <w14:schemeClr w14:val="tx1"/>
                  </w14:solidFill>
                </w14:textFill>
              </w:rPr>
            </w:pPr>
          </w:p>
        </w:tc>
      </w:tr>
      <w:tr w14:paraId="6E6894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99" w:hRule="atLeast"/>
        </w:trPr>
        <w:tc>
          <w:tcPr>
            <w:tcW w:w="700" w:type="dxa"/>
            <w:tcBorders>
              <w:top w:val="single" w:color="auto" w:sz="6" w:space="0"/>
              <w:left w:val="single" w:color="auto" w:sz="12" w:space="0"/>
              <w:bottom w:val="single" w:color="auto" w:sz="6" w:space="0"/>
              <w:right w:val="single" w:color="auto" w:sz="6" w:space="0"/>
            </w:tcBorders>
            <w:noWrap w:val="0"/>
            <w:vAlign w:val="center"/>
          </w:tcPr>
          <w:p w14:paraId="6D2421E7">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spacing w:val="-6"/>
                <w:kern w:val="0"/>
                <w:sz w:val="24"/>
                <w:lang w:bidi="ar"/>
                <w14:textFill>
                  <w14:solidFill>
                    <w14:schemeClr w14:val="tx1"/>
                  </w14:solidFill>
                </w14:textFill>
              </w:rPr>
              <w:t>行政服务中心负责人建议</w:t>
            </w:r>
          </w:p>
        </w:tc>
        <w:tc>
          <w:tcPr>
            <w:tcW w:w="8133" w:type="dxa"/>
            <w:gridSpan w:val="5"/>
            <w:tcBorders>
              <w:top w:val="single" w:color="auto" w:sz="6" w:space="0"/>
              <w:left w:val="nil"/>
              <w:bottom w:val="single" w:color="auto" w:sz="6" w:space="0"/>
              <w:right w:val="single" w:color="auto" w:sz="12" w:space="0"/>
            </w:tcBorders>
            <w:noWrap w:val="0"/>
            <w:vAlign w:val="center"/>
          </w:tcPr>
          <w:p w14:paraId="6BC6C959">
            <w:pPr>
              <w:keepNext w:val="0"/>
              <w:keepLines w:val="0"/>
              <w:suppressLineNumbers w:val="0"/>
              <w:adjustRightInd w:val="0"/>
              <w:snapToGrid w:val="0"/>
              <w:spacing w:before="0" w:beforeAutospacing="0" w:after="0" w:afterAutospacing="0" w:line="240" w:lineRule="atLeast"/>
              <w:ind w:left="0" w:right="0"/>
              <w:jc w:val="left"/>
              <w:rPr>
                <w:rFonts w:hint="default" w:ascii="Times New Roman" w:hAnsi="Times New Roman" w:cs="Times New Roman"/>
                <w:color w:val="000000" w:themeColor="text1"/>
                <w:kern w:val="0"/>
                <w:sz w:val="24"/>
                <w14:textFill>
                  <w14:solidFill>
                    <w14:schemeClr w14:val="tx1"/>
                  </w14:solidFill>
                </w14:textFill>
              </w:rPr>
            </w:pPr>
          </w:p>
          <w:p w14:paraId="3CD52349">
            <w:pPr>
              <w:keepNext w:val="0"/>
              <w:keepLines w:val="0"/>
              <w:suppressLineNumbers w:val="0"/>
              <w:adjustRightInd w:val="0"/>
              <w:snapToGrid w:val="0"/>
              <w:spacing w:before="0" w:beforeAutospacing="0" w:after="0" w:afterAutospacing="0" w:line="240" w:lineRule="atLeast"/>
              <w:ind w:left="0" w:right="0"/>
              <w:jc w:val="left"/>
              <w:rPr>
                <w:rFonts w:hint="default" w:ascii="Times New Roman" w:hAnsi="Times New Roman" w:cs="Times New Roman"/>
                <w:color w:val="000000" w:themeColor="text1"/>
                <w:kern w:val="0"/>
                <w:sz w:val="24"/>
                <w14:textFill>
                  <w14:solidFill>
                    <w14:schemeClr w14:val="tx1"/>
                  </w14:solidFill>
                </w14:textFill>
              </w:rPr>
            </w:pPr>
          </w:p>
          <w:p w14:paraId="553F2B7A">
            <w:pPr>
              <w:keepNext w:val="0"/>
              <w:keepLines w:val="0"/>
              <w:suppressLineNumbers w:val="0"/>
              <w:adjustRightInd w:val="0"/>
              <w:snapToGrid w:val="0"/>
              <w:spacing w:before="0" w:beforeAutospacing="0" w:after="0" w:afterAutospacing="0" w:line="240" w:lineRule="atLeast"/>
              <w:ind w:left="0" w:right="0"/>
              <w:jc w:val="left"/>
              <w:rPr>
                <w:rFonts w:hint="default" w:ascii="Times New Roman" w:hAnsi="Times New Roman" w:cs="Times New Roman"/>
                <w:color w:val="000000" w:themeColor="text1"/>
                <w:kern w:val="0"/>
                <w:sz w:val="24"/>
                <w14:textFill>
                  <w14:solidFill>
                    <w14:schemeClr w14:val="tx1"/>
                  </w14:solidFill>
                </w14:textFill>
              </w:rPr>
            </w:pPr>
          </w:p>
          <w:p w14:paraId="3D8FC2EF">
            <w:pPr>
              <w:keepNext w:val="0"/>
              <w:keepLines w:val="0"/>
              <w:suppressLineNumbers w:val="0"/>
              <w:adjustRightInd w:val="0"/>
              <w:snapToGrid w:val="0"/>
              <w:spacing w:before="0" w:beforeAutospacing="0" w:after="0" w:afterAutospacing="0" w:line="240" w:lineRule="atLeast"/>
              <w:ind w:left="0" w:right="0"/>
              <w:jc w:val="left"/>
              <w:rPr>
                <w:rFonts w:hint="default" w:ascii="Times New Roman" w:hAnsi="Times New Roman" w:cs="Times New Roman"/>
                <w:color w:val="000000" w:themeColor="text1"/>
                <w:kern w:val="0"/>
                <w:sz w:val="24"/>
                <w14:textFill>
                  <w14:solidFill>
                    <w14:schemeClr w14:val="tx1"/>
                  </w14:solidFill>
                </w14:textFill>
              </w:rPr>
            </w:pPr>
          </w:p>
          <w:p w14:paraId="6DF33EC2">
            <w:pPr>
              <w:keepNext w:val="0"/>
              <w:keepLines w:val="0"/>
              <w:suppressLineNumbers w:val="0"/>
              <w:adjustRightInd w:val="0"/>
              <w:snapToGrid w:val="0"/>
              <w:spacing w:before="0" w:beforeAutospacing="0" w:after="0" w:afterAutospacing="0" w:line="240" w:lineRule="atLeast"/>
              <w:ind w:left="0" w:right="0"/>
              <w:jc w:val="left"/>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spacing w:val="-6"/>
                <w:kern w:val="0"/>
                <w:sz w:val="24"/>
                <w:lang w:bidi="ar"/>
                <w14:textFill>
                  <w14:solidFill>
                    <w14:schemeClr w14:val="tx1"/>
                  </w14:solidFill>
                </w14:textFill>
              </w:rPr>
              <w:t xml:space="preserve">          行政服务中心</w:t>
            </w:r>
            <w:r>
              <w:rPr>
                <w:rFonts w:hint="default" w:ascii="Times New Roman" w:hAnsi="Times New Roman" w:eastAsia="仿宋_GB2312" w:cs="Times New Roman"/>
                <w:color w:val="000000" w:themeColor="text1"/>
                <w:spacing w:val="-6"/>
                <w:kern w:val="0"/>
                <w:sz w:val="24"/>
                <w:lang w:val="en-US" w:eastAsia="zh-CN" w:bidi="ar"/>
                <w14:textFill>
                  <w14:solidFill>
                    <w14:schemeClr w14:val="tx1"/>
                  </w14:solidFill>
                </w14:textFill>
              </w:rPr>
              <w:t>负责人</w:t>
            </w:r>
            <w:r>
              <w:rPr>
                <w:rFonts w:hint="default" w:ascii="Times New Roman" w:hAnsi="Times New Roman" w:eastAsia="仿宋_GB2312" w:cs="Times New Roman"/>
                <w:color w:val="000000" w:themeColor="text1"/>
                <w:spacing w:val="-6"/>
                <w:kern w:val="0"/>
                <w:sz w:val="24"/>
                <w:lang w:bidi="ar"/>
                <w14:textFill>
                  <w14:solidFill>
                    <w14:schemeClr w14:val="tx1"/>
                  </w14:solidFill>
                </w14:textFill>
              </w:rPr>
              <w:t>：                  年   月   日</w:t>
            </w:r>
          </w:p>
        </w:tc>
      </w:tr>
      <w:tr w14:paraId="43891D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04" w:hRule="atLeast"/>
        </w:trPr>
        <w:tc>
          <w:tcPr>
            <w:tcW w:w="700" w:type="dxa"/>
            <w:tcBorders>
              <w:top w:val="single" w:color="auto" w:sz="6" w:space="0"/>
              <w:left w:val="single" w:color="auto" w:sz="12" w:space="0"/>
              <w:bottom w:val="single" w:color="auto" w:sz="6" w:space="0"/>
              <w:right w:val="single" w:color="auto" w:sz="6" w:space="0"/>
            </w:tcBorders>
            <w:noWrap w:val="0"/>
            <w:vAlign w:val="center"/>
          </w:tcPr>
          <w:p w14:paraId="14D00A4D">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spacing w:val="-6"/>
                <w:kern w:val="0"/>
                <w:sz w:val="24"/>
                <w:lang w:bidi="ar"/>
                <w14:textFill>
                  <w14:solidFill>
                    <w14:schemeClr w14:val="tx1"/>
                  </w14:solidFill>
                </w14:textFill>
              </w:rPr>
              <w:t>管理委员会办公室意见</w:t>
            </w:r>
          </w:p>
        </w:tc>
        <w:tc>
          <w:tcPr>
            <w:tcW w:w="8133" w:type="dxa"/>
            <w:gridSpan w:val="5"/>
            <w:tcBorders>
              <w:top w:val="single" w:color="auto" w:sz="6" w:space="0"/>
              <w:left w:val="nil"/>
              <w:bottom w:val="single" w:color="auto" w:sz="6" w:space="0"/>
              <w:right w:val="single" w:color="auto" w:sz="12" w:space="0"/>
            </w:tcBorders>
            <w:noWrap w:val="0"/>
            <w:vAlign w:val="center"/>
          </w:tcPr>
          <w:p w14:paraId="4AC15F93">
            <w:pPr>
              <w:keepNext w:val="0"/>
              <w:keepLines w:val="0"/>
              <w:suppressLineNumbers w:val="0"/>
              <w:adjustRightInd w:val="0"/>
              <w:snapToGrid w:val="0"/>
              <w:spacing w:before="0" w:beforeAutospacing="0" w:after="0" w:afterAutospacing="0" w:line="240" w:lineRule="atLeast"/>
              <w:ind w:left="0" w:right="0"/>
              <w:jc w:val="left"/>
              <w:rPr>
                <w:rFonts w:hint="default" w:ascii="Times New Roman" w:hAnsi="Times New Roman" w:cs="Times New Roman"/>
                <w:color w:val="000000" w:themeColor="text1"/>
                <w:kern w:val="0"/>
                <w:sz w:val="24"/>
                <w14:textFill>
                  <w14:solidFill>
                    <w14:schemeClr w14:val="tx1"/>
                  </w14:solidFill>
                </w14:textFill>
              </w:rPr>
            </w:pPr>
          </w:p>
          <w:p w14:paraId="5B87F736">
            <w:pPr>
              <w:keepNext w:val="0"/>
              <w:keepLines w:val="0"/>
              <w:suppressLineNumbers w:val="0"/>
              <w:adjustRightInd w:val="0"/>
              <w:snapToGrid w:val="0"/>
              <w:spacing w:before="0" w:beforeAutospacing="0" w:after="0" w:afterAutospacing="0" w:line="240" w:lineRule="atLeast"/>
              <w:ind w:left="0" w:right="0"/>
              <w:jc w:val="left"/>
              <w:rPr>
                <w:rFonts w:hint="default" w:ascii="Times New Roman" w:hAnsi="Times New Roman" w:cs="Times New Roman"/>
                <w:color w:val="000000" w:themeColor="text1"/>
                <w:kern w:val="0"/>
                <w:sz w:val="24"/>
                <w14:textFill>
                  <w14:solidFill>
                    <w14:schemeClr w14:val="tx1"/>
                  </w14:solidFill>
                </w14:textFill>
              </w:rPr>
            </w:pPr>
          </w:p>
          <w:p w14:paraId="3B2BFC43">
            <w:pPr>
              <w:keepNext w:val="0"/>
              <w:keepLines w:val="0"/>
              <w:suppressLineNumbers w:val="0"/>
              <w:adjustRightInd w:val="0"/>
              <w:snapToGrid w:val="0"/>
              <w:spacing w:before="0" w:beforeAutospacing="0" w:after="0" w:afterAutospacing="0" w:line="240" w:lineRule="atLeast"/>
              <w:ind w:left="0" w:right="0"/>
              <w:jc w:val="left"/>
              <w:rPr>
                <w:rFonts w:hint="default" w:ascii="Times New Roman" w:hAnsi="Times New Roman" w:cs="Times New Roman"/>
                <w:color w:val="000000" w:themeColor="text1"/>
                <w:kern w:val="0"/>
                <w:sz w:val="24"/>
                <w14:textFill>
                  <w14:solidFill>
                    <w14:schemeClr w14:val="tx1"/>
                  </w14:solidFill>
                </w14:textFill>
              </w:rPr>
            </w:pPr>
          </w:p>
          <w:p w14:paraId="5A5A2FFA">
            <w:pPr>
              <w:keepNext w:val="0"/>
              <w:keepLines w:val="0"/>
              <w:suppressLineNumbers w:val="0"/>
              <w:adjustRightInd w:val="0"/>
              <w:snapToGrid w:val="0"/>
              <w:spacing w:before="0" w:beforeAutospacing="0" w:after="0" w:afterAutospacing="0" w:line="240" w:lineRule="atLeast"/>
              <w:ind w:left="0" w:right="0"/>
              <w:jc w:val="left"/>
              <w:rPr>
                <w:rFonts w:hint="default" w:ascii="Times New Roman" w:hAnsi="Times New Roman" w:cs="Times New Roman"/>
                <w:color w:val="000000" w:themeColor="text1"/>
                <w:kern w:val="0"/>
                <w:sz w:val="24"/>
                <w14:textFill>
                  <w14:solidFill>
                    <w14:schemeClr w14:val="tx1"/>
                  </w14:solidFill>
                </w14:textFill>
              </w:rPr>
            </w:pPr>
          </w:p>
          <w:p w14:paraId="4CD34ECF">
            <w:pPr>
              <w:keepNext w:val="0"/>
              <w:keepLines w:val="0"/>
              <w:suppressLineNumbers w:val="0"/>
              <w:adjustRightInd w:val="0"/>
              <w:snapToGrid w:val="0"/>
              <w:spacing w:before="0" w:beforeAutospacing="0" w:after="0" w:afterAutospacing="0" w:line="240" w:lineRule="atLeast"/>
              <w:ind w:left="0" w:right="0"/>
              <w:jc w:val="left"/>
              <w:rPr>
                <w:rFonts w:hint="default" w:ascii="Times New Roman" w:hAnsi="Times New Roman" w:cs="Times New Roman"/>
                <w:color w:val="000000" w:themeColor="text1"/>
                <w:kern w:val="0"/>
                <w:sz w:val="24"/>
                <w14:textFill>
                  <w14:solidFill>
                    <w14:schemeClr w14:val="tx1"/>
                  </w14:solidFill>
                </w14:textFill>
              </w:rPr>
            </w:pPr>
          </w:p>
          <w:p w14:paraId="3EE55414">
            <w:pPr>
              <w:keepNext w:val="0"/>
              <w:keepLines w:val="0"/>
              <w:suppressLineNumbers w:val="0"/>
              <w:adjustRightInd w:val="0"/>
              <w:snapToGrid w:val="0"/>
              <w:spacing w:before="0" w:beforeAutospacing="0" w:after="0" w:afterAutospacing="0" w:line="240" w:lineRule="atLeast"/>
              <w:ind w:left="0" w:right="0"/>
              <w:jc w:val="left"/>
              <w:rPr>
                <w:rFonts w:hint="default" w:ascii="Times New Roman" w:hAnsi="Times New Roman" w:cs="Times New Roman"/>
                <w:color w:val="000000" w:themeColor="text1"/>
                <w:kern w:val="0"/>
                <w:sz w:val="24"/>
                <w14:textFill>
                  <w14:solidFill>
                    <w14:schemeClr w14:val="tx1"/>
                  </w14:solidFill>
                </w14:textFill>
              </w:rPr>
            </w:pPr>
            <w:r>
              <w:rPr>
                <w:rFonts w:hint="default" w:ascii="Times New Roman" w:hAnsi="Times New Roman" w:eastAsia="仿宋_GB2312" w:cs="Times New Roman"/>
                <w:color w:val="000000" w:themeColor="text1"/>
                <w:spacing w:val="-6"/>
                <w:kern w:val="0"/>
                <w:sz w:val="24"/>
                <w:lang w:bidi="ar"/>
                <w14:textFill>
                  <w14:solidFill>
                    <w14:schemeClr w14:val="tx1"/>
                  </w14:solidFill>
                </w14:textFill>
              </w:rPr>
              <w:t xml:space="preserve">           管委会办公室主任：                   年   月   日</w:t>
            </w:r>
          </w:p>
        </w:tc>
      </w:tr>
      <w:tr w14:paraId="7EAD95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41" w:hRule="atLeast"/>
        </w:trPr>
        <w:tc>
          <w:tcPr>
            <w:tcW w:w="700" w:type="dxa"/>
            <w:tcBorders>
              <w:top w:val="single" w:color="auto" w:sz="6" w:space="0"/>
              <w:left w:val="single" w:color="auto" w:sz="12" w:space="0"/>
              <w:bottom w:val="single" w:color="auto" w:sz="12" w:space="0"/>
              <w:right w:val="single" w:color="auto" w:sz="6" w:space="0"/>
            </w:tcBorders>
            <w:noWrap w:val="0"/>
            <w:vAlign w:val="center"/>
          </w:tcPr>
          <w:p w14:paraId="211EAD75">
            <w:pPr>
              <w:keepNext w:val="0"/>
              <w:keepLines w:val="0"/>
              <w:suppressLineNumbers w:val="0"/>
              <w:adjustRightInd w:val="0"/>
              <w:snapToGrid w:val="0"/>
              <w:spacing w:before="0" w:beforeAutospacing="0" w:after="0" w:afterAutospacing="0" w:line="240" w:lineRule="atLeast"/>
              <w:ind w:left="0" w:right="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spacing w:val="-6"/>
                <w:kern w:val="0"/>
                <w:sz w:val="24"/>
                <w:lang w:bidi="ar"/>
                <w14:textFill>
                  <w14:solidFill>
                    <w14:schemeClr w14:val="tx1"/>
                  </w14:solidFill>
                </w14:textFill>
              </w:rPr>
              <w:t>参加会议人员意见及签名</w:t>
            </w:r>
          </w:p>
        </w:tc>
        <w:tc>
          <w:tcPr>
            <w:tcW w:w="8133" w:type="dxa"/>
            <w:gridSpan w:val="5"/>
            <w:tcBorders>
              <w:top w:val="single" w:color="auto" w:sz="6" w:space="0"/>
              <w:left w:val="nil"/>
              <w:bottom w:val="single" w:color="auto" w:sz="12" w:space="0"/>
              <w:right w:val="single" w:color="auto" w:sz="12" w:space="0"/>
            </w:tcBorders>
            <w:noWrap w:val="0"/>
            <w:vAlign w:val="center"/>
          </w:tcPr>
          <w:p w14:paraId="1D7701CD">
            <w:pPr>
              <w:keepNext w:val="0"/>
              <w:keepLines w:val="0"/>
              <w:suppressLineNumbers w:val="0"/>
              <w:adjustRightInd w:val="0"/>
              <w:snapToGrid w:val="0"/>
              <w:spacing w:before="0" w:beforeAutospacing="0" w:after="0" w:afterAutospacing="0" w:line="240" w:lineRule="atLeast"/>
              <w:ind w:left="0" w:right="0"/>
              <w:rPr>
                <w:rFonts w:hint="default" w:ascii="Times New Roman" w:hAnsi="Times New Roman" w:cs="Times New Roman"/>
                <w:color w:val="000000" w:themeColor="text1"/>
                <w:kern w:val="0"/>
                <w:sz w:val="24"/>
                <w14:textFill>
                  <w14:solidFill>
                    <w14:schemeClr w14:val="tx1"/>
                  </w14:solidFill>
                </w14:textFill>
              </w:rPr>
            </w:pPr>
          </w:p>
        </w:tc>
      </w:tr>
    </w:tbl>
    <w:p w14:paraId="06F16F4F">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仿宋_GB2312" w:cs="Times New Roman"/>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FD3BE3"/>
    <w:rsid w:val="1A7B715B"/>
    <w:rsid w:val="1B967CD5"/>
    <w:rsid w:val="1C0A0FD9"/>
    <w:rsid w:val="1E156932"/>
    <w:rsid w:val="21765B36"/>
    <w:rsid w:val="29400334"/>
    <w:rsid w:val="2FCB5D64"/>
    <w:rsid w:val="34BC65EB"/>
    <w:rsid w:val="36D1005C"/>
    <w:rsid w:val="36E75EA1"/>
    <w:rsid w:val="373A2238"/>
    <w:rsid w:val="3A582CB7"/>
    <w:rsid w:val="3F4869D4"/>
    <w:rsid w:val="43165B15"/>
    <w:rsid w:val="44027FD1"/>
    <w:rsid w:val="47540554"/>
    <w:rsid w:val="538917B3"/>
    <w:rsid w:val="53E57C04"/>
    <w:rsid w:val="540E3B4D"/>
    <w:rsid w:val="569A3391"/>
    <w:rsid w:val="5B730A11"/>
    <w:rsid w:val="62EB7230"/>
    <w:rsid w:val="6C6C4DAB"/>
    <w:rsid w:val="78EA30A0"/>
    <w:rsid w:val="7991524A"/>
    <w:rsid w:val="79F34714"/>
    <w:rsid w:val="7A880F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rFonts w:ascii="Calibri" w:hAnsi="Calibri"/>
      <w:sz w:val="18"/>
      <w:szCs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6769</Words>
  <Characters>6943</Characters>
  <Lines>0</Lines>
  <Paragraphs>0</Paragraphs>
  <TotalTime>2</TotalTime>
  <ScaleCrop>false</ScaleCrop>
  <LinksUpToDate>false</LinksUpToDate>
  <CharactersWithSpaces>7127</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2022-03-25T06:43:00Z</dcterms:created>
  <dc:creator>赖水清</dc:creator>
  <cp:lastModifiedBy>林舒涛</cp:lastModifiedBy>
  <dcterms:modified xsi:type="dcterms:W3CDTF">2026-10-09T03:18:02Z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KSOTemplateDocerSaveRecord">
    <vt:lpwstr>eyJoZGlkIjoiYzg0YTMyOGI0NDVjZTQ0OWUyNmE5YzdhMmQ2MjA3Y2IiLCJ1c2VySWQiOiIyNjI3MTAwNDYifQ==</vt:lpwstr>
  </property>
  <property fmtid="{D5CDD505-2E9C-101B-9397-08002B2CF9AE}" pid="4" name="ICV">
    <vt:lpwstr>44C60D7FF671448582F4BB50F79F2155_12</vt:lpwstr>
  </property>
</Properties>
</file>