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FZXiaoBiaoSong-B05S" w:hAnsi="FZXiaoBiaoSong-B05S" w:eastAsia="FZXiaoBiaoSong-B05S" w:cs="FZXiaoBiaoSong-B05S"/>
          <w:sz w:val="40"/>
          <w:szCs w:val="40"/>
          <w:lang w:val="en-US" w:eastAsia="zh-CN"/>
        </w:rPr>
      </w:pPr>
      <w:r>
        <w:rPr>
          <w:rFonts w:hint="eastAsia" w:ascii="FZXiaoBiaoSong-B05S" w:hAnsi="FZXiaoBiaoSong-B05S" w:eastAsia="FZXiaoBiaoSong-B05S" w:cs="FZXiaoBiaoSong-B05S"/>
          <w:sz w:val="40"/>
          <w:szCs w:val="40"/>
          <w:lang w:val="en-US" w:eastAsia="zh-CN"/>
        </w:rPr>
        <w:t>关于规范引导全市雪茄烟烟草制品零售许可证办理工作的指导意见</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FangSong_GB2312" w:hAnsi="FangSong_GB2312" w:cs="FangSong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FangSong_GB2312" w:hAnsi="FangSong_GB2312" w:cs="FangSong_GB2312"/>
          <w:sz w:val="32"/>
          <w:szCs w:val="32"/>
          <w:lang w:val="en-US" w:eastAsia="zh-CN"/>
        </w:rPr>
      </w:pPr>
      <w:r>
        <w:rPr>
          <w:rFonts w:hint="eastAsia" w:ascii="FangSong_GB2312" w:hAnsi="FangSong_GB2312" w:cs="FangSong_GB2312"/>
          <w:sz w:val="32"/>
          <w:szCs w:val="32"/>
          <w:lang w:val="en-US" w:eastAsia="zh-CN"/>
        </w:rPr>
        <w:t>为进一步完善雪茄烟烟草制品零售许可证管理（许可证范围仅限于雪茄烟本店零售的烟草专卖零售许可证），优化政务服务，根据《中华人民共和国行政许可法》《中华人民共和国烟草专卖法》及其实施条例、《烟草专卖许可证管理办法》及《烟草专卖许可证管理办法实施细则》等法律法规规章，制定本指导意见，适用</w:t>
      </w:r>
      <w:bookmarkStart w:id="0" w:name="_GoBack"/>
      <w:bookmarkEnd w:id="0"/>
      <w:r>
        <w:rPr>
          <w:rFonts w:hint="eastAsia" w:ascii="FangSong_GB2312" w:hAnsi="FangSong_GB2312" w:cs="FangSong_GB2312"/>
          <w:sz w:val="32"/>
          <w:szCs w:val="32"/>
          <w:lang w:val="en-US" w:eastAsia="zh-CN"/>
        </w:rPr>
        <w:t>于雪茄烟烟草制品零售许可证管理服务。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一、总体要求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FangSong_GB2312" w:hAnsi="FangSong_GB2312" w:cs="FangSong_GB2312"/>
          <w:sz w:val="32"/>
          <w:szCs w:val="32"/>
          <w:lang w:val="en-US" w:eastAsia="zh-CN"/>
        </w:rPr>
      </w:pPr>
      <w:r>
        <w:rPr>
          <w:rFonts w:hint="eastAsia" w:ascii="KaiTi_GB2312" w:hAnsi="KaiTi_GB2312" w:eastAsia="KaiTi_GB2312" w:cs="KaiTi_GB2312"/>
          <w:sz w:val="32"/>
          <w:szCs w:val="32"/>
          <w:lang w:val="en-US" w:eastAsia="zh-CN"/>
        </w:rPr>
        <w:t>（一）许可经营范围。</w:t>
      </w:r>
      <w:r>
        <w:rPr>
          <w:rFonts w:hint="eastAsia" w:ascii="FangSong_GB2312" w:hAnsi="FangSong_GB2312" w:cs="FangSong_GB2312"/>
          <w:sz w:val="32"/>
          <w:szCs w:val="32"/>
          <w:lang w:val="en-US" w:eastAsia="zh-CN"/>
        </w:rPr>
        <w:t>在办理雪茄烟烟草制品零售许可证时，申请人选择许可范围为单选，即雪茄烟烟草制品零售许可的经营范围仅为“雪茄烟本店零售”,雪茄烟烟草制品零售许可持证人不得申请变更经营范围。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FangSong_GB2312" w:hAnsi="FangSong_GB2312" w:eastAsia="FangSong_GB2312" w:cs="FangSong_GB2312"/>
          <w:sz w:val="32"/>
          <w:szCs w:val="32"/>
          <w:lang w:val="en-US" w:eastAsia="zh-CN"/>
        </w:rPr>
      </w:pPr>
      <w:r>
        <w:rPr>
          <w:rFonts w:hint="eastAsia" w:ascii="KaiTi_GB2312" w:hAnsi="KaiTi_GB2312" w:eastAsia="KaiTi_GB2312" w:cs="KaiTi_GB2312"/>
          <w:sz w:val="32"/>
          <w:szCs w:val="32"/>
          <w:lang w:val="en-US" w:eastAsia="zh-CN"/>
        </w:rPr>
        <w:t>（二）许可证总量调控模式。</w:t>
      </w:r>
      <w:r>
        <w:rPr>
          <w:rFonts w:hint="eastAsia" w:ascii="FangSong_GB2312" w:hAnsi="FangSong_GB2312" w:cs="FangSong_GB2312"/>
          <w:sz w:val="32"/>
          <w:szCs w:val="32"/>
          <w:lang w:val="en-US" w:eastAsia="zh-CN"/>
        </w:rPr>
        <w:t>雪茄烟零售点的设置实行</w:t>
      </w:r>
      <w:r>
        <w:rPr>
          <w:rFonts w:hint="default" w:ascii="FangSong_GB2312" w:hAnsi="FangSong_GB2312" w:cs="FangSong_GB2312"/>
          <w:sz w:val="32"/>
          <w:szCs w:val="32"/>
          <w:lang w:val="en-US" w:eastAsia="zh-CN"/>
        </w:rPr>
        <w:t>”</w:t>
      </w:r>
      <w:r>
        <w:rPr>
          <w:rFonts w:hint="eastAsia" w:ascii="FangSong_GB2312" w:hAnsi="FangSong_GB2312" w:cs="FangSong_GB2312"/>
          <w:sz w:val="32"/>
          <w:szCs w:val="32"/>
          <w:lang w:val="en-US" w:eastAsia="zh-CN"/>
        </w:rPr>
        <w:t>总量控制模式</w:t>
      </w:r>
      <w:r>
        <w:rPr>
          <w:rFonts w:hint="default" w:ascii="FangSong_GB2312" w:hAnsi="FangSong_GB2312" w:cs="FangSong_GB2312"/>
          <w:sz w:val="32"/>
          <w:szCs w:val="32"/>
          <w:lang w:val="en-US" w:eastAsia="zh-CN"/>
        </w:rPr>
        <w:t>”</w:t>
      </w:r>
      <w:r>
        <w:rPr>
          <w:rFonts w:hint="eastAsia" w:ascii="FangSong_GB2312" w:hAnsi="FangSong_GB2312" w:cs="FangSong_GB2312"/>
          <w:sz w:val="32"/>
          <w:szCs w:val="32"/>
          <w:lang w:val="en-US" w:eastAsia="zh-CN"/>
        </w:rPr>
        <w:t>,即达到上限时，不再新设雪茄烟零售点，按照“退一进一”原则办理。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二、办理条件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FangSong_GB2312" w:hAnsi="FangSong_GB2312" w:cs="FangSong_GB2312"/>
          <w:sz w:val="32"/>
          <w:szCs w:val="32"/>
          <w:lang w:val="en-US" w:eastAsia="zh-CN"/>
        </w:rPr>
      </w:pPr>
      <w:r>
        <w:rPr>
          <w:rFonts w:hint="eastAsia" w:ascii="FangSong_GB2312" w:hAnsi="FangSong_GB2312" w:cs="FangSong_GB2312"/>
          <w:sz w:val="32"/>
          <w:szCs w:val="32"/>
          <w:lang w:val="en-US" w:eastAsia="zh-CN"/>
        </w:rPr>
        <w:t>雪茄烟烟草制品零售许可证的申请人在满足《烟草专卖许可证管理办法》及《烟草专卖许可证管理办法实施细则》等法律法规规章的基础上，还需要满足以下条件：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FangSong_GB2312" w:hAnsi="FangSong_GB2312" w:cs="FangSong_GB2312"/>
          <w:sz w:val="32"/>
          <w:szCs w:val="32"/>
          <w:lang w:val="en-US" w:eastAsia="zh-CN"/>
        </w:rPr>
      </w:pPr>
      <w:r>
        <w:rPr>
          <w:rFonts w:hint="eastAsia" w:ascii="FangSong_GB2312" w:hAnsi="FangSong_GB2312" w:cs="FangSong_GB2312"/>
          <w:b w:val="0"/>
          <w:bCs w:val="0"/>
          <w:sz w:val="32"/>
          <w:szCs w:val="32"/>
          <w:lang w:val="en-US" w:eastAsia="zh-CN"/>
        </w:rPr>
        <w:t>一是</w:t>
      </w:r>
      <w:r>
        <w:rPr>
          <w:rFonts w:hint="eastAsia" w:ascii="FangSong_GB2312" w:hAnsi="FangSong_GB2312" w:cs="FangSong_GB2312"/>
          <w:sz w:val="32"/>
          <w:szCs w:val="32"/>
          <w:lang w:val="en-US" w:eastAsia="zh-CN"/>
        </w:rPr>
        <w:t>主营业务为雪茄烟零售；</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cs="Times New Roman"/>
          <w:color w:val="auto"/>
          <w:sz w:val="32"/>
          <w:szCs w:val="32"/>
          <w:lang w:val="en-US" w:eastAsia="zh-CN"/>
        </w:rPr>
      </w:pPr>
      <w:r>
        <w:rPr>
          <w:rFonts w:hint="eastAsia" w:ascii="FangSong_GB2312" w:hAnsi="FangSong_GB2312" w:cs="FangSong_GB2312"/>
          <w:b w:val="0"/>
          <w:bCs w:val="0"/>
          <w:sz w:val="32"/>
          <w:szCs w:val="32"/>
          <w:lang w:val="en-US" w:eastAsia="zh-CN"/>
        </w:rPr>
        <w:t>二是经营</w:t>
      </w:r>
      <w:r>
        <w:rPr>
          <w:rFonts w:hint="eastAsia" w:ascii="Times New Roman" w:hAnsi="Times New Roman" w:eastAsia="FangSong_GB2312" w:cs="Times New Roman"/>
          <w:color w:val="auto"/>
          <w:sz w:val="32"/>
          <w:szCs w:val="32"/>
          <w:lang w:val="en-US" w:eastAsia="zh-CN"/>
        </w:rPr>
        <w:t>场所面积</w:t>
      </w:r>
      <w:r>
        <w:rPr>
          <w:rFonts w:hint="eastAsia" w:ascii="Times New Roman" w:hAnsi="Times New Roman" w:cs="Times New Roman"/>
          <w:color w:val="auto"/>
          <w:sz w:val="32"/>
          <w:szCs w:val="32"/>
          <w:lang w:val="en-US" w:eastAsia="zh-CN"/>
        </w:rPr>
        <w:t>5</w:t>
      </w:r>
      <w:r>
        <w:rPr>
          <w:rFonts w:hint="eastAsia" w:ascii="Times New Roman" w:hAnsi="Times New Roman" w:eastAsia="FangSong_GB2312" w:cs="Times New Roman"/>
          <w:color w:val="auto"/>
          <w:sz w:val="32"/>
          <w:szCs w:val="32"/>
          <w:lang w:val="en-US" w:eastAsia="zh-CN"/>
        </w:rPr>
        <w:t>0平方米以上，</w:t>
      </w:r>
      <w:r>
        <w:rPr>
          <w:rFonts w:hint="eastAsia" w:ascii="Times New Roman" w:hAnsi="Times New Roman" w:cs="Times New Roman"/>
          <w:color w:val="auto"/>
          <w:sz w:val="32"/>
          <w:szCs w:val="32"/>
          <w:lang w:val="en-US" w:eastAsia="zh-CN"/>
        </w:rPr>
        <w:t>在该经营场所内雪茄烟相关陈列设施、品鉴设施等配套设施摆放面积必须达到该经营场所面积的50%以</w:t>
      </w:r>
      <w:r>
        <w:rPr>
          <w:rFonts w:hint="eastAsia" w:ascii="Times New Roman" w:hAnsi="Times New Roman" w:cs="Times New Roman"/>
          <w:color w:val="auto"/>
          <w:sz w:val="32"/>
          <w:szCs w:val="32"/>
          <w:highlight w:val="none"/>
          <w:lang w:val="en-US" w:eastAsia="zh-CN"/>
        </w:rPr>
        <w:t>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cs="Times New Roman"/>
          <w:color w:val="auto"/>
          <w:sz w:val="32"/>
          <w:szCs w:val="32"/>
          <w:lang w:val="en-US" w:eastAsia="zh-CN"/>
        </w:rPr>
      </w:pPr>
      <w:r>
        <w:rPr>
          <w:rFonts w:hint="eastAsia" w:ascii="FangSong_GB2312" w:hAnsi="FangSong_GB2312" w:cs="FangSong_GB2312"/>
          <w:b w:val="0"/>
          <w:bCs w:val="0"/>
          <w:sz w:val="32"/>
          <w:szCs w:val="32"/>
          <w:lang w:val="en-US" w:eastAsia="zh-CN"/>
        </w:rPr>
        <w:t>三是有专业</w:t>
      </w:r>
      <w:r>
        <w:rPr>
          <w:rFonts w:hint="eastAsia" w:ascii="FangSong_GB2312" w:hAnsi="FangSong_GB2312" w:cs="FangSong_GB2312"/>
          <w:sz w:val="32"/>
          <w:szCs w:val="32"/>
          <w:lang w:val="en-US" w:eastAsia="zh-CN"/>
        </w:rPr>
        <w:t>的雪茄烟经营条件，应具备</w:t>
      </w:r>
      <w:r>
        <w:rPr>
          <w:rFonts w:hint="eastAsia" w:ascii="Times New Roman" w:hAnsi="Times New Roman" w:eastAsia="FangSong_GB2312" w:cs="Times New Roman"/>
          <w:color w:val="auto"/>
          <w:sz w:val="32"/>
          <w:szCs w:val="32"/>
          <w:lang w:val="en-US" w:eastAsia="zh-CN"/>
        </w:rPr>
        <w:t>总容量不少于1</w:t>
      </w:r>
      <w:r>
        <w:rPr>
          <w:rFonts w:hint="eastAsia" w:ascii="Times New Roman" w:hAnsi="Times New Roman" w:cs="Times New Roman"/>
          <w:color w:val="auto"/>
          <w:sz w:val="32"/>
          <w:szCs w:val="32"/>
          <w:lang w:val="en-US" w:eastAsia="zh-CN"/>
        </w:rPr>
        <w:t>5</w:t>
      </w:r>
      <w:r>
        <w:rPr>
          <w:rFonts w:hint="eastAsia" w:ascii="Times New Roman" w:hAnsi="Times New Roman" w:eastAsia="FangSong_GB2312" w:cs="Times New Roman"/>
          <w:color w:val="auto"/>
          <w:sz w:val="32"/>
          <w:szCs w:val="32"/>
          <w:lang w:val="en-US" w:eastAsia="zh-CN"/>
        </w:rPr>
        <w:t>0升</w:t>
      </w:r>
      <w:r>
        <w:rPr>
          <w:rFonts w:hint="eastAsia" w:ascii="Times New Roman" w:hAnsi="Times New Roman" w:cs="Times New Roman"/>
          <w:color w:val="auto"/>
          <w:sz w:val="32"/>
          <w:szCs w:val="32"/>
          <w:lang w:val="en-US" w:eastAsia="zh-CN"/>
        </w:rPr>
        <w:t>的温湿恒定系统的雪茄烟烟柜或具有专业雪茄养护房，经营场所内具备新风系统或强排风系统；</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FangSong_GB2312" w:hAnsi="FangSong_GB2312" w:cs="FangSong_GB2312"/>
          <w:b w:val="0"/>
          <w:bCs w:val="0"/>
          <w:sz w:val="32"/>
          <w:szCs w:val="32"/>
          <w:lang w:val="en-US" w:eastAsia="zh-CN"/>
        </w:rPr>
      </w:pPr>
      <w:r>
        <w:rPr>
          <w:rFonts w:hint="eastAsia" w:ascii="FangSong_GB2312" w:hAnsi="FangSong_GB2312" w:cs="FangSong_GB2312"/>
          <w:b w:val="0"/>
          <w:bCs w:val="0"/>
          <w:sz w:val="32"/>
          <w:szCs w:val="32"/>
          <w:lang w:val="en-US" w:eastAsia="zh-CN"/>
        </w:rPr>
        <w:t>四是业态为主营茶叶、酒水、特色礼品等专卖店及茶室、酒吧、咖啡厅、餐吧及会所等与雪茄烟销售品吸有营销互补关系的休闲娱乐服务场所；</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五是符合上级单位关于雪茄特色终端应具备的其他条件要求。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cs="Times New Roman"/>
          <w:color w:val="auto"/>
          <w:sz w:val="32"/>
          <w:szCs w:val="32"/>
          <w:lang w:val="en-US" w:eastAsia="zh-CN"/>
        </w:rPr>
      </w:pPr>
      <w:r>
        <w:rPr>
          <w:rFonts w:hint="eastAsia" w:ascii="Times New Roman" w:hAnsi="Times New Roman" w:cs="Times New Roman"/>
          <w:color w:val="auto"/>
          <w:sz w:val="32"/>
          <w:szCs w:val="32"/>
          <w:lang w:val="en-US" w:eastAsia="zh-CN"/>
        </w:rPr>
        <w:t>此外，雪茄烟烟草制品零售许可证不作为普通烟草制品零售许可证办理中实地核查距离的参照物，在实行总量控制的区域内，与普通烟草制品零售许可证发证总量分开独立计算。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jc w:val="both"/>
        <w:textAlignment w:val="auto"/>
        <w:rPr>
          <w:rFonts w:hint="eastAsia" w:ascii="Times New Roman" w:hAnsi="Times New Roman" w:cs="Times New Roman"/>
          <w:color w:val="auto"/>
          <w:sz w:val="32"/>
          <w:szCs w:val="32"/>
          <w:lang w:val="en-US" w:eastAsia="zh-CN"/>
        </w:rPr>
      </w:pPr>
      <w:r>
        <w:rPr>
          <w:rFonts w:hint="eastAsia" w:ascii="方正黑体_GBK" w:hAnsi="方正黑体_GBK" w:eastAsia="方正黑体_GBK" w:cs="方正黑体_GBK"/>
          <w:sz w:val="32"/>
          <w:szCs w:val="32"/>
          <w:lang w:val="en-US" w:eastAsia="zh-CN"/>
        </w:rPr>
        <w:t>三、全市雪茄烟烟草制品零售许可证规划数</w:t>
      </w:r>
    </w:p>
    <w:tbl>
      <w:tblPr>
        <w:tblStyle w:val="3"/>
        <w:tblpPr w:leftFromText="180" w:rightFromText="180" w:vertAnchor="text" w:horzAnchor="page" w:tblpX="1407" w:tblpY="290"/>
        <w:tblOverlap w:val="never"/>
        <w:tblW w:w="91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778"/>
        <w:gridCol w:w="725"/>
        <w:gridCol w:w="752"/>
        <w:gridCol w:w="744"/>
        <w:gridCol w:w="750"/>
        <w:gridCol w:w="790"/>
        <w:gridCol w:w="802"/>
        <w:gridCol w:w="747"/>
        <w:gridCol w:w="761"/>
        <w:gridCol w:w="750"/>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78"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eastAsia="zh-CN" w:bidi="ar"/>
              </w:rPr>
              <w:t>全市</w:t>
            </w:r>
          </w:p>
        </w:tc>
        <w:tc>
          <w:tcPr>
            <w:tcW w:w="778"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三元</w:t>
            </w:r>
          </w:p>
        </w:tc>
        <w:tc>
          <w:tcPr>
            <w:tcW w:w="725"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沙县</w:t>
            </w:r>
          </w:p>
        </w:tc>
        <w:tc>
          <w:tcPr>
            <w:tcW w:w="752"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永安</w:t>
            </w:r>
          </w:p>
        </w:tc>
        <w:tc>
          <w:tcPr>
            <w:tcW w:w="744"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尤溪</w:t>
            </w:r>
          </w:p>
        </w:tc>
        <w:tc>
          <w:tcPr>
            <w:tcW w:w="750"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大田</w:t>
            </w:r>
          </w:p>
        </w:tc>
        <w:tc>
          <w:tcPr>
            <w:tcW w:w="790"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宁化</w:t>
            </w:r>
          </w:p>
        </w:tc>
        <w:tc>
          <w:tcPr>
            <w:tcW w:w="802" w:type="dxa"/>
            <w:noWrap w:val="0"/>
            <w:vAlign w:val="center"/>
          </w:tcPr>
          <w:p>
            <w:pPr>
              <w:jc w:val="center"/>
              <w:rPr>
                <w:rFonts w:hint="default"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清流</w:t>
            </w:r>
          </w:p>
        </w:tc>
        <w:tc>
          <w:tcPr>
            <w:tcW w:w="747" w:type="dxa"/>
            <w:noWrap w:val="0"/>
            <w:vAlign w:val="center"/>
          </w:tcPr>
          <w:p>
            <w:pPr>
              <w:jc w:val="center"/>
              <w:rPr>
                <w:rFonts w:hint="eastAsia" w:ascii="宋体" w:hAnsi="宋体" w:eastAsia="宋体" w:cs="宋体"/>
                <w:color w:val="000000"/>
                <w:kern w:val="2"/>
                <w:sz w:val="24"/>
                <w:szCs w:val="24"/>
                <w:lang w:val="en-US" w:eastAsia="zh-CN" w:bidi="ar"/>
              </w:rPr>
            </w:pPr>
            <w:r>
              <w:rPr>
                <w:rFonts w:hint="eastAsia" w:ascii="宋体" w:hAnsi="宋体" w:eastAsia="宋体" w:cs="宋体"/>
                <w:color w:val="000000"/>
                <w:sz w:val="24"/>
                <w:szCs w:val="24"/>
                <w:lang w:val="en-US" w:eastAsia="zh-CN" w:bidi="ar"/>
              </w:rPr>
              <w:t>明溪</w:t>
            </w:r>
          </w:p>
        </w:tc>
        <w:tc>
          <w:tcPr>
            <w:tcW w:w="761"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将乐</w:t>
            </w:r>
          </w:p>
        </w:tc>
        <w:tc>
          <w:tcPr>
            <w:tcW w:w="750" w:type="dxa"/>
            <w:noWrap w:val="0"/>
            <w:vAlign w:val="center"/>
          </w:tcPr>
          <w:p>
            <w:pPr>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泰宁</w:t>
            </w:r>
          </w:p>
        </w:tc>
        <w:tc>
          <w:tcPr>
            <w:tcW w:w="730" w:type="dxa"/>
            <w:noWrap w:val="0"/>
            <w:vAlign w:val="center"/>
          </w:tcPr>
          <w:p>
            <w:pPr>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8" w:type="dxa"/>
            <w:noWrap w:val="0"/>
            <w:vAlign w:val="center"/>
          </w:tcPr>
          <w:p>
            <w:pPr>
              <w:jc w:val="center"/>
              <w:rPr>
                <w:rFonts w:hint="default" w:ascii="宋体" w:hAnsi="宋体" w:eastAsia="宋体" w:cs="宋体"/>
                <w:color w:val="000000"/>
                <w:sz w:val="24"/>
                <w:szCs w:val="24"/>
                <w:lang w:val="en-US" w:eastAsia="zh-CN" w:bidi="ar"/>
              </w:rPr>
            </w:pPr>
          </w:p>
        </w:tc>
        <w:tc>
          <w:tcPr>
            <w:tcW w:w="778"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5</w:t>
            </w:r>
          </w:p>
        </w:tc>
        <w:tc>
          <w:tcPr>
            <w:tcW w:w="725"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w:t>
            </w:r>
          </w:p>
        </w:tc>
        <w:tc>
          <w:tcPr>
            <w:tcW w:w="752"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5</w:t>
            </w:r>
          </w:p>
        </w:tc>
        <w:tc>
          <w:tcPr>
            <w:tcW w:w="744"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w:t>
            </w:r>
          </w:p>
        </w:tc>
        <w:tc>
          <w:tcPr>
            <w:tcW w:w="750"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5</w:t>
            </w:r>
          </w:p>
        </w:tc>
        <w:tc>
          <w:tcPr>
            <w:tcW w:w="790"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3</w:t>
            </w:r>
          </w:p>
        </w:tc>
        <w:tc>
          <w:tcPr>
            <w:tcW w:w="802"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747" w:type="dxa"/>
            <w:noWrap w:val="0"/>
            <w:vAlign w:val="center"/>
          </w:tcPr>
          <w:p>
            <w:pPr>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761" w:type="dxa"/>
            <w:noWrap w:val="0"/>
            <w:vAlign w:val="center"/>
          </w:tcPr>
          <w:p>
            <w:pPr>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750"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c>
          <w:tcPr>
            <w:tcW w:w="730" w:type="dxa"/>
            <w:noWrap w:val="0"/>
            <w:vAlign w:val="center"/>
          </w:tcPr>
          <w:p>
            <w:pPr>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2</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angSong_GB2312">
    <w:altName w:val="Times New Roman"/>
    <w:panose1 w:val="02010609030101010101"/>
    <w:charset w:val="86"/>
    <w:family w:val="modern"/>
    <w:pitch w:val="default"/>
    <w:sig w:usb0="00000000" w:usb1="00000000" w:usb2="00000000" w:usb3="00000000" w:csb0="00040000" w:csb1="00000000"/>
  </w:font>
  <w:font w:name="FZXiaoBiaoSong-B05S">
    <w:panose1 w:val="03000509000000000000"/>
    <w:charset w:val="86"/>
    <w:family w:val="script"/>
    <w:pitch w:val="default"/>
    <w:sig w:usb0="00000001" w:usb1="080E0000" w:usb2="00000000" w:usb3="00000000" w:csb0="00040000" w:csb1="00000000"/>
  </w:font>
  <w:font w:name="方正黑体_GBK">
    <w:altName w:val="Microsoft YaHei"/>
    <w:panose1 w:val="02000000000000000000"/>
    <w:charset w:val="86"/>
    <w:family w:val="auto"/>
    <w:pitch w:val="default"/>
    <w:sig w:usb0="00000000" w:usb1="00000000" w:usb2="00082016" w:usb3="00000000" w:csb0="00040001" w:csb1="00000000"/>
  </w:font>
  <w:font w:name="KaiTi_GB2312">
    <w:altName w:val="KaiTi"/>
    <w:panose1 w:val="02010609030101010101"/>
    <w:charset w:val="86"/>
    <w:family w:val="auto"/>
    <w:pitch w:val="default"/>
    <w:sig w:usb0="00000000" w:usb1="0000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KaiTi">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CC7831"/>
    <w:rsid w:val="761F5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2025-12-25T00:26:00Z</dcterms:created>
  <dc:creator>Administrator</dc:creator>
  <cp:lastModifiedBy>Administrator</cp:lastModifiedBy>
  <dcterms:modified xsi:type="dcterms:W3CDTF">2025-12-23T00:35:07Z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0217BF09CCF0463793BB51511A443807</vt:lpwstr>
  </property>
</Properties>
</file>