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ind w:left="420" w:leftChars="200" w:firstLine="720" w:firstLineChars="200"/>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《福建省明溪县烟草制品零售点合理布局管理规定（修订草案）（征求意见稿）》</w:t>
      </w:r>
    </w:p>
    <w:p>
      <w:pPr>
        <w:keepNext w:val="0"/>
        <w:keepLines w:val="0"/>
        <w:pageBreakBefore w:val="0"/>
        <w:widowControl w:val="0"/>
        <w:kinsoku/>
        <w:wordWrap/>
        <w:overflowPunct/>
        <w:topLinePunct w:val="0"/>
        <w:autoSpaceDE/>
        <w:autoSpaceDN/>
        <w:bidi w:val="0"/>
        <w:adjustRightInd/>
        <w:snapToGrid/>
        <w:ind w:left="420" w:leftChars="200" w:firstLine="720" w:firstLineChars="200"/>
        <w:jc w:val="center"/>
        <w:textAlignment w:val="auto"/>
        <w:rPr>
          <w:rFonts w:hint="eastAsia" w:ascii="方正小标宋简体" w:hAnsi="方正小标宋简体" w:eastAsia="方正小标宋简体" w:cs="方正小标宋简体"/>
          <w:sz w:val="36"/>
          <w:szCs w:val="36"/>
        </w:rPr>
      </w:pPr>
    </w:p>
    <w:p>
      <w:pPr>
        <w:numPr>
          <w:ilvl w:val="0"/>
          <w:numId w:val="1"/>
        </w:numPr>
        <w:jc w:val="center"/>
        <w:rPr>
          <w:rFonts w:hint="eastAsia" w:ascii="黑体" w:hAnsi="黑体" w:eastAsia="黑体" w:cs="仿宋"/>
          <w:sz w:val="32"/>
          <w:szCs w:val="32"/>
        </w:rPr>
      </w:pP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总则</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为进一步合理配置烟草市场</w:t>
      </w:r>
      <w:bookmarkStart w:id="0" w:name="_GoBack"/>
      <w:bookmarkEnd w:id="0"/>
      <w:r>
        <w:rPr>
          <w:rFonts w:hint="eastAsia" w:ascii="仿宋" w:hAnsi="仿宋" w:eastAsia="仿宋" w:cs="仿宋"/>
          <w:color w:val="000000" w:themeColor="text1"/>
          <w:sz w:val="32"/>
          <w:szCs w:val="32"/>
          <w:lang w:eastAsia="zh-CN"/>
          <w14:textFill>
            <w14:solidFill>
              <w14:schemeClr w14:val="tx1"/>
            </w14:solidFill>
          </w14:textFill>
        </w:rPr>
        <w:t>资源,规范烟草制品流通秩序,保障零售户、消费者合法权益,维护国家烟草专卖制度,根据《中华人民共和国行政许可法》《中华人民共和国烟草专卖法》及其实施条例、《烟草专卖许可证管理办法》《烟草专卖许可证管理办法实施细则》《世界卫生组织烟草控制框架公约》等法律、法规、规章及相关规定，结合本县实际制定本规定。</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本规定适用于明溪县行政区域内零售点（以下简称零售点）的设置</w:t>
      </w:r>
      <w:r>
        <w:rPr>
          <w:rFonts w:hint="eastAsia" w:ascii="仿宋" w:hAnsi="仿宋" w:eastAsia="仿宋" w:cs="仿宋"/>
          <w:color w:val="000000" w:themeColor="text1"/>
          <w:sz w:val="32"/>
          <w:szCs w:val="32"/>
          <w:lang w:eastAsia="zh-CN"/>
          <w14:textFill>
            <w14:solidFill>
              <w14:schemeClr w14:val="tx1"/>
            </w14:solidFill>
          </w14:textFill>
        </w:rPr>
        <w:t>与管理，包括从事烟草制品零售业务的申请、审查、决定等。</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明溪</w:t>
      </w:r>
      <w:r>
        <w:rPr>
          <w:rFonts w:hint="eastAsia" w:ascii="仿宋" w:hAnsi="仿宋" w:eastAsia="仿宋" w:cs="仿宋"/>
          <w:color w:val="000000" w:themeColor="text1"/>
          <w:sz w:val="32"/>
          <w:szCs w:val="32"/>
          <w14:textFill>
            <w14:solidFill>
              <w14:schemeClr w14:val="tx1"/>
            </w14:solidFill>
          </w14:textFill>
        </w:rPr>
        <w:t>县烟草专卖行政主管部门</w:t>
      </w:r>
      <w:r>
        <w:rPr>
          <w:rFonts w:hint="eastAsia" w:ascii="仿宋" w:hAnsi="仿宋" w:eastAsia="仿宋" w:cs="仿宋"/>
          <w:color w:val="000000" w:themeColor="text1"/>
          <w:sz w:val="32"/>
          <w:szCs w:val="32"/>
          <w:lang w:eastAsia="zh-CN"/>
          <w14:textFill>
            <w14:solidFill>
              <w14:schemeClr w14:val="tx1"/>
            </w14:solidFill>
          </w14:textFill>
        </w:rPr>
        <w:t>负责实施辖区烟草专卖零售</w:t>
      </w:r>
      <w:r>
        <w:rPr>
          <w:rFonts w:hint="eastAsia" w:ascii="仿宋" w:hAnsi="仿宋" w:eastAsia="仿宋" w:cs="仿宋"/>
          <w:color w:val="000000" w:themeColor="text1"/>
          <w:sz w:val="32"/>
          <w:szCs w:val="32"/>
          <w14:textFill>
            <w14:solidFill>
              <w14:schemeClr w14:val="tx1"/>
            </w14:solidFill>
          </w14:textFill>
        </w:rPr>
        <w:t>点</w:t>
      </w:r>
      <w:r>
        <w:rPr>
          <w:rFonts w:hint="eastAsia" w:ascii="仿宋" w:hAnsi="仿宋" w:eastAsia="仿宋" w:cs="仿宋"/>
          <w:color w:val="000000" w:themeColor="text1"/>
          <w:sz w:val="32"/>
          <w:szCs w:val="32"/>
          <w:lang w:eastAsia="zh-CN"/>
          <w14:textFill>
            <w14:solidFill>
              <w14:schemeClr w14:val="tx1"/>
            </w14:solidFill>
          </w14:textFill>
        </w:rPr>
        <w:t>的设置与管理，并接受监督。</w:t>
      </w:r>
    </w:p>
    <w:p>
      <w:p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第三条  </w:t>
      </w:r>
      <w:r>
        <w:rPr>
          <w:rFonts w:hint="eastAsia" w:ascii="仿宋" w:hAnsi="仿宋" w:eastAsia="仿宋" w:cs="仿宋"/>
          <w:color w:val="000000" w:themeColor="text1"/>
          <w:sz w:val="32"/>
          <w:szCs w:val="32"/>
          <w:lang w:eastAsia="zh-CN"/>
          <w14:textFill>
            <w14:solidFill>
              <w14:schemeClr w14:val="tx1"/>
            </w14:solidFill>
          </w14:textFill>
        </w:rPr>
        <w:t>零售点是指依法取得烟草专卖零售许可证从事烟草制品零售业务的公民、法人及其他组织开展烟草制品零售业务的经营场所。</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第四条  本规定所称的</w:t>
      </w:r>
      <w:r>
        <w:rPr>
          <w:rFonts w:hint="eastAsia" w:ascii="仿宋" w:hAnsi="仿宋" w:eastAsia="仿宋" w:cs="仿宋"/>
          <w:color w:val="000000" w:themeColor="text1"/>
          <w:sz w:val="32"/>
          <w:szCs w:val="32"/>
          <w14:textFill>
            <w14:solidFill>
              <w14:schemeClr w14:val="tx1"/>
            </w14:solidFill>
          </w14:textFill>
        </w:rPr>
        <w:t>合理布局是指</w:t>
      </w:r>
      <w:r>
        <w:rPr>
          <w:rFonts w:hint="eastAsia" w:ascii="仿宋" w:hAnsi="仿宋" w:eastAsia="仿宋" w:cs="仿宋"/>
          <w:color w:val="000000" w:themeColor="text1"/>
          <w:sz w:val="32"/>
          <w:szCs w:val="32"/>
          <w:lang w:eastAsia="zh-CN"/>
          <w14:textFill>
            <w14:solidFill>
              <w14:schemeClr w14:val="tx1"/>
            </w14:solidFill>
          </w14:textFill>
        </w:rPr>
        <w:t>综合考虑辖区内人口数量、交通状</w:t>
      </w:r>
      <w:r>
        <w:rPr>
          <w:rFonts w:hint="eastAsia" w:ascii="仿宋" w:hAnsi="仿宋" w:eastAsia="仿宋" w:cs="仿宋"/>
          <w:sz w:val="32"/>
          <w:szCs w:val="32"/>
          <w:lang w:eastAsia="zh-CN"/>
        </w:rPr>
        <w:t>况、经济发展水平、消费能力等因素，将辖区划分为若干个区域单元，并规划确定各区域单元零售点数量。</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零售点合理布局遵循依法行政、科学规划、服务社会、均衡发展，公开、公平、公正，方便消费，先后有序的原则。 </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已持有烟草专卖零售许可证的持证人办理延续申请，除经营场所的安全要求、中小学及幼儿园周围、经营场所条件发生变化导致其既不符合取得许可时条件也不符合申请延续时的零售点合理布局规划要求的限制规定外，</w:t>
      </w:r>
      <w:r>
        <w:rPr>
          <w:rFonts w:hint="eastAsia" w:ascii="仿宋" w:hAnsi="仿宋" w:eastAsia="仿宋" w:cs="仿宋"/>
          <w:sz w:val="32"/>
          <w:szCs w:val="32"/>
        </w:rPr>
        <w:t xml:space="preserve">不受所在地烟草制品零售点合理布局规划规定调整的影响。 </w:t>
      </w:r>
      <w:r>
        <w:rPr>
          <w:rFonts w:hint="eastAsia" w:ascii="仿宋" w:hAnsi="仿宋" w:eastAsia="仿宋" w:cs="仿宋"/>
          <w:sz w:val="32"/>
          <w:szCs w:val="32"/>
          <w:lang w:val="en-US" w:eastAsia="zh-CN"/>
        </w:rPr>
        <w:t xml:space="preserve"> </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第六条  烟草专卖行政主管部门根据区域单元零售点规划数量，按受理时间的先后顺序，</w:t>
      </w:r>
      <w:r>
        <w:rPr>
          <w:rFonts w:hint="eastAsia" w:ascii="仿宋" w:hAnsi="仿宋" w:eastAsia="仿宋" w:cs="仿宋"/>
          <w:color w:val="auto"/>
          <w:sz w:val="32"/>
          <w:szCs w:val="32"/>
          <w:lang w:eastAsia="zh-CN"/>
        </w:rPr>
        <w:t>遵循一址一证原则</w:t>
      </w:r>
      <w:r>
        <w:rPr>
          <w:rFonts w:hint="eastAsia" w:ascii="仿宋" w:hAnsi="仿宋" w:eastAsia="仿宋" w:cs="仿宋"/>
          <w:sz w:val="32"/>
          <w:szCs w:val="32"/>
          <w:lang w:val="en-US" w:eastAsia="zh-CN"/>
        </w:rPr>
        <w:t>审核发放烟草专卖零售许可证。</w:t>
      </w:r>
    </w:p>
    <w:p>
      <w:pPr>
        <w:ind w:firstLine="640" w:firstLineChars="200"/>
        <w:jc w:val="both"/>
        <w:rPr>
          <w:rFonts w:hint="eastAsia" w:ascii="仿宋" w:hAnsi="仿宋" w:eastAsia="仿宋" w:cs="仿宋"/>
          <w:sz w:val="32"/>
          <w:szCs w:val="32"/>
          <w:lang w:val="en-US"/>
        </w:rPr>
      </w:pPr>
      <w:r>
        <w:rPr>
          <w:rFonts w:hint="eastAsia" w:ascii="仿宋" w:hAnsi="仿宋" w:eastAsia="仿宋" w:cs="仿宋"/>
          <w:color w:val="auto"/>
          <w:sz w:val="32"/>
          <w:szCs w:val="32"/>
          <w:lang w:val="en-US" w:eastAsia="zh-CN"/>
        </w:rPr>
        <w:t>第七条  合</w:t>
      </w:r>
      <w:r>
        <w:rPr>
          <w:rFonts w:hint="eastAsia" w:ascii="仿宋" w:hAnsi="仿宋" w:eastAsia="仿宋" w:cs="仿宋"/>
          <w:color w:val="000000" w:themeColor="text1"/>
          <w:sz w:val="32"/>
          <w:szCs w:val="32"/>
          <w:lang w:val="en-US" w:eastAsia="zh-CN"/>
          <w14:textFill>
            <w14:solidFill>
              <w14:schemeClr w14:val="tx1"/>
            </w14:solidFill>
          </w14:textFill>
        </w:rPr>
        <w:t>法持有</w:t>
      </w:r>
      <w:r>
        <w:rPr>
          <w:rFonts w:hint="eastAsia" w:ascii="仿宋" w:hAnsi="仿宋" w:eastAsia="仿宋" w:cs="仿宋"/>
          <w:color w:val="auto"/>
          <w:sz w:val="32"/>
          <w:szCs w:val="32"/>
        </w:rPr>
        <w:t>烟草专卖</w:t>
      </w:r>
      <w:r>
        <w:rPr>
          <w:rFonts w:hint="eastAsia" w:ascii="仿宋" w:hAnsi="仿宋" w:eastAsia="仿宋" w:cs="仿宋"/>
          <w:color w:val="000000" w:themeColor="text1"/>
          <w:sz w:val="32"/>
          <w:szCs w:val="32"/>
          <w:lang w:val="en-US" w:eastAsia="zh-CN"/>
          <w14:textFill>
            <w14:solidFill>
              <w14:schemeClr w14:val="tx1"/>
            </w14:solidFill>
          </w14:textFill>
        </w:rPr>
        <w:t>零售许可证的零售点因道路规划、城市建设等客观原因造成经营地址变</w:t>
      </w:r>
      <w:r>
        <w:rPr>
          <w:rFonts w:hint="eastAsia" w:ascii="仿宋" w:hAnsi="仿宋" w:eastAsia="仿宋" w:cs="仿宋"/>
          <w:color w:val="auto"/>
          <w:sz w:val="32"/>
          <w:szCs w:val="32"/>
          <w:lang w:val="en-US" w:eastAsia="zh-CN"/>
        </w:rPr>
        <w:t>化的，持证人应及时提出变更申请，经明</w:t>
      </w:r>
      <w:r>
        <w:rPr>
          <w:rFonts w:hint="eastAsia" w:ascii="仿宋" w:hAnsi="仿宋" w:eastAsia="仿宋" w:cs="仿宋"/>
          <w:color w:val="auto"/>
          <w:sz w:val="32"/>
          <w:szCs w:val="32"/>
          <w:lang w:eastAsia="zh-CN"/>
        </w:rPr>
        <w:t>溪</w:t>
      </w:r>
      <w:r>
        <w:rPr>
          <w:rFonts w:hint="eastAsia" w:ascii="仿宋" w:hAnsi="仿宋" w:eastAsia="仿宋" w:cs="仿宋"/>
          <w:color w:val="auto"/>
          <w:sz w:val="32"/>
          <w:szCs w:val="32"/>
        </w:rPr>
        <w:t>县烟草专卖行政主管部门</w:t>
      </w:r>
      <w:r>
        <w:rPr>
          <w:rFonts w:hint="eastAsia" w:ascii="仿宋" w:hAnsi="仿宋" w:eastAsia="仿宋" w:cs="仿宋"/>
          <w:color w:val="auto"/>
          <w:sz w:val="32"/>
          <w:szCs w:val="32"/>
          <w:lang w:eastAsia="zh-CN"/>
        </w:rPr>
        <w:t>执法人员</w:t>
      </w:r>
      <w:r>
        <w:rPr>
          <w:rFonts w:hint="eastAsia" w:ascii="仿宋" w:hAnsi="仿宋" w:eastAsia="仿宋" w:cs="仿宋"/>
          <w:color w:val="auto"/>
          <w:sz w:val="32"/>
          <w:szCs w:val="32"/>
          <w:lang w:val="en-US" w:eastAsia="zh-CN"/>
        </w:rPr>
        <w:t>现场勘查属实的，持证人可申请变更经营地址。</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第</w:t>
      </w:r>
      <w:r>
        <w:rPr>
          <w:rFonts w:hint="eastAsia" w:ascii="仿宋" w:hAnsi="仿宋" w:eastAsia="仿宋" w:cs="仿宋"/>
          <w:sz w:val="32"/>
          <w:szCs w:val="32"/>
          <w:lang w:eastAsia="zh-CN"/>
        </w:rPr>
        <w:t>八</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零售点合理布局实行适时评估、动态管理。根据宏观环境、政策法规、市</w:t>
      </w:r>
      <w:r>
        <w:rPr>
          <w:rFonts w:hint="eastAsia" w:ascii="仿宋" w:hAnsi="仿宋" w:eastAsia="仿宋" w:cs="仿宋"/>
          <w:color w:val="auto"/>
          <w:sz w:val="32"/>
          <w:szCs w:val="32"/>
          <w:lang w:val="en-US" w:eastAsia="zh-CN"/>
        </w:rPr>
        <w:t>场状态、</w:t>
      </w:r>
      <w:r>
        <w:rPr>
          <w:rFonts w:hint="eastAsia" w:ascii="仿宋" w:hAnsi="仿宋" w:eastAsia="仿宋" w:cs="仿宋"/>
          <w:color w:val="000000" w:themeColor="text1"/>
          <w:sz w:val="32"/>
          <w:szCs w:val="32"/>
          <w:lang w:val="en-US" w:eastAsia="zh-CN"/>
          <w14:textFill>
            <w14:solidFill>
              <w14:schemeClr w14:val="tx1"/>
            </w14:solidFill>
          </w14:textFill>
        </w:rPr>
        <w:t>市场秩序的变化，明溪县烟草专卖行政主管部门可对区域单元零售点规划数量进行调整，并公示实施。</w:t>
      </w:r>
    </w:p>
    <w:p>
      <w:p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p>
    <w:p>
      <w:pPr>
        <w:numPr>
          <w:ilvl w:val="0"/>
          <w:numId w:val="0"/>
        </w:numPr>
        <w:ind w:leftChars="0"/>
        <w:jc w:val="center"/>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第二章  合理布局基本条件</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第九条  零售点设置应同时满足以下基本条件。</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(一)申请人</w:t>
      </w:r>
      <w:r>
        <w:rPr>
          <w:rFonts w:hint="eastAsia" w:ascii="仿宋" w:hAnsi="仿宋" w:eastAsia="仿宋" w:cs="仿宋"/>
          <w:color w:val="000000" w:themeColor="text1"/>
          <w:sz w:val="32"/>
          <w:szCs w:val="32"/>
          <w14:textFill>
            <w14:solidFill>
              <w14:schemeClr w14:val="tx1"/>
            </w14:solidFill>
          </w14:textFill>
        </w:rPr>
        <w:t>应当持有有效的居民身份证，且年满</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周岁具有完全民事行为能力。</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(二)具备固定的经营场所，且该固定经营场所与住所相独立；</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(三)具备对外经营条件，且有存放烟草制品的货柜和用于陈列销售的展柜展架；</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(四)法律、法规、规章及国家烟草专卖局规定的其他条件。</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第十条  </w:t>
      </w:r>
      <w:r>
        <w:rPr>
          <w:rFonts w:hint="eastAsia" w:ascii="仿宋" w:hAnsi="仿宋" w:eastAsia="仿宋" w:cs="仿宋"/>
          <w:color w:val="000000" w:themeColor="text1"/>
          <w:sz w:val="32"/>
          <w:szCs w:val="32"/>
          <w14:textFill>
            <w14:solidFill>
              <w14:schemeClr w14:val="tx1"/>
            </w14:solidFill>
          </w14:textFill>
        </w:rPr>
        <w:t>以下情形不予设置烟草制品零售点。</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（一）经营农药、化肥、油漆等有毒有害以及经营烟花爆竹类易燃易爆物品等</w:t>
      </w:r>
      <w:r>
        <w:rPr>
          <w:rFonts w:hint="eastAsia" w:ascii="仿宋" w:hAnsi="仿宋" w:eastAsia="仿宋" w:cs="仿宋"/>
          <w:color w:val="000000" w:themeColor="text1"/>
          <w:sz w:val="32"/>
          <w:szCs w:val="32"/>
          <w:lang w:eastAsia="zh-CN"/>
          <w14:textFill>
            <w14:solidFill>
              <w14:schemeClr w14:val="tx1"/>
            </w14:solidFill>
          </w14:textFill>
        </w:rPr>
        <w:t>基于安全因素不适宜经营烟草制品的场所</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ind w:firstLine="640" w:firstLineChars="200"/>
        <w:jc w:val="both"/>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（二）中、小学校周围50米以内，幼儿园周围20米以内（有挂牌</w:t>
      </w:r>
      <w:r>
        <w:rPr>
          <w:rFonts w:hint="eastAsia" w:ascii="仿宋" w:hAnsi="仿宋" w:eastAsia="仿宋" w:cs="仿宋"/>
          <w:sz w:val="32"/>
          <w:szCs w:val="32"/>
          <w:lang w:val="en-US" w:eastAsia="zh-CN"/>
        </w:rPr>
        <w:t>的以挂牌位置的中心为间距的起算点，未挂牌的以进校进园位置的中心为间距的起算点），小学与幼儿园合署办学的，以50米距离为限；</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（三）不固定的经营场所，如自动售货机、流动性和季节性摊、点、车棚等，或以居民楼公用巷道、楼梯间、地下室等作为经营场所的；</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（四）违章建筑、待拆迁建筑、临时性建筑或简易搭盖场所，危房、城市规划拆迁地段；</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（五）经营场所在青少年宫、游戏厅等未成年人聚集场所或者党政机关、公共医疗机构内部的；</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（六）法律、法规、规章及国务院烟草专卖行政主管部门规定的</w:t>
      </w:r>
      <w:r>
        <w:rPr>
          <w:rFonts w:hint="eastAsia" w:ascii="仿宋" w:hAnsi="仿宋" w:eastAsia="仿宋" w:cs="仿宋"/>
          <w:color w:val="000000" w:themeColor="text1"/>
          <w:sz w:val="32"/>
          <w:szCs w:val="32"/>
          <w14:textFill>
            <w14:solidFill>
              <w14:schemeClr w14:val="tx1"/>
            </w14:solidFill>
          </w14:textFill>
        </w:rPr>
        <w:t>不予设置烟草制品零售点</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lang w:val="en-US" w:eastAsia="zh-CN"/>
          <w14:textFill>
            <w14:solidFill>
              <w14:schemeClr w14:val="tx1"/>
            </w14:solidFill>
          </w14:textFill>
        </w:rPr>
        <w:t xml:space="preserve">其他情形。 </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第十一条  </w:t>
      </w:r>
      <w:r>
        <w:rPr>
          <w:rFonts w:hint="eastAsia" w:ascii="仿宋" w:hAnsi="仿宋" w:eastAsia="仿宋" w:cs="仿宋"/>
          <w:color w:val="000000" w:themeColor="text1"/>
          <w:sz w:val="32"/>
          <w:szCs w:val="32"/>
          <w14:textFill>
            <w14:solidFill>
              <w14:schemeClr w14:val="tx1"/>
            </w14:solidFill>
          </w14:textFill>
        </w:rPr>
        <w:t>以下情形不予核发烟草专卖零售许可证。</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（一）不符合</w:t>
      </w:r>
      <w:r>
        <w:rPr>
          <w:rFonts w:hint="eastAsia" w:ascii="仿宋" w:hAnsi="仿宋" w:eastAsia="仿宋" w:cs="仿宋"/>
          <w:color w:val="000000" w:themeColor="text1"/>
          <w:sz w:val="32"/>
          <w:szCs w:val="32"/>
          <w:lang w:eastAsia="zh-CN"/>
          <w14:textFill>
            <w14:solidFill>
              <w14:schemeClr w14:val="tx1"/>
            </w14:solidFill>
          </w14:textFill>
        </w:rPr>
        <w:t>明溪县烟草制品</w:t>
      </w:r>
      <w:r>
        <w:rPr>
          <w:rFonts w:hint="eastAsia" w:ascii="仿宋" w:hAnsi="仿宋" w:eastAsia="仿宋" w:cs="仿宋"/>
          <w:color w:val="000000" w:themeColor="text1"/>
          <w:sz w:val="32"/>
          <w:szCs w:val="32"/>
          <w14:textFill>
            <w14:solidFill>
              <w14:schemeClr w14:val="tx1"/>
            </w14:solidFill>
          </w14:textFill>
        </w:rPr>
        <w:t>零售点合理布局要求的；</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（二）申请人被列为失信被执行人的；</w:t>
      </w:r>
    </w:p>
    <w:p>
      <w:pPr>
        <w:ind w:firstLine="640" w:firstLineChars="200"/>
        <w:jc w:val="both"/>
        <w:rPr>
          <w:rFonts w:hint="default"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default" w:ascii="仿宋" w:hAnsi="仿宋" w:eastAsia="仿宋" w:cs="仿宋"/>
          <w:color w:val="000000" w:themeColor="text1"/>
          <w:sz w:val="32"/>
          <w:szCs w:val="32"/>
          <w14:textFill>
            <w14:solidFill>
              <w14:schemeClr w14:val="tx1"/>
            </w14:solidFill>
          </w14:textFill>
        </w:rPr>
        <w:t>取消从事烟草专卖业务资格不满三年的；</w:t>
      </w:r>
    </w:p>
    <w:p>
      <w:pPr>
        <w:ind w:firstLine="640" w:firstLineChars="200"/>
        <w:jc w:val="both"/>
        <w:rPr>
          <w:rFonts w:hint="default" w:ascii="仿宋" w:hAnsi="仿宋" w:eastAsia="仿宋" w:cs="仿宋"/>
          <w:color w:val="000000" w:themeColor="text1"/>
          <w:sz w:val="32"/>
          <w:szCs w:val="32"/>
          <w14:textFill>
            <w14:solidFill>
              <w14:schemeClr w14:val="tx1"/>
            </w14:solidFill>
          </w14:textFill>
        </w:rPr>
      </w:pPr>
      <w:r>
        <w:rPr>
          <w:rFonts w:hint="default"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default" w:ascii="仿宋" w:hAnsi="仿宋" w:eastAsia="仿宋" w:cs="仿宋"/>
          <w:color w:val="000000" w:themeColor="text1"/>
          <w:sz w:val="32"/>
          <w:szCs w:val="32"/>
          <w14:textFill>
            <w14:solidFill>
              <w14:schemeClr w14:val="tx1"/>
            </w14:solidFill>
          </w14:textFill>
        </w:rPr>
        <w:t>）因申请人隐瞒有关情况或者提供虚假材料，烟草专卖行政主管部门作出不予受理或者不予发证决定后，申请人一年内再次提出申请的；</w:t>
      </w:r>
    </w:p>
    <w:p>
      <w:pPr>
        <w:ind w:firstLine="640" w:firstLineChars="200"/>
        <w:jc w:val="both"/>
        <w:rPr>
          <w:rFonts w:hint="default" w:ascii="仿宋" w:hAnsi="仿宋" w:eastAsia="仿宋" w:cs="仿宋"/>
          <w:color w:val="000000" w:themeColor="text1"/>
          <w:sz w:val="32"/>
          <w:szCs w:val="32"/>
          <w14:textFill>
            <w14:solidFill>
              <w14:schemeClr w14:val="tx1"/>
            </w14:solidFill>
          </w14:textFill>
        </w:rPr>
      </w:pPr>
      <w:r>
        <w:rPr>
          <w:rFonts w:hint="default"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五</w:t>
      </w:r>
      <w:r>
        <w:rPr>
          <w:rFonts w:hint="default" w:ascii="仿宋" w:hAnsi="仿宋" w:eastAsia="仿宋" w:cs="仿宋"/>
          <w:color w:val="000000" w:themeColor="text1"/>
          <w:sz w:val="32"/>
          <w:szCs w:val="32"/>
          <w14:textFill>
            <w14:solidFill>
              <w14:schemeClr w14:val="tx1"/>
            </w14:solidFill>
          </w14:textFill>
        </w:rPr>
        <w:t>）因申请人以欺骗、贿赂等不正当手段取得的烟草专卖许可证被撤销后，申请人三年内再次提出申请的；</w:t>
      </w:r>
    </w:p>
    <w:p>
      <w:pPr>
        <w:ind w:firstLine="640" w:firstLineChars="200"/>
        <w:jc w:val="both"/>
        <w:rPr>
          <w:rFonts w:hint="default" w:ascii="仿宋" w:hAnsi="仿宋" w:eastAsia="仿宋" w:cs="仿宋"/>
          <w:color w:val="000000" w:themeColor="text1"/>
          <w:sz w:val="32"/>
          <w:szCs w:val="32"/>
          <w14:textFill>
            <w14:solidFill>
              <w14:schemeClr w14:val="tx1"/>
            </w14:solidFill>
          </w14:textFill>
        </w:rPr>
      </w:pPr>
      <w:r>
        <w:rPr>
          <w:rFonts w:hint="default"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六</w:t>
      </w:r>
      <w:r>
        <w:rPr>
          <w:rFonts w:hint="default" w:ascii="仿宋" w:hAnsi="仿宋" w:eastAsia="仿宋" w:cs="仿宋"/>
          <w:color w:val="000000" w:themeColor="text1"/>
          <w:sz w:val="32"/>
          <w:szCs w:val="32"/>
          <w14:textFill>
            <w14:solidFill>
              <w14:schemeClr w14:val="tx1"/>
            </w14:solidFill>
          </w14:textFill>
        </w:rPr>
        <w:t>）未领取烟草专卖零售许可证经营烟草专卖品业务，并且一年内被执法机关处罚两次以上，在三年内申请领取烟草专卖零售许可证的；</w:t>
      </w:r>
    </w:p>
    <w:p>
      <w:pPr>
        <w:ind w:firstLine="640" w:firstLineChars="200"/>
        <w:jc w:val="both"/>
        <w:rPr>
          <w:rFonts w:hint="default" w:ascii="仿宋" w:hAnsi="仿宋" w:eastAsia="仿宋" w:cs="仿宋"/>
          <w:color w:val="000000" w:themeColor="text1"/>
          <w:sz w:val="32"/>
          <w:szCs w:val="32"/>
          <w14:textFill>
            <w14:solidFill>
              <w14:schemeClr w14:val="tx1"/>
            </w14:solidFill>
          </w14:textFill>
        </w:rPr>
      </w:pPr>
      <w:r>
        <w:rPr>
          <w:rFonts w:hint="default"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七</w:t>
      </w:r>
      <w:r>
        <w:rPr>
          <w:rFonts w:hint="default" w:ascii="仿宋" w:hAnsi="仿宋" w:eastAsia="仿宋" w:cs="仿宋"/>
          <w:color w:val="000000" w:themeColor="text1"/>
          <w:sz w:val="32"/>
          <w:szCs w:val="32"/>
          <w14:textFill>
            <w14:solidFill>
              <w14:schemeClr w14:val="tx1"/>
            </w14:solidFill>
          </w14:textFill>
        </w:rPr>
        <w:t>）外商投资的商业企业或个体工商户，或者其以特许、吸纳加盟及其他再投资等形式变相从事烟草专卖品经营业务的（国家烟草专卖行政主管部门规定可以办理的情形除外）；</w:t>
      </w:r>
    </w:p>
    <w:p>
      <w:pPr>
        <w:ind w:firstLine="640" w:firstLineChars="200"/>
        <w:jc w:val="both"/>
        <w:rPr>
          <w:rFonts w:hint="default" w:ascii="仿宋" w:hAnsi="仿宋" w:eastAsia="仿宋" w:cs="仿宋"/>
          <w:color w:val="000000" w:themeColor="text1"/>
          <w:sz w:val="32"/>
          <w:szCs w:val="32"/>
          <w14:textFill>
            <w14:solidFill>
              <w14:schemeClr w14:val="tx1"/>
            </w14:solidFill>
          </w14:textFill>
        </w:rPr>
      </w:pPr>
      <w:r>
        <w:rPr>
          <w:rFonts w:hint="default"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八</w:t>
      </w:r>
      <w:r>
        <w:rPr>
          <w:rFonts w:hint="default" w:ascii="仿宋" w:hAnsi="仿宋" w:eastAsia="仿宋" w:cs="仿宋"/>
          <w:color w:val="000000" w:themeColor="text1"/>
          <w:sz w:val="32"/>
          <w:szCs w:val="32"/>
          <w14:textFill>
            <w14:solidFill>
              <w14:schemeClr w14:val="tx1"/>
            </w14:solidFill>
          </w14:textFill>
        </w:rPr>
        <w:t>）利用信息网络渠道或变相利用自动售货机（柜）、游戏机、博彩机等以无人售卖方式经营烟草制品的；</w:t>
      </w:r>
    </w:p>
    <w:p>
      <w:pPr>
        <w:ind w:firstLine="640" w:firstLineChars="200"/>
        <w:jc w:val="both"/>
        <w:rPr>
          <w:rFonts w:hint="default" w:ascii="仿宋" w:hAnsi="仿宋" w:eastAsia="仿宋" w:cs="仿宋"/>
          <w:color w:val="000000" w:themeColor="text1"/>
          <w:sz w:val="32"/>
          <w:szCs w:val="32"/>
          <w14:textFill>
            <w14:solidFill>
              <w14:schemeClr w14:val="tx1"/>
            </w14:solidFill>
          </w14:textFill>
        </w:rPr>
      </w:pPr>
      <w:r>
        <w:rPr>
          <w:rFonts w:hint="default"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九</w:t>
      </w:r>
      <w:r>
        <w:rPr>
          <w:rFonts w:hint="default" w:ascii="仿宋" w:hAnsi="仿宋" w:eastAsia="仿宋" w:cs="仿宋"/>
          <w:color w:val="000000" w:themeColor="text1"/>
          <w:sz w:val="32"/>
          <w:szCs w:val="32"/>
          <w14:textFill>
            <w14:solidFill>
              <w14:schemeClr w14:val="tx1"/>
            </w14:solidFill>
          </w14:textFill>
        </w:rPr>
        <w:t>）法律、法规、规章及国务院烟草专卖行政主管部门规定的不予发证的情形。</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p>
    <w:p>
      <w:pPr>
        <w:numPr>
          <w:ilvl w:val="0"/>
          <w:numId w:val="0"/>
        </w:numPr>
        <w:ind w:leftChars="0"/>
        <w:jc w:val="center"/>
        <w:rPr>
          <w:rFonts w:hint="eastAsia" w:ascii="黑体" w:hAnsi="黑体" w:eastAsia="黑体"/>
          <w:color w:val="000000" w:themeColor="text1"/>
          <w:kern w:val="0"/>
          <w:sz w:val="32"/>
          <w:szCs w:val="32"/>
          <w14:textFill>
            <w14:solidFill>
              <w14:schemeClr w14:val="tx1"/>
            </w14:solidFill>
          </w14:textFill>
        </w:rPr>
      </w:pPr>
      <w:r>
        <w:rPr>
          <w:rFonts w:hint="eastAsia" w:ascii="黑体" w:hAnsi="黑体" w:eastAsia="黑体" w:cs="仿宋"/>
          <w:color w:val="000000" w:themeColor="text1"/>
          <w:sz w:val="32"/>
          <w:szCs w:val="32"/>
          <w:lang w:eastAsia="zh-CN"/>
          <w14:textFill>
            <w14:solidFill>
              <w14:schemeClr w14:val="tx1"/>
            </w14:solidFill>
          </w14:textFill>
        </w:rPr>
        <w:t>第三章</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黑体" w:hAnsi="黑体" w:eastAsia="黑体" w:cs="仿宋"/>
          <w:color w:val="000000" w:themeColor="text1"/>
          <w:sz w:val="32"/>
          <w:szCs w:val="32"/>
          <w:lang w:eastAsia="zh-CN"/>
          <w14:textFill>
            <w14:solidFill>
              <w14:schemeClr w14:val="tx1"/>
            </w14:solidFill>
          </w14:textFill>
        </w:rPr>
        <w:t>合理</w:t>
      </w:r>
      <w:r>
        <w:rPr>
          <w:rFonts w:hint="eastAsia" w:ascii="黑体" w:hAnsi="黑体" w:eastAsia="黑体"/>
          <w:color w:val="000000" w:themeColor="text1"/>
          <w:kern w:val="0"/>
          <w:sz w:val="32"/>
          <w:szCs w:val="32"/>
          <w14:textFill>
            <w14:solidFill>
              <w14:schemeClr w14:val="tx1"/>
            </w14:solidFill>
          </w14:textFill>
        </w:rPr>
        <w:t>布局</w:t>
      </w:r>
      <w:r>
        <w:rPr>
          <w:rFonts w:hint="eastAsia" w:ascii="黑体" w:hAnsi="黑体" w:eastAsia="黑体"/>
          <w:color w:val="000000" w:themeColor="text1"/>
          <w:kern w:val="0"/>
          <w:sz w:val="32"/>
          <w:szCs w:val="32"/>
          <w:lang w:eastAsia="zh-CN"/>
          <w14:textFill>
            <w14:solidFill>
              <w14:schemeClr w14:val="tx1"/>
            </w14:solidFill>
          </w14:textFill>
        </w:rPr>
        <w:t>规划</w:t>
      </w:r>
      <w:r>
        <w:rPr>
          <w:rFonts w:hint="eastAsia" w:ascii="黑体" w:hAnsi="黑体" w:eastAsia="黑体"/>
          <w:color w:val="000000" w:themeColor="text1"/>
          <w:kern w:val="0"/>
          <w:sz w:val="32"/>
          <w:szCs w:val="32"/>
          <w14:textFill>
            <w14:solidFill>
              <w14:schemeClr w14:val="tx1"/>
            </w14:solidFill>
          </w14:textFill>
        </w:rPr>
        <w:t>标准</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第十二条  </w:t>
      </w:r>
      <w:r>
        <w:rPr>
          <w:rFonts w:hint="eastAsia" w:ascii="仿宋" w:hAnsi="仿宋" w:eastAsia="仿宋" w:cs="仿宋"/>
          <w:color w:val="000000" w:themeColor="text1"/>
          <w:sz w:val="32"/>
          <w:szCs w:val="32"/>
          <w:lang w:val="en-US" w:eastAsia="zh-CN"/>
          <w14:textFill>
            <w14:solidFill>
              <w14:schemeClr w14:val="tx1"/>
            </w14:solidFill>
          </w14:textFill>
        </w:rPr>
        <w:t>依据明溪县城乡居民</w:t>
      </w:r>
      <w:r>
        <w:rPr>
          <w:rFonts w:hint="eastAsia" w:ascii="仿宋" w:hAnsi="仿宋" w:eastAsia="仿宋" w:cs="仿宋"/>
          <w:sz w:val="32"/>
          <w:szCs w:val="32"/>
          <w:lang w:val="en-US" w:eastAsia="zh-CN"/>
        </w:rPr>
        <w:t>居住区域的特点，结合城乡建设规划、市场类型等因素，将烟草制品零售市场划分为城区、城郊、乡(镇)三种区域类型。</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区域单元规划标准。区域类型的零售点规划方式，以城市交通道路、特定参照物、居民</w:t>
      </w:r>
      <w:r>
        <w:rPr>
          <w:rFonts w:hint="eastAsia" w:ascii="仿宋_GB2312" w:hAnsi="仿宋_GB2312" w:eastAsia="仿宋_GB2312" w:cs="仿宋_GB2312"/>
          <w:color w:val="auto"/>
          <w:sz w:val="32"/>
          <w:szCs w:val="32"/>
        </w:rPr>
        <w:t>小区等自然分割形成的平面区域为基础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划分出若干</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单元。划分出的区域单元分别规划零售点布局数量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区域单元零售</w:t>
      </w:r>
      <w:r>
        <w:rPr>
          <w:rFonts w:hint="eastAsia" w:ascii="仿宋" w:hAnsi="仿宋" w:eastAsia="仿宋" w:cs="仿宋"/>
          <w:sz w:val="32"/>
          <w:szCs w:val="32"/>
          <w:lang w:val="en-US" w:eastAsia="zh-CN"/>
        </w:rPr>
        <w:t>点布局规划测算方法：</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1.区域卷烟销量测算法:</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区域零售点数量=区域卷烟销售占比</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全县零售点基准数。</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2.区域常住人口测算法：</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区域零售点数量=区域常住人口数占比</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全县零售点基准数。</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全县常住人口数及区域常住人口数以公安机关人口数据为准。</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3.以区域为单位，将区域卷烟销量测算数与区域常住人口测算数中零售点数量较高的为本年度区域零售点规划数；</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4.两者测算数差异较大的，且与上年度区域实际零售点相差较多的，以</w:t>
      </w:r>
      <w:r>
        <w:rPr>
          <w:rFonts w:hint="eastAsia" w:ascii="仿宋" w:hAnsi="仿宋" w:eastAsia="仿宋" w:cs="仿宋"/>
          <w:color w:val="000000" w:themeColor="text1"/>
          <w:sz w:val="32"/>
          <w:szCs w:val="32"/>
          <w:lang w:val="en-US" w:eastAsia="zh-CN"/>
          <w14:textFill>
            <w14:solidFill>
              <w14:schemeClr w14:val="tx1"/>
            </w14:solidFill>
          </w14:textFill>
        </w:rPr>
        <w:t>区域卷烟销量测算数</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0.8+区域常住人口测算数</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0.2作为本年度区域零售点规划数。</w:t>
      </w:r>
    </w:p>
    <w:p>
      <w:p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各区域测算结果详见附件（《明溪县区域化合理布局规划》），该附件中拟新增的零售点数量将在5年时间内分区域每年增设其中。</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新增规划数由经过听证程序后的本方案自动生成，并经</w:t>
      </w:r>
      <w:r>
        <w:rPr>
          <w:rFonts w:hint="eastAsia" w:ascii="仿宋" w:hAnsi="仿宋" w:eastAsia="仿宋" w:cs="仿宋"/>
          <w:color w:val="000000" w:themeColor="text1"/>
          <w:sz w:val="32"/>
          <w:szCs w:val="32"/>
          <w:lang w:eastAsia="zh-CN"/>
          <w14:textFill>
            <w14:solidFill>
              <w14:schemeClr w14:val="tx1"/>
            </w14:solidFill>
          </w14:textFill>
        </w:rPr>
        <w:t>县烟草专卖行政主管部门</w:t>
      </w:r>
      <w:r>
        <w:rPr>
          <w:rFonts w:hint="default" w:ascii="仿宋" w:hAnsi="仿宋" w:eastAsia="仿宋" w:cs="仿宋"/>
          <w:color w:val="000000" w:themeColor="text1"/>
          <w:sz w:val="32"/>
          <w:szCs w:val="32"/>
          <w:lang w:val="en-US" w:eastAsia="zh-CN"/>
          <w14:textFill>
            <w14:solidFill>
              <w14:schemeClr w14:val="tx1"/>
            </w14:solidFill>
          </w14:textFill>
        </w:rPr>
        <w:t>卷烟零售许可证管理委员会</w:t>
      </w:r>
      <w:r>
        <w:rPr>
          <w:rFonts w:hint="eastAsia" w:ascii="仿宋" w:hAnsi="仿宋" w:eastAsia="仿宋" w:cs="仿宋"/>
          <w:color w:val="000000" w:themeColor="text1"/>
          <w:sz w:val="32"/>
          <w:szCs w:val="32"/>
          <w:lang w:val="en-US" w:eastAsia="zh-CN"/>
          <w14:textFill>
            <w14:solidFill>
              <w14:schemeClr w14:val="tx1"/>
            </w14:solidFill>
          </w14:textFill>
        </w:rPr>
        <w:t>审定后，向社会公布之日起生效。</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明溪县区域化合理布局规划除新增的零售点外，均按照退一进一规则进行。</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第十四条  以下情形不受区域单元合理布局规划的限制：</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（一）超市、商场营业面积2000平方米以上；</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（二）火车站内设置的旅客服务点或便利店的零售点，总数不超过2个；需从事烟草制品零售业务的高速公路服务区内设置的旅客服务点或便利店，每一个服务区可设置1个零售点。</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（三）家庭经营的个体工商户，在原持证人家庭成员之间变化，并在原地址继续经营的。</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lang w:eastAsia="zh-CN"/>
          <w14:textFill>
            <w14:solidFill>
              <w14:schemeClr w14:val="tx1"/>
            </w14:solidFill>
          </w14:textFill>
        </w:rPr>
        <w:t>本合理布局规定实施后新建的封闭式居民区住户在200户以上500户以下的，可设置1个零售点；500户以上，可视情况再增设1个零售点。</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因道路规划、城市建设等客观原因造成无法在核定经营地址经营，持证人申请变更到原发证机关辖区内其他地址经营的；</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（六）其他不受区域化布局限制的情形。</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第十五条  </w:t>
      </w:r>
      <w:r>
        <w:rPr>
          <w:rFonts w:hint="eastAsia" w:ascii="仿宋" w:hAnsi="仿宋" w:eastAsia="仿宋" w:cs="仿宋"/>
          <w:color w:val="000000" w:themeColor="text1"/>
          <w:sz w:val="32"/>
          <w:szCs w:val="32"/>
          <w14:textFill>
            <w14:solidFill>
              <w14:schemeClr w14:val="tx1"/>
            </w14:solidFill>
          </w14:textFill>
        </w:rPr>
        <w:t>给予适当放</w:t>
      </w:r>
      <w:r>
        <w:rPr>
          <w:rFonts w:hint="eastAsia" w:ascii="仿宋" w:hAnsi="仿宋" w:eastAsia="仿宋" w:cs="仿宋"/>
          <w:color w:val="000000" w:themeColor="text1"/>
          <w:sz w:val="32"/>
          <w:szCs w:val="32"/>
          <w:lang w:eastAsia="zh-CN"/>
          <w14:textFill>
            <w14:solidFill>
              <w14:schemeClr w14:val="tx1"/>
            </w14:solidFill>
          </w14:textFill>
        </w:rPr>
        <w:t>宽的情形：</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（一）残疾人、烈士家属等社会弱势群体、优抚对象申请烟草专卖零售许可证的，申请人（本人或监护人）在提供有效证明后，同等条件下可优先办理。</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 其他有政策扶持</w:t>
      </w:r>
      <w:r>
        <w:rPr>
          <w:rFonts w:hint="eastAsia" w:ascii="仿宋" w:hAnsi="仿宋" w:eastAsia="仿宋" w:cs="仿宋"/>
          <w:color w:val="000000" w:themeColor="text1"/>
          <w:sz w:val="32"/>
          <w:szCs w:val="32"/>
          <w14:textFill>
            <w14:solidFill>
              <w14:schemeClr w14:val="tx1"/>
            </w14:solidFill>
          </w14:textFill>
        </w:rPr>
        <w:t>需要的情形。</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但上述经营场所的安全要求和中小学、幼儿园周围的距离限制规定等不放宽。</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第十六条  </w:t>
      </w:r>
      <w:r>
        <w:rPr>
          <w:rFonts w:hint="eastAsia" w:ascii="仿宋" w:hAnsi="仿宋" w:eastAsia="仿宋" w:cs="仿宋"/>
          <w:color w:val="000000" w:themeColor="text1"/>
          <w:sz w:val="32"/>
          <w:szCs w:val="32"/>
          <w:lang w:eastAsia="zh-CN"/>
          <w14:textFill>
            <w14:solidFill>
              <w14:schemeClr w14:val="tx1"/>
            </w14:solidFill>
          </w14:textFill>
        </w:rPr>
        <w:t>对符合办证条件的申请人，且该申请人符合区域化布局要求时，县烟草专卖行政主管部门按申请时间的先后顺序进行审核发放。对不符合区域化布局要求，但符合办证的其他法定条件的，县烟草专卖行政主管部门应当对申请人出具不予行政许可决定书，并按作出不予行政许可决定时间的先后顺序进行登记备案（以“烟草行业专卖管理信息系统”时间为准）。待申请人的经营地址符合区域化布局要求时，县烟草专卖行政主管部门应及时告知申请人</w:t>
      </w:r>
      <w:r>
        <w:rPr>
          <w:rFonts w:hint="eastAsia" w:ascii="仿宋" w:hAnsi="仿宋" w:eastAsia="仿宋" w:cs="仿宋"/>
          <w:color w:val="auto"/>
          <w:sz w:val="32"/>
          <w:szCs w:val="32"/>
          <w:lang w:eastAsia="zh-CN"/>
        </w:rPr>
        <w:t>以书面形式</w:t>
      </w:r>
      <w:r>
        <w:rPr>
          <w:rFonts w:hint="eastAsia" w:ascii="仿宋" w:hAnsi="仿宋" w:eastAsia="仿宋" w:cs="仿宋"/>
          <w:color w:val="000000" w:themeColor="text1"/>
          <w:sz w:val="32"/>
          <w:szCs w:val="32"/>
          <w:lang w:eastAsia="zh-CN"/>
          <w14:textFill>
            <w14:solidFill>
              <w14:schemeClr w14:val="tx1"/>
            </w14:solidFill>
          </w14:textFill>
        </w:rPr>
        <w:t>再次提出申请，县烟草专卖行政主管部门根据登记备案时间的先后顺序，再次进行复核，对符合办证条件的，予以审批发证。不予行政许可决定时间的先后顺序登记备案的有效期限</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lang w:eastAsia="zh-CN"/>
          <w14:textFill>
            <w14:solidFill>
              <w14:schemeClr w14:val="tx1"/>
            </w14:solidFill>
          </w14:textFill>
        </w:rPr>
        <w:t>三年。</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第十七条  县烟草专卖行政主管部门依法将辖区现有的持证户、各区域确定的卷烟零售点布局数量以及</w:t>
      </w:r>
      <w:r>
        <w:rPr>
          <w:rFonts w:hint="eastAsia" w:ascii="仿宋" w:hAnsi="仿宋" w:eastAsia="仿宋" w:cs="仿宋"/>
          <w:color w:val="000000" w:themeColor="text1"/>
          <w:sz w:val="32"/>
          <w:szCs w:val="32"/>
          <w:lang w:eastAsia="zh-CN"/>
          <w14:textFill>
            <w14:solidFill>
              <w14:schemeClr w14:val="tx1"/>
            </w14:solidFill>
          </w14:textFill>
        </w:rPr>
        <w:t>登记备案</w:t>
      </w:r>
      <w:r>
        <w:rPr>
          <w:rFonts w:hint="eastAsia" w:ascii="仿宋" w:hAnsi="仿宋" w:eastAsia="仿宋" w:cs="仿宋"/>
          <w:color w:val="000000" w:themeColor="text1"/>
          <w:sz w:val="32"/>
          <w:szCs w:val="32"/>
          <w:lang w:val="en-US" w:eastAsia="zh-CN"/>
          <w14:textFill>
            <w14:solidFill>
              <w14:schemeClr w14:val="tx1"/>
            </w14:solidFill>
          </w14:textFill>
        </w:rPr>
        <w:t>情况，向社会公</w:t>
      </w:r>
      <w:r>
        <w:rPr>
          <w:rFonts w:hint="eastAsia" w:ascii="仿宋" w:hAnsi="仿宋" w:eastAsia="仿宋" w:cs="仿宋"/>
          <w:sz w:val="32"/>
          <w:szCs w:val="32"/>
          <w:lang w:val="en-US" w:eastAsia="zh-CN"/>
        </w:rPr>
        <w:t>示，方便群众查询。</w:t>
      </w:r>
    </w:p>
    <w:p>
      <w:pPr>
        <w:ind w:firstLine="640" w:firstLineChars="200"/>
        <w:jc w:val="left"/>
        <w:rPr>
          <w:rFonts w:hint="eastAsia" w:ascii="仿宋" w:hAnsi="仿宋" w:eastAsia="仿宋" w:cs="仿宋"/>
          <w:sz w:val="32"/>
          <w:szCs w:val="32"/>
          <w:lang w:val="en-US" w:eastAsia="zh-CN"/>
        </w:rPr>
      </w:pPr>
    </w:p>
    <w:p>
      <w:pPr>
        <w:jc w:val="center"/>
        <w:rPr>
          <w:rFonts w:hint="eastAsia" w:ascii="仿宋" w:hAnsi="仿宋" w:eastAsia="仿宋" w:cs="仿宋"/>
          <w:sz w:val="32"/>
          <w:szCs w:val="32"/>
        </w:rPr>
      </w:pPr>
      <w:r>
        <w:rPr>
          <w:rFonts w:hint="eastAsia" w:ascii="黑体" w:hAnsi="黑体" w:eastAsia="黑体" w:cs="仿宋"/>
          <w:sz w:val="32"/>
          <w:szCs w:val="32"/>
        </w:rPr>
        <w:t>第</w:t>
      </w:r>
      <w:r>
        <w:rPr>
          <w:rFonts w:hint="eastAsia" w:ascii="黑体" w:hAnsi="黑体" w:eastAsia="黑体" w:cs="仿宋"/>
          <w:sz w:val="32"/>
          <w:szCs w:val="32"/>
          <w:lang w:eastAsia="zh-CN"/>
        </w:rPr>
        <w:t>四</w:t>
      </w:r>
      <w:r>
        <w:rPr>
          <w:rFonts w:hint="eastAsia" w:ascii="黑体" w:hAnsi="黑体" w:eastAsia="黑体" w:cs="仿宋"/>
          <w:sz w:val="32"/>
          <w:szCs w:val="32"/>
        </w:rPr>
        <w:t>章  附则</w:t>
      </w:r>
      <w:r>
        <w:rPr>
          <w:rFonts w:hint="eastAsia" w:ascii="仿宋" w:hAnsi="仿宋" w:eastAsia="仿宋" w:cs="仿宋"/>
          <w:sz w:val="32"/>
          <w:szCs w:val="32"/>
        </w:rPr>
        <w:t xml:space="preserve"> </w:t>
      </w:r>
    </w:p>
    <w:p>
      <w:pPr>
        <w:ind w:firstLine="640" w:firstLineChars="200"/>
        <w:jc w:val="left"/>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第十</w:t>
      </w: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条  本规定所称的固定经营场所是指指向明确且具唯一性的</w:t>
      </w:r>
      <w:r>
        <w:rPr>
          <w:rFonts w:hint="eastAsia" w:ascii="仿宋" w:hAnsi="仿宋" w:eastAsia="仿宋" w:cs="仿宋"/>
          <w:sz w:val="32"/>
          <w:szCs w:val="32"/>
        </w:rPr>
        <w:t>门牌、地址或者方位表述，具备与申请经营类别相适应的存储条件的场所。</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申请人的货物仓库与经营场所相分离的，货物仓库视为经营场所附属仓库，有义务接受烟草专卖</w:t>
      </w:r>
      <w:r>
        <w:rPr>
          <w:rFonts w:hint="eastAsia" w:ascii="仿宋" w:hAnsi="仿宋" w:eastAsia="仿宋" w:cs="仿宋"/>
          <w:sz w:val="32"/>
          <w:szCs w:val="32"/>
          <w:lang w:eastAsia="zh-CN"/>
        </w:rPr>
        <w:t>行政主管部门</w:t>
      </w:r>
      <w:r>
        <w:rPr>
          <w:rFonts w:hint="eastAsia" w:ascii="仿宋" w:hAnsi="仿宋" w:eastAsia="仿宋" w:cs="仿宋"/>
          <w:sz w:val="32"/>
          <w:szCs w:val="32"/>
        </w:rPr>
        <w:t>的监督检查。</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rPr>
        <w:t>申请人在申</w:t>
      </w:r>
      <w:r>
        <w:rPr>
          <w:rFonts w:hint="eastAsia" w:ascii="仿宋" w:hAnsi="仿宋" w:eastAsia="仿宋" w:cs="仿宋"/>
          <w:color w:val="000000" w:themeColor="text1"/>
          <w:sz w:val="32"/>
          <w:szCs w:val="32"/>
          <w14:textFill>
            <w14:solidFill>
              <w14:schemeClr w14:val="tx1"/>
            </w14:solidFill>
          </w14:textFill>
        </w:rPr>
        <w:t>请时应对仓储情况如实说明，在执法人员现场勘查过程中，申请人应出示有效证明材料。</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第十九条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受理在先是指有数量限制的行政许可，在有两个或者两个以上申请人的申请均符合法定条件、标准的，行政机关应当根据受理行政许可申请的先后顺序作出准予行政许可的决定。</w:t>
      </w:r>
      <w:r>
        <w:rPr>
          <w:rFonts w:hint="eastAsia" w:ascii="仿宋" w:hAnsi="仿宋" w:eastAsia="仿宋" w:cs="仿宋"/>
          <w:color w:val="000000" w:themeColor="text1"/>
          <w:sz w:val="32"/>
          <w:szCs w:val="32"/>
          <w:lang w:eastAsia="zh-CN"/>
          <w14:textFill>
            <w14:solidFill>
              <w14:schemeClr w14:val="tx1"/>
            </w14:solidFill>
          </w14:textFill>
        </w:rPr>
        <w:t>本规定所称的同等条件下，是指在</w:t>
      </w:r>
      <w:r>
        <w:rPr>
          <w:rFonts w:hint="eastAsia" w:ascii="仿宋" w:hAnsi="仿宋" w:eastAsia="仿宋" w:cs="仿宋"/>
          <w:color w:val="auto"/>
          <w:sz w:val="32"/>
          <w:szCs w:val="32"/>
          <w:lang w:eastAsia="zh-CN"/>
        </w:rPr>
        <w:t>同一天内两人或两人以上申请</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eastAsia="zh-CN"/>
          <w14:textFill>
            <w14:solidFill>
              <w14:schemeClr w14:val="tx1"/>
            </w14:solidFill>
          </w14:textFill>
        </w:rPr>
        <w:t>二十</w:t>
      </w:r>
      <w:r>
        <w:rPr>
          <w:rFonts w:hint="eastAsia" w:ascii="仿宋" w:hAnsi="仿宋" w:eastAsia="仿宋" w:cs="仿宋"/>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本规定中的中小学校包括小学、初中、高中、中专、职</w:t>
      </w:r>
      <w:r>
        <w:rPr>
          <w:rFonts w:hint="eastAsia" w:ascii="仿宋" w:hAnsi="仿宋" w:eastAsia="仿宋" w:cs="仿宋"/>
          <w:color w:val="auto"/>
          <w:sz w:val="32"/>
          <w:szCs w:val="32"/>
        </w:rPr>
        <w:t>业高中；幼儿园</w:t>
      </w:r>
      <w:r>
        <w:rPr>
          <w:rFonts w:hint="eastAsia" w:ascii="仿宋" w:hAnsi="仿宋" w:eastAsia="仿宋" w:cs="仿宋"/>
          <w:color w:val="auto"/>
          <w:sz w:val="32"/>
          <w:szCs w:val="32"/>
          <w:lang w:eastAsia="zh-CN"/>
        </w:rPr>
        <w:t>是</w:t>
      </w:r>
      <w:r>
        <w:rPr>
          <w:rFonts w:hint="eastAsia" w:ascii="仿宋" w:hAnsi="仿宋" w:eastAsia="仿宋" w:cs="仿宋"/>
          <w:color w:val="auto"/>
          <w:sz w:val="32"/>
          <w:szCs w:val="32"/>
        </w:rPr>
        <w:t>指取得教育部门颁发的公办、民办学校许可证的机构。</w:t>
      </w:r>
    </w:p>
    <w:p>
      <w:p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第二十一条  本规定中的退一进一是指对有总数限制的区域，原持证户因自身因素或行政管理需要已不再从事烟草制品零售业务或不得从事烟草制品零售业务，该区域内未取得许可证的其他申请人可以依法取得从事烟草制品零售资格。</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 xml:space="preserve">第二十二条  </w:t>
      </w:r>
      <w:r>
        <w:rPr>
          <w:rFonts w:hint="eastAsia" w:ascii="仿宋" w:hAnsi="仿宋" w:eastAsia="仿宋" w:cs="仿宋"/>
          <w:sz w:val="32"/>
          <w:szCs w:val="32"/>
          <w:lang w:eastAsia="zh-CN"/>
        </w:rPr>
        <w:t>本规定中的</w:t>
      </w:r>
      <w:r>
        <w:rPr>
          <w:rFonts w:hint="eastAsia" w:ascii="仿宋" w:hAnsi="仿宋" w:eastAsia="仿宋" w:cs="仿宋"/>
          <w:color w:val="auto"/>
          <w:sz w:val="32"/>
          <w:szCs w:val="32"/>
          <w:lang w:eastAsia="zh-CN"/>
        </w:rPr>
        <w:t>一址一证</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是指一个经营地址只设置一个烟草制品零售点，门牌号不同但空间连续构成同一经营场所的，按照一址申请办理。</w:t>
      </w:r>
    </w:p>
    <w:p>
      <w:pPr>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条  本规定</w:t>
      </w:r>
      <w:r>
        <w:rPr>
          <w:rFonts w:hint="eastAsia" w:ascii="仿宋" w:hAnsi="仿宋" w:eastAsia="仿宋" w:cs="仿宋"/>
          <w:sz w:val="32"/>
          <w:szCs w:val="32"/>
        </w:rPr>
        <w:t>中的</w:t>
      </w:r>
      <w:r>
        <w:rPr>
          <w:rFonts w:hint="eastAsia" w:ascii="仿宋" w:hAnsi="仿宋" w:eastAsia="仿宋" w:cs="仿宋"/>
          <w:sz w:val="32"/>
          <w:szCs w:val="32"/>
          <w:lang w:eastAsia="zh-CN"/>
        </w:rPr>
        <w:t>“</w:t>
      </w:r>
      <w:r>
        <w:rPr>
          <w:rFonts w:hint="eastAsia" w:ascii="仿宋" w:hAnsi="仿宋" w:eastAsia="仿宋" w:cs="仿宋"/>
          <w:sz w:val="32"/>
          <w:szCs w:val="32"/>
        </w:rPr>
        <w:t>家庭经营的个体工商户</w:t>
      </w:r>
      <w:r>
        <w:rPr>
          <w:rFonts w:hint="eastAsia" w:ascii="仿宋" w:hAnsi="仿宋" w:eastAsia="仿宋" w:cs="仿宋"/>
          <w:sz w:val="32"/>
          <w:szCs w:val="32"/>
          <w:lang w:eastAsia="zh-CN"/>
        </w:rPr>
        <w:t>”</w:t>
      </w:r>
      <w:r>
        <w:rPr>
          <w:rFonts w:hint="eastAsia" w:ascii="仿宋" w:hAnsi="仿宋" w:eastAsia="仿宋" w:cs="仿宋"/>
          <w:sz w:val="32"/>
          <w:szCs w:val="32"/>
        </w:rPr>
        <w:t>是指营业执照</w:t>
      </w:r>
      <w:r>
        <w:rPr>
          <w:rFonts w:hint="eastAsia" w:ascii="仿宋" w:hAnsi="仿宋" w:eastAsia="仿宋" w:cs="仿宋"/>
          <w:sz w:val="32"/>
          <w:szCs w:val="32"/>
          <w:lang w:eastAsia="zh-CN"/>
        </w:rPr>
        <w:t>中载明</w:t>
      </w:r>
      <w:r>
        <w:rPr>
          <w:rFonts w:hint="eastAsia" w:ascii="仿宋" w:hAnsi="仿宋" w:eastAsia="仿宋" w:cs="仿宋"/>
          <w:sz w:val="32"/>
          <w:szCs w:val="32"/>
        </w:rPr>
        <w:t>形式是</w:t>
      </w:r>
      <w:r>
        <w:rPr>
          <w:rFonts w:hint="eastAsia" w:ascii="仿宋" w:hAnsi="仿宋" w:eastAsia="仿宋" w:cs="仿宋"/>
          <w:sz w:val="32"/>
          <w:szCs w:val="32"/>
          <w:lang w:eastAsia="zh-CN"/>
        </w:rPr>
        <w:t>“</w:t>
      </w:r>
      <w:r>
        <w:rPr>
          <w:rFonts w:hint="eastAsia" w:ascii="仿宋" w:hAnsi="仿宋" w:eastAsia="仿宋" w:cs="仿宋"/>
          <w:sz w:val="32"/>
          <w:szCs w:val="32"/>
        </w:rPr>
        <w:t>家庭经营</w:t>
      </w:r>
      <w:r>
        <w:rPr>
          <w:rFonts w:hint="eastAsia" w:ascii="仿宋" w:hAnsi="仿宋" w:eastAsia="仿宋" w:cs="仿宋"/>
          <w:sz w:val="32"/>
          <w:szCs w:val="32"/>
          <w:lang w:eastAsia="zh-CN"/>
        </w:rPr>
        <w:t>”</w:t>
      </w:r>
      <w:r>
        <w:rPr>
          <w:rFonts w:hint="eastAsia" w:ascii="仿宋" w:hAnsi="仿宋" w:eastAsia="仿宋" w:cs="仿宋"/>
          <w:sz w:val="32"/>
          <w:szCs w:val="32"/>
        </w:rPr>
        <w:t>的个体工商户。</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四</w:t>
      </w:r>
      <w:r>
        <w:rPr>
          <w:rFonts w:hint="eastAsia" w:ascii="仿宋" w:hAnsi="仿宋" w:eastAsia="仿宋" w:cs="仿宋"/>
          <w:sz w:val="32"/>
          <w:szCs w:val="32"/>
        </w:rPr>
        <w:t>条  本规定由福建省明溪县烟草专卖局负责解释。上级</w:t>
      </w:r>
      <w:r>
        <w:rPr>
          <w:rFonts w:hint="eastAsia" w:ascii="仿宋" w:hAnsi="仿宋" w:eastAsia="仿宋" w:cs="仿宋"/>
          <w:sz w:val="32"/>
          <w:szCs w:val="32"/>
          <w:lang w:eastAsia="zh-CN"/>
        </w:rPr>
        <w:t>烟草行政主管部门</w:t>
      </w:r>
      <w:r>
        <w:rPr>
          <w:rFonts w:hint="eastAsia" w:ascii="仿宋" w:hAnsi="仿宋" w:eastAsia="仿宋" w:cs="仿宋"/>
          <w:sz w:val="32"/>
          <w:szCs w:val="32"/>
        </w:rPr>
        <w:t>有不同规定的</w:t>
      </w:r>
      <w:r>
        <w:rPr>
          <w:rFonts w:hint="eastAsia" w:ascii="仿宋" w:hAnsi="仿宋" w:eastAsia="仿宋" w:cs="仿宋"/>
          <w:sz w:val="32"/>
          <w:szCs w:val="32"/>
          <w:lang w:eastAsia="zh-CN"/>
        </w:rPr>
        <w:t>，</w:t>
      </w:r>
      <w:r>
        <w:rPr>
          <w:rFonts w:hint="eastAsia" w:ascii="仿宋" w:hAnsi="仿宋" w:eastAsia="仿宋" w:cs="仿宋"/>
          <w:sz w:val="32"/>
          <w:szCs w:val="32"/>
        </w:rPr>
        <w:t>从其规定。</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sz w:val="32"/>
          <w:szCs w:val="32"/>
        </w:rPr>
        <w:t>第二十</w:t>
      </w:r>
      <w:r>
        <w:rPr>
          <w:rFonts w:hint="eastAsia" w:ascii="仿宋" w:hAnsi="仿宋" w:eastAsia="仿宋" w:cs="仿宋"/>
          <w:sz w:val="32"/>
          <w:szCs w:val="32"/>
          <w:lang w:eastAsia="zh-CN"/>
        </w:rPr>
        <w:t>五</w:t>
      </w:r>
      <w:r>
        <w:rPr>
          <w:rFonts w:hint="eastAsia" w:ascii="仿宋" w:hAnsi="仿宋" w:eastAsia="仿宋" w:cs="仿宋"/>
          <w:sz w:val="32"/>
          <w:szCs w:val="32"/>
        </w:rPr>
        <w:t xml:space="preserve">条  </w:t>
      </w:r>
      <w:r>
        <w:rPr>
          <w:rFonts w:hint="eastAsia" w:ascii="仿宋" w:hAnsi="仿宋" w:eastAsia="仿宋" w:cs="仿宋"/>
          <w:sz w:val="32"/>
          <w:szCs w:val="32"/>
          <w:lang w:eastAsia="zh-CN"/>
        </w:rPr>
        <w:t>本规定中</w:t>
      </w:r>
      <w:r>
        <w:rPr>
          <w:rFonts w:hint="eastAsia" w:ascii="仿宋" w:hAnsi="仿宋" w:eastAsia="仿宋" w:cs="仿宋"/>
          <w:color w:val="auto"/>
          <w:sz w:val="32"/>
          <w:szCs w:val="32"/>
          <w:lang w:val="en-US" w:eastAsia="zh-CN"/>
        </w:rPr>
        <w:t>的“以上”包含本数。</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第二十六条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auto"/>
          <w:sz w:val="32"/>
          <w:szCs w:val="32"/>
          <w:lang w:val="en-US" w:eastAsia="zh-CN"/>
        </w:rPr>
        <w:t>本规定自发</w:t>
      </w:r>
      <w:r>
        <w:rPr>
          <w:rFonts w:hint="eastAsia" w:ascii="仿宋" w:hAnsi="仿宋" w:eastAsia="仿宋" w:cs="仿宋"/>
          <w:sz w:val="32"/>
          <w:szCs w:val="32"/>
        </w:rPr>
        <w:t>布之日起施行</w:t>
      </w:r>
      <w:r>
        <w:rPr>
          <w:rFonts w:hint="eastAsia" w:ascii="仿宋" w:hAnsi="仿宋" w:eastAsia="仿宋" w:cs="仿宋"/>
          <w:sz w:val="32"/>
          <w:szCs w:val="32"/>
          <w:lang w:eastAsia="zh-CN"/>
        </w:rPr>
        <w:t>。</w:t>
      </w:r>
      <w:r>
        <w:rPr>
          <w:rFonts w:hint="eastAsia" w:ascii="仿宋" w:hAnsi="仿宋" w:eastAsia="仿宋" w:cs="仿宋"/>
          <w:sz w:val="32"/>
          <w:szCs w:val="32"/>
        </w:rPr>
        <w:t>原2010年9月17日起实施的《明溪县烟草制品零售点区域化布局管理规定》同时废止。</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       明溪县区域化合理布局规划</w:t>
      </w:r>
    </w:p>
    <w:p>
      <w:pPr>
        <w:ind w:firstLine="640" w:firstLineChars="200"/>
        <w:jc w:val="left"/>
        <w:rPr>
          <w:rFonts w:hint="eastAsia" w:ascii="黑体" w:hAnsi="黑体" w:eastAsia="黑体" w:cs="黑体"/>
          <w:sz w:val="32"/>
          <w:szCs w:val="32"/>
          <w:lang w:val="en-US" w:eastAsia="zh-CN"/>
        </w:rPr>
      </w:pPr>
    </w:p>
    <w:tbl>
      <w:tblPr>
        <w:tblStyle w:val="4"/>
        <w:tblW w:w="9165" w:type="dxa"/>
        <w:tblInd w:w="-4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5"/>
        <w:gridCol w:w="1110"/>
        <w:gridCol w:w="735"/>
        <w:gridCol w:w="915"/>
        <w:gridCol w:w="870"/>
        <w:gridCol w:w="870"/>
        <w:gridCol w:w="885"/>
        <w:gridCol w:w="840"/>
        <w:gridCol w:w="94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885" w:type="dxa"/>
            <w:tcBorders>
              <w:top w:val="single" w:color="000000" w:sz="8" w:space="0"/>
              <w:left w:val="single" w:color="000000" w:sz="8"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 xml:space="preserve">   指标</w:t>
            </w:r>
            <w:r>
              <w:rPr>
                <w:rFonts w:hint="eastAsia" w:ascii="宋体" w:hAnsi="宋体" w:eastAsia="宋体" w:cs="宋体"/>
                <w:b/>
                <w:bCs/>
                <w:i w:val="0"/>
                <w:color w:val="000000"/>
                <w:kern w:val="0"/>
                <w:sz w:val="24"/>
                <w:szCs w:val="24"/>
                <w:u w:val="none"/>
                <w:lang w:val="en-US" w:eastAsia="zh-CN" w:bidi="ar"/>
              </w:rPr>
              <w:br w:type="textWrapping"/>
            </w:r>
          </w:p>
          <w:p>
            <w:pPr>
              <w:keepNext w:val="0"/>
              <w:keepLines w:val="0"/>
              <w:widowControl/>
              <w:suppressLineNumbers w:val="0"/>
              <w:jc w:val="both"/>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111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区域名称</w:t>
            </w:r>
          </w:p>
        </w:tc>
        <w:tc>
          <w:tcPr>
            <w:tcW w:w="73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现有户数</w:t>
            </w:r>
          </w:p>
        </w:tc>
        <w:tc>
          <w:tcPr>
            <w:tcW w:w="91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2021年区域销量</w:t>
            </w:r>
          </w:p>
        </w:tc>
        <w:tc>
          <w:tcPr>
            <w:tcW w:w="87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销量测算规划数</w:t>
            </w:r>
          </w:p>
        </w:tc>
        <w:tc>
          <w:tcPr>
            <w:tcW w:w="87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常住</w:t>
            </w:r>
          </w:p>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人口</w:t>
            </w:r>
          </w:p>
        </w:tc>
        <w:tc>
          <w:tcPr>
            <w:tcW w:w="88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常住人口测算规划数</w:t>
            </w:r>
          </w:p>
        </w:tc>
        <w:tc>
          <w:tcPr>
            <w:tcW w:w="84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合理布局规划数</w:t>
            </w:r>
          </w:p>
        </w:tc>
        <w:tc>
          <w:tcPr>
            <w:tcW w:w="945"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区域拟增（减）零售点数量</w:t>
            </w:r>
          </w:p>
        </w:tc>
        <w:tc>
          <w:tcPr>
            <w:tcW w:w="111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主城区</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357598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176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20442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116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164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 </w:t>
            </w:r>
          </w:p>
        </w:tc>
        <w:tc>
          <w:tcPr>
            <w:tcW w:w="11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每年新增5本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城郊片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109500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8362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111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每年新增1本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城关乡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33650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7270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111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每年新增1本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盖洋</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101102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11159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111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43623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4033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 </w:t>
            </w:r>
          </w:p>
        </w:tc>
        <w:tc>
          <w:tcPr>
            <w:tcW w:w="111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枫溪</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38504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3091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 </w:t>
            </w:r>
          </w:p>
        </w:tc>
        <w:tc>
          <w:tcPr>
            <w:tcW w:w="111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沙溪</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42291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2975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111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夏阳</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57841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8644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49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p>
        </w:tc>
        <w:tc>
          <w:tcPr>
            <w:tcW w:w="111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瀚仙</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81001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6786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111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47879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6730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 </w:t>
            </w:r>
          </w:p>
        </w:tc>
        <w:tc>
          <w:tcPr>
            <w:tcW w:w="111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885"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912988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452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79492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449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465 </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885" w:type="dxa"/>
            <w:vMerge w:val="restart"/>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8280" w:type="dxa"/>
            <w:gridSpan w:val="9"/>
            <w:vMerge w:val="restar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1.主城区：雪峰镇除城郊片以外的部分；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2.城郊片含：东方军路（岭岗路段）、红豆杉路（过境路至中石化城市加油站）、新大路（紫岭路口至环卫站）、青年路（水利局至</w:t>
            </w:r>
            <w:r>
              <w:rPr>
                <w:rFonts w:hint="eastAsia" w:ascii="宋体" w:hAnsi="宋体" w:cs="宋体"/>
                <w:i w:val="0"/>
                <w:color w:val="000000"/>
                <w:kern w:val="0"/>
                <w:sz w:val="24"/>
                <w:szCs w:val="24"/>
                <w:u w:val="none"/>
                <w:lang w:val="en-US" w:eastAsia="zh-CN" w:bidi="ar"/>
              </w:rPr>
              <w:t>电力公司</w:t>
            </w:r>
            <w:r>
              <w:rPr>
                <w:rFonts w:hint="eastAsia" w:ascii="宋体" w:hAnsi="宋体" w:eastAsia="宋体" w:cs="宋体"/>
                <w:i w:val="0"/>
                <w:color w:val="000000"/>
                <w:kern w:val="0"/>
                <w:sz w:val="24"/>
                <w:szCs w:val="24"/>
                <w:u w:val="none"/>
                <w:lang w:val="en-US" w:eastAsia="zh-CN" w:bidi="ar"/>
              </w:rPr>
              <w:t>）、紫岭路（西门小学至紫云佳苑路段）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3.城关乡：不包含上坊村；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4.瀚仙：包括上坊村；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5.销量测算和常住人口分解的规划基数为450；采取ROUND函数，即四舍五入法取整计算；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6.鉴于卷烟需求相对稳定和人员聚集速度相对均衡，主城区新增零售点数量按五年平均释放；城郊片和城关乡按</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年计；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7.新增小区的如果在全年新增指标为用完之前办理的，占用当年新增指标；如果当年新增指标已经用完的，占用下年指标；若下年无新增指标的，按本规定第十</w:t>
            </w:r>
            <w:r>
              <w:rPr>
                <w:rFonts w:hint="eastAsia" w:ascii="宋体" w:hAnsi="宋体" w:cs="宋体"/>
                <w:i w:val="0"/>
                <w:color w:val="000000"/>
                <w:kern w:val="0"/>
                <w:sz w:val="24"/>
                <w:szCs w:val="24"/>
                <w:u w:val="none"/>
                <w:lang w:val="en-US" w:eastAsia="zh-CN" w:bidi="ar"/>
              </w:rPr>
              <w:t>四</w:t>
            </w:r>
            <w:r>
              <w:rPr>
                <w:rFonts w:hint="eastAsia" w:ascii="宋体" w:hAnsi="宋体" w:eastAsia="宋体" w:cs="宋体"/>
                <w:i w:val="0"/>
                <w:color w:val="000000"/>
                <w:kern w:val="0"/>
                <w:sz w:val="24"/>
                <w:szCs w:val="24"/>
                <w:u w:val="none"/>
                <w:lang w:val="en-US" w:eastAsia="zh-CN" w:bidi="ar"/>
              </w:rPr>
              <w:t>条办理。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0" w:hRule="atLeast"/>
        </w:trPr>
        <w:tc>
          <w:tcPr>
            <w:tcW w:w="885" w:type="dxa"/>
            <w:vMerge w:val="continue"/>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0" w:type="dxa"/>
            <w:gridSpan w:val="9"/>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bl>
    <w:p>
      <w:pPr>
        <w:jc w:val="left"/>
        <w:rPr>
          <w:rFonts w:hint="eastAsia" w:ascii="黑体" w:hAnsi="黑体" w:eastAsia="黑体" w:cs="黑体"/>
          <w:sz w:val="32"/>
          <w:szCs w:val="32"/>
          <w:lang w:val="en-US" w:eastAsia="zh-CN"/>
        </w:rPr>
      </w:pPr>
    </w:p>
    <w:p>
      <w:pPr>
        <w:ind w:firstLine="640" w:firstLineChars="200"/>
        <w:jc w:val="left"/>
        <w:rPr>
          <w:rFonts w:hint="default" w:ascii="仿宋" w:hAnsi="仿宋" w:eastAsia="仿宋" w:cs="仿宋"/>
          <w:sz w:val="32"/>
          <w:szCs w:val="32"/>
          <w:lang w:val="en-US" w:eastAsia="zh-CN"/>
        </w:rPr>
      </w:pPr>
    </w:p>
    <w:p>
      <w:pPr>
        <w:jc w:val="left"/>
        <w:rPr>
          <w:rFonts w:hint="eastAsia" w:ascii="仿宋" w:hAnsi="仿宋" w:eastAsia="仿宋" w:cs="仿宋"/>
          <w:sz w:val="32"/>
          <w:szCs w:val="32"/>
          <w:highlight w:val="yellow"/>
          <w:lang w:val="en-US" w:eastAsia="zh-CN"/>
        </w:rPr>
      </w:pPr>
    </w:p>
    <w:p>
      <w:pPr>
        <w:ind w:left="420" w:leftChars="200" w:firstLine="640" w:firstLineChars="200"/>
        <w:jc w:val="left"/>
        <w:rPr>
          <w:rFonts w:hint="eastAsia" w:ascii="仿宋" w:hAnsi="仿宋" w:eastAsia="仿宋" w:cs="仿宋"/>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- 8 -</w:t>
    </w:r>
    <w:r>
      <w:rPr>
        <w:b/>
        <w:sz w:val="24"/>
        <w:szCs w:val="24"/>
      </w:rPr>
      <w:fldChar w:fldCharType="end"/>
    </w:r>
    <w:r>
      <w:rPr>
        <w:lang w:val="zh-CN"/>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D5F"/>
    <w:multiLevelType w:val="multilevel"/>
    <w:tmpl w:val="04235D5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B6832"/>
    <w:rsid w:val="023437FE"/>
    <w:rsid w:val="02733C24"/>
    <w:rsid w:val="04777235"/>
    <w:rsid w:val="05254213"/>
    <w:rsid w:val="06210A30"/>
    <w:rsid w:val="062D1269"/>
    <w:rsid w:val="06412E10"/>
    <w:rsid w:val="099A4B0C"/>
    <w:rsid w:val="104A32E5"/>
    <w:rsid w:val="120229C3"/>
    <w:rsid w:val="18CA4266"/>
    <w:rsid w:val="1A3C1B61"/>
    <w:rsid w:val="1B513253"/>
    <w:rsid w:val="1BFE7EAF"/>
    <w:rsid w:val="1C7D57A1"/>
    <w:rsid w:val="1CFC3606"/>
    <w:rsid w:val="224B25F7"/>
    <w:rsid w:val="24EC3A30"/>
    <w:rsid w:val="259F4C59"/>
    <w:rsid w:val="26523936"/>
    <w:rsid w:val="26710918"/>
    <w:rsid w:val="28DE7F35"/>
    <w:rsid w:val="2A8B7011"/>
    <w:rsid w:val="2B3C4872"/>
    <w:rsid w:val="2B623905"/>
    <w:rsid w:val="2BBB7A87"/>
    <w:rsid w:val="2D120F59"/>
    <w:rsid w:val="2E70732E"/>
    <w:rsid w:val="2E7B4A16"/>
    <w:rsid w:val="30504CFA"/>
    <w:rsid w:val="33481AAE"/>
    <w:rsid w:val="353107F6"/>
    <w:rsid w:val="3653117C"/>
    <w:rsid w:val="37B435F6"/>
    <w:rsid w:val="3A007E57"/>
    <w:rsid w:val="3A8D292C"/>
    <w:rsid w:val="3C9A3203"/>
    <w:rsid w:val="3CA035F4"/>
    <w:rsid w:val="416A1E97"/>
    <w:rsid w:val="42BB7395"/>
    <w:rsid w:val="42D70395"/>
    <w:rsid w:val="43717E6A"/>
    <w:rsid w:val="46AE035F"/>
    <w:rsid w:val="477D5D6E"/>
    <w:rsid w:val="48274752"/>
    <w:rsid w:val="49470432"/>
    <w:rsid w:val="499C6A27"/>
    <w:rsid w:val="4BD96A08"/>
    <w:rsid w:val="4DBA6670"/>
    <w:rsid w:val="4DD663B1"/>
    <w:rsid w:val="4E484E00"/>
    <w:rsid w:val="4F712384"/>
    <w:rsid w:val="52571ABC"/>
    <w:rsid w:val="53CF04AE"/>
    <w:rsid w:val="59436C82"/>
    <w:rsid w:val="59AB2F70"/>
    <w:rsid w:val="5B5D4F0E"/>
    <w:rsid w:val="5D2144A6"/>
    <w:rsid w:val="5D575596"/>
    <w:rsid w:val="6091206B"/>
    <w:rsid w:val="620F0646"/>
    <w:rsid w:val="63F2246C"/>
    <w:rsid w:val="66E3012B"/>
    <w:rsid w:val="67376EBF"/>
    <w:rsid w:val="69C606AE"/>
    <w:rsid w:val="6B583EEB"/>
    <w:rsid w:val="6BB03A15"/>
    <w:rsid w:val="6EF333D8"/>
    <w:rsid w:val="710246A6"/>
    <w:rsid w:val="72E54335"/>
    <w:rsid w:val="72F14C81"/>
    <w:rsid w:val="732D1A5D"/>
    <w:rsid w:val="73D37FCB"/>
    <w:rsid w:val="7739590F"/>
    <w:rsid w:val="781774E9"/>
    <w:rsid w:val="781C0ECD"/>
    <w:rsid w:val="7ADE2266"/>
    <w:rsid w:val="7BAA1678"/>
    <w:rsid w:val="7DA5453E"/>
    <w:rsid w:val="7E371439"/>
    <w:rsid w:val="7E416CF9"/>
    <w:rsid w:val="7EC176AB"/>
    <w:rsid w:val="7F7D0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4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2022-03-23T09:25:00Z</dcterms:created>
  <dc:creator>Administrator</dc:creator>
  <cp:lastModifiedBy>许桂珍</cp:lastModifiedBy>
  <cp:lastPrinted>2022-03-24T03:22:00Z</cp:lastPrinted>
  <dcterms:modified xsi:type="dcterms:W3CDTF">2022-03-25T07:20:36Z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