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方正小标宋简体"/>
          <w:snapToGrid w:val="0"/>
          <w:kern w:val="0"/>
          <w:sz w:val="44"/>
          <w:szCs w:val="44"/>
        </w:rPr>
      </w:pPr>
      <w:r>
        <w:rPr>
          <w:rFonts w:hint="eastAsia" w:ascii="仿宋" w:hAnsi="仿宋" w:eastAsia="方正小标宋简体"/>
          <w:snapToGrid w:val="0"/>
          <w:kern w:val="0"/>
          <w:sz w:val="44"/>
          <w:szCs w:val="44"/>
          <w:lang w:eastAsia="zh-CN"/>
        </w:rPr>
        <w:t>明溪县</w:t>
      </w:r>
      <w:r>
        <w:rPr>
          <w:rFonts w:hint="eastAsia" w:ascii="仿宋" w:hAnsi="仿宋" w:eastAsia="方正小标宋简体"/>
          <w:snapToGrid w:val="0"/>
          <w:kern w:val="0"/>
          <w:sz w:val="44"/>
          <w:szCs w:val="44"/>
        </w:rPr>
        <w:t>扶贫开发工作成效考核指标</w:t>
      </w:r>
    </w:p>
    <w:p>
      <w:pPr>
        <w:spacing w:line="160" w:lineRule="exact"/>
        <w:jc w:val="center"/>
        <w:rPr>
          <w:rFonts w:ascii="仿宋" w:hAnsi="仿宋" w:eastAsia="黑体"/>
          <w:snapToGrid w:val="0"/>
          <w:kern w:val="0"/>
          <w:sz w:val="36"/>
          <w:szCs w:val="36"/>
        </w:rPr>
      </w:pPr>
    </w:p>
    <w:tbl>
      <w:tblPr>
        <w:tblStyle w:val="3"/>
        <w:tblW w:w="15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1"/>
        <w:gridCol w:w="1977"/>
        <w:gridCol w:w="1604"/>
        <w:gridCol w:w="446"/>
        <w:gridCol w:w="795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32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黑体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黑体" w:cs="仿宋"/>
                <w:snapToGrid w:val="0"/>
                <w:kern w:val="0"/>
                <w:sz w:val="24"/>
              </w:rPr>
              <w:t>考核内容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黑体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黑体" w:cs="仿宋"/>
                <w:snapToGrid w:val="0"/>
                <w:kern w:val="0"/>
                <w:sz w:val="24"/>
              </w:rPr>
              <w:t>考核指标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黑体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黑体" w:cs="仿宋"/>
                <w:snapToGrid w:val="0"/>
                <w:kern w:val="0"/>
                <w:sz w:val="24"/>
              </w:rPr>
              <w:t>分值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黑体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黑体" w:cs="仿宋"/>
                <w:snapToGrid w:val="0"/>
                <w:kern w:val="0"/>
                <w:sz w:val="24"/>
              </w:rPr>
              <w:t>计分条件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黑体" w:cs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黑体" w:cs="仿宋"/>
                <w:snapToGrid w:val="0"/>
                <w:kern w:val="0"/>
                <w:sz w:val="24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一、减贫成效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建档立卡贫困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人口减少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计划完成率（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计划完成率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100%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者得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分，每多增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个百分点加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分，最高分为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分，每少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个百分点减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分，最低分为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扶贫开发信息系统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贫困村退出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计划完成率（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如期完成贫困村退出，得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分；贫困村少完成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个扣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分，最低分为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）提供（退出计划和完成情况）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农村居民收入增长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农村居民收入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增长率（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农村居民人均可支配收入增长率达到全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农村居民人均可支配收入增长率者得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分，每多增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个百分点加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分，最高分为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分，每少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个百分点减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分，最低分为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二、精准识别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贫困人口识别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准确率（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得分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准确率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*4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分（最低分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分，最高分为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第三方评估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贫困人口退出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准确率（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得分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准确率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*4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分（最低分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分，最高分为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第三方评估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三、精准施策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到村到户帮扶工作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群众满意度（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得分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群众满意度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*3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分（最低分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分，最高分为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第三方评估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四、重点工作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国定、省定贫困人口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造福工程搬迁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任务完成率（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任务完成率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100%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者得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分，国定贫困人口搬迁每多增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个百分点加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，每少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个百分点减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分；省定贫困人口搬迁每多增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个百分点加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分，每少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个百分点减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分，最高分为15分，最低分为</w:t>
            </w:r>
            <w:r>
              <w:rPr>
                <w:rFonts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spacing w:val="-2"/>
                <w:kern w:val="0"/>
                <w:sz w:val="21"/>
                <w:szCs w:val="21"/>
              </w:rPr>
              <w:t>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农业局（农办）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扶贫小额信贷担保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任务完成率（%）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任务完成率100%者得4分，每少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个百分点减0.5分，最低分为0分。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农业局（农办）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公益性岗位就业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就业率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（%）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就业率达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100%者得4分，每少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个百分点减0.5分，最低分为0分。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各乡（镇）提供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光伏扶贫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参与率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（%）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贫困户参与率达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%者得4分，每少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个百分点减0.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分，最低分为0分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各乡（镇）提供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扶贫改革试验区建设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项目实施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完成率（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项目完成率</w:t>
            </w:r>
            <w:r>
              <w:rPr>
                <w:rFonts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100%</w:t>
            </w: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者得</w:t>
            </w:r>
            <w:r>
              <w:rPr>
                <w:rFonts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分，每少</w:t>
            </w:r>
            <w:r>
              <w:rPr>
                <w:rFonts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个百分点减</w:t>
            </w:r>
            <w:r>
              <w:rPr>
                <w:rFonts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分，最低分为</w:t>
            </w:r>
            <w:r>
              <w:rPr>
                <w:rFonts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spacing w:val="-4"/>
                <w:kern w:val="0"/>
                <w:sz w:val="21"/>
                <w:szCs w:val="21"/>
              </w:rPr>
              <w:t>分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农业局（农办）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五、扶贫资金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使用管理成效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绩效考评结果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得分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=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考核分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/100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财政局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农业局（农办）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六、组织领导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重视程度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机构建立及运行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成立乡扶贫办并按要求配备人员的得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分，每少成立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个减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0.5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分；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级扶贫办日常工作运转正常的得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分，不报或推迟上报报表或相关材料的酌情减分，最低分为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分。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委组织部</w:t>
            </w:r>
          </w:p>
          <w:p>
            <w:pPr>
              <w:spacing w:line="26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农业局（农办）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七、其它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加分项目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迎检完成情况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5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_GB2312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完成市级检查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val="en-US" w:eastAsia="zh-CN"/>
              </w:rPr>
              <w:t>1次，得0.3分，最高1.5分；完成省级以上检查1次，得0.5分，最高2分。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  <w:lang w:eastAsia="zh-CN"/>
              </w:rPr>
              <w:t>县扶贫办、各乡（镇）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总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cs="仿宋"/>
                <w:snapToGrid w:val="0"/>
                <w:kern w:val="0"/>
                <w:sz w:val="21"/>
                <w:szCs w:val="21"/>
              </w:rPr>
              <w:t>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instrText xml:space="preserve"> =SUM(ABOVE) \* MERGEFORMAT </w:instrTex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t>100</w:t>
            </w:r>
            <w:r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95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cs="仿宋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jc w:val="both"/>
    </w:pPr>
    <w:rPr>
      <w:rFonts w:ascii="Arial Narrow" w:hAnsi="Arial Narrow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^O^</cp:lastModifiedBy>
  <dcterms:modified xsi:type="dcterms:W3CDTF">2018-11-28T02:55:02Z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