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pacing w:line="560" w:lineRule="exact"/>
        <w:textAlignment w:val="auto"/>
        <w:rPr>
          <w:rFonts w:hint="default" w:ascii="宋体" w:hAnsi="宋体" w:eastAsia="黑体" w:cs="黑体"/>
          <w:color w:val="auto"/>
          <w:sz w:val="32"/>
          <w:szCs w:val="32"/>
          <w:highlight w:val="none"/>
          <w:u w:val="none"/>
          <w:lang w:val="en-US" w:eastAsia="zh-CN"/>
        </w:rPr>
      </w:pPr>
      <w:r>
        <w:rPr>
          <w:rFonts w:hint="eastAsia" w:ascii="宋体" w:hAnsi="宋体" w:eastAsia="黑体" w:cs="黑体"/>
          <w:color w:val="auto"/>
          <w:sz w:val="32"/>
          <w:szCs w:val="32"/>
          <w:highlight w:val="none"/>
          <w:u w:val="none"/>
        </w:rPr>
        <w:t>附件</w:t>
      </w:r>
      <w:r>
        <w:rPr>
          <w:rFonts w:hint="eastAsia" w:ascii="宋体" w:hAnsi="宋体" w:eastAsia="黑体" w:cs="黑体"/>
          <w:color w:val="auto"/>
          <w:sz w:val="32"/>
          <w:szCs w:val="32"/>
          <w:highlight w:val="none"/>
          <w:u w:val="none"/>
          <w:lang w:val="en-US" w:eastAsia="zh-CN"/>
        </w:rPr>
        <w:t>7</w:t>
      </w:r>
    </w:p>
    <w:tbl>
      <w:tblPr>
        <w:tblStyle w:val="9"/>
        <w:tblW w:w="14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3"/>
        <w:gridCol w:w="1749"/>
        <w:gridCol w:w="1259"/>
        <w:gridCol w:w="4827"/>
        <w:gridCol w:w="3680"/>
        <w:gridCol w:w="1266"/>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18766" w:type="dxa"/>
            <w:gridSpan w:val="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宋体" w:hAnsi="宋体" w:eastAsia="方正小标宋简体" w:cs="方正小标宋简体"/>
                <w:i w:val="0"/>
                <w:color w:val="000000"/>
                <w:sz w:val="36"/>
                <w:szCs w:val="36"/>
                <w:u w:val="none"/>
              </w:rPr>
            </w:pPr>
            <w:r>
              <w:rPr>
                <w:rFonts w:hint="eastAsia" w:ascii="宋体" w:hAnsi="宋体" w:eastAsia="方正小标宋简体" w:cs="方正小标宋简体"/>
                <w:i w:val="0"/>
                <w:color w:val="000000"/>
                <w:kern w:val="0"/>
                <w:sz w:val="36"/>
                <w:szCs w:val="36"/>
                <w:u w:val="none"/>
                <w:lang w:val="en-US" w:eastAsia="zh-CN" w:bidi="ar"/>
              </w:rPr>
              <w:t>三明巡游出租汽车电动化运营补贴考评明细表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18766" w:type="dxa"/>
            <w:gridSpan w:val="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考核内容</w:t>
            </w:r>
          </w:p>
        </w:tc>
        <w:tc>
          <w:tcPr>
            <w:tcW w:w="1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分值</w:t>
            </w:r>
          </w:p>
        </w:tc>
        <w:tc>
          <w:tcPr>
            <w:tcW w:w="63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考核指标</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自评佐证材料</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自评得分</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4"/>
                <w:szCs w:val="24"/>
                <w:u w:val="none"/>
              </w:rPr>
            </w:pPr>
            <w:r>
              <w:rPr>
                <w:rFonts w:hint="eastAsia" w:ascii="宋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地方扶持政策情况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各县（市、区）出台并落实新能源巡游出租汽车运营补助扶持政策的，得100分;已出台但未落实的，扣50分;未出台的，不得分。</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新能源巡游出租汽车运营补助扶持政策文件及落实佐证。</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巡游出租汽车情况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根据实际车辆数得分</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各县（市、区）根据考核年度内巡游出租汽车数量计算得分，每辆车得0.1分。</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考核年度道路运输行业统计年鉴中巡游出租汽车数量。</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新能源汽车推广应用情况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各县（市、区）考核年度内巡游出租汽车新增或更新车辆中新能源汽车比例不低于80%的，得200分，每低于1%的，扣10分，本项扣完为止。</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考核年度新增更新的巡游出租汽车明细表及行驶证、运输证复印件。</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改革组织领导情况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各县（市、区）已建立深化出租汽车行业改革或交通运输新业态协同监管的多部门联合工作机制的，得100分;未建立的，不得分。</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建立深化出租汽车行业改革相关证明材料或交通运输新业态协同监管多部门联合工作机制政策文件。</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运价动态调整情况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各县（市、区）已实施巡游出租汽车运价政府指导价或动态调整机制的，得100分;未实施的，不得分。</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巡游出租汽车运价政府指导价或动态调整政策文件。</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黑体" w:cs="黑体"/>
                <w:i w:val="0"/>
                <w:color w:val="000000"/>
                <w:kern w:val="0"/>
                <w:sz w:val="24"/>
                <w:szCs w:val="24"/>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黑体" w:cs="黑体"/>
                <w:i w:val="0"/>
                <w:color w:val="000000"/>
                <w:kern w:val="0"/>
                <w:sz w:val="24"/>
                <w:szCs w:val="24"/>
                <w:u w:val="none"/>
                <w:lang w:val="en-US" w:eastAsia="zh-CN" w:bidi="ar"/>
              </w:rPr>
              <w:t>考核内容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黑体" w:cs="黑体"/>
                <w:i w:val="0"/>
                <w:color w:val="000000"/>
                <w:kern w:val="0"/>
                <w:sz w:val="24"/>
                <w:szCs w:val="24"/>
                <w:u w:val="none"/>
                <w:lang w:val="en-US" w:eastAsia="zh-CN" w:bidi="ar"/>
              </w:rPr>
              <w:t>分值</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黑体" w:cs="黑体"/>
                <w:i w:val="0"/>
                <w:color w:val="000000"/>
                <w:kern w:val="0"/>
                <w:sz w:val="24"/>
                <w:szCs w:val="24"/>
                <w:u w:val="none"/>
                <w:lang w:val="en-US" w:eastAsia="zh-CN" w:bidi="ar"/>
              </w:rPr>
              <w:t>考核指标</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黑体" w:cs="黑体"/>
                <w:i w:val="0"/>
                <w:color w:val="000000"/>
                <w:kern w:val="0"/>
                <w:sz w:val="24"/>
                <w:szCs w:val="24"/>
                <w:u w:val="none"/>
                <w:lang w:val="en-US" w:eastAsia="zh-CN" w:bidi="ar"/>
              </w:rPr>
              <w:t>自评佐证材料</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黑体" w:cs="黑体"/>
                <w:i w:val="0"/>
                <w:color w:val="000000"/>
                <w:kern w:val="0"/>
                <w:sz w:val="24"/>
                <w:szCs w:val="24"/>
                <w:u w:val="none"/>
                <w:lang w:val="en-US" w:eastAsia="zh-CN" w:bidi="ar"/>
              </w:rPr>
              <w:t>自评得分</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行业文明创建情况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各县（市、区）组织开展出租汽车行业文明创建活动或优秀典型推选宣传活动并建立和落实奖励机制的，得100分;未开展的，不得分。</w:t>
            </w:r>
          </w:p>
        </w:tc>
        <w:tc>
          <w:tcPr>
            <w:tcW w:w="4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组织开展出租汽车行业文明创建活动或优秀典型推选宣传活动文件。</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行业信用监管情况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各县（市、区）将出租汽车纳入本地信用体系实施监管的，得100分;未纳入的，不得分。</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将出租汽车纳入本地信用体系实施监管的佐证。</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行业稳定情况</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37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区）出现大规模的停运罢运和极端冲突事件、大规模司机聚集上访事件、进京上访事件、网上大规模传谣信谣的恶性事件等不稳定现象，只要发生一次，扣150分；出租汽车企业屡次违法违规，被行业管理部门约谈后，拒不整改的，引发群体性事件的，扣150分。</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由市级交通运输局根据考核年度全市出租汽车行业信访维稳工作情况进行考核。</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5904"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合计得分 </w:t>
            </w:r>
          </w:p>
        </w:tc>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1002.6</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8766" w:type="dxa"/>
            <w:gridSpan w:val="7"/>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bl>
    <w:p>
      <w:pPr>
        <w:rPr>
          <w:rFonts w:hint="eastAsia" w:ascii="宋体" w:hAnsi="宋体" w:eastAsia="黑体" w:cs="黑体"/>
          <w:color w:val="auto"/>
          <w:sz w:val="32"/>
          <w:szCs w:val="32"/>
          <w:highlight w:val="none"/>
          <w:u w:val="none"/>
          <w:lang w:val="en-US" w:eastAsia="zh-CN"/>
        </w:rPr>
        <w:sectPr>
          <w:headerReference r:id="rId3" w:type="default"/>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type="lines" w:linePitch="436" w:charSpace="0"/>
        </w:sectPr>
      </w:pPr>
    </w:p>
    <w:p>
      <w:pPr>
        <w:keepNext w:val="0"/>
        <w:keepLines w:val="0"/>
        <w:pageBreakBefore w:val="0"/>
        <w:widowControl w:val="0"/>
        <w:kinsoku/>
        <w:wordWrap/>
        <w:overflowPunct w:val="0"/>
        <w:topLinePunct/>
        <w:autoSpaceDE/>
        <w:autoSpaceDN/>
        <w:bidi w:val="0"/>
        <w:adjustRightInd/>
        <w:snapToGrid/>
        <w:spacing w:line="20" w:lineRule="exact"/>
        <w:jc w:val="left"/>
        <w:textAlignment w:val="auto"/>
        <w:rPr>
          <w:rFonts w:hint="eastAsia" w:ascii="仿宋_GB2312" w:hAnsi="仿宋_GB2312" w:eastAsia="仿宋_GB2312" w:cs="仿宋_GB2312"/>
          <w:sz w:val="28"/>
          <w:szCs w:val="28"/>
          <w:lang w:val="en-US" w:eastAsia="zh-CN"/>
        </w:rPr>
      </w:pPr>
      <w:bookmarkStart w:id="0" w:name="_GoBack"/>
      <w:bookmarkEnd w:id="0"/>
    </w:p>
    <w:sectPr>
      <w:pgSz w:w="11906" w:h="16838"/>
      <w:pgMar w:top="1440" w:right="1463" w:bottom="1440" w:left="1803" w:header="851" w:footer="992" w:gutter="0"/>
      <w:pgBorders>
        <w:top w:val="none" w:sz="0" w:space="0"/>
        <w:left w:val="none" w:sz="0" w:space="0"/>
        <w:bottom w:val="none" w:sz="0" w:space="0"/>
        <w:right w:val="none" w:sz="0" w:space="0"/>
      </w:pgBorders>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utkaAgAAIQ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ekWJZgojOv34fvr5cPr1jbyJ8LTWz2C1sbAL3TvTYczDv8dn7Lqr&#10;nIo3+iHQA+jjBVzRBcKj03QyneZQceiGB+Jnj+7W+fBeGEWiUFCH6SVQ2WHtQ286mMRs2qwaKdME&#10;pSYtWnj9Nk8OFw2CSx1tReLCOUxsqS89SqHbduc+t6Y8ok1nep54y1cNSlkzH+6ZAzFQPsge7nBU&#10;0iClOUuU1MZ9/dt/tMe8oKWkBdEKqrEJlMgPGnOMnBwENwjbQdB7dWPA3DGWyPIkwsEFOYiVM+oL&#10;NmAZc0DFNEemgoZBvAk92bFBXCyXyWhvXbOrewew0LKw1hvLY5oIlbfLfQC0CfEIUI8KJhUf4GGa&#10;2XlnItGfvpPV42Y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H/i62R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YzM5NDFlNDBkNDJiZWFmODhiOWUwOThhMzA0MTAifQ=="/>
  </w:docVars>
  <w:rsids>
    <w:rsidRoot w:val="00000000"/>
    <w:rsid w:val="01813237"/>
    <w:rsid w:val="01881A11"/>
    <w:rsid w:val="034F468C"/>
    <w:rsid w:val="08332039"/>
    <w:rsid w:val="08E165BA"/>
    <w:rsid w:val="0F5C1497"/>
    <w:rsid w:val="11B62C85"/>
    <w:rsid w:val="12812651"/>
    <w:rsid w:val="170343C3"/>
    <w:rsid w:val="1A994595"/>
    <w:rsid w:val="1AD74E79"/>
    <w:rsid w:val="200C667B"/>
    <w:rsid w:val="24C20196"/>
    <w:rsid w:val="28D23F32"/>
    <w:rsid w:val="2A725EFD"/>
    <w:rsid w:val="2D831A8E"/>
    <w:rsid w:val="32166596"/>
    <w:rsid w:val="334A6F97"/>
    <w:rsid w:val="3E2F0A97"/>
    <w:rsid w:val="447C6021"/>
    <w:rsid w:val="4EDD7CB3"/>
    <w:rsid w:val="5AE043E2"/>
    <w:rsid w:val="5B4A342D"/>
    <w:rsid w:val="5E0052F9"/>
    <w:rsid w:val="6C9627FC"/>
    <w:rsid w:val="6D6C70A1"/>
    <w:rsid w:val="72271ADB"/>
    <w:rsid w:val="72F4575B"/>
    <w:rsid w:val="75FDBE54"/>
    <w:rsid w:val="7FAC0A2E"/>
    <w:rsid w:val="EFBF7E73"/>
    <w:rsid w:val="EFD95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4"/>
    <w:unhideWhenUsed/>
    <w:qFormat/>
    <w:uiPriority w:val="99"/>
    <w:pPr>
      <w:spacing w:after="120"/>
    </w:pPr>
  </w:style>
  <w:style w:type="paragraph" w:customStyle="1" w:styleId="4">
    <w:name w:val="Body Text First Indent1"/>
    <w:basedOn w:val="5"/>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5">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6">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7">
    <w:name w:val="header"/>
    <w:basedOn w:val="1"/>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Body Text First Indent 2"/>
    <w:basedOn w:val="6"/>
    <w:next w:val="3"/>
    <w:unhideWhenUsed/>
    <w:qFormat/>
    <w:uiPriority w:val="99"/>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2023-11-05T08:27:00Z</dcterms:created>
  <dc:creator>Administrator</dc:creator>
  <cp:lastModifiedBy>Administrator</cp:lastModifiedBy>
  <cp:lastPrinted>2024-01-30T00:24:00Z</cp:lastPrinted>
  <dcterms:modified xsi:type="dcterms:W3CDTF">2024-02-02T06:56:32Z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6D6A791CCB20443A9D0C39DE7DF472A1_13</vt:lpwstr>
  </property>
</Properties>
</file>