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w w:val="90"/>
          <w:sz w:val="44"/>
          <w:szCs w:val="44"/>
          <w:lang w:val="en-US" w:eastAsia="zh-CN"/>
        </w:rPr>
      </w:pPr>
      <w:bookmarkStart w:id="0" w:name="_GoBack"/>
      <w:r>
        <w:rPr>
          <w:rFonts w:hint="eastAsia" w:ascii="方正小标宋简体" w:hAnsi="方正小标宋简体" w:eastAsia="方正小标宋简体" w:cs="方正小标宋简体"/>
          <w:color w:val="auto"/>
          <w:w w:val="90"/>
          <w:sz w:val="44"/>
          <w:szCs w:val="44"/>
          <w:lang w:val="en-US" w:eastAsia="zh-CN"/>
        </w:rPr>
        <w:t>明溪县</w:t>
      </w:r>
      <w:r>
        <w:rPr>
          <w:rFonts w:hint="eastAsia" w:ascii="方正小标宋简体" w:hAnsi="方正小标宋简体" w:eastAsia="方正小标宋简体" w:cs="方正小标宋简体"/>
          <w:color w:val="auto"/>
          <w:w w:val="90"/>
          <w:sz w:val="44"/>
          <w:szCs w:val="44"/>
        </w:rPr>
        <w:t>促进建筑业发展</w:t>
      </w:r>
      <w:r>
        <w:rPr>
          <w:rFonts w:hint="eastAsia" w:ascii="方正小标宋简体" w:hAnsi="方正小标宋简体" w:eastAsia="方正小标宋简体" w:cs="方正小标宋简体"/>
          <w:color w:val="auto"/>
          <w:w w:val="90"/>
          <w:sz w:val="44"/>
          <w:szCs w:val="44"/>
          <w:lang w:val="en-US" w:eastAsia="zh-CN"/>
        </w:rPr>
        <w:t>专项</w:t>
      </w:r>
      <w:r>
        <w:rPr>
          <w:rFonts w:hint="eastAsia" w:ascii="方正小标宋简体" w:hAnsi="方正小标宋简体" w:eastAsia="方正小标宋简体" w:cs="方正小标宋简体"/>
          <w:color w:val="auto"/>
          <w:w w:val="90"/>
          <w:sz w:val="44"/>
          <w:szCs w:val="44"/>
        </w:rPr>
        <w:t>资金</w:t>
      </w:r>
      <w:r>
        <w:rPr>
          <w:rFonts w:hint="eastAsia" w:ascii="方正小标宋简体" w:hAnsi="方正小标宋简体" w:eastAsia="方正小标宋简体" w:cs="方正小标宋简体"/>
          <w:color w:val="auto"/>
          <w:w w:val="90"/>
          <w:sz w:val="44"/>
          <w:szCs w:val="44"/>
          <w:lang w:val="en-US" w:eastAsia="zh-CN"/>
        </w:rPr>
        <w:t>管理办法（试行）</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推动我县建筑业持续健康高质量发展，进一步规范财政专项资金管理，严格资金申报、拨付、使用、监管流程，切实提高财政专项资金使用绩效，根据《明溪县促进建筑业高质量发展九条措施（修订）》（明政〔2021〕2号）精神，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楷体" w:hAnsi="楷体" w:eastAsia="楷体" w:cs="楷体"/>
          <w:b/>
          <w:bCs/>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本办法所称</w:t>
      </w:r>
      <w:r>
        <w:rPr>
          <w:rFonts w:hint="eastAsia" w:ascii="仿宋_GB2312" w:hAnsi="仿宋_GB2312" w:eastAsia="仿宋_GB2312" w:cs="仿宋_GB2312"/>
          <w:color w:val="auto"/>
          <w:sz w:val="32"/>
          <w:szCs w:val="32"/>
          <w:lang w:val="en-US" w:eastAsia="zh-CN"/>
        </w:rPr>
        <w:t>明溪县促进</w:t>
      </w:r>
      <w:r>
        <w:rPr>
          <w:rFonts w:hint="default" w:ascii="仿宋_GB2312" w:hAnsi="仿宋_GB2312" w:eastAsia="仿宋_GB2312" w:cs="仿宋_GB2312"/>
          <w:color w:val="auto"/>
          <w:sz w:val="32"/>
          <w:szCs w:val="32"/>
          <w:lang w:val="en-US" w:eastAsia="zh-CN"/>
        </w:rPr>
        <w:t>建筑业发展专项资金，是指由</w:t>
      </w:r>
      <w:r>
        <w:rPr>
          <w:rFonts w:hint="eastAsia" w:ascii="仿宋_GB2312" w:hAnsi="仿宋_GB2312" w:eastAsia="仿宋_GB2312" w:cs="仿宋_GB2312"/>
          <w:color w:val="auto"/>
          <w:sz w:val="32"/>
          <w:szCs w:val="32"/>
          <w:lang w:val="en-US" w:eastAsia="zh-CN"/>
        </w:rPr>
        <w:t>我县</w:t>
      </w:r>
      <w:r>
        <w:rPr>
          <w:rFonts w:hint="default" w:ascii="仿宋_GB2312" w:hAnsi="仿宋_GB2312" w:eastAsia="仿宋_GB2312" w:cs="仿宋_GB2312"/>
          <w:color w:val="auto"/>
          <w:sz w:val="32"/>
          <w:szCs w:val="32"/>
          <w:lang w:val="en-US" w:eastAsia="zh-CN"/>
        </w:rPr>
        <w:t>财政预算安排</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用于支持</w:t>
      </w:r>
      <w:r>
        <w:rPr>
          <w:rFonts w:hint="eastAsia" w:ascii="仿宋_GB2312" w:hAnsi="仿宋_GB2312" w:eastAsia="仿宋_GB2312" w:cs="仿宋_GB2312"/>
          <w:color w:val="auto"/>
          <w:sz w:val="32"/>
          <w:szCs w:val="32"/>
          <w:lang w:val="en-US" w:eastAsia="zh-CN"/>
        </w:rPr>
        <w:t>我县</w:t>
      </w:r>
      <w:r>
        <w:rPr>
          <w:rFonts w:hint="default" w:ascii="仿宋_GB2312" w:hAnsi="仿宋_GB2312" w:eastAsia="仿宋_GB2312" w:cs="仿宋_GB2312"/>
          <w:color w:val="auto"/>
          <w:sz w:val="32"/>
          <w:szCs w:val="32"/>
          <w:lang w:val="en-US" w:eastAsia="zh-CN"/>
        </w:rPr>
        <w:t>建筑业高质量发展的专项资金。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黑体" w:hAnsi="黑体" w:eastAsia="黑体" w:cs="黑体"/>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专项资金使用管理遵循“公开公正、择优支持、科学管理、讲求绩效、专款专用”的原则</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第二章 奖励的</w:t>
      </w:r>
      <w:r>
        <w:rPr>
          <w:rFonts w:hint="eastAsia" w:ascii="黑体" w:hAnsi="黑体" w:eastAsia="黑体" w:cs="黑体"/>
          <w:color w:val="auto"/>
          <w:sz w:val="32"/>
          <w:szCs w:val="32"/>
          <w:lang w:eastAsia="zh-CN"/>
        </w:rPr>
        <w:t>范围和</w:t>
      </w:r>
      <w:r>
        <w:rPr>
          <w:rFonts w:hint="eastAsia" w:ascii="黑体" w:hAnsi="黑体" w:eastAsia="黑体" w:cs="黑体"/>
          <w:color w:val="auto"/>
          <w:sz w:val="32"/>
          <w:szCs w:val="32"/>
        </w:rPr>
        <w:t>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在我县注册的具有独立法人资格、独立核算、独立纳税，并符合我县建筑业发展扶持政策的建筑业企业。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专项资金申报和兑现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楷体" w:hAnsi="楷体" w:eastAsia="楷体" w:cs="楷体"/>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专项资金申报时间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原则上每年年初集中申报一次，当年度的奖励或补助金由建筑业企业于次年年初提出申请，具体申报时间另行通知。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楷体" w:hAnsi="楷体" w:eastAsia="楷体" w:cs="楷体"/>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第六条 </w:t>
      </w:r>
      <w:r>
        <w:rPr>
          <w:rFonts w:hint="eastAsia" w:ascii="仿宋_GB2312" w:hAnsi="仿宋_GB2312" w:eastAsia="仿宋_GB2312" w:cs="仿宋_GB2312"/>
          <w:color w:val="auto"/>
          <w:sz w:val="32"/>
          <w:szCs w:val="32"/>
          <w:lang w:val="en-US" w:eastAsia="zh-CN"/>
        </w:rPr>
        <w:t>专项资金申报材料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（一）企业新入驻或晋升奖励申报材料</w:t>
      </w:r>
      <w:r>
        <w:rPr>
          <w:rFonts w:hint="eastAsia" w:ascii="仿宋_GB2312" w:hAnsi="仿宋_GB2312" w:eastAsia="仿宋_GB2312" w:cs="仿宋_GB2312"/>
          <w:b/>
          <w:bCs/>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1.申请报告；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2.营业执照复印件；资质证书复印件；安全生产许可证复印件；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3.企业纳税证明和完税证明电子凭证；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4.其他要提交的材料。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（二）办公经费奖励申报材料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1.申请报告；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2.建筑业产值证明材料；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3.其他要提交的材料。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（三）其他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县委、县政府确定的其他建筑业领域工作扶持资金，根据具体情况提交申报材料。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资金的审批和拨付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县住建局对企业申报的材料真实性进行初审后,</w:t>
      </w:r>
      <w:r>
        <w:rPr>
          <w:rFonts w:hint="eastAsia" w:ascii="仿宋_GB2312" w:hAnsi="仿宋_GB2312" w:eastAsia="仿宋_GB2312" w:cs="仿宋_GB2312"/>
          <w:color w:val="auto"/>
          <w:sz w:val="32"/>
          <w:szCs w:val="32"/>
        </w:rPr>
        <w:t>提出奖励方案报县政府</w:t>
      </w:r>
      <w:r>
        <w:rPr>
          <w:rFonts w:hint="eastAsia" w:ascii="仿宋_GB2312" w:hAnsi="仿宋_GB2312" w:eastAsia="仿宋_GB2312" w:cs="仿宋_GB2312"/>
          <w:color w:val="auto"/>
          <w:sz w:val="32"/>
          <w:szCs w:val="32"/>
          <w:lang w:eastAsia="zh-CN"/>
        </w:rPr>
        <w:t>常务会</w:t>
      </w:r>
      <w:r>
        <w:rPr>
          <w:rFonts w:hint="eastAsia" w:ascii="仿宋_GB2312" w:hAnsi="仿宋_GB2312" w:eastAsia="仿宋_GB2312" w:cs="仿宋_GB2312"/>
          <w:color w:val="auto"/>
          <w:sz w:val="32"/>
          <w:szCs w:val="32"/>
        </w:rPr>
        <w:t>研究确定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并经公示</w:t>
      </w:r>
      <w:r>
        <w:rPr>
          <w:rFonts w:hint="eastAsia" w:ascii="仿宋_GB2312" w:hAnsi="仿宋_GB2312" w:eastAsia="仿宋_GB2312" w:cs="仿宋_GB2312"/>
          <w:color w:val="auto"/>
          <w:sz w:val="32"/>
          <w:szCs w:val="32"/>
          <w:lang w:val="en-US" w:eastAsia="zh-CN"/>
        </w:rPr>
        <w:t>5个工作日无异议后，县财政部门将奖励金拨付给县住建局，由县住建局负责兑现给企业。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专项资金管理与监督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建筑业发展</w:t>
      </w:r>
      <w:r>
        <w:rPr>
          <w:rFonts w:hint="eastAsia" w:ascii="仿宋_GB2312" w:hAnsi="仿宋_GB2312" w:eastAsia="仿宋_GB2312" w:cs="仿宋_GB2312"/>
          <w:color w:val="auto"/>
          <w:sz w:val="32"/>
          <w:szCs w:val="32"/>
          <w:lang w:val="en-US" w:eastAsia="zh-CN"/>
        </w:rPr>
        <w:t>专项</w:t>
      </w:r>
      <w:r>
        <w:rPr>
          <w:rFonts w:hint="default" w:ascii="仿宋_GB2312" w:hAnsi="仿宋_GB2312" w:eastAsia="仿宋_GB2312" w:cs="仿宋_GB2312"/>
          <w:color w:val="auto"/>
          <w:sz w:val="32"/>
          <w:szCs w:val="32"/>
          <w:lang w:val="en-US" w:eastAsia="zh-CN"/>
        </w:rPr>
        <w:t>资金必须专款专用，严禁挪用挤占，</w:t>
      </w:r>
      <w:r>
        <w:rPr>
          <w:rFonts w:hint="eastAsia" w:ascii="仿宋_GB2312" w:hAnsi="仿宋_GB2312" w:eastAsia="仿宋_GB2312" w:cs="仿宋_GB2312"/>
          <w:color w:val="auto"/>
          <w:sz w:val="32"/>
          <w:szCs w:val="32"/>
          <w:lang w:val="en-US" w:eastAsia="zh-CN"/>
        </w:rPr>
        <w:t>县住建局负责提出专项资金年度分配方案和组织实施，对专项资金使用情况进行监督检查、绩效管理等工作，</w:t>
      </w:r>
      <w:r>
        <w:rPr>
          <w:rFonts w:hint="default" w:ascii="仿宋_GB2312" w:hAnsi="仿宋_GB2312" w:eastAsia="仿宋_GB2312" w:cs="仿宋_GB2312"/>
          <w:color w:val="auto"/>
          <w:sz w:val="32"/>
          <w:szCs w:val="32"/>
          <w:lang w:val="en-US" w:eastAsia="zh-CN"/>
        </w:rPr>
        <w:t>同时接受审计、监察等部门的监督和检查。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第九条 </w:t>
      </w:r>
      <w:r>
        <w:rPr>
          <w:rFonts w:hint="eastAsia" w:ascii="仿宋_GB2312" w:hAnsi="仿宋_GB2312" w:eastAsia="仿宋_GB2312" w:cs="仿宋_GB2312"/>
          <w:color w:val="auto"/>
          <w:sz w:val="32"/>
          <w:szCs w:val="32"/>
          <w:lang w:val="en-US" w:eastAsia="zh-CN"/>
        </w:rPr>
        <w:t>对存在以虚报、冒领等手段骗取专项资金或擅自改变专项资金用途等违反财经法律法规行为的企业和个人，一经发现，将根据相关法律法规进行处理，涉嫌犯罪的，移送司法机关查处。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本办法由</w:t>
      </w:r>
      <w:r>
        <w:rPr>
          <w:rFonts w:hint="eastAsia" w:ascii="仿宋_GB2312" w:hAnsi="仿宋_GB2312" w:eastAsia="仿宋_GB2312" w:cs="仿宋_GB2312"/>
          <w:color w:val="auto"/>
          <w:sz w:val="32"/>
          <w:szCs w:val="32"/>
          <w:lang w:val="en-US" w:eastAsia="zh-CN"/>
        </w:rPr>
        <w:t>县</w:t>
      </w:r>
      <w:r>
        <w:rPr>
          <w:rFonts w:hint="default" w:ascii="仿宋_GB2312" w:hAnsi="仿宋_GB2312" w:eastAsia="仿宋_GB2312" w:cs="仿宋_GB2312"/>
          <w:color w:val="auto"/>
          <w:sz w:val="32"/>
          <w:szCs w:val="32"/>
          <w:lang w:val="en-US" w:eastAsia="zh-CN"/>
        </w:rPr>
        <w:t>住建局负责解释。</w:t>
      </w:r>
    </w:p>
    <w:p>
      <w:r>
        <w:rPr>
          <w:rFonts w:hint="eastAsia" w:ascii="仿宋_GB2312" w:hAnsi="仿宋_GB2312" w:eastAsia="仿宋_GB2312" w:cs="仿宋_GB2312"/>
          <w:b/>
          <w:bCs/>
          <w:color w:val="auto"/>
          <w:sz w:val="32"/>
          <w:szCs w:val="32"/>
          <w:lang w:val="en-US" w:eastAsia="zh-CN"/>
        </w:rPr>
        <w:t xml:space="preserve">第十一条 </w:t>
      </w:r>
      <w:r>
        <w:rPr>
          <w:rFonts w:hint="default" w:ascii="仿宋_GB2312" w:hAnsi="仿宋_GB2312" w:eastAsia="仿宋_GB2312" w:cs="仿宋_GB2312"/>
          <w:color w:val="auto"/>
          <w:sz w:val="32"/>
          <w:szCs w:val="32"/>
          <w:lang w:val="en-US" w:eastAsia="zh-CN"/>
        </w:rPr>
        <w:t>本办法自</w:t>
      </w:r>
      <w:r>
        <w:rPr>
          <w:rFonts w:hint="eastAsia" w:ascii="仿宋_GB2312" w:hAnsi="仿宋_GB2312" w:eastAsia="仿宋_GB2312" w:cs="仿宋_GB2312"/>
          <w:color w:val="auto"/>
          <w:sz w:val="32"/>
          <w:szCs w:val="32"/>
          <w:lang w:val="en-US" w:eastAsia="zh-CN"/>
        </w:rPr>
        <w:t>印发之日</w:t>
      </w:r>
      <w:r>
        <w:rPr>
          <w:rFonts w:hint="default" w:ascii="仿宋_GB2312" w:hAnsi="仿宋_GB2312" w:eastAsia="仿宋_GB2312" w:cs="仿宋_GB2312"/>
          <w:color w:val="auto"/>
          <w:sz w:val="32"/>
          <w:szCs w:val="32"/>
          <w:lang w:val="en-US" w:eastAsia="zh-CN"/>
        </w:rPr>
        <w:t>起施行</w:t>
      </w:r>
      <w:r>
        <w:rPr>
          <w:rFonts w:hint="eastAsia" w:ascii="仿宋_GB2312" w:hAnsi="仿宋_GB2312" w:eastAsia="仿宋_GB2312" w:cs="仿宋_GB2312"/>
          <w:color w:val="auto"/>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A0D82"/>
    <w:multiLevelType w:val="singleLevel"/>
    <w:tmpl w:val="5D8A0D8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MDg4OWNiMGJkYTFiNTMxZTE2OTMwNGE1ZGIwYzMifQ=="/>
  </w:docVars>
  <w:rsids>
    <w:rsidRoot w:val="7DE639F9"/>
    <w:rsid w:val="7DE63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2022-06-01T02:00:00Z</dcterms:created>
  <dc:creator>芳</dc:creator>
  <cp:lastModifiedBy>芳</cp:lastModifiedBy>
  <dcterms:modified xsi:type="dcterms:W3CDTF">2022-06-01T02:01:35Z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0FA7557F2AA041C89750C495275C90FF</vt:lpwstr>
  </property>
</Properties>
</file>