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40" w:lineRule="exact"/>
        <w:jc w:val="center"/>
        <w:textAlignment w:val="auto"/>
        <w:rPr>
          <w:rFonts w:hint="eastAsia" w:ascii="方正小标宋简体" w:hAnsi="宋体" w:eastAsia="方正小标宋简体" w:cs="宋体"/>
          <w:sz w:val="36"/>
          <w:szCs w:val="36"/>
          <w:highlight w:val="none"/>
        </w:rPr>
      </w:pPr>
      <w:bookmarkStart w:id="0" w:name="_GoBack"/>
      <w:bookmarkEnd w:id="0"/>
      <w:r>
        <w:rPr>
          <w:rFonts w:hint="eastAsia" w:ascii="方正小标宋简体" w:hAnsi="宋体" w:eastAsia="方正小标宋简体" w:cs="宋体"/>
          <w:sz w:val="36"/>
          <w:szCs w:val="36"/>
          <w:highlight w:val="none"/>
        </w:rPr>
        <w:t>关于2023年明溪县本级决算</w:t>
      </w:r>
      <w:r>
        <w:rPr>
          <w:rFonts w:hint="eastAsia" w:ascii="方正小标宋简体" w:hAnsi="宋体" w:eastAsia="方正小标宋简体" w:cs="宋体"/>
          <w:sz w:val="36"/>
          <w:szCs w:val="36"/>
          <w:highlight w:val="none"/>
          <w:lang w:eastAsia="zh-CN"/>
        </w:rPr>
        <w:t>（草案）</w:t>
      </w:r>
      <w:r>
        <w:rPr>
          <w:rFonts w:hint="eastAsia" w:ascii="方正小标宋简体" w:hAnsi="宋体" w:eastAsia="方正小标宋简体" w:cs="宋体"/>
          <w:sz w:val="36"/>
          <w:szCs w:val="36"/>
          <w:highlight w:val="none"/>
        </w:rPr>
        <w:t>和</w:t>
      </w:r>
    </w:p>
    <w:p>
      <w:pPr>
        <w:keepNext w:val="0"/>
        <w:keepLines w:val="0"/>
        <w:pageBreakBefore w:val="0"/>
        <w:widowControl w:val="0"/>
        <w:kinsoku/>
        <w:wordWrap/>
        <w:overflowPunct/>
        <w:topLinePunct w:val="0"/>
        <w:autoSpaceDE/>
        <w:autoSpaceDN/>
        <w:bidi w:val="0"/>
        <w:spacing w:line="540" w:lineRule="exact"/>
        <w:jc w:val="center"/>
        <w:textAlignment w:val="auto"/>
        <w:rPr>
          <w:rFonts w:hint="eastAsia" w:ascii="方正小标宋简体" w:hAnsi="宋体" w:eastAsia="方正小标宋简体" w:cs="宋体"/>
          <w:sz w:val="36"/>
          <w:szCs w:val="36"/>
          <w:highlight w:val="none"/>
        </w:rPr>
      </w:pPr>
      <w:r>
        <w:rPr>
          <w:rFonts w:hint="eastAsia" w:ascii="方正小标宋简体" w:hAnsi="宋体" w:eastAsia="方正小标宋简体" w:cs="宋体"/>
          <w:sz w:val="36"/>
          <w:szCs w:val="36"/>
          <w:highlight w:val="none"/>
        </w:rPr>
        <w:t>2021-2023年财政科学技术支出情况的报告</w:t>
      </w:r>
    </w:p>
    <w:p>
      <w:pPr>
        <w:keepNext w:val="0"/>
        <w:keepLines w:val="0"/>
        <w:pageBreakBefore w:val="0"/>
        <w:widowControl w:val="0"/>
        <w:kinsoku/>
        <w:wordWrap/>
        <w:overflowPunct/>
        <w:topLinePunct w:val="0"/>
        <w:autoSpaceDE/>
        <w:autoSpaceDN/>
        <w:bidi w:val="0"/>
        <w:spacing w:line="540" w:lineRule="exact"/>
        <w:jc w:val="center"/>
        <w:textAlignment w:val="auto"/>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spacing w:line="5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--2024年7月30日在明溪县第十八届人民代表大会</w:t>
      </w:r>
    </w:p>
    <w:p>
      <w:pPr>
        <w:keepNext w:val="0"/>
        <w:keepLines w:val="0"/>
        <w:pageBreakBefore w:val="0"/>
        <w:widowControl w:val="0"/>
        <w:kinsoku/>
        <w:wordWrap/>
        <w:overflowPunct/>
        <w:topLinePunct w:val="0"/>
        <w:autoSpaceDE/>
        <w:autoSpaceDN/>
        <w:bidi w:val="0"/>
        <w:spacing w:line="5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常务委员会第二十六次会议上</w:t>
      </w:r>
    </w:p>
    <w:p>
      <w:pPr>
        <w:pStyle w:val="2"/>
        <w:keepNext w:val="0"/>
        <w:keepLines w:val="0"/>
        <w:pageBreakBefore w:val="0"/>
        <w:widowControl w:val="0"/>
        <w:kinsoku/>
        <w:wordWrap/>
        <w:topLinePunct w:val="0"/>
        <w:autoSpaceDE/>
        <w:autoSpaceDN/>
        <w:bidi w:val="0"/>
        <w:spacing w:line="54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明溪县财政局局长  张扬伟</w:t>
      </w:r>
    </w:p>
    <w:p>
      <w:pPr>
        <w:keepNext w:val="0"/>
        <w:keepLines w:val="0"/>
        <w:pageBreakBefore w:val="0"/>
        <w:widowControl w:val="0"/>
        <w:kinsoku/>
        <w:wordWrap/>
        <w:overflowPunct/>
        <w:topLinePunct w:val="0"/>
        <w:autoSpaceDE/>
        <w:autoSpaceDN/>
        <w:bidi w:val="0"/>
        <w:snapToGrid/>
        <w:spacing w:line="540" w:lineRule="exact"/>
        <w:textAlignment w:val="auto"/>
        <w:rPr>
          <w:rFonts w:hint="eastAsia" w:ascii="黑体" w:hAnsi="黑体" w:eastAsia="黑体" w:cs="黑体"/>
          <w:bCs/>
          <w:sz w:val="32"/>
          <w:szCs w:val="32"/>
          <w:highlight w:val="none"/>
          <w:lang w:eastAsia="zh-CN"/>
        </w:rPr>
      </w:pPr>
    </w:p>
    <w:p>
      <w:pPr>
        <w:keepNext w:val="0"/>
        <w:keepLines w:val="0"/>
        <w:pageBreakBefore w:val="0"/>
        <w:widowControl w:val="0"/>
        <w:kinsoku/>
        <w:wordWrap/>
        <w:overflowPunct/>
        <w:topLinePunct w:val="0"/>
        <w:autoSpaceDE/>
        <w:autoSpaceDN/>
        <w:bidi w:val="0"/>
        <w:spacing w:line="540" w:lineRule="exact"/>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主任、各位副主任、各位委员：</w:t>
      </w:r>
    </w:p>
    <w:p>
      <w:pPr>
        <w:keepNext w:val="0"/>
        <w:keepLines w:val="0"/>
        <w:pageBreakBefore w:val="0"/>
        <w:widowControl w:val="0"/>
        <w:kinsoku/>
        <w:wordWrap/>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color w:val="auto"/>
          <w:kern w:val="2"/>
          <w:sz w:val="32"/>
          <w:szCs w:val="32"/>
          <w:lang w:val="en-US"/>
        </w:rPr>
      </w:pPr>
      <w:r>
        <w:rPr>
          <w:rFonts w:hint="eastAsia" w:ascii="仿宋_GB2312" w:hAnsi="宋体" w:eastAsia="仿宋_GB2312"/>
          <w:snapToGrid w:val="0"/>
          <w:kern w:val="0"/>
          <w:sz w:val="32"/>
          <w:szCs w:val="32"/>
          <w:lang w:eastAsia="zh-CN"/>
        </w:rPr>
        <w:t>我</w:t>
      </w:r>
      <w:r>
        <w:rPr>
          <w:rFonts w:hint="eastAsia" w:ascii="仿宋_GB2312" w:hAnsi="宋体" w:eastAsia="仿宋_GB2312"/>
          <w:snapToGrid w:val="0"/>
          <w:kern w:val="0"/>
          <w:sz w:val="32"/>
          <w:szCs w:val="32"/>
        </w:rPr>
        <w:t>受</w:t>
      </w:r>
      <w:r>
        <w:rPr>
          <w:rFonts w:hint="eastAsia" w:ascii="仿宋_GB2312" w:hAnsi="宋体" w:eastAsia="仿宋_GB2312"/>
          <w:snapToGrid w:val="0"/>
          <w:kern w:val="0"/>
          <w:sz w:val="32"/>
          <w:szCs w:val="32"/>
          <w:lang w:eastAsia="zh-CN"/>
        </w:rPr>
        <w:t>明溪县</w:t>
      </w:r>
      <w:r>
        <w:rPr>
          <w:rFonts w:hint="eastAsia" w:ascii="仿宋_GB2312" w:hAnsi="宋体" w:eastAsia="仿宋_GB2312"/>
          <w:snapToGrid w:val="0"/>
          <w:kern w:val="0"/>
          <w:sz w:val="32"/>
          <w:szCs w:val="32"/>
        </w:rPr>
        <w:t>人民政府委托，</w:t>
      </w:r>
      <w:r>
        <w:rPr>
          <w:rFonts w:hint="eastAsia" w:ascii="仿宋_GB2312" w:hAnsi="宋体" w:eastAsia="仿宋_GB2312"/>
          <w:snapToGrid w:val="0"/>
          <w:kern w:val="0"/>
          <w:sz w:val="32"/>
          <w:szCs w:val="32"/>
          <w:lang w:eastAsia="zh-CN"/>
        </w:rPr>
        <w:t>现将</w:t>
      </w:r>
      <w:r>
        <w:rPr>
          <w:rFonts w:hint="eastAsia" w:ascii="仿宋_GB2312" w:hAnsi="宋体" w:eastAsia="仿宋_GB2312"/>
          <w:snapToGrid w:val="0"/>
          <w:kern w:val="0"/>
          <w:sz w:val="32"/>
          <w:szCs w:val="32"/>
        </w:rPr>
        <w:t>2023年明溪县本级决算（草案）和2021-2023年财政科学技术支出情况</w:t>
      </w:r>
      <w:r>
        <w:rPr>
          <w:rFonts w:hint="eastAsia" w:ascii="仿宋_GB2312" w:hAnsi="宋体" w:eastAsia="仿宋_GB2312"/>
          <w:snapToGrid w:val="0"/>
          <w:kern w:val="0"/>
          <w:sz w:val="32"/>
          <w:szCs w:val="32"/>
          <w:lang w:eastAsia="zh-CN"/>
        </w:rPr>
        <w:t>报告如下</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eastAsia="zh-CN"/>
        </w:rPr>
        <w:t>一、</w:t>
      </w:r>
      <w:r>
        <w:rPr>
          <w:rFonts w:hint="eastAsia" w:ascii="黑体" w:hAnsi="黑体" w:eastAsia="黑体" w:cs="黑体"/>
          <w:bCs/>
          <w:sz w:val="32"/>
          <w:szCs w:val="32"/>
          <w:highlight w:val="none"/>
          <w:lang w:val="en-US" w:eastAsia="zh-CN"/>
        </w:rPr>
        <w:t>2023年财政收支情况</w:t>
      </w:r>
    </w:p>
    <w:p>
      <w:pPr>
        <w:keepNext w:val="0"/>
        <w:keepLines w:val="0"/>
        <w:pageBreakBefore w:val="0"/>
        <w:widowControl w:val="0"/>
        <w:kinsoku/>
        <w:wordWrap/>
        <w:overflowPunct/>
        <w:topLinePunct w:val="0"/>
        <w:autoSpaceDE/>
        <w:autoSpaceDN/>
        <w:bidi w:val="0"/>
        <w:spacing w:line="540" w:lineRule="exact"/>
        <w:ind w:left="643" w:right="0" w:rightChars="0"/>
        <w:textAlignment w:val="auto"/>
        <w:rPr>
          <w:rFonts w:hint="eastAsia" w:ascii="楷体_GB2312" w:hAnsi="楷体_GB2312" w:eastAsia="楷体_GB2312" w:cs="楷体_GB2312"/>
          <w:b w:val="0"/>
          <w:bCs/>
          <w:color w:val="auto"/>
          <w:sz w:val="32"/>
          <w:szCs w:val="32"/>
        </w:rPr>
      </w:pPr>
      <w:r>
        <w:rPr>
          <w:rFonts w:hint="eastAsia" w:ascii="楷体_GB2312" w:hAnsi="楷体_GB2312" w:eastAsia="楷体_GB2312" w:cs="楷体_GB2312"/>
          <w:b w:val="0"/>
          <w:bCs/>
          <w:color w:val="auto"/>
          <w:sz w:val="32"/>
          <w:szCs w:val="32"/>
        </w:rPr>
        <w:t>（一）</w:t>
      </w:r>
      <w:r>
        <w:rPr>
          <w:rFonts w:hint="eastAsia" w:ascii="楷体_GB2312" w:hAnsi="楷体_GB2312" w:eastAsia="楷体_GB2312" w:cs="楷体_GB2312"/>
          <w:b w:val="0"/>
          <w:bCs/>
          <w:color w:val="auto"/>
          <w:sz w:val="32"/>
          <w:szCs w:val="32"/>
          <w:lang w:eastAsia="zh-CN"/>
        </w:rPr>
        <w:t>一般公共预算</w:t>
      </w:r>
      <w:r>
        <w:rPr>
          <w:rFonts w:hint="eastAsia" w:ascii="楷体_GB2312" w:hAnsi="楷体_GB2312" w:eastAsia="楷体_GB2312" w:cs="楷体_GB2312"/>
          <w:b w:val="0"/>
          <w:bCs/>
          <w:color w:val="auto"/>
          <w:sz w:val="32"/>
          <w:szCs w:val="32"/>
        </w:rPr>
        <w:t>收支完成情况</w:t>
      </w:r>
    </w:p>
    <w:p>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1.收入完成情况</w:t>
      </w:r>
    </w:p>
    <w:p>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2023</w:t>
      </w:r>
      <w:r>
        <w:rPr>
          <w:rFonts w:hint="eastAsia" w:ascii="仿宋_GB2312" w:hAnsi="仿宋_GB2312" w:eastAsia="仿宋_GB2312" w:cs="仿宋_GB2312"/>
          <w:color w:val="auto"/>
          <w:sz w:val="32"/>
          <w:szCs w:val="32"/>
        </w:rPr>
        <w:t>年，全县</w:t>
      </w:r>
      <w:r>
        <w:rPr>
          <w:rFonts w:hint="eastAsia" w:ascii="仿宋_GB2312" w:hAnsi="仿宋_GB2312" w:eastAsia="仿宋_GB2312" w:cs="仿宋_GB2312"/>
          <w:color w:val="auto"/>
          <w:sz w:val="32"/>
          <w:szCs w:val="32"/>
          <w:lang w:eastAsia="zh-CN"/>
        </w:rPr>
        <w:t>一般</w:t>
      </w:r>
      <w:r>
        <w:rPr>
          <w:rFonts w:hint="eastAsia" w:ascii="仿宋_GB2312" w:hAnsi="仿宋_GB2312" w:eastAsia="仿宋_GB2312" w:cs="仿宋_GB2312"/>
          <w:color w:val="auto"/>
          <w:sz w:val="32"/>
          <w:szCs w:val="32"/>
        </w:rPr>
        <w:t>公共</w:t>
      </w:r>
      <w:r>
        <w:rPr>
          <w:rFonts w:hint="eastAsia" w:ascii="仿宋_GB2312" w:hAnsi="仿宋_GB2312" w:eastAsia="仿宋_GB2312" w:cs="仿宋_GB2312"/>
          <w:color w:val="auto"/>
          <w:sz w:val="32"/>
          <w:szCs w:val="32"/>
          <w:lang w:eastAsia="zh-CN"/>
        </w:rPr>
        <w:t>预算</w:t>
      </w:r>
      <w:r>
        <w:rPr>
          <w:rFonts w:hint="eastAsia" w:ascii="仿宋_GB2312" w:hAnsi="仿宋_GB2312" w:eastAsia="仿宋_GB2312" w:cs="仿宋_GB2312"/>
          <w:color w:val="auto"/>
          <w:sz w:val="32"/>
          <w:szCs w:val="32"/>
        </w:rPr>
        <w:t>总收入完成</w:t>
      </w:r>
      <w:r>
        <w:rPr>
          <w:rFonts w:hint="eastAsia" w:ascii="仿宋_GB2312" w:hAnsi="仿宋_GB2312" w:eastAsia="仿宋_GB2312" w:cs="仿宋_GB2312"/>
          <w:color w:val="auto"/>
          <w:sz w:val="32"/>
          <w:szCs w:val="32"/>
          <w:lang w:val="en-US" w:eastAsia="zh-CN"/>
        </w:rPr>
        <w:t>68492</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完成调整预算数</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105.17</w:t>
      </w:r>
      <w:r>
        <w:rPr>
          <w:rFonts w:hint="eastAsia" w:ascii="仿宋_GB2312" w:hAnsi="仿宋_GB2312" w:eastAsia="仿宋_GB2312" w:cs="仿宋_GB2312"/>
          <w:color w:val="auto"/>
          <w:sz w:val="32"/>
          <w:szCs w:val="32"/>
        </w:rPr>
        <w:t>%，同比</w:t>
      </w:r>
      <w:r>
        <w:rPr>
          <w:rFonts w:hint="eastAsia" w:ascii="仿宋_GB2312" w:hAnsi="仿宋_GB2312" w:eastAsia="仿宋_GB2312" w:cs="仿宋_GB2312"/>
          <w:color w:val="auto"/>
          <w:sz w:val="32"/>
          <w:szCs w:val="32"/>
          <w:lang w:eastAsia="zh-CN"/>
        </w:rPr>
        <w:t>增长</w:t>
      </w:r>
      <w:r>
        <w:rPr>
          <w:rFonts w:hint="eastAsia" w:ascii="仿宋_GB2312" w:hAnsi="仿宋_GB2312" w:eastAsia="仿宋_GB2312" w:cs="仿宋_GB2312"/>
          <w:color w:val="auto"/>
          <w:sz w:val="32"/>
          <w:szCs w:val="32"/>
          <w:lang w:val="en-US" w:eastAsia="zh-CN"/>
        </w:rPr>
        <w:t>12.61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其中：上划中央收入完成</w:t>
      </w:r>
      <w:r>
        <w:rPr>
          <w:rFonts w:hint="eastAsia" w:ascii="仿宋_GB2312" w:hAnsi="仿宋_GB2312" w:eastAsia="仿宋_GB2312" w:cs="仿宋_GB2312"/>
          <w:color w:val="auto"/>
          <w:sz w:val="32"/>
          <w:szCs w:val="32"/>
          <w:lang w:val="en-US" w:eastAsia="zh-CN"/>
        </w:rPr>
        <w:t>23952</w:t>
      </w:r>
      <w:r>
        <w:rPr>
          <w:rFonts w:hint="eastAsia" w:ascii="仿宋_GB2312" w:hAnsi="仿宋_GB2312" w:eastAsia="仿宋_GB2312" w:cs="仿宋_GB2312"/>
          <w:color w:val="auto"/>
          <w:sz w:val="32"/>
          <w:szCs w:val="32"/>
        </w:rPr>
        <w:t>万元，同比</w:t>
      </w:r>
      <w:r>
        <w:rPr>
          <w:rFonts w:hint="eastAsia" w:ascii="仿宋_GB2312" w:hAnsi="仿宋_GB2312" w:eastAsia="仿宋_GB2312" w:cs="仿宋_GB2312"/>
          <w:color w:val="auto"/>
          <w:sz w:val="32"/>
          <w:szCs w:val="32"/>
          <w:lang w:eastAsia="zh-CN"/>
        </w:rPr>
        <w:t>增长</w:t>
      </w:r>
      <w:r>
        <w:rPr>
          <w:rFonts w:hint="eastAsia" w:ascii="仿宋_GB2312" w:hAnsi="仿宋_GB2312" w:eastAsia="仿宋_GB2312" w:cs="仿宋_GB2312"/>
          <w:color w:val="auto"/>
          <w:sz w:val="32"/>
          <w:szCs w:val="32"/>
          <w:lang w:val="en-US" w:eastAsia="zh-CN"/>
        </w:rPr>
        <w:t>14.52</w:t>
      </w:r>
      <w:r>
        <w:rPr>
          <w:rFonts w:hint="eastAsia" w:ascii="仿宋_GB2312" w:hAnsi="仿宋_GB2312" w:eastAsia="仿宋_GB2312" w:cs="仿宋_GB2312"/>
          <w:color w:val="auto"/>
          <w:sz w:val="32"/>
          <w:szCs w:val="32"/>
        </w:rPr>
        <w:t>%；地方</w:t>
      </w:r>
      <w:r>
        <w:rPr>
          <w:rFonts w:hint="eastAsia" w:ascii="仿宋_GB2312" w:hAnsi="仿宋_GB2312" w:eastAsia="仿宋_GB2312" w:cs="仿宋_GB2312"/>
          <w:color w:val="auto"/>
          <w:sz w:val="32"/>
          <w:szCs w:val="32"/>
          <w:lang w:eastAsia="zh-CN"/>
        </w:rPr>
        <w:t>一般公共预算</w:t>
      </w:r>
      <w:r>
        <w:rPr>
          <w:rFonts w:hint="eastAsia" w:ascii="仿宋_GB2312" w:hAnsi="仿宋_GB2312" w:eastAsia="仿宋_GB2312" w:cs="仿宋_GB2312"/>
          <w:color w:val="auto"/>
          <w:sz w:val="32"/>
          <w:szCs w:val="32"/>
        </w:rPr>
        <w:t>收</w:t>
      </w:r>
      <w:r>
        <w:rPr>
          <w:rFonts w:hint="eastAsia" w:ascii="仿宋_GB2312" w:hAnsi="仿宋_GB2312" w:eastAsia="仿宋_GB2312" w:cs="仿宋_GB2312"/>
          <w:color w:val="auto"/>
          <w:sz w:val="32"/>
          <w:szCs w:val="32"/>
          <w:highlight w:val="none"/>
        </w:rPr>
        <w:t>入完成</w:t>
      </w:r>
      <w:r>
        <w:rPr>
          <w:rFonts w:hint="eastAsia" w:ascii="仿宋_GB2312" w:hAnsi="仿宋_GB2312" w:eastAsia="仿宋_GB2312" w:cs="仿宋_GB2312"/>
          <w:color w:val="auto"/>
          <w:sz w:val="32"/>
          <w:szCs w:val="32"/>
          <w:highlight w:val="none"/>
          <w:lang w:val="en-US" w:eastAsia="zh-CN"/>
        </w:rPr>
        <w:t>44540</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完成调整预算数</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107.31</w:t>
      </w:r>
      <w:r>
        <w:rPr>
          <w:rFonts w:hint="eastAsia" w:ascii="仿宋_GB2312" w:hAnsi="仿宋_GB2312" w:eastAsia="仿宋_GB2312" w:cs="仿宋_GB2312"/>
          <w:color w:val="auto"/>
          <w:sz w:val="32"/>
          <w:szCs w:val="32"/>
          <w:highlight w:val="none"/>
        </w:rPr>
        <w:t>%，同比</w:t>
      </w:r>
      <w:r>
        <w:rPr>
          <w:rFonts w:hint="eastAsia" w:ascii="仿宋_GB2312" w:hAnsi="仿宋_GB2312" w:eastAsia="仿宋_GB2312" w:cs="仿宋_GB2312"/>
          <w:color w:val="auto"/>
          <w:sz w:val="32"/>
          <w:szCs w:val="32"/>
          <w:highlight w:val="none"/>
          <w:lang w:eastAsia="zh-CN"/>
        </w:rPr>
        <w:t>增长</w:t>
      </w:r>
      <w:r>
        <w:rPr>
          <w:rFonts w:hint="eastAsia" w:ascii="仿宋_GB2312" w:hAnsi="仿宋_GB2312" w:eastAsia="仿宋_GB2312" w:cs="仿宋_GB2312"/>
          <w:color w:val="auto"/>
          <w:sz w:val="32"/>
          <w:szCs w:val="32"/>
          <w:highlight w:val="none"/>
          <w:lang w:val="en-US" w:eastAsia="zh-CN"/>
        </w:rPr>
        <w:t>11.62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税性比</w:t>
      </w:r>
      <w:r>
        <w:rPr>
          <w:rFonts w:hint="eastAsia" w:ascii="仿宋_GB2312" w:hAnsi="仿宋_GB2312" w:eastAsia="仿宋_GB2312" w:cs="仿宋_GB2312"/>
          <w:color w:val="auto"/>
          <w:sz w:val="32"/>
          <w:szCs w:val="32"/>
          <w:highlight w:val="none"/>
          <w:lang w:val="en-US" w:eastAsia="zh-CN"/>
        </w:rPr>
        <w:t>62.83%</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2.支出完成情况</w:t>
      </w:r>
    </w:p>
    <w:p>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全县一般</w:t>
      </w:r>
      <w:r>
        <w:rPr>
          <w:rFonts w:hint="eastAsia" w:ascii="仿宋_GB2312" w:hAnsi="仿宋_GB2312" w:eastAsia="仿宋_GB2312" w:cs="仿宋_GB2312"/>
          <w:color w:val="auto"/>
          <w:sz w:val="32"/>
          <w:szCs w:val="32"/>
          <w:lang w:eastAsia="zh-CN"/>
        </w:rPr>
        <w:t>公共</w:t>
      </w:r>
      <w:r>
        <w:rPr>
          <w:rFonts w:hint="eastAsia" w:ascii="仿宋_GB2312" w:hAnsi="仿宋_GB2312" w:eastAsia="仿宋_GB2312" w:cs="仿宋_GB2312"/>
          <w:color w:val="auto"/>
          <w:sz w:val="32"/>
          <w:szCs w:val="32"/>
        </w:rPr>
        <w:t>预算支出</w:t>
      </w:r>
      <w:r>
        <w:rPr>
          <w:rFonts w:hint="eastAsia" w:ascii="仿宋_GB2312" w:hAnsi="仿宋_GB2312" w:eastAsia="仿宋_GB2312" w:cs="仿宋_GB2312"/>
          <w:color w:val="auto"/>
          <w:sz w:val="32"/>
          <w:szCs w:val="32"/>
          <w:lang w:val="en-US" w:eastAsia="zh-CN"/>
        </w:rPr>
        <w:t>177044</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val="en-US" w:eastAsia="zh-CN"/>
        </w:rPr>
        <w:t>，比上年增支10499万元，增长6.3%</w:t>
      </w:r>
      <w:r>
        <w:rPr>
          <w:rFonts w:hint="eastAsia" w:ascii="仿宋_GB2312" w:hAnsi="仿宋_GB2312" w:eastAsia="仿宋_GB2312" w:cs="仿宋_GB2312"/>
          <w:color w:val="auto"/>
          <w:sz w:val="32"/>
          <w:szCs w:val="32"/>
          <w:lang w:eastAsia="zh-CN"/>
        </w:rPr>
        <w:t>。其中，</w:t>
      </w:r>
      <w:r>
        <w:rPr>
          <w:rFonts w:hint="eastAsia" w:ascii="仿宋_GB2312" w:hAnsi="仿宋_GB2312" w:eastAsia="仿宋_GB2312" w:cs="仿宋_GB2312"/>
          <w:color w:val="auto"/>
          <w:sz w:val="32"/>
          <w:szCs w:val="32"/>
        </w:rPr>
        <w:t>全县民生支出</w:t>
      </w:r>
      <w:r>
        <w:rPr>
          <w:rFonts w:hint="eastAsia" w:ascii="仿宋_GB2312" w:hAnsi="仿宋_GB2312" w:eastAsia="仿宋_GB2312" w:cs="仿宋_GB2312"/>
          <w:color w:val="auto"/>
          <w:sz w:val="32"/>
          <w:szCs w:val="32"/>
          <w:lang w:val="en-US" w:eastAsia="zh-CN"/>
        </w:rPr>
        <w:t>150620</w:t>
      </w:r>
      <w:r>
        <w:rPr>
          <w:rFonts w:hint="eastAsia" w:ascii="仿宋_GB2312" w:hAnsi="仿宋_GB2312" w:eastAsia="仿宋_GB2312" w:cs="仿宋_GB2312"/>
          <w:color w:val="auto"/>
          <w:sz w:val="32"/>
          <w:szCs w:val="32"/>
        </w:rPr>
        <w:t>万元，占</w:t>
      </w:r>
      <w:r>
        <w:rPr>
          <w:rFonts w:hint="eastAsia" w:ascii="仿宋_GB2312" w:hAnsi="仿宋_GB2312" w:eastAsia="仿宋_GB2312" w:cs="仿宋_GB2312"/>
          <w:color w:val="auto"/>
          <w:sz w:val="32"/>
          <w:szCs w:val="32"/>
          <w:lang w:eastAsia="zh-CN"/>
        </w:rPr>
        <w:t>全县一般公共预算支出</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85.07</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3.收支平衡情况</w:t>
      </w:r>
    </w:p>
    <w:p>
      <w:pPr>
        <w:keepNext w:val="0"/>
        <w:keepLines w:val="0"/>
        <w:pageBreakBefore w:val="0"/>
        <w:widowControl w:val="0"/>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地方一般公共预算收入44540万元，加上上级补助收入127679万元，地方政府债券转贷收入25181万元，上年结转2445万元，动用预算稳定调节基金13809万元，调入资金11711万元，收入总计225365万元。全县一般公共预算支出177044万元，加上债务还本支出18981万元（含医改世行贷款本金63万元），上解上级支出4523万元，安排预算稳定调节基金6576万元，支出总计207124万元。收支相抵，年终结转18241万元。</w:t>
      </w:r>
    </w:p>
    <w:p>
      <w:pPr>
        <w:keepNext w:val="0"/>
        <w:keepLines w:val="0"/>
        <w:pageBreakBefore w:val="0"/>
        <w:widowControl w:val="0"/>
        <w:kinsoku/>
        <w:wordWrap/>
        <w:overflowPunct/>
        <w:topLinePunct w:val="0"/>
        <w:autoSpaceDE/>
        <w:autoSpaceDN/>
        <w:bidi w:val="0"/>
        <w:snapToGrid w:val="0"/>
        <w:spacing w:line="540" w:lineRule="exact"/>
        <w:ind w:right="0" w:rightChars="0" w:firstLine="640" w:firstLineChars="200"/>
        <w:textAlignment w:val="auto"/>
        <w:rPr>
          <w:rFonts w:hint="eastAsia" w:ascii="楷体_GB2312" w:hAnsi="楷体_GB2312" w:eastAsia="楷体_GB2312" w:cs="楷体_GB2312"/>
          <w:b w:val="0"/>
          <w:bCs/>
          <w:color w:val="auto"/>
          <w:sz w:val="32"/>
          <w:szCs w:val="32"/>
        </w:rPr>
      </w:pPr>
      <w:r>
        <w:rPr>
          <w:rFonts w:hint="eastAsia" w:ascii="楷体_GB2312" w:hAnsi="楷体_GB2312" w:eastAsia="楷体_GB2312" w:cs="楷体_GB2312"/>
          <w:b w:val="0"/>
          <w:bCs/>
          <w:color w:val="auto"/>
          <w:sz w:val="32"/>
          <w:szCs w:val="32"/>
        </w:rPr>
        <w:t>（二）政府性基金收支完成情况</w:t>
      </w:r>
    </w:p>
    <w:p>
      <w:pPr>
        <w:keepNext w:val="0"/>
        <w:keepLines w:val="0"/>
        <w:pageBreakBefore w:val="0"/>
        <w:widowControl w:val="0"/>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全县政府性基金预算收入14537万元，完成调整预算数的102.09%，同比增长11%；加上上级补助收入3170万元，地方政府专项债券转贷收入30120万元，上年结转125万元，调入资金6680万元，收入总计54632万元。全县政府性基金预算支出37426万元，比上年减支25987万元，下降40.98%；加上债务还本支出5220万元，调出资金6853万元，支出总计49499万元。收支相抵，年终结转5133万元。</w:t>
      </w:r>
    </w:p>
    <w:p>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rPr>
          <w:rFonts w:hint="eastAsia" w:ascii="楷体_GB2312" w:hAnsi="楷体_GB2312" w:eastAsia="楷体_GB2312" w:cs="楷体_GB2312"/>
          <w:b w:val="0"/>
          <w:bCs/>
          <w:color w:val="auto"/>
          <w:sz w:val="32"/>
          <w:szCs w:val="32"/>
        </w:rPr>
      </w:pPr>
      <w:r>
        <w:rPr>
          <w:rFonts w:hint="eastAsia" w:ascii="楷体_GB2312" w:hAnsi="楷体_GB2312" w:eastAsia="楷体_GB2312" w:cs="楷体_GB2312"/>
          <w:b w:val="0"/>
          <w:bCs/>
          <w:color w:val="auto"/>
          <w:sz w:val="32"/>
          <w:szCs w:val="32"/>
        </w:rPr>
        <w:t>（三）国有资本经营预算收支完成情况</w:t>
      </w:r>
    </w:p>
    <w:p>
      <w:pPr>
        <w:keepNext w:val="0"/>
        <w:keepLines w:val="0"/>
        <w:pageBreakBefore w:val="0"/>
        <w:widowControl w:val="0"/>
        <w:kinsoku/>
        <w:wordWrap/>
        <w:overflowPunct w:val="0"/>
        <w:topLinePunct w:val="0"/>
        <w:autoSpaceDE/>
        <w:autoSpaceDN/>
        <w:bidi w:val="0"/>
        <w:adjustRightInd w:val="0"/>
        <w:snapToGrid w:val="0"/>
        <w:spacing w:line="540" w:lineRule="exact"/>
        <w:ind w:left="0" w:leftChars="0" w:right="0" w:rightChars="0" w:firstLine="640" w:firstLineChars="200"/>
        <w:jc w:val="both"/>
        <w:textAlignment w:val="auto"/>
        <w:outlineLvl w:val="9"/>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color w:val="auto"/>
          <w:sz w:val="32"/>
          <w:szCs w:val="32"/>
          <w:lang w:val="en-US" w:eastAsia="zh-CN"/>
        </w:rPr>
        <w:t>2023年，国有资本经营预算收入46万元，完成调整预算数的100%，加上上级补助收入4万元，收入合计50万</w:t>
      </w:r>
      <w:r>
        <w:rPr>
          <w:rFonts w:hint="eastAsia" w:ascii="仿宋_GB2312" w:hAnsi="仿宋_GB2312" w:eastAsia="仿宋_GB2312" w:cs="仿宋_GB2312"/>
          <w:color w:val="auto"/>
          <w:sz w:val="32"/>
          <w:szCs w:val="32"/>
          <w:highlight w:val="none"/>
          <w:lang w:val="en-US" w:eastAsia="zh-CN"/>
        </w:rPr>
        <w:t>元。</w:t>
      </w:r>
      <w:r>
        <w:rPr>
          <w:rFonts w:hint="eastAsia" w:ascii="仿宋_GB2312" w:hAnsi="仿宋_GB2312" w:eastAsia="仿宋_GB2312" w:cs="仿宋_GB2312"/>
          <w:color w:val="auto"/>
          <w:sz w:val="32"/>
          <w:szCs w:val="32"/>
          <w:highlight w:val="none"/>
        </w:rPr>
        <w:t>国有资本经营预算支出</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加上调出资金</w:t>
      </w:r>
      <w:r>
        <w:rPr>
          <w:rFonts w:hint="eastAsia" w:ascii="仿宋_GB2312" w:hAnsi="仿宋_GB2312" w:eastAsia="仿宋_GB2312" w:cs="仿宋_GB2312"/>
          <w:color w:val="auto"/>
          <w:sz w:val="32"/>
          <w:szCs w:val="32"/>
          <w:lang w:val="en-US" w:eastAsia="zh-CN"/>
        </w:rPr>
        <w:t>38万元，支出合计50万元。</w:t>
      </w:r>
      <w:r>
        <w:rPr>
          <w:rFonts w:hint="eastAsia" w:ascii="仿宋_GB2312" w:hAnsi="仿宋_GB2312" w:eastAsia="仿宋_GB2312" w:cs="仿宋_GB2312"/>
          <w:i w:val="0"/>
          <w:iCs w:val="0"/>
          <w:caps w:val="0"/>
          <w:color w:val="auto"/>
          <w:spacing w:val="0"/>
          <w:sz w:val="32"/>
          <w:szCs w:val="32"/>
          <w:shd w:val="clear" w:color="auto" w:fill="FFFFFF"/>
          <w:lang w:val="en-US" w:eastAsia="zh-CN"/>
        </w:rPr>
        <w:t>收支相抵，当年实现平衡。</w:t>
      </w:r>
    </w:p>
    <w:p>
      <w:pPr>
        <w:keepNext w:val="0"/>
        <w:keepLines w:val="0"/>
        <w:pageBreakBefore w:val="0"/>
        <w:widowControl w:val="0"/>
        <w:kinsoku/>
        <w:wordWrap/>
        <w:overflowPunct/>
        <w:topLinePunct w:val="0"/>
        <w:autoSpaceDE/>
        <w:autoSpaceDN/>
        <w:bidi w:val="0"/>
        <w:adjustRightInd w:val="0"/>
        <w:snapToGrid w:val="0"/>
        <w:spacing w:line="540" w:lineRule="exact"/>
        <w:ind w:right="0" w:rightChars="0" w:firstLine="640" w:firstLineChars="200"/>
        <w:textAlignment w:val="auto"/>
        <w:rPr>
          <w:rFonts w:hint="eastAsia" w:ascii="楷体_GB2312" w:hAnsi="楷体_GB2312" w:eastAsia="楷体_GB2312" w:cs="楷体_GB2312"/>
          <w:b w:val="0"/>
          <w:bCs/>
          <w:color w:val="auto"/>
          <w:sz w:val="32"/>
          <w:szCs w:val="32"/>
        </w:rPr>
      </w:pPr>
      <w:r>
        <w:rPr>
          <w:rFonts w:hint="eastAsia" w:ascii="楷体_GB2312" w:hAnsi="楷体_GB2312" w:eastAsia="楷体_GB2312" w:cs="楷体_GB2312"/>
          <w:b w:val="0"/>
          <w:bCs/>
          <w:color w:val="auto"/>
          <w:sz w:val="32"/>
          <w:szCs w:val="32"/>
        </w:rPr>
        <w:t>（四）社保基金预算收支完成情况</w:t>
      </w:r>
    </w:p>
    <w:p>
      <w:pPr>
        <w:keepNext w:val="0"/>
        <w:keepLines w:val="0"/>
        <w:pageBreakBefore w:val="0"/>
        <w:widowControl w:val="0"/>
        <w:kinsoku/>
        <w:wordWrap/>
        <w:topLinePunct w:val="0"/>
        <w:autoSpaceDE/>
        <w:autoSpaceDN/>
        <w:bidi w:val="0"/>
        <w:snapToGrid w:val="0"/>
        <w:spacing w:line="540" w:lineRule="exact"/>
        <w:ind w:left="0" w:leftChars="0" w:right="0" w:rightChars="0" w:firstLine="640" w:firstLineChars="200"/>
        <w:jc w:val="both"/>
        <w:textAlignment w:val="auto"/>
        <w:outlineLvl w:val="9"/>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2023年，全县社会保险基金预算收入20662万元，占年初预算的98.76%，加上上年滚存结余14842万元，收入总计35504万元。全县社会保险基金预算支出18831万元，占年初预算的98.86%。收支相抵，年末滚存结余16673万元。</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w:t>
      </w:r>
      <w:r>
        <w:rPr>
          <w:rFonts w:hint="eastAsia" w:ascii="黑体" w:hAnsi="黑体" w:eastAsia="黑体" w:cs="黑体"/>
          <w:sz w:val="32"/>
          <w:szCs w:val="32"/>
          <w:highlight w:val="none"/>
          <w:lang w:eastAsia="zh-CN"/>
        </w:rPr>
        <w:t>财政收支决算有关情况说明</w:t>
      </w:r>
    </w:p>
    <w:p>
      <w:pPr>
        <w:keepNext w:val="0"/>
        <w:keepLines w:val="0"/>
        <w:pageBreakBefore w:val="0"/>
        <w:widowControl w:val="0"/>
        <w:kinsoku/>
        <w:wordWrap/>
        <w:overflowPunct/>
        <w:topLinePunct w:val="0"/>
        <w:autoSpaceDE/>
        <w:autoSpaceDN/>
        <w:bidi w:val="0"/>
        <w:snapToGrid/>
        <w:spacing w:line="540" w:lineRule="exact"/>
        <w:ind w:firstLine="480" w:firstLineChars="150"/>
        <w:textAlignment w:val="auto"/>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Cs/>
          <w:sz w:val="32"/>
          <w:szCs w:val="32"/>
          <w:highlight w:val="none"/>
        </w:rPr>
        <w:t>（一）</w:t>
      </w:r>
      <w:r>
        <w:rPr>
          <w:rFonts w:hint="eastAsia" w:ascii="楷体_GB2312" w:hAnsi="楷体_GB2312" w:eastAsia="楷体_GB2312" w:cs="楷体_GB2312"/>
          <w:bCs/>
          <w:sz w:val="32"/>
          <w:szCs w:val="32"/>
          <w:highlight w:val="none"/>
          <w:lang w:eastAsia="zh-CN"/>
        </w:rPr>
        <w:t>县</w:t>
      </w:r>
      <w:r>
        <w:rPr>
          <w:rFonts w:hint="eastAsia" w:ascii="楷体_GB2312" w:hAnsi="楷体_GB2312" w:eastAsia="楷体_GB2312" w:cs="楷体_GB2312"/>
          <w:bCs/>
          <w:sz w:val="32"/>
          <w:szCs w:val="32"/>
          <w:highlight w:val="none"/>
        </w:rPr>
        <w:t>本级收支决算分析</w:t>
      </w:r>
    </w:p>
    <w:p>
      <w:pPr>
        <w:keepNext w:val="0"/>
        <w:keepLines w:val="0"/>
        <w:pageBreakBefore w:val="0"/>
        <w:widowControl w:val="0"/>
        <w:kinsoku/>
        <w:wordWrap/>
        <w:overflowPunct/>
        <w:topLinePunct w:val="0"/>
        <w:autoSpaceDE/>
        <w:autoSpaceDN/>
        <w:bidi w:val="0"/>
        <w:snapToGrid/>
        <w:spacing w:line="540" w:lineRule="exact"/>
        <w:ind w:left="0" w:leftChars="0" w:firstLine="531" w:firstLineChars="166"/>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sz w:val="32"/>
          <w:szCs w:val="32"/>
          <w:highlight w:val="none"/>
          <w:lang w:val="en-US" w:eastAsia="zh-CN"/>
        </w:rPr>
        <w:t>1.收支决算数与预计数比较。</w:t>
      </w:r>
      <w:r>
        <w:rPr>
          <w:rFonts w:hint="eastAsia" w:ascii="仿宋_GB2312" w:hAnsi="仿宋_GB2312" w:eastAsia="仿宋_GB2312" w:cs="仿宋_GB2312"/>
          <w:sz w:val="32"/>
          <w:szCs w:val="32"/>
          <w:highlight w:val="none"/>
          <w:lang w:val="en-US" w:eastAsia="zh-CN"/>
        </w:rPr>
        <w:t>2023年县</w:t>
      </w:r>
      <w:r>
        <w:rPr>
          <w:rFonts w:hint="eastAsia" w:ascii="仿宋_GB2312" w:hAnsi="仿宋_GB2312" w:eastAsia="仿宋_GB2312" w:cs="仿宋_GB2312"/>
          <w:sz w:val="32"/>
          <w:szCs w:val="32"/>
          <w:highlight w:val="none"/>
        </w:rPr>
        <w:t>本级</w:t>
      </w:r>
      <w:r>
        <w:rPr>
          <w:rFonts w:hint="eastAsia" w:ascii="仿宋_GB2312" w:hAnsi="仿宋_GB2312" w:eastAsia="仿宋_GB2312" w:cs="仿宋_GB2312"/>
          <w:sz w:val="32"/>
          <w:szCs w:val="32"/>
          <w:highlight w:val="none"/>
          <w:lang w:eastAsia="zh-CN"/>
        </w:rPr>
        <w:t>财政</w:t>
      </w:r>
      <w:r>
        <w:rPr>
          <w:rFonts w:hint="eastAsia" w:ascii="仿宋_GB2312" w:hAnsi="仿宋_GB2312" w:eastAsia="仿宋_GB2312" w:cs="仿宋_GB2312"/>
          <w:sz w:val="32"/>
          <w:szCs w:val="32"/>
          <w:highlight w:val="none"/>
        </w:rPr>
        <w:t>收支决算</w:t>
      </w:r>
      <w:r>
        <w:rPr>
          <w:rFonts w:hint="eastAsia" w:ascii="仿宋_GB2312" w:hAnsi="仿宋_GB2312" w:eastAsia="仿宋_GB2312" w:cs="仿宋_GB2312"/>
          <w:sz w:val="32"/>
          <w:szCs w:val="32"/>
          <w:highlight w:val="none"/>
          <w:lang w:eastAsia="zh-CN"/>
        </w:rPr>
        <w:t>数</w:t>
      </w:r>
      <w:r>
        <w:rPr>
          <w:rFonts w:hint="eastAsia" w:ascii="仿宋_GB2312" w:hAnsi="仿宋_GB2312" w:eastAsia="仿宋_GB2312" w:cs="仿宋_GB2312"/>
          <w:sz w:val="32"/>
          <w:szCs w:val="32"/>
          <w:highlight w:val="none"/>
        </w:rPr>
        <w:t>与</w:t>
      </w:r>
      <w:r>
        <w:rPr>
          <w:rFonts w:hint="eastAsia" w:ascii="仿宋_GB2312" w:hAnsi="仿宋_GB2312" w:eastAsia="仿宋_GB2312" w:cs="仿宋_GB2312"/>
          <w:kern w:val="0"/>
          <w:sz w:val="32"/>
          <w:szCs w:val="32"/>
          <w:highlight w:val="none"/>
          <w:lang w:eastAsia="zh-CN"/>
        </w:rPr>
        <w:t>县</w:t>
      </w:r>
      <w:r>
        <w:rPr>
          <w:rFonts w:hint="eastAsia" w:ascii="仿宋_GB2312" w:hAnsi="仿宋_GB2312" w:eastAsia="仿宋_GB2312" w:cs="仿宋_GB2312"/>
          <w:kern w:val="0"/>
          <w:sz w:val="32"/>
          <w:szCs w:val="32"/>
          <w:highlight w:val="none"/>
        </w:rPr>
        <w:t>第十</w:t>
      </w:r>
      <w:r>
        <w:rPr>
          <w:rFonts w:hint="eastAsia" w:ascii="仿宋_GB2312" w:hAnsi="仿宋_GB2312" w:eastAsia="仿宋_GB2312" w:cs="仿宋_GB2312"/>
          <w:kern w:val="0"/>
          <w:sz w:val="32"/>
          <w:szCs w:val="32"/>
          <w:highlight w:val="none"/>
          <w:lang w:eastAsia="zh-CN"/>
        </w:rPr>
        <w:t>八</w:t>
      </w:r>
      <w:r>
        <w:rPr>
          <w:rFonts w:hint="eastAsia" w:ascii="仿宋_GB2312" w:hAnsi="仿宋_GB2312" w:eastAsia="仿宋_GB2312" w:cs="仿宋_GB2312"/>
          <w:kern w:val="0"/>
          <w:sz w:val="32"/>
          <w:szCs w:val="32"/>
          <w:highlight w:val="none"/>
        </w:rPr>
        <w:t>届人大</w:t>
      </w:r>
      <w:r>
        <w:rPr>
          <w:rFonts w:hint="eastAsia" w:ascii="仿宋_GB2312" w:hAnsi="仿宋_GB2312" w:eastAsia="仿宋_GB2312" w:cs="仿宋_GB2312"/>
          <w:kern w:val="0"/>
          <w:sz w:val="32"/>
          <w:szCs w:val="32"/>
          <w:highlight w:val="none"/>
          <w:lang w:eastAsia="zh-CN"/>
        </w:rPr>
        <w:t>三</w:t>
      </w:r>
      <w:r>
        <w:rPr>
          <w:rFonts w:hint="eastAsia" w:ascii="仿宋_GB2312" w:hAnsi="仿宋_GB2312" w:eastAsia="仿宋_GB2312" w:cs="仿宋_GB2312"/>
          <w:kern w:val="0"/>
          <w:sz w:val="32"/>
          <w:szCs w:val="32"/>
          <w:highlight w:val="none"/>
        </w:rPr>
        <w:t>次</w:t>
      </w:r>
      <w:r>
        <w:rPr>
          <w:rFonts w:hint="eastAsia" w:ascii="仿宋_GB2312" w:hAnsi="仿宋_GB2312" w:eastAsia="仿宋_GB2312" w:cs="仿宋_GB2312"/>
          <w:sz w:val="32"/>
          <w:szCs w:val="32"/>
          <w:highlight w:val="none"/>
        </w:rPr>
        <w:t>会议报告的</w:t>
      </w:r>
      <w:r>
        <w:rPr>
          <w:rFonts w:hint="eastAsia" w:ascii="仿宋_GB2312" w:hAnsi="仿宋_GB2312" w:eastAsia="仿宋_GB2312" w:cs="仿宋_GB2312"/>
          <w:sz w:val="32"/>
          <w:szCs w:val="32"/>
          <w:highlight w:val="none"/>
          <w:lang w:eastAsia="zh-CN"/>
        </w:rPr>
        <w:t>预计</w:t>
      </w:r>
      <w:r>
        <w:rPr>
          <w:rFonts w:hint="eastAsia" w:ascii="仿宋_GB2312" w:hAnsi="仿宋_GB2312" w:eastAsia="仿宋_GB2312" w:cs="仿宋_GB2312"/>
          <w:sz w:val="32"/>
          <w:szCs w:val="32"/>
          <w:highlight w:val="none"/>
        </w:rPr>
        <w:t>数相比，</w:t>
      </w:r>
      <w:r>
        <w:rPr>
          <w:rFonts w:hint="eastAsia" w:ascii="仿宋_GB2312" w:hAnsi="仿宋_GB2312" w:eastAsia="仿宋_GB2312" w:cs="仿宋_GB2312"/>
          <w:sz w:val="32"/>
          <w:szCs w:val="32"/>
          <w:highlight w:val="none"/>
          <w:lang w:eastAsia="zh-CN"/>
        </w:rPr>
        <w:t>收入决算方面：地方</w:t>
      </w:r>
      <w:r>
        <w:rPr>
          <w:rFonts w:hint="eastAsia" w:ascii="仿宋_GB2312" w:hAnsi="仿宋_GB2312" w:eastAsia="仿宋_GB2312" w:cs="仿宋_GB2312"/>
          <w:sz w:val="32"/>
          <w:szCs w:val="32"/>
          <w:highlight w:val="none"/>
        </w:rPr>
        <w:t>一般公共预算</w:t>
      </w:r>
      <w:r>
        <w:rPr>
          <w:rFonts w:hint="eastAsia" w:ascii="仿宋_GB2312" w:hAnsi="仿宋_GB2312" w:eastAsia="仿宋_GB2312" w:cs="仿宋_GB2312"/>
          <w:sz w:val="32"/>
          <w:szCs w:val="32"/>
          <w:highlight w:val="none"/>
          <w:lang w:eastAsia="zh-CN"/>
        </w:rPr>
        <w:t>收入决算数比预计数增加</w:t>
      </w:r>
      <w:r>
        <w:rPr>
          <w:rFonts w:hint="eastAsia" w:ascii="仿宋_GB2312" w:hAnsi="仿宋_GB2312" w:eastAsia="仿宋_GB2312" w:cs="仿宋_GB2312"/>
          <w:sz w:val="32"/>
          <w:szCs w:val="32"/>
          <w:highlight w:val="none"/>
          <w:lang w:val="en-US" w:eastAsia="zh-CN"/>
        </w:rPr>
        <w:t>1553万元；</w:t>
      </w:r>
      <w:r>
        <w:rPr>
          <w:rFonts w:hint="eastAsia" w:ascii="仿宋_GB2312" w:hAnsi="仿宋_GB2312" w:eastAsia="仿宋_GB2312" w:cs="仿宋_GB2312"/>
          <w:sz w:val="32"/>
          <w:szCs w:val="32"/>
          <w:highlight w:val="none"/>
        </w:rPr>
        <w:t>政府性基金预算</w:t>
      </w:r>
      <w:r>
        <w:rPr>
          <w:rFonts w:hint="eastAsia" w:ascii="仿宋_GB2312" w:hAnsi="仿宋_GB2312" w:eastAsia="仿宋_GB2312" w:cs="仿宋_GB2312"/>
          <w:sz w:val="32"/>
          <w:szCs w:val="32"/>
          <w:highlight w:val="none"/>
          <w:lang w:eastAsia="zh-CN"/>
        </w:rPr>
        <w:t>收入决算数比预计数增加</w:t>
      </w:r>
      <w:r>
        <w:rPr>
          <w:rFonts w:hint="eastAsia" w:ascii="仿宋_GB2312" w:hAnsi="仿宋_GB2312" w:eastAsia="仿宋_GB2312" w:cs="仿宋_GB2312"/>
          <w:sz w:val="32"/>
          <w:szCs w:val="32"/>
          <w:highlight w:val="none"/>
          <w:lang w:val="en-US" w:eastAsia="zh-CN"/>
        </w:rPr>
        <w:t>297万元；</w:t>
      </w:r>
      <w:r>
        <w:rPr>
          <w:rFonts w:hint="eastAsia" w:ascii="仿宋_GB2312" w:hAnsi="仿宋_GB2312" w:eastAsia="仿宋_GB2312" w:cs="仿宋_GB2312"/>
          <w:sz w:val="32"/>
          <w:szCs w:val="32"/>
          <w:highlight w:val="none"/>
          <w:lang w:eastAsia="zh-CN"/>
        </w:rPr>
        <w:t>国有资本经营预算</w:t>
      </w:r>
      <w:r>
        <w:rPr>
          <w:rFonts w:hint="eastAsia" w:ascii="仿宋_GB2312" w:hAnsi="仿宋_GB2312" w:eastAsia="仿宋_GB2312" w:cs="仿宋_GB2312"/>
          <w:sz w:val="32"/>
          <w:szCs w:val="32"/>
          <w:highlight w:val="none"/>
        </w:rPr>
        <w:t>收入决算数</w:t>
      </w:r>
      <w:r>
        <w:rPr>
          <w:rFonts w:hint="eastAsia" w:ascii="仿宋_GB2312" w:hAnsi="仿宋_GB2312" w:eastAsia="仿宋_GB2312" w:cs="仿宋_GB2312"/>
          <w:sz w:val="32"/>
          <w:szCs w:val="32"/>
          <w:highlight w:val="none"/>
          <w:lang w:eastAsia="zh-CN"/>
        </w:rPr>
        <w:t>与预计数</w:t>
      </w:r>
      <w:r>
        <w:rPr>
          <w:rFonts w:hint="eastAsia" w:ascii="仿宋_GB2312" w:hAnsi="仿宋_GB2312" w:eastAsia="仿宋_GB2312" w:cs="仿宋_GB2312"/>
          <w:sz w:val="32"/>
          <w:szCs w:val="32"/>
          <w:highlight w:val="none"/>
        </w:rPr>
        <w:t>一致</w:t>
      </w:r>
      <w:r>
        <w:rPr>
          <w:rFonts w:hint="eastAsia" w:ascii="仿宋_GB2312" w:hAnsi="仿宋_GB2312" w:eastAsia="仿宋_GB2312" w:cs="仿宋_GB2312"/>
          <w:sz w:val="32"/>
          <w:szCs w:val="32"/>
          <w:highlight w:val="none"/>
          <w:lang w:eastAsia="zh-CN"/>
        </w:rPr>
        <w:t>；社会保险基金收入决算数比预计数增加</w:t>
      </w:r>
      <w:r>
        <w:rPr>
          <w:rFonts w:hint="eastAsia" w:ascii="仿宋_GB2312" w:hAnsi="仿宋_GB2312" w:eastAsia="仿宋_GB2312" w:cs="仿宋_GB2312"/>
          <w:sz w:val="32"/>
          <w:szCs w:val="32"/>
          <w:highlight w:val="none"/>
          <w:lang w:val="en-US" w:eastAsia="zh-CN"/>
        </w:rPr>
        <w:t>54万元。支出决算方面：</w:t>
      </w:r>
      <w:r>
        <w:rPr>
          <w:rFonts w:hint="eastAsia" w:ascii="仿宋_GB2312" w:hAnsi="仿宋_GB2312" w:eastAsia="仿宋_GB2312" w:cs="仿宋_GB2312"/>
          <w:sz w:val="32"/>
          <w:szCs w:val="32"/>
          <w:highlight w:val="none"/>
        </w:rPr>
        <w:t>一般公共预算</w:t>
      </w:r>
      <w:r>
        <w:rPr>
          <w:rFonts w:hint="eastAsia" w:ascii="仿宋_GB2312" w:hAnsi="仿宋_GB2312" w:eastAsia="仿宋_GB2312" w:cs="仿宋_GB2312"/>
          <w:sz w:val="32"/>
          <w:szCs w:val="32"/>
          <w:highlight w:val="none"/>
          <w:lang w:eastAsia="zh-CN"/>
        </w:rPr>
        <w:t>支出决算数比预计数</w:t>
      </w:r>
      <w:r>
        <w:rPr>
          <w:rFonts w:hint="eastAsia" w:ascii="仿宋_GB2312" w:hAnsi="仿宋_GB2312" w:eastAsia="仿宋_GB2312" w:cs="仿宋_GB2312"/>
          <w:spacing w:val="-11"/>
          <w:kern w:val="0"/>
          <w:sz w:val="32"/>
          <w:szCs w:val="32"/>
          <w:highlight w:val="none"/>
          <w:lang w:val="en-US" w:eastAsia="zh-CN"/>
        </w:rPr>
        <w:t>增加2527</w:t>
      </w:r>
      <w:r>
        <w:rPr>
          <w:rFonts w:hint="eastAsia" w:ascii="仿宋_GB2312" w:hAnsi="仿宋_GB2312" w:eastAsia="仿宋_GB2312" w:cs="仿宋_GB2312"/>
          <w:sz w:val="32"/>
          <w:szCs w:val="32"/>
          <w:highlight w:val="none"/>
          <w:lang w:val="en-US" w:eastAsia="zh-CN"/>
        </w:rPr>
        <w:t>万元，主要是省市专项支出增加；</w:t>
      </w:r>
      <w:r>
        <w:rPr>
          <w:rFonts w:hint="eastAsia" w:ascii="仿宋_GB2312" w:hAnsi="仿宋_GB2312" w:eastAsia="仿宋_GB2312" w:cs="仿宋_GB2312"/>
          <w:sz w:val="32"/>
          <w:szCs w:val="32"/>
          <w:highlight w:val="none"/>
        </w:rPr>
        <w:t>政府性基金</w:t>
      </w:r>
      <w:r>
        <w:rPr>
          <w:rFonts w:hint="eastAsia" w:ascii="仿宋_GB2312" w:hAnsi="仿宋_GB2312" w:eastAsia="仿宋_GB2312" w:cs="仿宋_GB2312"/>
          <w:sz w:val="32"/>
          <w:szCs w:val="32"/>
          <w:highlight w:val="none"/>
          <w:lang w:eastAsia="zh-CN"/>
        </w:rPr>
        <w:t>预算支出决算数比预计数减少</w:t>
      </w:r>
      <w:r>
        <w:rPr>
          <w:rFonts w:hint="eastAsia" w:ascii="仿宋_GB2312" w:hAnsi="仿宋_GB2312" w:eastAsia="仿宋_GB2312" w:cs="仿宋_GB2312"/>
          <w:sz w:val="32"/>
          <w:szCs w:val="32"/>
          <w:highlight w:val="none"/>
          <w:lang w:val="en-US" w:eastAsia="zh-CN"/>
        </w:rPr>
        <w:t>3739万元，主要是专项债券实际支出比预计数减少</w:t>
      </w:r>
      <w:r>
        <w:rPr>
          <w:rFonts w:hint="eastAsia" w:ascii="仿宋_GB2312" w:hAnsi="仿宋_GB2312" w:eastAsia="仿宋_GB2312" w:cs="仿宋_GB2312"/>
          <w:sz w:val="32"/>
          <w:szCs w:val="32"/>
          <w:highlight w:val="none"/>
          <w:lang w:eastAsia="zh-CN"/>
        </w:rPr>
        <w:t>；国有资本经营预算支出决算数比预计数减少</w:t>
      </w:r>
      <w:r>
        <w:rPr>
          <w:rFonts w:hint="eastAsia" w:ascii="仿宋_GB2312" w:hAnsi="仿宋_GB2312" w:eastAsia="仿宋_GB2312" w:cs="仿宋_GB2312"/>
          <w:sz w:val="32"/>
          <w:szCs w:val="32"/>
          <w:highlight w:val="none"/>
          <w:lang w:val="en-US" w:eastAsia="zh-CN"/>
        </w:rPr>
        <w:t>15万元；</w:t>
      </w:r>
      <w:r>
        <w:rPr>
          <w:rFonts w:hint="eastAsia" w:ascii="仿宋_GB2312" w:hAnsi="仿宋_GB2312" w:eastAsia="仿宋_GB2312" w:cs="仿宋_GB2312"/>
          <w:sz w:val="32"/>
          <w:szCs w:val="32"/>
          <w:highlight w:val="none"/>
          <w:lang w:eastAsia="zh-CN"/>
        </w:rPr>
        <w:t>社会保险基金预算支出决算数比预计数减少</w:t>
      </w:r>
      <w:r>
        <w:rPr>
          <w:rFonts w:hint="eastAsia" w:ascii="仿宋_GB2312" w:hAnsi="仿宋_GB2312" w:eastAsia="仿宋_GB2312" w:cs="仿宋_GB2312"/>
          <w:sz w:val="32"/>
          <w:szCs w:val="32"/>
          <w:highlight w:val="none"/>
          <w:lang w:val="en-US" w:eastAsia="zh-CN"/>
        </w:rPr>
        <w:t>32万元</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snapToGrid/>
        <w:spacing w:line="540" w:lineRule="exact"/>
        <w:ind w:left="0" w:leftChars="0" w:firstLine="531" w:firstLineChars="166"/>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收入决算分析。县</w:t>
      </w:r>
      <w:r>
        <w:rPr>
          <w:rFonts w:hint="eastAsia" w:ascii="仿宋_GB2312" w:hAnsi="仿宋_GB2312" w:eastAsia="仿宋_GB2312" w:cs="仿宋_GB2312"/>
          <w:sz w:val="32"/>
          <w:szCs w:val="32"/>
          <w:highlight w:val="none"/>
        </w:rPr>
        <w:t>本级地方一般公共预算收入完成</w:t>
      </w:r>
      <w:r>
        <w:rPr>
          <w:rFonts w:hint="eastAsia" w:ascii="仿宋_GB2312" w:hAnsi="仿宋_GB2312" w:eastAsia="仿宋_GB2312" w:cs="仿宋_GB2312"/>
          <w:spacing w:val="-11"/>
          <w:kern w:val="0"/>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34342万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同比</w:t>
      </w:r>
      <w:r>
        <w:rPr>
          <w:rFonts w:hint="eastAsia" w:ascii="仿宋_GB2312" w:hAnsi="仿宋_GB2312" w:eastAsia="仿宋_GB2312" w:cs="仿宋_GB2312"/>
          <w:sz w:val="32"/>
          <w:szCs w:val="32"/>
          <w:highlight w:val="none"/>
        </w:rPr>
        <w:t>增长</w:t>
      </w:r>
      <w:r>
        <w:rPr>
          <w:rFonts w:hint="eastAsia" w:ascii="仿宋_GB2312" w:hAnsi="仿宋_GB2312" w:eastAsia="仿宋_GB2312" w:cs="仿宋_GB2312"/>
          <w:sz w:val="32"/>
          <w:szCs w:val="32"/>
          <w:highlight w:val="none"/>
          <w:lang w:val="en-US" w:eastAsia="zh-CN"/>
        </w:rPr>
        <w:t>8.91</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
          <w:sz w:val="32"/>
          <w:szCs w:val="32"/>
          <w:highlight w:val="none"/>
        </w:rPr>
        <w:t>一是</w:t>
      </w:r>
      <w:r>
        <w:rPr>
          <w:rFonts w:hint="eastAsia" w:ascii="仿宋_GB2312" w:hAnsi="仿宋_GB2312" w:eastAsia="仿宋_GB2312" w:cs="仿宋_GB2312"/>
          <w:sz w:val="32"/>
          <w:szCs w:val="32"/>
          <w:highlight w:val="none"/>
        </w:rPr>
        <w:t>税收收入完成</w:t>
      </w:r>
      <w:r>
        <w:rPr>
          <w:rFonts w:hint="eastAsia" w:ascii="仿宋_GB2312" w:hAnsi="仿宋_GB2312" w:eastAsia="仿宋_GB2312" w:cs="仿宋_GB2312"/>
          <w:spacing w:val="-11"/>
          <w:kern w:val="0"/>
          <w:sz w:val="32"/>
          <w:szCs w:val="32"/>
          <w:highlight w:val="none"/>
          <w:lang w:val="en-US" w:eastAsia="zh-CN"/>
        </w:rPr>
        <w:t>18026万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同比</w:t>
      </w:r>
      <w:r>
        <w:rPr>
          <w:rFonts w:hint="eastAsia" w:ascii="仿宋_GB2312" w:hAnsi="仿宋_GB2312" w:eastAsia="仿宋_GB2312" w:cs="仿宋_GB2312"/>
          <w:spacing w:val="-11"/>
          <w:kern w:val="0"/>
          <w:sz w:val="32"/>
          <w:szCs w:val="32"/>
          <w:highlight w:val="none"/>
          <w:lang w:val="en-US" w:eastAsia="zh-CN"/>
        </w:rPr>
        <w:t>增长5.76</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其中：增值税</w:t>
      </w:r>
      <w:r>
        <w:rPr>
          <w:rFonts w:hint="eastAsia" w:ascii="仿宋_GB2312" w:hAnsi="仿宋_GB2312" w:eastAsia="仿宋_GB2312" w:cs="仿宋_GB2312"/>
          <w:spacing w:val="-11"/>
          <w:kern w:val="0"/>
          <w:sz w:val="32"/>
          <w:szCs w:val="32"/>
          <w:highlight w:val="none"/>
          <w:lang w:val="en-US" w:eastAsia="zh-CN"/>
        </w:rPr>
        <w:t>6768</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下降</w:t>
      </w:r>
      <w:r>
        <w:rPr>
          <w:rFonts w:hint="eastAsia" w:ascii="仿宋_GB2312" w:hAnsi="仿宋_GB2312" w:eastAsia="仿宋_GB2312" w:cs="仿宋_GB2312"/>
          <w:sz w:val="32"/>
          <w:szCs w:val="32"/>
          <w:highlight w:val="none"/>
          <w:lang w:val="en-US" w:eastAsia="zh-CN"/>
        </w:rPr>
        <w:t>0.59</w:t>
      </w:r>
      <w:r>
        <w:rPr>
          <w:rFonts w:hint="eastAsia" w:ascii="仿宋_GB2312" w:hAnsi="仿宋_GB2312" w:eastAsia="仿宋_GB2312" w:cs="仿宋_GB2312"/>
          <w:sz w:val="32"/>
          <w:szCs w:val="32"/>
          <w:highlight w:val="none"/>
        </w:rPr>
        <w:t>%；企业所得税</w:t>
      </w:r>
      <w:r>
        <w:rPr>
          <w:rFonts w:hint="eastAsia" w:ascii="仿宋_GB2312" w:hAnsi="仿宋_GB2312" w:eastAsia="仿宋_GB2312" w:cs="仿宋_GB2312"/>
          <w:spacing w:val="-11"/>
          <w:kern w:val="0"/>
          <w:sz w:val="32"/>
          <w:szCs w:val="32"/>
          <w:highlight w:val="none"/>
          <w:lang w:val="en-US" w:eastAsia="zh-CN"/>
        </w:rPr>
        <w:t>5948</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元，增长</w:t>
      </w:r>
      <w:r>
        <w:rPr>
          <w:rFonts w:hint="eastAsia" w:ascii="仿宋_GB2312" w:hAnsi="仿宋_GB2312" w:eastAsia="仿宋_GB2312" w:cs="仿宋_GB2312"/>
          <w:spacing w:val="-11"/>
          <w:kern w:val="0"/>
          <w:sz w:val="32"/>
          <w:szCs w:val="32"/>
          <w:highlight w:val="none"/>
          <w:lang w:val="en-US" w:eastAsia="zh-CN"/>
        </w:rPr>
        <w:t>22.82</w:t>
      </w:r>
      <w:r>
        <w:rPr>
          <w:rFonts w:hint="eastAsia" w:ascii="仿宋_GB2312" w:hAnsi="仿宋_GB2312" w:eastAsia="仿宋_GB2312" w:cs="仿宋_GB2312"/>
          <w:sz w:val="32"/>
          <w:szCs w:val="32"/>
          <w:highlight w:val="none"/>
        </w:rPr>
        <w:t>%；个人所得税</w:t>
      </w:r>
      <w:r>
        <w:rPr>
          <w:rFonts w:hint="eastAsia" w:ascii="仿宋_GB2312" w:hAnsi="仿宋_GB2312" w:eastAsia="仿宋_GB2312" w:cs="仿宋_GB2312"/>
          <w:spacing w:val="-11"/>
          <w:kern w:val="0"/>
          <w:sz w:val="32"/>
          <w:szCs w:val="32"/>
          <w:highlight w:val="none"/>
          <w:lang w:val="en-US" w:eastAsia="zh-CN"/>
        </w:rPr>
        <w:t>1080</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增长</w:t>
      </w:r>
      <w:r>
        <w:rPr>
          <w:rFonts w:hint="eastAsia" w:ascii="仿宋_GB2312" w:hAnsi="仿宋_GB2312" w:eastAsia="仿宋_GB2312" w:cs="仿宋_GB2312"/>
          <w:sz w:val="32"/>
          <w:szCs w:val="32"/>
          <w:highlight w:val="none"/>
          <w:lang w:val="en-US" w:eastAsia="zh-CN"/>
        </w:rPr>
        <w:t>20.67%</w:t>
      </w:r>
      <w:r>
        <w:rPr>
          <w:rFonts w:hint="eastAsia" w:ascii="仿宋_GB2312" w:hAnsi="仿宋_GB2312" w:eastAsia="仿宋_GB2312" w:cs="仿宋_GB2312"/>
          <w:spacing w:val="-11"/>
          <w:kern w:val="0"/>
          <w:sz w:val="32"/>
          <w:szCs w:val="32"/>
          <w:highlight w:val="none"/>
          <w:lang w:val="en-US" w:eastAsia="zh-CN"/>
        </w:rPr>
        <w:t>；</w:t>
      </w:r>
      <w:r>
        <w:rPr>
          <w:rFonts w:hint="eastAsia" w:ascii="仿宋_GB2312" w:hAnsi="仿宋_GB2312" w:eastAsia="仿宋_GB2312" w:cs="仿宋_GB2312"/>
          <w:sz w:val="32"/>
          <w:szCs w:val="32"/>
          <w:highlight w:val="none"/>
        </w:rPr>
        <w:t>其他小税种</w:t>
      </w:r>
      <w:r>
        <w:rPr>
          <w:rFonts w:hint="eastAsia" w:ascii="仿宋_GB2312" w:hAnsi="仿宋_GB2312" w:eastAsia="仿宋_GB2312" w:cs="仿宋_GB2312"/>
          <w:spacing w:val="-11"/>
          <w:kern w:val="0"/>
          <w:sz w:val="32"/>
          <w:szCs w:val="32"/>
          <w:highlight w:val="none"/>
          <w:lang w:val="en-US" w:eastAsia="zh-CN"/>
        </w:rPr>
        <w:t>4230</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下降</w:t>
      </w:r>
      <w:r>
        <w:rPr>
          <w:rFonts w:hint="eastAsia" w:ascii="仿宋_GB2312" w:hAnsi="仿宋_GB2312" w:eastAsia="仿宋_GB2312" w:cs="仿宋_GB2312"/>
          <w:spacing w:val="-11"/>
          <w:kern w:val="0"/>
          <w:sz w:val="32"/>
          <w:szCs w:val="32"/>
          <w:highlight w:val="none"/>
          <w:lang w:val="en-US" w:eastAsia="zh-CN"/>
        </w:rPr>
        <w:t>5.98</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sz w:val="32"/>
          <w:szCs w:val="32"/>
          <w:highlight w:val="none"/>
        </w:rPr>
        <w:t>二是</w:t>
      </w:r>
      <w:r>
        <w:rPr>
          <w:rFonts w:hint="eastAsia" w:ascii="仿宋_GB2312" w:hAnsi="仿宋_GB2312" w:eastAsia="仿宋_GB2312" w:cs="仿宋_GB2312"/>
          <w:sz w:val="32"/>
          <w:szCs w:val="32"/>
          <w:highlight w:val="none"/>
        </w:rPr>
        <w:t>非税收入完成</w:t>
      </w:r>
      <w:r>
        <w:rPr>
          <w:rFonts w:hint="eastAsia" w:ascii="仿宋_GB2312" w:hAnsi="仿宋_GB2312" w:eastAsia="仿宋_GB2312" w:cs="仿宋_GB2312"/>
          <w:spacing w:val="-11"/>
          <w:kern w:val="0"/>
          <w:sz w:val="32"/>
          <w:szCs w:val="32"/>
          <w:highlight w:val="none"/>
          <w:lang w:val="en-US" w:eastAsia="zh-CN"/>
        </w:rPr>
        <w:t>16316</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同比增长</w:t>
      </w:r>
      <w:r>
        <w:rPr>
          <w:rFonts w:hint="eastAsia" w:ascii="仿宋_GB2312" w:hAnsi="仿宋_GB2312" w:eastAsia="仿宋_GB2312" w:cs="仿宋_GB2312"/>
          <w:spacing w:val="-11"/>
          <w:kern w:val="0"/>
          <w:sz w:val="32"/>
          <w:szCs w:val="32"/>
          <w:highlight w:val="none"/>
          <w:lang w:val="en-US" w:eastAsia="zh-CN"/>
        </w:rPr>
        <w:t>12.62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pacing w:val="-11"/>
          <w:kern w:val="0"/>
          <w:sz w:val="32"/>
          <w:szCs w:val="32"/>
          <w:highlight w:val="none"/>
          <w:lang w:val="en-US" w:eastAsia="zh-CN"/>
        </w:rPr>
        <w:t>主要是公安罚没、国有资源（资产）有偿使用等一次性非税收入增加</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snapToGrid/>
        <w:spacing w:line="540" w:lineRule="exact"/>
        <w:ind w:left="0" w:leftChars="0" w:firstLine="531" w:firstLineChars="166"/>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支出决算分析。县</w:t>
      </w:r>
      <w:r>
        <w:rPr>
          <w:rFonts w:hint="eastAsia" w:ascii="仿宋_GB2312" w:hAnsi="仿宋_GB2312" w:eastAsia="仿宋_GB2312" w:cs="仿宋_GB2312"/>
          <w:sz w:val="32"/>
          <w:szCs w:val="32"/>
          <w:highlight w:val="none"/>
        </w:rPr>
        <w:t>本级一般公共预算支出</w:t>
      </w:r>
      <w:r>
        <w:rPr>
          <w:rFonts w:hint="eastAsia" w:ascii="仿宋_GB2312" w:hAnsi="仿宋_GB2312" w:eastAsia="仿宋_GB2312" w:cs="仿宋_GB2312"/>
          <w:sz w:val="32"/>
          <w:szCs w:val="32"/>
          <w:highlight w:val="none"/>
          <w:lang w:eastAsia="zh-CN"/>
        </w:rPr>
        <w:t>完成</w:t>
      </w:r>
      <w:r>
        <w:rPr>
          <w:rFonts w:hint="eastAsia" w:ascii="仿宋_GB2312" w:hAnsi="仿宋_GB2312" w:eastAsia="仿宋_GB2312" w:cs="仿宋_GB2312"/>
          <w:spacing w:val="-11"/>
          <w:kern w:val="0"/>
          <w:sz w:val="32"/>
          <w:szCs w:val="32"/>
          <w:highlight w:val="none"/>
          <w:lang w:val="en-US" w:eastAsia="zh-CN"/>
        </w:rPr>
        <w:t>150213</w:t>
      </w:r>
      <w:r>
        <w:rPr>
          <w:rFonts w:hint="eastAsia" w:ascii="仿宋_GB2312" w:hAnsi="仿宋_GB2312" w:eastAsia="仿宋_GB2312" w:cs="仿宋_GB2312"/>
          <w:sz w:val="32"/>
          <w:szCs w:val="32"/>
          <w:highlight w:val="none"/>
          <w:lang w:val="en-US" w:eastAsia="zh-CN"/>
        </w:rPr>
        <w:t>万元</w:t>
      </w:r>
      <w:r>
        <w:rPr>
          <w:rFonts w:hint="eastAsia"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lang w:eastAsia="zh-CN"/>
        </w:rPr>
        <w:t>比</w:t>
      </w:r>
      <w:r>
        <w:rPr>
          <w:rFonts w:hint="eastAsia" w:ascii="仿宋_GB2312" w:hAnsi="仿宋_GB2312" w:eastAsia="仿宋_GB2312" w:cs="仿宋_GB2312"/>
          <w:sz w:val="32"/>
          <w:szCs w:val="32"/>
          <w:highlight w:val="none"/>
        </w:rPr>
        <w:t>增长</w:t>
      </w:r>
      <w:r>
        <w:rPr>
          <w:rFonts w:hint="eastAsia" w:ascii="仿宋_GB2312" w:hAnsi="仿宋_GB2312" w:eastAsia="仿宋_GB2312" w:cs="仿宋_GB2312"/>
          <w:spacing w:val="-11"/>
          <w:kern w:val="0"/>
          <w:sz w:val="32"/>
          <w:szCs w:val="32"/>
          <w:highlight w:val="none"/>
          <w:lang w:val="en-US" w:eastAsia="zh-CN"/>
        </w:rPr>
        <w:t>6.27</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主要支出项目情况：</w:t>
      </w:r>
      <w:r>
        <w:rPr>
          <w:rFonts w:hint="eastAsia" w:ascii="仿宋_GB2312" w:hAnsi="仿宋_GB2312" w:eastAsia="仿宋_GB2312" w:cs="仿宋_GB2312"/>
          <w:b/>
          <w:sz w:val="32"/>
          <w:szCs w:val="32"/>
          <w:highlight w:val="none"/>
        </w:rPr>
        <w:t>教育支出</w:t>
      </w:r>
      <w:r>
        <w:rPr>
          <w:rFonts w:hint="eastAsia" w:ascii="仿宋_GB2312" w:hAnsi="仿宋_GB2312" w:eastAsia="仿宋_GB2312" w:cs="仿宋_GB2312"/>
          <w:spacing w:val="-11"/>
          <w:kern w:val="0"/>
          <w:sz w:val="32"/>
          <w:szCs w:val="32"/>
          <w:highlight w:val="none"/>
          <w:lang w:val="en-US" w:eastAsia="zh-CN"/>
        </w:rPr>
        <w:t>41034</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增支</w:t>
      </w:r>
      <w:r>
        <w:rPr>
          <w:rFonts w:hint="eastAsia" w:ascii="仿宋_GB2312" w:hAnsi="仿宋_GB2312" w:eastAsia="仿宋_GB2312" w:cs="仿宋_GB2312"/>
          <w:sz w:val="32"/>
          <w:szCs w:val="32"/>
          <w:highlight w:val="none"/>
          <w:lang w:val="en-US" w:eastAsia="zh-CN"/>
        </w:rPr>
        <w:t>2451</w:t>
      </w:r>
      <w:r>
        <w:rPr>
          <w:rFonts w:hint="eastAsia" w:ascii="仿宋_GB2312" w:hAnsi="仿宋_GB2312" w:eastAsia="仿宋_GB2312" w:cs="仿宋_GB2312"/>
          <w:sz w:val="32"/>
          <w:szCs w:val="32"/>
          <w:highlight w:val="none"/>
          <w:lang w:eastAsia="zh-CN"/>
        </w:rPr>
        <w:t>万元，</w:t>
      </w:r>
      <w:r>
        <w:rPr>
          <w:rFonts w:hint="eastAsia" w:ascii="仿宋_GB2312" w:hAnsi="仿宋_GB2312" w:eastAsia="仿宋_GB2312" w:cs="仿宋_GB2312"/>
          <w:sz w:val="32"/>
          <w:szCs w:val="32"/>
          <w:highlight w:val="none"/>
        </w:rPr>
        <w:t>增长</w:t>
      </w:r>
      <w:r>
        <w:rPr>
          <w:rFonts w:hint="eastAsia" w:ascii="仿宋_GB2312" w:hAnsi="仿宋_GB2312" w:eastAsia="仿宋_GB2312" w:cs="仿宋_GB2312"/>
          <w:spacing w:val="-11"/>
          <w:kern w:val="0"/>
          <w:sz w:val="32"/>
          <w:szCs w:val="32"/>
          <w:highlight w:val="none"/>
          <w:lang w:val="en-US" w:eastAsia="zh-CN"/>
        </w:rPr>
        <w:t>6.35</w:t>
      </w:r>
      <w:r>
        <w:rPr>
          <w:rFonts w:hint="eastAsia" w:ascii="仿宋_GB2312" w:hAnsi="仿宋_GB2312" w:eastAsia="仿宋_GB2312" w:cs="仿宋_GB2312"/>
          <w:sz w:val="32"/>
          <w:szCs w:val="32"/>
          <w:highlight w:val="none"/>
        </w:rPr>
        <w:t>%，主要是</w:t>
      </w:r>
      <w:r>
        <w:rPr>
          <w:rFonts w:hint="eastAsia" w:ascii="仿宋_GB2312" w:hAnsi="仿宋_GB2312" w:eastAsia="仿宋_GB2312" w:cs="仿宋_GB2312"/>
          <w:spacing w:val="-11"/>
          <w:kern w:val="0"/>
          <w:sz w:val="32"/>
          <w:szCs w:val="32"/>
          <w:highlight w:val="none"/>
          <w:lang w:val="en-US" w:eastAsia="zh-CN"/>
        </w:rPr>
        <w:t>一中迁建项目支出增加；</w:t>
      </w:r>
      <w:r>
        <w:rPr>
          <w:rFonts w:hint="eastAsia" w:ascii="仿宋_GB2312" w:hAnsi="仿宋_GB2312" w:eastAsia="仿宋_GB2312" w:cs="仿宋_GB2312"/>
          <w:b/>
          <w:sz w:val="32"/>
          <w:szCs w:val="32"/>
          <w:highlight w:val="none"/>
        </w:rPr>
        <w:t>农林水支出</w:t>
      </w:r>
      <w:r>
        <w:rPr>
          <w:rFonts w:hint="eastAsia" w:ascii="仿宋_GB2312" w:hAnsi="仿宋_GB2312" w:eastAsia="仿宋_GB2312" w:cs="仿宋_GB2312"/>
          <w:spacing w:val="-11"/>
          <w:kern w:val="0"/>
          <w:sz w:val="32"/>
          <w:szCs w:val="32"/>
          <w:highlight w:val="none"/>
          <w:lang w:val="en-US" w:eastAsia="zh-CN"/>
        </w:rPr>
        <w:t>17142</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增支</w:t>
      </w:r>
      <w:r>
        <w:rPr>
          <w:rFonts w:hint="eastAsia" w:ascii="仿宋_GB2312" w:hAnsi="仿宋_GB2312" w:eastAsia="仿宋_GB2312" w:cs="仿宋_GB2312"/>
          <w:sz w:val="32"/>
          <w:szCs w:val="32"/>
          <w:highlight w:val="none"/>
          <w:lang w:val="en-US" w:eastAsia="zh-CN"/>
        </w:rPr>
        <w:t>283</w:t>
      </w:r>
      <w:r>
        <w:rPr>
          <w:rFonts w:hint="eastAsia" w:ascii="仿宋_GB2312" w:hAnsi="仿宋_GB2312" w:eastAsia="仿宋_GB2312" w:cs="仿宋_GB2312"/>
          <w:sz w:val="32"/>
          <w:szCs w:val="32"/>
          <w:highlight w:val="none"/>
          <w:lang w:eastAsia="zh-CN"/>
        </w:rPr>
        <w:t>万元，</w:t>
      </w:r>
      <w:r>
        <w:rPr>
          <w:rFonts w:hint="eastAsia" w:ascii="仿宋_GB2312" w:hAnsi="仿宋_GB2312" w:eastAsia="仿宋_GB2312" w:cs="仿宋_GB2312"/>
          <w:sz w:val="32"/>
          <w:szCs w:val="32"/>
          <w:highlight w:val="none"/>
        </w:rPr>
        <w:t>增长</w:t>
      </w:r>
      <w:r>
        <w:rPr>
          <w:rFonts w:hint="eastAsia" w:ascii="仿宋_GB2312" w:hAnsi="仿宋_GB2312" w:eastAsia="仿宋_GB2312" w:cs="仿宋_GB2312"/>
          <w:spacing w:val="-11"/>
          <w:kern w:val="0"/>
          <w:sz w:val="32"/>
          <w:szCs w:val="32"/>
          <w:highlight w:val="none"/>
          <w:lang w:val="en-US" w:eastAsia="zh-CN"/>
        </w:rPr>
        <w:t>1.68</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pacing w:val="-11"/>
          <w:kern w:val="0"/>
          <w:sz w:val="32"/>
          <w:szCs w:val="32"/>
          <w:highlight w:val="none"/>
          <w:lang w:val="en-US" w:eastAsia="zh-CN"/>
        </w:rPr>
        <w:t>；</w:t>
      </w:r>
      <w:r>
        <w:rPr>
          <w:rFonts w:hint="eastAsia" w:ascii="仿宋_GB2312" w:hAnsi="仿宋_GB2312" w:eastAsia="仿宋_GB2312" w:cs="仿宋_GB2312"/>
          <w:b/>
          <w:sz w:val="32"/>
          <w:szCs w:val="32"/>
          <w:highlight w:val="none"/>
        </w:rPr>
        <w:t>社会保障和就业支出</w:t>
      </w:r>
      <w:r>
        <w:rPr>
          <w:rFonts w:hint="eastAsia" w:ascii="仿宋_GB2312" w:hAnsi="仿宋_GB2312" w:eastAsia="仿宋_GB2312" w:cs="仿宋_GB2312"/>
          <w:spacing w:val="-11"/>
          <w:kern w:val="0"/>
          <w:sz w:val="32"/>
          <w:szCs w:val="32"/>
          <w:highlight w:val="none"/>
          <w:lang w:val="en-US" w:eastAsia="zh-CN"/>
        </w:rPr>
        <w:t>24343</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增支</w:t>
      </w:r>
      <w:r>
        <w:rPr>
          <w:rFonts w:hint="eastAsia" w:ascii="仿宋_GB2312" w:hAnsi="仿宋_GB2312" w:eastAsia="仿宋_GB2312" w:cs="仿宋_GB2312"/>
          <w:sz w:val="32"/>
          <w:szCs w:val="32"/>
          <w:highlight w:val="none"/>
          <w:lang w:val="en-US" w:eastAsia="zh-CN"/>
        </w:rPr>
        <w:t>10042</w:t>
      </w:r>
      <w:r>
        <w:rPr>
          <w:rFonts w:hint="eastAsia" w:ascii="仿宋_GB2312" w:hAnsi="仿宋_GB2312" w:eastAsia="仿宋_GB2312" w:cs="仿宋_GB2312"/>
          <w:sz w:val="32"/>
          <w:szCs w:val="32"/>
          <w:highlight w:val="none"/>
          <w:lang w:eastAsia="zh-CN"/>
        </w:rPr>
        <w:t>万元，</w:t>
      </w:r>
      <w:r>
        <w:rPr>
          <w:rFonts w:hint="eastAsia" w:ascii="仿宋_GB2312" w:hAnsi="仿宋_GB2312" w:eastAsia="仿宋_GB2312" w:cs="仿宋_GB2312"/>
          <w:sz w:val="32"/>
          <w:szCs w:val="32"/>
          <w:highlight w:val="none"/>
        </w:rPr>
        <w:t>增长</w:t>
      </w:r>
      <w:r>
        <w:rPr>
          <w:rFonts w:hint="eastAsia" w:ascii="仿宋_GB2312" w:hAnsi="仿宋_GB2312" w:eastAsia="仿宋_GB2312" w:cs="仿宋_GB2312"/>
          <w:spacing w:val="-11"/>
          <w:kern w:val="0"/>
          <w:sz w:val="32"/>
          <w:szCs w:val="32"/>
          <w:highlight w:val="none"/>
          <w:lang w:val="en-US" w:eastAsia="zh-CN"/>
        </w:rPr>
        <w:t>70.22</w:t>
      </w:r>
      <w:r>
        <w:rPr>
          <w:rFonts w:hint="eastAsia" w:ascii="仿宋_GB2312" w:hAnsi="仿宋_GB2312" w:eastAsia="仿宋_GB2312" w:cs="仿宋_GB2312"/>
          <w:sz w:val="32"/>
          <w:szCs w:val="32"/>
          <w:highlight w:val="none"/>
        </w:rPr>
        <w:t>%，主要是</w:t>
      </w:r>
      <w:r>
        <w:rPr>
          <w:rFonts w:hint="eastAsia" w:ascii="仿宋_GB2312" w:hAnsi="仿宋_GB2312" w:eastAsia="仿宋_GB2312" w:cs="仿宋_GB2312"/>
          <w:sz w:val="32"/>
          <w:szCs w:val="32"/>
          <w:highlight w:val="none"/>
          <w:lang w:val="en-US" w:eastAsia="zh-CN"/>
        </w:rPr>
        <w:t>退休人员生活补助增加3047万元、年终决算根据实际对单位社保费支出进行科目调整增加6344万元</w:t>
      </w:r>
      <w:r>
        <w:rPr>
          <w:rFonts w:hint="eastAsia" w:ascii="仿宋_GB2312" w:hAnsi="仿宋_GB2312" w:eastAsia="仿宋_GB2312" w:cs="仿宋_GB2312"/>
          <w:spacing w:val="-11"/>
          <w:kern w:val="0"/>
          <w:sz w:val="32"/>
          <w:szCs w:val="32"/>
          <w:highlight w:val="none"/>
          <w:lang w:val="en-US" w:eastAsia="zh-CN"/>
        </w:rPr>
        <w:t>；</w:t>
      </w:r>
      <w:r>
        <w:rPr>
          <w:rFonts w:hint="eastAsia" w:ascii="仿宋_GB2312" w:hAnsi="仿宋_GB2312" w:eastAsia="仿宋_GB2312" w:cs="仿宋_GB2312"/>
          <w:b/>
          <w:sz w:val="32"/>
          <w:szCs w:val="32"/>
          <w:highlight w:val="none"/>
          <w:lang w:eastAsia="zh-CN"/>
        </w:rPr>
        <w:t>城乡社区支出</w:t>
      </w:r>
      <w:r>
        <w:rPr>
          <w:rFonts w:hint="eastAsia" w:ascii="仿宋_GB2312" w:hAnsi="仿宋_GB2312" w:eastAsia="仿宋_GB2312" w:cs="仿宋_GB2312"/>
          <w:spacing w:val="-11"/>
          <w:kern w:val="0"/>
          <w:sz w:val="32"/>
          <w:szCs w:val="32"/>
          <w:highlight w:val="none"/>
          <w:lang w:val="en-US" w:eastAsia="zh-CN"/>
        </w:rPr>
        <w:t>12094</w:t>
      </w:r>
      <w:r>
        <w:rPr>
          <w:rFonts w:hint="eastAsia" w:ascii="仿宋_GB2312" w:hAnsi="仿宋_GB2312" w:eastAsia="仿宋_GB2312" w:cs="仿宋_GB2312"/>
          <w:sz w:val="32"/>
          <w:szCs w:val="32"/>
          <w:highlight w:val="none"/>
          <w:lang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增支</w:t>
      </w:r>
      <w:r>
        <w:rPr>
          <w:rFonts w:hint="eastAsia" w:ascii="仿宋_GB2312" w:hAnsi="仿宋_GB2312" w:eastAsia="仿宋_GB2312" w:cs="仿宋_GB2312"/>
          <w:sz w:val="32"/>
          <w:szCs w:val="32"/>
          <w:highlight w:val="none"/>
          <w:lang w:val="en-US" w:eastAsia="zh-CN"/>
        </w:rPr>
        <w:t>336</w:t>
      </w:r>
      <w:r>
        <w:rPr>
          <w:rFonts w:hint="eastAsia" w:ascii="仿宋_GB2312" w:hAnsi="仿宋_GB2312" w:eastAsia="仿宋_GB2312" w:cs="仿宋_GB2312"/>
          <w:sz w:val="32"/>
          <w:szCs w:val="32"/>
          <w:highlight w:val="none"/>
          <w:lang w:eastAsia="zh-CN"/>
        </w:rPr>
        <w:t>万元，</w:t>
      </w:r>
      <w:r>
        <w:rPr>
          <w:rFonts w:hint="eastAsia" w:ascii="仿宋_GB2312" w:hAnsi="仿宋_GB2312" w:eastAsia="仿宋_GB2312" w:cs="仿宋_GB2312"/>
          <w:sz w:val="32"/>
          <w:szCs w:val="32"/>
          <w:highlight w:val="none"/>
        </w:rPr>
        <w:t>增长</w:t>
      </w:r>
      <w:r>
        <w:rPr>
          <w:rFonts w:hint="eastAsia" w:ascii="仿宋_GB2312" w:hAnsi="仿宋_GB2312" w:eastAsia="仿宋_GB2312" w:cs="仿宋_GB2312"/>
          <w:spacing w:val="-11"/>
          <w:kern w:val="0"/>
          <w:sz w:val="32"/>
          <w:szCs w:val="32"/>
          <w:highlight w:val="none"/>
          <w:lang w:val="en-US" w:eastAsia="zh-CN"/>
        </w:rPr>
        <w:t>2.86</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pacing w:val="-11"/>
          <w:kern w:val="0"/>
          <w:sz w:val="32"/>
          <w:szCs w:val="32"/>
          <w:highlight w:val="none"/>
          <w:lang w:val="en-US" w:eastAsia="zh-CN"/>
        </w:rPr>
        <w:t>；</w:t>
      </w:r>
      <w:r>
        <w:rPr>
          <w:rFonts w:hint="eastAsia" w:ascii="仿宋_GB2312" w:hAnsi="仿宋_GB2312" w:eastAsia="仿宋_GB2312" w:cs="仿宋_GB2312"/>
          <w:b/>
          <w:bCs/>
          <w:sz w:val="32"/>
          <w:szCs w:val="32"/>
          <w:highlight w:val="none"/>
          <w:lang w:eastAsia="zh-CN"/>
        </w:rPr>
        <w:t>交通运输支出</w:t>
      </w:r>
      <w:r>
        <w:rPr>
          <w:rFonts w:hint="eastAsia" w:ascii="仿宋_GB2312" w:hAnsi="仿宋_GB2312" w:eastAsia="仿宋_GB2312" w:cs="仿宋_GB2312"/>
          <w:spacing w:val="-11"/>
          <w:kern w:val="0"/>
          <w:sz w:val="32"/>
          <w:szCs w:val="32"/>
          <w:highlight w:val="none"/>
          <w:lang w:val="en-US" w:eastAsia="zh-CN"/>
        </w:rPr>
        <w:t>4818万元</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增支</w:t>
      </w:r>
      <w:r>
        <w:rPr>
          <w:rFonts w:hint="eastAsia" w:ascii="仿宋_GB2312" w:hAnsi="仿宋_GB2312" w:eastAsia="仿宋_GB2312" w:cs="仿宋_GB2312"/>
          <w:sz w:val="32"/>
          <w:szCs w:val="32"/>
          <w:highlight w:val="none"/>
          <w:lang w:val="en-US" w:eastAsia="zh-CN"/>
        </w:rPr>
        <w:t>1295</w:t>
      </w:r>
      <w:r>
        <w:rPr>
          <w:rFonts w:hint="eastAsia" w:ascii="仿宋_GB2312" w:hAnsi="仿宋_GB2312" w:eastAsia="仿宋_GB2312" w:cs="仿宋_GB2312"/>
          <w:sz w:val="32"/>
          <w:szCs w:val="32"/>
          <w:highlight w:val="none"/>
          <w:lang w:eastAsia="zh-CN"/>
        </w:rPr>
        <w:t>万元，</w:t>
      </w:r>
      <w:r>
        <w:rPr>
          <w:rFonts w:hint="eastAsia" w:ascii="仿宋_GB2312" w:hAnsi="仿宋_GB2312" w:eastAsia="仿宋_GB2312" w:cs="仿宋_GB2312"/>
          <w:sz w:val="32"/>
          <w:szCs w:val="32"/>
          <w:highlight w:val="none"/>
        </w:rPr>
        <w:t>增长</w:t>
      </w:r>
      <w:r>
        <w:rPr>
          <w:rFonts w:hint="eastAsia" w:ascii="仿宋_GB2312" w:hAnsi="仿宋_GB2312" w:eastAsia="仿宋_GB2312" w:cs="仿宋_GB2312"/>
          <w:spacing w:val="-11"/>
          <w:kern w:val="0"/>
          <w:sz w:val="32"/>
          <w:szCs w:val="32"/>
          <w:highlight w:val="none"/>
          <w:lang w:val="en-US" w:eastAsia="zh-CN"/>
        </w:rPr>
        <w:t>36.76</w:t>
      </w:r>
      <w:r>
        <w:rPr>
          <w:rFonts w:hint="eastAsia" w:ascii="仿宋_GB2312" w:hAnsi="仿宋_GB2312" w:eastAsia="仿宋_GB2312" w:cs="仿宋_GB2312"/>
          <w:sz w:val="32"/>
          <w:szCs w:val="32"/>
          <w:highlight w:val="none"/>
        </w:rPr>
        <w:t>%，主要是</w:t>
      </w:r>
      <w:r>
        <w:rPr>
          <w:rFonts w:hint="eastAsia" w:ascii="仿宋_GB2312" w:hAnsi="仿宋_GB2312" w:eastAsia="仿宋_GB2312" w:cs="仿宋_GB2312"/>
          <w:sz w:val="32"/>
          <w:szCs w:val="32"/>
          <w:highlight w:val="none"/>
          <w:lang w:eastAsia="zh-CN"/>
        </w:rPr>
        <w:t>中央预算内投资补助资金增加</w:t>
      </w:r>
      <w:r>
        <w:rPr>
          <w:rFonts w:hint="eastAsia" w:ascii="仿宋_GB2312" w:hAnsi="仿宋_GB2312" w:eastAsia="仿宋_GB2312" w:cs="仿宋_GB2312"/>
          <w:sz w:val="32"/>
          <w:szCs w:val="32"/>
          <w:highlight w:val="none"/>
          <w:lang w:val="en-US" w:eastAsia="zh-CN"/>
        </w:rPr>
        <w:t>730万元、公路高质量发展补助资金增加605万元</w:t>
      </w:r>
      <w:r>
        <w:rPr>
          <w:rFonts w:hint="eastAsia" w:ascii="仿宋_GB2312" w:hAnsi="仿宋_GB2312" w:eastAsia="仿宋_GB2312" w:cs="仿宋_GB2312"/>
          <w:spacing w:val="-11"/>
          <w:kern w:val="0"/>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snapToGrid/>
        <w:spacing w:line="540" w:lineRule="exact"/>
        <w:ind w:firstLine="480" w:firstLineChars="150"/>
        <w:textAlignment w:val="auto"/>
        <w:rPr>
          <w:rFonts w:hint="eastAsia" w:ascii="楷体_GB2312" w:hAnsi="楷体_GB2312" w:eastAsia="楷体_GB2312" w:cs="楷体_GB2312"/>
          <w:bCs/>
          <w:sz w:val="32"/>
          <w:szCs w:val="32"/>
          <w:highlight w:val="none"/>
          <w:lang w:eastAsia="zh-CN"/>
        </w:rPr>
      </w:pPr>
      <w:r>
        <w:rPr>
          <w:rFonts w:hint="eastAsia" w:ascii="楷体_GB2312" w:hAnsi="楷体_GB2312" w:eastAsia="楷体_GB2312" w:cs="楷体_GB2312"/>
          <w:bCs/>
          <w:sz w:val="32"/>
          <w:szCs w:val="32"/>
          <w:highlight w:val="none"/>
        </w:rPr>
        <w:t>（二</w:t>
      </w:r>
      <w:r>
        <w:rPr>
          <w:rFonts w:hint="eastAsia" w:ascii="楷体_GB2312" w:hAnsi="楷体_GB2312" w:eastAsia="楷体_GB2312" w:cs="楷体_GB2312"/>
          <w:bCs/>
          <w:sz w:val="32"/>
          <w:szCs w:val="32"/>
          <w:highlight w:val="none"/>
          <w:lang w:eastAsia="zh-CN"/>
        </w:rPr>
        <w:t>）</w:t>
      </w:r>
      <w:r>
        <w:rPr>
          <w:rFonts w:hint="eastAsia" w:ascii="楷体_GB2312" w:hAnsi="楷体_GB2312" w:eastAsia="楷体_GB2312" w:cs="楷体_GB2312"/>
          <w:b w:val="0"/>
          <w:bCs w:val="0"/>
          <w:snapToGrid w:val="0"/>
          <w:color w:val="auto"/>
          <w:kern w:val="0"/>
          <w:sz w:val="32"/>
          <w:szCs w:val="32"/>
          <w:highlight w:val="none"/>
          <w:lang w:val="en-US" w:eastAsia="zh-CN" w:bidi="ar-SA"/>
        </w:rPr>
        <w:t>县本级预算调整及重点支出执行情况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color w:val="auto"/>
          <w:spacing w:val="-8"/>
          <w:sz w:val="32"/>
          <w:szCs w:val="32"/>
          <w:highlight w:val="none"/>
        </w:rPr>
        <w:t>20</w:t>
      </w:r>
      <w:r>
        <w:rPr>
          <w:rFonts w:hint="eastAsia" w:ascii="仿宋_GB2312" w:hAnsi="仿宋_GB2312" w:eastAsia="仿宋_GB2312" w:cs="仿宋_GB2312"/>
          <w:color w:val="auto"/>
          <w:spacing w:val="-8"/>
          <w:sz w:val="32"/>
          <w:szCs w:val="32"/>
          <w:highlight w:val="none"/>
          <w:lang w:val="en-US" w:eastAsia="zh-CN"/>
        </w:rPr>
        <w:t>23</w:t>
      </w:r>
      <w:r>
        <w:rPr>
          <w:rFonts w:hint="eastAsia" w:ascii="仿宋_GB2312" w:hAnsi="仿宋_GB2312" w:eastAsia="仿宋_GB2312" w:cs="仿宋_GB2312"/>
          <w:color w:val="auto"/>
          <w:spacing w:val="-8"/>
          <w:sz w:val="32"/>
          <w:szCs w:val="32"/>
          <w:highlight w:val="none"/>
        </w:rPr>
        <w:t>年预算安排（调整数，下同）</w:t>
      </w:r>
      <w:r>
        <w:rPr>
          <w:rFonts w:hint="eastAsia" w:ascii="仿宋_GB2312" w:hAnsi="仿宋_GB2312" w:eastAsia="仿宋_GB2312" w:cs="仿宋_GB2312"/>
          <w:color w:val="auto"/>
          <w:spacing w:val="-8"/>
          <w:sz w:val="32"/>
          <w:szCs w:val="32"/>
          <w:highlight w:val="none"/>
          <w:lang w:eastAsia="zh-CN"/>
        </w:rPr>
        <w:t>县本级</w:t>
      </w:r>
      <w:r>
        <w:rPr>
          <w:rFonts w:hint="eastAsia" w:ascii="仿宋_GB2312" w:hAnsi="仿宋_GB2312" w:eastAsia="仿宋_GB2312" w:cs="仿宋_GB2312"/>
          <w:color w:val="auto"/>
          <w:spacing w:val="-8"/>
          <w:sz w:val="32"/>
          <w:szCs w:val="32"/>
          <w:highlight w:val="none"/>
        </w:rPr>
        <w:t>重点民生支出</w:t>
      </w:r>
      <w:r>
        <w:rPr>
          <w:rFonts w:hint="eastAsia" w:ascii="仿宋_GB2312" w:hAnsi="仿宋_GB2312" w:eastAsia="仿宋_GB2312" w:cs="仿宋_GB2312"/>
          <w:color w:val="auto"/>
          <w:spacing w:val="-8"/>
          <w:sz w:val="32"/>
          <w:szCs w:val="32"/>
          <w:highlight w:val="none"/>
          <w:lang w:val="en-US" w:eastAsia="zh-CN"/>
        </w:rPr>
        <w:t>117230</w:t>
      </w:r>
      <w:r>
        <w:rPr>
          <w:rFonts w:hint="eastAsia" w:ascii="仿宋_GB2312" w:hAnsi="仿宋_GB2312" w:eastAsia="仿宋_GB2312" w:cs="仿宋_GB2312"/>
          <w:color w:val="auto"/>
          <w:spacing w:val="-8"/>
          <w:sz w:val="32"/>
          <w:szCs w:val="32"/>
          <w:highlight w:val="none"/>
        </w:rPr>
        <w:t>万元，实际支出完成</w:t>
      </w:r>
      <w:r>
        <w:rPr>
          <w:rFonts w:hint="eastAsia" w:ascii="仿宋_GB2312" w:hAnsi="仿宋_GB2312" w:eastAsia="仿宋_GB2312" w:cs="仿宋_GB2312"/>
          <w:color w:val="auto"/>
          <w:spacing w:val="-8"/>
          <w:sz w:val="32"/>
          <w:szCs w:val="32"/>
          <w:highlight w:val="none"/>
          <w:lang w:val="en-US" w:eastAsia="zh-CN"/>
        </w:rPr>
        <w:t>126191</w:t>
      </w:r>
      <w:r>
        <w:rPr>
          <w:rFonts w:hint="eastAsia" w:ascii="仿宋_GB2312" w:hAnsi="仿宋_GB2312" w:eastAsia="仿宋_GB2312" w:cs="仿宋_GB2312"/>
          <w:color w:val="auto"/>
          <w:spacing w:val="-8"/>
          <w:sz w:val="32"/>
          <w:szCs w:val="32"/>
          <w:highlight w:val="none"/>
        </w:rPr>
        <w:t>万元，占</w:t>
      </w:r>
      <w:r>
        <w:rPr>
          <w:rFonts w:hint="eastAsia" w:ascii="仿宋_GB2312" w:hAnsi="仿宋_GB2312" w:eastAsia="仿宋_GB2312" w:cs="仿宋_GB2312"/>
          <w:color w:val="auto"/>
          <w:spacing w:val="-8"/>
          <w:sz w:val="32"/>
          <w:szCs w:val="32"/>
          <w:highlight w:val="none"/>
          <w:lang w:eastAsia="zh-CN"/>
        </w:rPr>
        <w:t>县本级一般公共预算支出的</w:t>
      </w:r>
      <w:r>
        <w:rPr>
          <w:rFonts w:hint="eastAsia" w:ascii="仿宋_GB2312" w:hAnsi="仿宋_GB2312" w:eastAsia="仿宋_GB2312" w:cs="仿宋_GB2312"/>
          <w:color w:val="auto"/>
          <w:spacing w:val="-8"/>
          <w:sz w:val="32"/>
          <w:szCs w:val="32"/>
          <w:highlight w:val="none"/>
          <w:lang w:val="en-US" w:eastAsia="zh-CN"/>
        </w:rPr>
        <w:t>84.01%</w:t>
      </w:r>
      <w:r>
        <w:rPr>
          <w:rFonts w:hint="eastAsia" w:ascii="仿宋_GB2312" w:hAnsi="仿宋_GB2312" w:eastAsia="仿宋_GB2312" w:cs="仿宋_GB2312"/>
          <w:color w:val="auto"/>
          <w:spacing w:val="-8"/>
          <w:sz w:val="32"/>
          <w:szCs w:val="32"/>
          <w:highlight w:val="none"/>
        </w:rPr>
        <w:t>。其中：教育支出</w:t>
      </w:r>
      <w:r>
        <w:rPr>
          <w:rFonts w:hint="eastAsia" w:ascii="仿宋_GB2312" w:hAnsi="仿宋_GB2312" w:eastAsia="仿宋_GB2312" w:cs="仿宋_GB2312"/>
          <w:color w:val="auto"/>
          <w:spacing w:val="-8"/>
          <w:sz w:val="32"/>
          <w:szCs w:val="32"/>
          <w:highlight w:val="none"/>
          <w:lang w:eastAsia="zh-CN"/>
        </w:rPr>
        <w:t>预算</w:t>
      </w:r>
      <w:r>
        <w:rPr>
          <w:rFonts w:hint="eastAsia" w:ascii="仿宋_GB2312" w:hAnsi="仿宋_GB2312" w:eastAsia="仿宋_GB2312" w:cs="仿宋_GB2312"/>
          <w:color w:val="auto"/>
          <w:spacing w:val="-8"/>
          <w:sz w:val="32"/>
          <w:szCs w:val="32"/>
          <w:highlight w:val="none"/>
        </w:rPr>
        <w:t>安排</w:t>
      </w:r>
      <w:r>
        <w:rPr>
          <w:rFonts w:hint="eastAsia" w:ascii="仿宋_GB2312" w:hAnsi="仿宋_GB2312" w:eastAsia="仿宋_GB2312" w:cs="仿宋_GB2312"/>
          <w:color w:val="auto"/>
          <w:spacing w:val="-8"/>
          <w:sz w:val="32"/>
          <w:szCs w:val="32"/>
          <w:highlight w:val="none"/>
          <w:lang w:val="en-US" w:eastAsia="zh-CN"/>
        </w:rPr>
        <w:t>39563</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41034</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103.72</w:t>
      </w:r>
      <w:r>
        <w:rPr>
          <w:rFonts w:hint="eastAsia" w:ascii="仿宋_GB2312" w:hAnsi="仿宋_GB2312" w:eastAsia="仿宋_GB2312" w:cs="仿宋_GB2312"/>
          <w:color w:val="auto"/>
          <w:spacing w:val="-8"/>
          <w:sz w:val="32"/>
          <w:szCs w:val="32"/>
          <w:highlight w:val="none"/>
        </w:rPr>
        <w:t>%；科学技术支出</w:t>
      </w:r>
      <w:r>
        <w:rPr>
          <w:rFonts w:hint="eastAsia" w:ascii="仿宋_GB2312" w:hAnsi="仿宋_GB2312" w:eastAsia="仿宋_GB2312" w:cs="仿宋_GB2312"/>
          <w:color w:val="auto"/>
          <w:spacing w:val="-8"/>
          <w:sz w:val="32"/>
          <w:szCs w:val="32"/>
          <w:highlight w:val="none"/>
          <w:lang w:eastAsia="zh-CN"/>
        </w:rPr>
        <w:t>预算</w:t>
      </w:r>
      <w:r>
        <w:rPr>
          <w:rFonts w:hint="eastAsia" w:ascii="仿宋_GB2312" w:hAnsi="仿宋_GB2312" w:eastAsia="仿宋_GB2312" w:cs="仿宋_GB2312"/>
          <w:color w:val="auto"/>
          <w:spacing w:val="-8"/>
          <w:sz w:val="32"/>
          <w:szCs w:val="32"/>
          <w:highlight w:val="none"/>
        </w:rPr>
        <w:t>安排</w:t>
      </w:r>
      <w:r>
        <w:rPr>
          <w:rFonts w:hint="eastAsia" w:ascii="仿宋_GB2312" w:hAnsi="仿宋_GB2312" w:eastAsia="仿宋_GB2312" w:cs="仿宋_GB2312"/>
          <w:color w:val="auto"/>
          <w:spacing w:val="-8"/>
          <w:sz w:val="32"/>
          <w:szCs w:val="32"/>
          <w:highlight w:val="none"/>
          <w:lang w:val="en-US" w:eastAsia="zh-CN"/>
        </w:rPr>
        <w:t>392</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939</w:t>
      </w:r>
      <w:r>
        <w:rPr>
          <w:rFonts w:hint="eastAsia" w:ascii="仿宋_GB2312" w:hAnsi="仿宋_GB2312" w:eastAsia="仿宋_GB2312" w:cs="仿宋_GB2312"/>
          <w:color w:val="auto"/>
          <w:spacing w:val="-8"/>
          <w:sz w:val="32"/>
          <w:szCs w:val="32"/>
          <w:highlight w:val="none"/>
          <w:lang w:eastAsia="zh-CN"/>
        </w:rPr>
        <w:t>万元</w:t>
      </w:r>
      <w:r>
        <w:rPr>
          <w:rFonts w:hint="eastAsia" w:ascii="仿宋_GB2312" w:hAnsi="仿宋_GB2312" w:eastAsia="仿宋_GB2312" w:cs="仿宋_GB2312"/>
          <w:color w:val="auto"/>
          <w:spacing w:val="-8"/>
          <w:sz w:val="32"/>
          <w:szCs w:val="32"/>
          <w:highlight w:val="none"/>
        </w:rPr>
        <w:t>，完成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239.54</w:t>
      </w:r>
      <w:r>
        <w:rPr>
          <w:rFonts w:hint="eastAsia" w:ascii="仿宋_GB2312" w:hAnsi="仿宋_GB2312" w:eastAsia="仿宋_GB2312" w:cs="仿宋_GB2312"/>
          <w:color w:val="auto"/>
          <w:spacing w:val="-8"/>
          <w:sz w:val="32"/>
          <w:szCs w:val="32"/>
          <w:highlight w:val="none"/>
        </w:rPr>
        <w:t>%</w:t>
      </w:r>
      <w:r>
        <w:rPr>
          <w:rFonts w:hint="eastAsia" w:ascii="仿宋_GB2312" w:hAnsi="仿宋_GB2312" w:eastAsia="仿宋_GB2312" w:cs="仿宋_GB2312"/>
          <w:color w:val="auto"/>
          <w:spacing w:val="-8"/>
          <w:sz w:val="32"/>
          <w:szCs w:val="32"/>
          <w:highlight w:val="none"/>
          <w:lang w:eastAsia="zh-CN"/>
        </w:rPr>
        <w:t>；</w:t>
      </w:r>
      <w:r>
        <w:rPr>
          <w:rFonts w:hint="eastAsia" w:ascii="仿宋_GB2312" w:hAnsi="仿宋_GB2312" w:eastAsia="仿宋_GB2312" w:cs="仿宋_GB2312"/>
          <w:color w:val="auto"/>
          <w:spacing w:val="-8"/>
          <w:sz w:val="32"/>
          <w:szCs w:val="32"/>
          <w:highlight w:val="none"/>
        </w:rPr>
        <w:t>文化</w:t>
      </w:r>
      <w:r>
        <w:rPr>
          <w:rFonts w:hint="eastAsia" w:ascii="仿宋_GB2312" w:hAnsi="仿宋_GB2312" w:eastAsia="仿宋_GB2312" w:cs="仿宋_GB2312"/>
          <w:color w:val="auto"/>
          <w:spacing w:val="-8"/>
          <w:sz w:val="32"/>
          <w:szCs w:val="32"/>
          <w:highlight w:val="none"/>
          <w:lang w:eastAsia="zh-CN"/>
        </w:rPr>
        <w:t>旅游</w:t>
      </w:r>
      <w:r>
        <w:rPr>
          <w:rFonts w:hint="eastAsia" w:ascii="仿宋_GB2312" w:hAnsi="仿宋_GB2312" w:eastAsia="仿宋_GB2312" w:cs="仿宋_GB2312"/>
          <w:color w:val="auto"/>
          <w:spacing w:val="-8"/>
          <w:sz w:val="32"/>
          <w:szCs w:val="32"/>
          <w:highlight w:val="none"/>
        </w:rPr>
        <w:t>体育与传媒支出</w:t>
      </w:r>
      <w:r>
        <w:rPr>
          <w:rFonts w:hint="eastAsia" w:ascii="仿宋_GB2312" w:hAnsi="仿宋_GB2312" w:eastAsia="仿宋_GB2312" w:cs="仿宋_GB2312"/>
          <w:color w:val="auto"/>
          <w:spacing w:val="-8"/>
          <w:sz w:val="32"/>
          <w:szCs w:val="32"/>
          <w:highlight w:val="none"/>
          <w:lang w:eastAsia="zh-CN"/>
        </w:rPr>
        <w:t>预算</w:t>
      </w:r>
      <w:r>
        <w:rPr>
          <w:rFonts w:hint="eastAsia" w:ascii="仿宋_GB2312" w:hAnsi="仿宋_GB2312" w:eastAsia="仿宋_GB2312" w:cs="仿宋_GB2312"/>
          <w:color w:val="auto"/>
          <w:spacing w:val="-8"/>
          <w:sz w:val="32"/>
          <w:szCs w:val="32"/>
          <w:highlight w:val="none"/>
        </w:rPr>
        <w:t>安排</w:t>
      </w:r>
      <w:r>
        <w:rPr>
          <w:rFonts w:hint="eastAsia" w:ascii="仿宋_GB2312" w:hAnsi="仿宋_GB2312" w:eastAsia="仿宋_GB2312" w:cs="仿宋_GB2312"/>
          <w:color w:val="auto"/>
          <w:spacing w:val="-8"/>
          <w:sz w:val="32"/>
          <w:szCs w:val="32"/>
          <w:highlight w:val="none"/>
          <w:lang w:val="en-US" w:eastAsia="zh-CN"/>
        </w:rPr>
        <w:t>2090</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2584</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123.64</w:t>
      </w:r>
      <w:r>
        <w:rPr>
          <w:rFonts w:hint="eastAsia" w:ascii="仿宋_GB2312" w:hAnsi="仿宋_GB2312" w:eastAsia="仿宋_GB2312" w:cs="仿宋_GB2312"/>
          <w:color w:val="auto"/>
          <w:spacing w:val="-8"/>
          <w:sz w:val="32"/>
          <w:szCs w:val="32"/>
          <w:highlight w:val="none"/>
        </w:rPr>
        <w:t>%；社会保障和就业支出</w:t>
      </w:r>
      <w:r>
        <w:rPr>
          <w:rFonts w:hint="eastAsia" w:ascii="仿宋_GB2312" w:hAnsi="仿宋_GB2312" w:eastAsia="仿宋_GB2312" w:cs="仿宋_GB2312"/>
          <w:color w:val="auto"/>
          <w:spacing w:val="-8"/>
          <w:sz w:val="32"/>
          <w:szCs w:val="32"/>
          <w:highlight w:val="none"/>
          <w:lang w:eastAsia="zh-CN"/>
        </w:rPr>
        <w:t>预算</w:t>
      </w:r>
      <w:r>
        <w:rPr>
          <w:rFonts w:hint="eastAsia" w:ascii="仿宋_GB2312" w:hAnsi="仿宋_GB2312" w:eastAsia="仿宋_GB2312" w:cs="仿宋_GB2312"/>
          <w:color w:val="auto"/>
          <w:spacing w:val="-8"/>
          <w:sz w:val="32"/>
          <w:szCs w:val="32"/>
          <w:highlight w:val="none"/>
        </w:rPr>
        <w:t>安排</w:t>
      </w:r>
      <w:r>
        <w:rPr>
          <w:rFonts w:hint="eastAsia" w:ascii="仿宋_GB2312" w:hAnsi="仿宋_GB2312" w:eastAsia="仿宋_GB2312" w:cs="仿宋_GB2312"/>
          <w:color w:val="auto"/>
          <w:spacing w:val="-8"/>
          <w:sz w:val="32"/>
          <w:szCs w:val="32"/>
          <w:highlight w:val="none"/>
          <w:lang w:val="en-US" w:eastAsia="zh-CN"/>
        </w:rPr>
        <w:t>19839</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24343</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122.7</w:t>
      </w:r>
      <w:r>
        <w:rPr>
          <w:rFonts w:hint="eastAsia" w:ascii="仿宋_GB2312" w:hAnsi="仿宋_GB2312" w:eastAsia="仿宋_GB2312" w:cs="仿宋_GB2312"/>
          <w:color w:val="auto"/>
          <w:spacing w:val="-8"/>
          <w:sz w:val="32"/>
          <w:szCs w:val="32"/>
          <w:highlight w:val="none"/>
        </w:rPr>
        <w:t>%；</w:t>
      </w:r>
      <w:r>
        <w:rPr>
          <w:rFonts w:hint="eastAsia" w:ascii="仿宋_GB2312" w:hAnsi="仿宋_GB2312" w:eastAsia="仿宋_GB2312" w:cs="仿宋_GB2312"/>
          <w:color w:val="auto"/>
          <w:spacing w:val="-8"/>
          <w:sz w:val="32"/>
          <w:szCs w:val="32"/>
          <w:highlight w:val="none"/>
          <w:lang w:eastAsia="zh-CN"/>
        </w:rPr>
        <w:t>卫生健康</w:t>
      </w:r>
      <w:r>
        <w:rPr>
          <w:rFonts w:hint="eastAsia" w:ascii="仿宋_GB2312" w:hAnsi="仿宋_GB2312" w:eastAsia="仿宋_GB2312" w:cs="仿宋_GB2312"/>
          <w:color w:val="auto"/>
          <w:spacing w:val="-8"/>
          <w:sz w:val="32"/>
          <w:szCs w:val="32"/>
          <w:highlight w:val="none"/>
        </w:rPr>
        <w:t>支出预算安排</w:t>
      </w:r>
      <w:r>
        <w:rPr>
          <w:rFonts w:hint="eastAsia" w:ascii="仿宋_GB2312" w:hAnsi="仿宋_GB2312" w:eastAsia="仿宋_GB2312" w:cs="仿宋_GB2312"/>
          <w:color w:val="auto"/>
          <w:spacing w:val="-8"/>
          <w:sz w:val="32"/>
          <w:szCs w:val="32"/>
          <w:highlight w:val="none"/>
          <w:lang w:val="en-US" w:eastAsia="zh-CN"/>
        </w:rPr>
        <w:t>12739</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12292</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96.49</w:t>
      </w:r>
      <w:r>
        <w:rPr>
          <w:rFonts w:hint="eastAsia" w:ascii="仿宋_GB2312" w:hAnsi="仿宋_GB2312" w:eastAsia="仿宋_GB2312" w:cs="仿宋_GB2312"/>
          <w:color w:val="auto"/>
          <w:spacing w:val="-8"/>
          <w:sz w:val="32"/>
          <w:szCs w:val="32"/>
          <w:highlight w:val="none"/>
        </w:rPr>
        <w:t>%；节能环保支出预算安排</w:t>
      </w:r>
      <w:r>
        <w:rPr>
          <w:rFonts w:hint="eastAsia" w:ascii="仿宋_GB2312" w:hAnsi="仿宋_GB2312" w:eastAsia="仿宋_GB2312" w:cs="仿宋_GB2312"/>
          <w:color w:val="auto"/>
          <w:spacing w:val="-8"/>
          <w:sz w:val="32"/>
          <w:szCs w:val="32"/>
          <w:highlight w:val="none"/>
          <w:lang w:val="en-US" w:eastAsia="zh-CN"/>
        </w:rPr>
        <w:t>4718</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4453</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94.38</w:t>
      </w:r>
      <w:r>
        <w:rPr>
          <w:rFonts w:hint="eastAsia" w:ascii="仿宋_GB2312" w:hAnsi="仿宋_GB2312" w:eastAsia="仿宋_GB2312" w:cs="仿宋_GB2312"/>
          <w:color w:val="auto"/>
          <w:spacing w:val="-8"/>
          <w:sz w:val="32"/>
          <w:szCs w:val="32"/>
          <w:highlight w:val="none"/>
        </w:rPr>
        <w:t>%；城乡社区支出预算安排</w:t>
      </w:r>
      <w:r>
        <w:rPr>
          <w:rFonts w:hint="eastAsia" w:ascii="仿宋_GB2312" w:hAnsi="仿宋_GB2312" w:eastAsia="仿宋_GB2312" w:cs="仿宋_GB2312"/>
          <w:color w:val="auto"/>
          <w:spacing w:val="-8"/>
          <w:sz w:val="32"/>
          <w:szCs w:val="32"/>
          <w:highlight w:val="none"/>
          <w:lang w:val="en-US" w:eastAsia="zh-CN"/>
        </w:rPr>
        <w:t>10023</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12094</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120.66</w:t>
      </w:r>
      <w:r>
        <w:rPr>
          <w:rFonts w:hint="eastAsia" w:ascii="仿宋_GB2312" w:hAnsi="仿宋_GB2312" w:eastAsia="仿宋_GB2312" w:cs="仿宋_GB2312"/>
          <w:color w:val="auto"/>
          <w:spacing w:val="-8"/>
          <w:sz w:val="32"/>
          <w:szCs w:val="32"/>
          <w:highlight w:val="none"/>
        </w:rPr>
        <w:t>%；农林水支出预算安排</w:t>
      </w:r>
      <w:r>
        <w:rPr>
          <w:rFonts w:hint="eastAsia" w:ascii="仿宋_GB2312" w:hAnsi="仿宋_GB2312" w:eastAsia="仿宋_GB2312" w:cs="仿宋_GB2312"/>
          <w:color w:val="auto"/>
          <w:spacing w:val="-8"/>
          <w:sz w:val="32"/>
          <w:szCs w:val="32"/>
          <w:highlight w:val="none"/>
          <w:lang w:val="en-US" w:eastAsia="zh-CN"/>
        </w:rPr>
        <w:t>16736</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17142</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102.43</w:t>
      </w:r>
      <w:r>
        <w:rPr>
          <w:rFonts w:hint="eastAsia" w:ascii="仿宋_GB2312" w:hAnsi="仿宋_GB2312" w:eastAsia="仿宋_GB2312" w:cs="仿宋_GB2312"/>
          <w:color w:val="auto"/>
          <w:spacing w:val="-8"/>
          <w:sz w:val="32"/>
          <w:szCs w:val="32"/>
          <w:highlight w:val="none"/>
        </w:rPr>
        <w:t>%</w:t>
      </w:r>
      <w:r>
        <w:rPr>
          <w:rFonts w:hint="eastAsia" w:ascii="仿宋_GB2312" w:hAnsi="仿宋_GB2312" w:eastAsia="仿宋_GB2312" w:cs="仿宋_GB2312"/>
          <w:color w:val="auto"/>
          <w:spacing w:val="-8"/>
          <w:sz w:val="32"/>
          <w:szCs w:val="32"/>
          <w:highlight w:val="none"/>
          <w:lang w:eastAsia="zh-CN"/>
        </w:rPr>
        <w:t>；</w:t>
      </w:r>
      <w:r>
        <w:rPr>
          <w:rFonts w:hint="eastAsia" w:ascii="仿宋_GB2312" w:hAnsi="仿宋_GB2312" w:eastAsia="仿宋_GB2312" w:cs="仿宋_GB2312"/>
          <w:color w:val="auto"/>
          <w:spacing w:val="-8"/>
          <w:sz w:val="32"/>
          <w:szCs w:val="32"/>
          <w:highlight w:val="none"/>
        </w:rPr>
        <w:t>交通运输支出预算安排</w:t>
      </w:r>
      <w:r>
        <w:rPr>
          <w:rFonts w:hint="eastAsia" w:ascii="仿宋_GB2312" w:hAnsi="仿宋_GB2312" w:eastAsia="仿宋_GB2312" w:cs="仿宋_GB2312"/>
          <w:color w:val="auto"/>
          <w:spacing w:val="-8"/>
          <w:sz w:val="32"/>
          <w:szCs w:val="32"/>
          <w:highlight w:val="none"/>
          <w:lang w:val="en-US" w:eastAsia="zh-CN"/>
        </w:rPr>
        <w:t>6368</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4818</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75.66</w:t>
      </w:r>
      <w:r>
        <w:rPr>
          <w:rFonts w:hint="eastAsia" w:ascii="仿宋_GB2312" w:hAnsi="仿宋_GB2312" w:eastAsia="仿宋_GB2312" w:cs="仿宋_GB2312"/>
          <w:color w:val="auto"/>
          <w:spacing w:val="-8"/>
          <w:sz w:val="32"/>
          <w:szCs w:val="32"/>
          <w:highlight w:val="none"/>
        </w:rPr>
        <w:t>%；商业服务业支出预算安排</w:t>
      </w:r>
      <w:r>
        <w:rPr>
          <w:rFonts w:hint="eastAsia" w:ascii="仿宋_GB2312" w:hAnsi="仿宋_GB2312" w:eastAsia="仿宋_GB2312" w:cs="仿宋_GB2312"/>
          <w:color w:val="auto"/>
          <w:spacing w:val="-8"/>
          <w:sz w:val="32"/>
          <w:szCs w:val="32"/>
          <w:highlight w:val="none"/>
          <w:lang w:val="en-US" w:eastAsia="zh-CN"/>
        </w:rPr>
        <w:t>493</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1044</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211.76</w:t>
      </w:r>
      <w:r>
        <w:rPr>
          <w:rFonts w:hint="eastAsia" w:ascii="仿宋_GB2312" w:hAnsi="仿宋_GB2312" w:eastAsia="仿宋_GB2312" w:cs="仿宋_GB2312"/>
          <w:color w:val="auto"/>
          <w:spacing w:val="-8"/>
          <w:sz w:val="32"/>
          <w:szCs w:val="32"/>
          <w:highlight w:val="none"/>
        </w:rPr>
        <w:t>%；</w:t>
      </w:r>
      <w:r>
        <w:rPr>
          <w:rFonts w:hint="eastAsia" w:ascii="仿宋_GB2312" w:hAnsi="仿宋_GB2312" w:eastAsia="仿宋_GB2312" w:cs="仿宋_GB2312"/>
          <w:color w:val="auto"/>
          <w:spacing w:val="-8"/>
          <w:sz w:val="32"/>
          <w:szCs w:val="32"/>
          <w:highlight w:val="none"/>
          <w:lang w:eastAsia="zh-CN"/>
        </w:rPr>
        <w:t>自然资源海洋气象</w:t>
      </w:r>
      <w:r>
        <w:rPr>
          <w:rFonts w:hint="eastAsia" w:ascii="仿宋_GB2312" w:hAnsi="仿宋_GB2312" w:eastAsia="仿宋_GB2312" w:cs="仿宋_GB2312"/>
          <w:color w:val="auto"/>
          <w:spacing w:val="-8"/>
          <w:sz w:val="32"/>
          <w:szCs w:val="32"/>
          <w:highlight w:val="none"/>
        </w:rPr>
        <w:t>等支出预算安排</w:t>
      </w:r>
      <w:r>
        <w:rPr>
          <w:rFonts w:hint="eastAsia" w:ascii="仿宋_GB2312" w:hAnsi="仿宋_GB2312" w:eastAsia="仿宋_GB2312" w:cs="仿宋_GB2312"/>
          <w:color w:val="auto"/>
          <w:spacing w:val="-8"/>
          <w:sz w:val="32"/>
          <w:szCs w:val="32"/>
          <w:highlight w:val="none"/>
          <w:lang w:val="en-US" w:eastAsia="zh-CN"/>
        </w:rPr>
        <w:t>1886</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2353</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124.76</w:t>
      </w:r>
      <w:r>
        <w:rPr>
          <w:rFonts w:hint="eastAsia" w:ascii="仿宋_GB2312" w:hAnsi="仿宋_GB2312" w:eastAsia="仿宋_GB2312" w:cs="仿宋_GB2312"/>
          <w:color w:val="auto"/>
          <w:spacing w:val="-8"/>
          <w:sz w:val="32"/>
          <w:szCs w:val="32"/>
          <w:highlight w:val="none"/>
        </w:rPr>
        <w:t>%；住房保障支出预算安排</w:t>
      </w:r>
      <w:r>
        <w:rPr>
          <w:rFonts w:hint="eastAsia" w:ascii="仿宋_GB2312" w:hAnsi="仿宋_GB2312" w:eastAsia="仿宋_GB2312" w:cs="仿宋_GB2312"/>
          <w:color w:val="auto"/>
          <w:spacing w:val="-8"/>
          <w:sz w:val="32"/>
          <w:szCs w:val="32"/>
          <w:highlight w:val="none"/>
          <w:lang w:val="en-US" w:eastAsia="zh-CN"/>
        </w:rPr>
        <w:t>2059</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2757</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133.9</w:t>
      </w:r>
      <w:r>
        <w:rPr>
          <w:rFonts w:hint="eastAsia" w:ascii="仿宋_GB2312" w:hAnsi="仿宋_GB2312" w:eastAsia="仿宋_GB2312" w:cs="仿宋_GB2312"/>
          <w:color w:val="auto"/>
          <w:spacing w:val="-8"/>
          <w:sz w:val="32"/>
          <w:szCs w:val="32"/>
          <w:highlight w:val="none"/>
        </w:rPr>
        <w:t>%</w:t>
      </w:r>
      <w:r>
        <w:rPr>
          <w:rFonts w:hint="eastAsia" w:ascii="仿宋_GB2312" w:hAnsi="仿宋_GB2312" w:eastAsia="仿宋_GB2312" w:cs="仿宋_GB2312"/>
          <w:color w:val="auto"/>
          <w:spacing w:val="-8"/>
          <w:sz w:val="32"/>
          <w:szCs w:val="32"/>
          <w:highlight w:val="none"/>
          <w:lang w:eastAsia="zh-CN"/>
        </w:rPr>
        <w:t>；</w:t>
      </w:r>
      <w:r>
        <w:rPr>
          <w:rFonts w:hint="eastAsia" w:ascii="仿宋_GB2312" w:hAnsi="仿宋_GB2312" w:eastAsia="仿宋_GB2312" w:cs="仿宋_GB2312"/>
          <w:color w:val="auto"/>
          <w:spacing w:val="-8"/>
          <w:sz w:val="32"/>
          <w:szCs w:val="32"/>
          <w:highlight w:val="none"/>
        </w:rPr>
        <w:t>粮油物资储备支出预算安排</w:t>
      </w:r>
      <w:r>
        <w:rPr>
          <w:rFonts w:hint="eastAsia" w:ascii="仿宋_GB2312" w:hAnsi="仿宋_GB2312" w:eastAsia="仿宋_GB2312" w:cs="仿宋_GB2312"/>
          <w:color w:val="auto"/>
          <w:spacing w:val="-8"/>
          <w:sz w:val="32"/>
          <w:szCs w:val="32"/>
          <w:highlight w:val="none"/>
          <w:lang w:val="en-US" w:eastAsia="zh-CN"/>
        </w:rPr>
        <w:t>324</w:t>
      </w:r>
      <w:r>
        <w:rPr>
          <w:rFonts w:hint="eastAsia" w:ascii="仿宋_GB2312" w:hAnsi="仿宋_GB2312" w:eastAsia="仿宋_GB2312" w:cs="仿宋_GB2312"/>
          <w:color w:val="auto"/>
          <w:spacing w:val="-8"/>
          <w:sz w:val="32"/>
          <w:szCs w:val="32"/>
          <w:highlight w:val="none"/>
        </w:rPr>
        <w:t>万元，实际支出</w:t>
      </w:r>
      <w:r>
        <w:rPr>
          <w:rFonts w:hint="eastAsia" w:ascii="仿宋_GB2312" w:hAnsi="仿宋_GB2312" w:eastAsia="仿宋_GB2312" w:cs="仿宋_GB2312"/>
          <w:color w:val="auto"/>
          <w:spacing w:val="-8"/>
          <w:sz w:val="32"/>
          <w:szCs w:val="32"/>
          <w:highlight w:val="none"/>
          <w:lang w:val="en-US" w:eastAsia="zh-CN"/>
        </w:rPr>
        <w:t>338</w:t>
      </w:r>
      <w:r>
        <w:rPr>
          <w:rFonts w:hint="eastAsia" w:ascii="仿宋_GB2312" w:hAnsi="仿宋_GB2312" w:eastAsia="仿宋_GB2312" w:cs="仿宋_GB2312"/>
          <w:color w:val="auto"/>
          <w:spacing w:val="-8"/>
          <w:sz w:val="32"/>
          <w:szCs w:val="32"/>
          <w:highlight w:val="none"/>
        </w:rPr>
        <w:t>万元，完成</w:t>
      </w:r>
      <w:r>
        <w:rPr>
          <w:rFonts w:hint="eastAsia" w:ascii="仿宋_GB2312" w:hAnsi="仿宋_GB2312" w:eastAsia="仿宋_GB2312" w:cs="仿宋_GB2312"/>
          <w:color w:val="auto"/>
          <w:spacing w:val="-8"/>
          <w:sz w:val="32"/>
          <w:szCs w:val="32"/>
          <w:highlight w:val="none"/>
          <w:lang w:eastAsia="zh-CN"/>
        </w:rPr>
        <w:t>调整</w:t>
      </w:r>
      <w:r>
        <w:rPr>
          <w:rFonts w:hint="eastAsia" w:ascii="仿宋_GB2312" w:hAnsi="仿宋_GB2312" w:eastAsia="仿宋_GB2312" w:cs="仿宋_GB2312"/>
          <w:color w:val="auto"/>
          <w:spacing w:val="-8"/>
          <w:sz w:val="32"/>
          <w:szCs w:val="32"/>
          <w:highlight w:val="none"/>
        </w:rPr>
        <w:t>预算数的</w:t>
      </w:r>
      <w:r>
        <w:rPr>
          <w:rFonts w:hint="eastAsia" w:ascii="仿宋_GB2312" w:hAnsi="仿宋_GB2312" w:eastAsia="仿宋_GB2312" w:cs="仿宋_GB2312"/>
          <w:color w:val="auto"/>
          <w:spacing w:val="-8"/>
          <w:sz w:val="32"/>
          <w:szCs w:val="32"/>
          <w:highlight w:val="none"/>
          <w:lang w:val="en-US" w:eastAsia="zh-CN"/>
        </w:rPr>
        <w:t>104.32</w:t>
      </w:r>
      <w:r>
        <w:rPr>
          <w:rFonts w:hint="eastAsia" w:ascii="仿宋_GB2312" w:hAnsi="仿宋_GB2312" w:eastAsia="仿宋_GB2312" w:cs="仿宋_GB2312"/>
          <w:color w:val="auto"/>
          <w:spacing w:val="-8"/>
          <w:sz w:val="32"/>
          <w:szCs w:val="32"/>
          <w:highlight w:val="none"/>
        </w:rPr>
        <w:t>%。</w:t>
      </w:r>
    </w:p>
    <w:p>
      <w:pPr>
        <w:keepNext w:val="0"/>
        <w:keepLines w:val="0"/>
        <w:pageBreakBefore w:val="0"/>
        <w:widowControl w:val="0"/>
        <w:kinsoku/>
        <w:wordWrap/>
        <w:overflowPunct/>
        <w:topLinePunct w:val="0"/>
        <w:autoSpaceDE/>
        <w:autoSpaceDN/>
        <w:bidi w:val="0"/>
        <w:snapToGrid/>
        <w:spacing w:line="540" w:lineRule="exact"/>
        <w:textAlignment w:val="auto"/>
        <w:rPr>
          <w:rFonts w:hint="eastAsia" w:ascii="楷体_GB2312" w:hAnsi="楷体_GB2312" w:eastAsia="楷体_GB2312" w:cs="楷体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 xml:space="preserve">    </w:t>
      </w:r>
      <w:r>
        <w:rPr>
          <w:rFonts w:hint="eastAsia" w:ascii="楷体_GB2312" w:hAnsi="楷体_GB2312" w:eastAsia="楷体_GB2312" w:cs="楷体_GB2312"/>
          <w:bCs/>
          <w:sz w:val="32"/>
          <w:szCs w:val="32"/>
          <w:highlight w:val="none"/>
          <w:lang w:val="en-US" w:eastAsia="zh-CN"/>
        </w:rPr>
        <w:t>（三）县本级预备费使用情况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2023年度县本级预备费年初预算安排1100万元，根据《中华人民共和国预算法》要求：预备费需</w:t>
      </w:r>
      <w:r>
        <w:rPr>
          <w:rFonts w:hint="eastAsia" w:ascii="仿宋_GB2312" w:hAnsi="仿宋_GB2312" w:eastAsia="仿宋_GB2312" w:cs="仿宋_GB2312"/>
          <w:color w:val="auto"/>
          <w:spacing w:val="-8"/>
          <w:sz w:val="32"/>
          <w:szCs w:val="32"/>
          <w:highlight w:val="none"/>
        </w:rPr>
        <w:t>用于当年预算执行中的自然灾害等突发事件处理增加的支出及其他难以预见的开支。</w:t>
      </w:r>
      <w:r>
        <w:rPr>
          <w:rFonts w:hint="eastAsia" w:ascii="仿宋_GB2312" w:hAnsi="仿宋_GB2312" w:eastAsia="仿宋_GB2312" w:cs="仿宋_GB2312"/>
          <w:color w:val="auto"/>
          <w:spacing w:val="-8"/>
          <w:sz w:val="32"/>
          <w:szCs w:val="32"/>
          <w:highlight w:val="none"/>
          <w:lang w:eastAsia="zh-CN"/>
        </w:rPr>
        <w:t>我县</w:t>
      </w:r>
      <w:r>
        <w:rPr>
          <w:rFonts w:hint="eastAsia" w:ascii="仿宋_GB2312" w:hAnsi="仿宋_GB2312" w:eastAsia="仿宋_GB2312" w:cs="仿宋_GB2312"/>
          <w:color w:val="auto"/>
          <w:spacing w:val="-8"/>
          <w:sz w:val="32"/>
          <w:szCs w:val="32"/>
          <w:highlight w:val="none"/>
          <w:lang w:val="en-US" w:eastAsia="zh-CN"/>
        </w:rPr>
        <w:t>2023年度预算执行过程中，未动用预备费。</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eastAsia="zh-CN"/>
        </w:rPr>
        <w:t>四</w:t>
      </w:r>
      <w:r>
        <w:rPr>
          <w:rFonts w:hint="eastAsia" w:ascii="楷体_GB2312" w:hAnsi="楷体_GB2312" w:eastAsia="楷体_GB2312" w:cs="楷体_GB2312"/>
          <w:bCs/>
          <w:sz w:val="32"/>
          <w:szCs w:val="32"/>
          <w:highlight w:val="none"/>
        </w:rPr>
        <w:t>）经批准举借债务的规模、使用、偿还</w:t>
      </w:r>
      <w:r>
        <w:rPr>
          <w:rFonts w:hint="eastAsia" w:ascii="楷体_GB2312" w:hAnsi="楷体_GB2312" w:eastAsia="楷体_GB2312" w:cs="楷体_GB2312"/>
          <w:bCs/>
          <w:sz w:val="32"/>
          <w:szCs w:val="32"/>
          <w:highlight w:val="none"/>
          <w:lang w:eastAsia="zh-CN"/>
        </w:rPr>
        <w:t>本息等</w:t>
      </w:r>
      <w:r>
        <w:rPr>
          <w:rFonts w:hint="eastAsia" w:ascii="楷体_GB2312" w:hAnsi="楷体_GB2312" w:eastAsia="楷体_GB2312" w:cs="楷体_GB2312"/>
          <w:bCs/>
          <w:sz w:val="32"/>
          <w:szCs w:val="32"/>
          <w:highlight w:val="none"/>
        </w:rPr>
        <w:t>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1.举债规模及偿还情况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（1）债务限额情况</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2023年经省上批准，核定我县地方政府债务限额338929万元，其中：一般债务限额192835万元、专项债务限额146094万元。</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（2）债务余额情况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截至2023年底，我县地方政府债务余额316985万元，其中：一般债务余额173388万元、专项债务余额143597万元。</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8"/>
          <w:sz w:val="32"/>
          <w:szCs w:val="32"/>
          <w:highlight w:val="none"/>
          <w:lang w:val="en-US" w:eastAsia="zh-CN"/>
        </w:rPr>
        <w:t>（3）债务还本付息情况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2023年全县偿还到期债务本金24138万元，其中：使用再融资债券资金偿还20517万元、使用县本级一般公共预算资金偿还1521万元；县本级基金预算资金偿还2100万元。</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8"/>
          <w:sz w:val="32"/>
          <w:szCs w:val="32"/>
          <w:highlight w:val="none"/>
          <w:lang w:val="en-US" w:eastAsia="zh-CN"/>
        </w:rPr>
        <w:t>2023年全县共支付债券利息10159万元，其中：使用上级贴息补助资金支付1539万元、使用县本级一般公共预算资金支付4156万元、使用县本级基金预算资金支付4464万元。</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8"/>
          <w:sz w:val="32"/>
          <w:szCs w:val="32"/>
          <w:highlight w:val="none"/>
          <w:lang w:val="en-US" w:eastAsia="zh-CN"/>
        </w:rPr>
        <w:t>（4）债务率情况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截至2023年底，全县地方政府债务余额共计316985万元，占我县债务限额338929万元的93.53%，未超过省上核定数。债务余额中地方政府债券315566万元，占全县债务总额的99.55%。根据省财政厅通报的2022年政府法定债务风险评估结果，我县债务率为148%，已被纳入风险提示名单；按照财政部关于印发《地方政府法定债务风险评估和预警办法》的通知（财预〔2020〕118号）相关标准测算，2023年我县债务率预计为151.37%。</w:t>
      </w:r>
    </w:p>
    <w:p>
      <w:pPr>
        <w:keepNext w:val="0"/>
        <w:keepLines w:val="0"/>
        <w:pageBreakBefore w:val="0"/>
        <w:widowControl w:val="0"/>
        <w:kinsoku/>
        <w:wordWrap/>
        <w:overflowPunct/>
        <w:topLinePunct w:val="0"/>
        <w:autoSpaceDE/>
        <w:autoSpaceDN/>
        <w:bidi w:val="0"/>
        <w:adjustRightInd w:val="0"/>
        <w:snapToGrid w:val="0"/>
        <w:spacing w:line="540" w:lineRule="exact"/>
        <w:ind w:firstLine="608" w:firstLineChars="200"/>
        <w:textAlignment w:val="auto"/>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8"/>
          <w:sz w:val="32"/>
          <w:szCs w:val="32"/>
          <w:highlight w:val="none"/>
          <w:lang w:val="en-US" w:eastAsia="zh-CN"/>
        </w:rPr>
        <w:t>2.新增地方政府债券安排情况</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（1）2023年共争取到</w:t>
      </w:r>
      <w:r>
        <w:rPr>
          <w:rFonts w:hint="eastAsia" w:ascii="仿宋_GB2312" w:hAnsi="仿宋_GB2312" w:eastAsia="仿宋_GB2312" w:cs="仿宋_GB2312"/>
          <w:sz w:val="32"/>
          <w:szCs w:val="32"/>
          <w:highlight w:val="none"/>
          <w:lang w:eastAsia="zh-CN"/>
        </w:rPr>
        <w:t>一般债券7784万元，安排情况如下：</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明溪县第一中学迁建项目安排7284万元、农村产业发展及基础设施建设项目安排500万元。</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（2）2023年共争取到</w:t>
      </w:r>
      <w:r>
        <w:rPr>
          <w:rFonts w:hint="eastAsia" w:ascii="仿宋_GB2312" w:hAnsi="仿宋_GB2312" w:eastAsia="仿宋_GB2312" w:cs="仿宋_GB2312"/>
          <w:sz w:val="32"/>
          <w:szCs w:val="32"/>
          <w:highlight w:val="none"/>
          <w:lang w:eastAsia="zh-CN"/>
        </w:rPr>
        <w:t>专项债券27000万元，安排情况如下：</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明溪县工业集中区基础设施建设项目安排10000万元、明溪县总医院门诊综合楼建设项目安排5000万元、明溪胡坊至三元岩前高速公路项目安排5000万元、明溪县北部新区综合管网建设项目安排3000万元、明溪县原造纸厂地块安置房建设项目安排2000万元、明溪县城区市政管网改造提升工程安排1000万元、明溪县老旧小区及周边配套设施项目安排500万元、明溪县污水处理厂及配套管网提标改造工程安排500万元。</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楷体_GB2312" w:hAnsi="楷体_GB2312" w:eastAsia="楷体_GB2312" w:cs="楷体_GB2312"/>
          <w:bCs/>
          <w:sz w:val="32"/>
          <w:szCs w:val="32"/>
          <w:highlight w:val="none"/>
          <w:lang w:eastAsia="zh-CN"/>
        </w:rPr>
      </w:pP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eastAsia="zh-CN"/>
        </w:rPr>
        <w:t>五</w:t>
      </w: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eastAsia="zh-CN"/>
        </w:rPr>
        <w:t>上级财政补助资金安排使用情况和对下级财政补助支付情况</w:t>
      </w:r>
    </w:p>
    <w:p>
      <w:pPr>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2023</w:t>
      </w:r>
      <w:r>
        <w:rPr>
          <w:rFonts w:hint="eastAsia" w:ascii="仿宋_GB2312" w:hAnsi="仿宋_GB2312" w:eastAsia="仿宋_GB2312" w:cs="仿宋_GB2312"/>
          <w:sz w:val="32"/>
          <w:szCs w:val="32"/>
          <w:highlight w:val="none"/>
        </w:rPr>
        <w:t>年省</w:t>
      </w:r>
      <w:r>
        <w:rPr>
          <w:rFonts w:hint="eastAsia" w:ascii="仿宋_GB2312" w:hAnsi="仿宋_GB2312" w:eastAsia="仿宋_GB2312" w:cs="仿宋_GB2312"/>
          <w:sz w:val="32"/>
          <w:szCs w:val="32"/>
          <w:highlight w:val="none"/>
          <w:lang w:eastAsia="zh-CN"/>
        </w:rPr>
        <w:t>、市</w:t>
      </w:r>
      <w:r>
        <w:rPr>
          <w:rFonts w:hint="eastAsia" w:ascii="仿宋_GB2312" w:hAnsi="仿宋_GB2312" w:eastAsia="仿宋_GB2312" w:cs="仿宋_GB2312"/>
          <w:sz w:val="32"/>
          <w:szCs w:val="32"/>
          <w:highlight w:val="none"/>
        </w:rPr>
        <w:t>财政对</w:t>
      </w:r>
      <w:r>
        <w:rPr>
          <w:rFonts w:hint="eastAsia" w:ascii="仿宋_GB2312" w:hAnsi="仿宋_GB2312" w:eastAsia="仿宋_GB2312" w:cs="仿宋_GB2312"/>
          <w:sz w:val="32"/>
          <w:szCs w:val="32"/>
          <w:highlight w:val="none"/>
          <w:lang w:eastAsia="zh-CN"/>
        </w:rPr>
        <w:t>我县转移支付补助合计</w:t>
      </w:r>
      <w:r>
        <w:rPr>
          <w:rFonts w:hint="eastAsia" w:ascii="仿宋_GB2312" w:hAnsi="仿宋_GB2312" w:eastAsia="仿宋_GB2312" w:cs="仿宋_GB2312"/>
          <w:sz w:val="32"/>
          <w:szCs w:val="32"/>
          <w:highlight w:val="none"/>
          <w:lang w:val="en-US" w:eastAsia="zh-CN"/>
        </w:rPr>
        <w:t>130853万元，其中：一般公共预算转移支付补助127679万元、政府性基金转移支付补助3170万元、国有资金经营预算转移支付补助4万元，具体情况如下：</w:t>
      </w:r>
    </w:p>
    <w:p>
      <w:pPr>
        <w:keepNext w:val="0"/>
        <w:keepLines w:val="0"/>
        <w:pageBreakBefore w:val="0"/>
        <w:widowControl w:val="0"/>
        <w:kinsoku/>
        <w:wordWrap/>
        <w:overflowPunct/>
        <w:topLinePunct w:val="0"/>
        <w:autoSpaceDE/>
        <w:autoSpaceDN/>
        <w:bidi w:val="0"/>
        <w:snapToGrid/>
        <w:spacing w:line="54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lang w:eastAsia="zh-CN"/>
        </w:rPr>
        <w:t>一般公共预算转移支付</w:t>
      </w:r>
      <w:r>
        <w:rPr>
          <w:rFonts w:hint="eastAsia" w:ascii="仿宋_GB2312" w:hAnsi="仿宋_GB2312" w:eastAsia="仿宋_GB2312" w:cs="仿宋_GB2312"/>
          <w:b/>
          <w:bCs/>
          <w:sz w:val="32"/>
          <w:szCs w:val="32"/>
          <w:highlight w:val="none"/>
        </w:rPr>
        <w:t>补助</w:t>
      </w:r>
      <w:r>
        <w:rPr>
          <w:rFonts w:hint="eastAsia" w:ascii="仿宋_GB2312" w:hAnsi="仿宋_GB2312" w:eastAsia="仿宋_GB2312" w:cs="仿宋_GB2312"/>
          <w:b/>
          <w:bCs/>
          <w:spacing w:val="-11"/>
          <w:kern w:val="0"/>
          <w:sz w:val="32"/>
          <w:szCs w:val="32"/>
          <w:highlight w:val="none"/>
          <w:lang w:val="en-US" w:eastAsia="zh-CN"/>
        </w:rPr>
        <w:t>127679</w:t>
      </w:r>
      <w:r>
        <w:rPr>
          <w:rFonts w:hint="eastAsia" w:ascii="仿宋_GB2312" w:hAnsi="仿宋_GB2312" w:eastAsia="仿宋_GB2312" w:cs="仿宋_GB2312"/>
          <w:b/>
          <w:bCs/>
          <w:sz w:val="32"/>
          <w:szCs w:val="32"/>
          <w:highlight w:val="none"/>
        </w:rPr>
        <w:t>万元</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sz w:val="32"/>
          <w:szCs w:val="32"/>
          <w:highlight w:val="none"/>
          <w:lang w:eastAsia="zh-CN"/>
        </w:rPr>
        <w:t>返还性收入</w:t>
      </w:r>
      <w:r>
        <w:rPr>
          <w:rFonts w:hint="eastAsia" w:ascii="仿宋_GB2312" w:hAnsi="仿宋_GB2312" w:eastAsia="仿宋_GB2312" w:cs="仿宋_GB2312"/>
          <w:spacing w:val="-11"/>
          <w:kern w:val="0"/>
          <w:sz w:val="32"/>
          <w:szCs w:val="32"/>
          <w:highlight w:val="none"/>
          <w:lang w:val="en-US" w:eastAsia="zh-CN"/>
        </w:rPr>
        <w:t>1843</w:t>
      </w:r>
      <w:r>
        <w:rPr>
          <w:rFonts w:hint="eastAsia" w:ascii="仿宋_GB2312" w:hAnsi="仿宋_GB2312" w:eastAsia="仿宋_GB2312" w:cs="仿宋_GB2312"/>
          <w:sz w:val="32"/>
          <w:szCs w:val="32"/>
          <w:highlight w:val="none"/>
        </w:rPr>
        <w:t>万元，已纳入年初本级预算统筹安排。②</w:t>
      </w:r>
      <w:r>
        <w:rPr>
          <w:rFonts w:hint="eastAsia" w:ascii="仿宋_GB2312" w:hAnsi="仿宋_GB2312" w:eastAsia="仿宋_GB2312" w:cs="仿宋_GB2312"/>
          <w:sz w:val="32"/>
          <w:szCs w:val="32"/>
          <w:highlight w:val="none"/>
          <w:lang w:eastAsia="zh-CN"/>
        </w:rPr>
        <w:t>一般性转移支付资金</w:t>
      </w:r>
      <w:r>
        <w:rPr>
          <w:rFonts w:hint="eastAsia" w:ascii="仿宋_GB2312" w:hAnsi="仿宋_GB2312" w:eastAsia="仿宋_GB2312" w:cs="仿宋_GB2312"/>
          <w:spacing w:val="-11"/>
          <w:kern w:val="0"/>
          <w:sz w:val="32"/>
          <w:szCs w:val="32"/>
          <w:highlight w:val="none"/>
          <w:lang w:val="en-US" w:eastAsia="zh-CN"/>
        </w:rPr>
        <w:t>108539</w:t>
      </w:r>
      <w:r>
        <w:rPr>
          <w:rFonts w:hint="eastAsia" w:ascii="仿宋_GB2312" w:hAnsi="仿宋_GB2312" w:eastAsia="仿宋_GB2312" w:cs="仿宋_GB2312"/>
          <w:sz w:val="32"/>
          <w:szCs w:val="32"/>
          <w:highlight w:val="none"/>
        </w:rPr>
        <w:t>万元，主要</w:t>
      </w:r>
      <w:r>
        <w:rPr>
          <w:rFonts w:hint="eastAsia" w:ascii="仿宋_GB2312" w:hAnsi="仿宋_GB2312" w:eastAsia="仿宋_GB2312" w:cs="仿宋_GB2312"/>
          <w:sz w:val="32"/>
          <w:szCs w:val="32"/>
          <w:highlight w:val="none"/>
          <w:lang w:eastAsia="zh-CN"/>
        </w:rPr>
        <w:t>是县级基本财力保障、均衡性转移支付</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eastAsia="zh-CN"/>
        </w:rPr>
        <w:t>财力性</w:t>
      </w:r>
      <w:r>
        <w:rPr>
          <w:rFonts w:hint="eastAsia" w:ascii="仿宋_GB2312" w:hAnsi="仿宋_GB2312" w:eastAsia="仿宋_GB2312" w:cs="仿宋_GB2312"/>
          <w:sz w:val="32"/>
          <w:szCs w:val="32"/>
          <w:highlight w:val="none"/>
        </w:rPr>
        <w:t>资金</w:t>
      </w:r>
      <w:r>
        <w:rPr>
          <w:rFonts w:hint="eastAsia" w:ascii="仿宋_GB2312" w:hAnsi="仿宋_GB2312" w:eastAsia="仿宋_GB2312" w:cs="仿宋_GB2312"/>
          <w:sz w:val="32"/>
          <w:szCs w:val="32"/>
          <w:highlight w:val="none"/>
          <w:lang w:val="en-US" w:eastAsia="zh-CN"/>
        </w:rPr>
        <w:t>44573</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已纳入年度预算统筹安排支出；其他</w:t>
      </w:r>
      <w:r>
        <w:rPr>
          <w:rFonts w:hint="eastAsia" w:ascii="仿宋_GB2312" w:hAnsi="仿宋_GB2312" w:eastAsia="仿宋_GB2312" w:cs="仿宋_GB2312"/>
          <w:spacing w:val="-11"/>
          <w:kern w:val="0"/>
          <w:sz w:val="32"/>
          <w:szCs w:val="32"/>
          <w:highlight w:val="none"/>
          <w:lang w:val="en-US" w:eastAsia="zh-CN"/>
        </w:rPr>
        <w:t>63966</w:t>
      </w:r>
      <w:r>
        <w:rPr>
          <w:rFonts w:hint="eastAsia" w:ascii="仿宋_GB2312" w:hAnsi="仿宋_GB2312" w:eastAsia="仿宋_GB2312" w:cs="仿宋_GB2312"/>
          <w:sz w:val="32"/>
          <w:szCs w:val="32"/>
          <w:highlight w:val="none"/>
        </w:rPr>
        <w:t>万元均有特定用途，主要用于</w:t>
      </w:r>
      <w:r>
        <w:rPr>
          <w:rFonts w:hint="eastAsia" w:ascii="仿宋_GB2312" w:hAnsi="仿宋_GB2312" w:eastAsia="仿宋_GB2312" w:cs="仿宋_GB2312"/>
          <w:sz w:val="32"/>
          <w:szCs w:val="32"/>
          <w:highlight w:val="none"/>
          <w:lang w:eastAsia="zh-CN"/>
        </w:rPr>
        <w:t>社会保障、</w:t>
      </w:r>
      <w:r>
        <w:rPr>
          <w:rFonts w:hint="eastAsia" w:ascii="仿宋_GB2312" w:hAnsi="仿宋_GB2312" w:eastAsia="仿宋_GB2312" w:cs="仿宋_GB2312"/>
          <w:sz w:val="32"/>
          <w:szCs w:val="32"/>
          <w:highlight w:val="none"/>
        </w:rPr>
        <w:t>卫生健康、教育、交通运输、农林水、</w:t>
      </w:r>
      <w:r>
        <w:rPr>
          <w:rFonts w:hint="eastAsia" w:ascii="仿宋_GB2312" w:hAnsi="仿宋_GB2312" w:eastAsia="仿宋_GB2312" w:cs="仿宋_GB2312"/>
          <w:sz w:val="32"/>
          <w:szCs w:val="32"/>
          <w:highlight w:val="none"/>
          <w:lang w:eastAsia="zh-CN"/>
        </w:rPr>
        <w:t>节能环保、灾害防治及应急管理</w:t>
      </w:r>
      <w:r>
        <w:rPr>
          <w:rFonts w:hint="eastAsia" w:ascii="仿宋_GB2312" w:hAnsi="仿宋_GB2312" w:eastAsia="仿宋_GB2312" w:cs="仿宋_GB2312"/>
          <w:sz w:val="32"/>
          <w:szCs w:val="32"/>
          <w:highlight w:val="none"/>
        </w:rPr>
        <w:t>等方面支出。③专项转移支付补助</w:t>
      </w:r>
      <w:r>
        <w:rPr>
          <w:rFonts w:hint="eastAsia" w:ascii="仿宋_GB2312" w:hAnsi="仿宋_GB2312" w:eastAsia="仿宋_GB2312" w:cs="仿宋_GB2312"/>
          <w:spacing w:val="-11"/>
          <w:kern w:val="0"/>
          <w:sz w:val="32"/>
          <w:szCs w:val="32"/>
          <w:highlight w:val="none"/>
          <w:lang w:val="en-US" w:eastAsia="zh-CN"/>
        </w:rPr>
        <w:t>17297</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属于明确具体项目和用途的专项补助资金，实行专款专用，主要用于</w:t>
      </w:r>
      <w:r>
        <w:rPr>
          <w:rFonts w:hint="eastAsia" w:ascii="仿宋_GB2312" w:hAnsi="仿宋_GB2312" w:eastAsia="仿宋_GB2312" w:cs="仿宋_GB2312"/>
          <w:spacing w:val="-11"/>
          <w:kern w:val="0"/>
          <w:sz w:val="32"/>
          <w:szCs w:val="32"/>
          <w:highlight w:val="none"/>
          <w:lang w:val="en-US" w:eastAsia="zh-CN"/>
        </w:rPr>
        <w:t>节能环保、城乡社区、农林水等方面支出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截至</w:t>
      </w:r>
      <w:r>
        <w:rPr>
          <w:rFonts w:hint="eastAsia" w:ascii="仿宋_GB2312" w:hAnsi="仿宋_GB2312" w:eastAsia="仿宋_GB2312" w:cs="仿宋_GB2312"/>
          <w:sz w:val="32"/>
          <w:szCs w:val="32"/>
          <w:highlight w:val="none"/>
          <w:lang w:val="en-US" w:eastAsia="zh-CN"/>
        </w:rPr>
        <w:t>2023年底，</w:t>
      </w:r>
      <w:r>
        <w:rPr>
          <w:rFonts w:hint="eastAsia" w:ascii="仿宋_GB2312" w:hAnsi="仿宋_GB2312" w:eastAsia="仿宋_GB2312" w:cs="仿宋_GB2312"/>
          <w:sz w:val="32"/>
          <w:szCs w:val="32"/>
          <w:highlight w:val="none"/>
        </w:rPr>
        <w:t>一般公共预算</w:t>
      </w:r>
      <w:r>
        <w:rPr>
          <w:rFonts w:hint="eastAsia" w:ascii="仿宋_GB2312" w:hAnsi="仿宋_GB2312" w:eastAsia="仿宋_GB2312" w:cs="仿宋_GB2312"/>
          <w:sz w:val="32"/>
          <w:szCs w:val="32"/>
          <w:highlight w:val="none"/>
          <w:lang w:eastAsia="zh-CN"/>
        </w:rPr>
        <w:t>转移支付</w:t>
      </w:r>
      <w:r>
        <w:rPr>
          <w:rFonts w:hint="eastAsia" w:ascii="仿宋_GB2312" w:hAnsi="仿宋_GB2312" w:eastAsia="仿宋_GB2312" w:cs="仿宋_GB2312"/>
          <w:sz w:val="32"/>
          <w:szCs w:val="32"/>
          <w:highlight w:val="none"/>
        </w:rPr>
        <w:t>补助资金</w:t>
      </w:r>
      <w:r>
        <w:rPr>
          <w:rFonts w:hint="eastAsia" w:ascii="仿宋_GB2312" w:hAnsi="仿宋_GB2312" w:eastAsia="仿宋_GB2312" w:cs="仿宋_GB2312"/>
          <w:sz w:val="32"/>
          <w:szCs w:val="32"/>
          <w:highlight w:val="none"/>
          <w:lang w:eastAsia="zh-CN"/>
        </w:rPr>
        <w:t>结转</w:t>
      </w:r>
      <w:r>
        <w:rPr>
          <w:rFonts w:hint="eastAsia" w:ascii="仿宋_GB2312" w:hAnsi="仿宋_GB2312" w:eastAsia="仿宋_GB2312" w:cs="仿宋_GB2312"/>
          <w:sz w:val="32"/>
          <w:szCs w:val="32"/>
          <w:highlight w:val="none"/>
          <w:lang w:val="en-US" w:eastAsia="zh-CN"/>
        </w:rPr>
        <w:t>18241万元（含特别国债资金16970万元）</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snapToGrid/>
        <w:spacing w:line="540" w:lineRule="exact"/>
        <w:ind w:firstLine="643" w:firstLineChars="200"/>
        <w:textAlignment w:val="auto"/>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lang w:eastAsia="zh-CN"/>
        </w:rPr>
        <w:t>政府性基金转移支付补助</w:t>
      </w:r>
      <w:r>
        <w:rPr>
          <w:rFonts w:hint="eastAsia" w:ascii="仿宋_GB2312" w:hAnsi="仿宋_GB2312" w:eastAsia="仿宋_GB2312" w:cs="仿宋_GB2312"/>
          <w:b/>
          <w:bCs/>
          <w:sz w:val="32"/>
          <w:szCs w:val="32"/>
          <w:highlight w:val="none"/>
          <w:lang w:val="en-US" w:eastAsia="zh-CN"/>
        </w:rPr>
        <w:t>3170万元，</w:t>
      </w:r>
      <w:r>
        <w:rPr>
          <w:rFonts w:hint="eastAsia" w:ascii="仿宋_GB2312" w:hAnsi="仿宋_GB2312" w:eastAsia="仿宋_GB2312" w:cs="仿宋_GB2312"/>
          <w:sz w:val="32"/>
          <w:szCs w:val="32"/>
          <w:highlight w:val="none"/>
        </w:rPr>
        <w:t>均</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rPr>
        <w:t>有特定用途</w:t>
      </w:r>
      <w:r>
        <w:rPr>
          <w:rFonts w:hint="eastAsia" w:ascii="仿宋_GB2312" w:hAnsi="仿宋_GB2312" w:eastAsia="仿宋_GB2312" w:cs="仿宋_GB2312"/>
          <w:sz w:val="32"/>
          <w:szCs w:val="32"/>
          <w:highlight w:val="none"/>
          <w:lang w:eastAsia="zh-CN"/>
        </w:rPr>
        <w:t>补助资金，主要用于社会保障、城乡社区、彩票公益金等方面支出。截至</w:t>
      </w:r>
      <w:r>
        <w:rPr>
          <w:rFonts w:hint="eastAsia" w:ascii="仿宋_GB2312" w:hAnsi="仿宋_GB2312" w:eastAsia="仿宋_GB2312" w:cs="仿宋_GB2312"/>
          <w:sz w:val="32"/>
          <w:szCs w:val="32"/>
          <w:highlight w:val="none"/>
          <w:lang w:val="en-US" w:eastAsia="zh-CN"/>
        </w:rPr>
        <w:t>2023年底，</w:t>
      </w:r>
      <w:r>
        <w:rPr>
          <w:rFonts w:hint="eastAsia" w:ascii="仿宋_GB2312" w:hAnsi="仿宋_GB2312" w:eastAsia="仿宋_GB2312" w:cs="仿宋_GB2312"/>
          <w:sz w:val="32"/>
          <w:szCs w:val="32"/>
          <w:highlight w:val="none"/>
          <w:lang w:eastAsia="zh-CN"/>
        </w:rPr>
        <w:t>政府性基金转移支付</w:t>
      </w:r>
      <w:r>
        <w:rPr>
          <w:rFonts w:hint="eastAsia" w:ascii="仿宋_GB2312" w:hAnsi="仿宋_GB2312" w:eastAsia="仿宋_GB2312" w:cs="仿宋_GB2312"/>
          <w:sz w:val="32"/>
          <w:szCs w:val="32"/>
          <w:highlight w:val="none"/>
        </w:rPr>
        <w:t>补助资金</w:t>
      </w:r>
      <w:r>
        <w:rPr>
          <w:rFonts w:hint="eastAsia" w:ascii="仿宋_GB2312" w:hAnsi="仿宋_GB2312" w:eastAsia="仿宋_GB2312" w:cs="仿宋_GB2312"/>
          <w:sz w:val="32"/>
          <w:szCs w:val="32"/>
          <w:highlight w:val="none"/>
          <w:lang w:eastAsia="zh-CN"/>
        </w:rPr>
        <w:t>结转</w:t>
      </w:r>
      <w:r>
        <w:rPr>
          <w:rFonts w:hint="eastAsia" w:ascii="仿宋_GB2312" w:hAnsi="仿宋_GB2312" w:eastAsia="仿宋_GB2312" w:cs="仿宋_GB2312"/>
          <w:sz w:val="32"/>
          <w:szCs w:val="32"/>
          <w:highlight w:val="none"/>
          <w:lang w:val="en-US" w:eastAsia="zh-CN"/>
        </w:rPr>
        <w:t>633万元。</w:t>
      </w:r>
    </w:p>
    <w:p>
      <w:pPr>
        <w:keepNext w:val="0"/>
        <w:keepLines w:val="0"/>
        <w:pageBreakBefore w:val="0"/>
        <w:widowControl w:val="0"/>
        <w:kinsoku/>
        <w:wordWrap/>
        <w:overflowPunct/>
        <w:topLinePunct w:val="0"/>
        <w:autoSpaceDE/>
        <w:autoSpaceDN/>
        <w:bidi w:val="0"/>
        <w:adjustRightInd/>
        <w:snapToGrid/>
        <w:spacing w:line="540" w:lineRule="exact"/>
        <w:ind w:right="0" w:rightChars="0"/>
        <w:textAlignment w:val="auto"/>
        <w:rPr>
          <w:rFonts w:hint="default" w:ascii="仿宋_GB2312" w:hAnsi="仿宋_GB2312" w:eastAsia="仿宋_GB2312" w:cs="仿宋_GB2312"/>
          <w:b w:val="0"/>
          <w:bCs w:val="0"/>
          <w:sz w:val="32"/>
          <w:szCs w:val="32"/>
          <w:highlight w:val="none"/>
          <w:lang w:val="en-US" w:eastAsia="zh-CN"/>
        </w:rPr>
      </w:pP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b/>
          <w:bCs/>
          <w:sz w:val="32"/>
          <w:szCs w:val="32"/>
          <w:highlight w:val="none"/>
          <w:lang w:val="en-US" w:eastAsia="zh-CN"/>
        </w:rPr>
        <w:t xml:space="preserve">  3.</w:t>
      </w:r>
      <w:r>
        <w:rPr>
          <w:rFonts w:hint="eastAsia" w:ascii="仿宋_GB2312" w:hAnsi="仿宋_GB2312" w:eastAsia="仿宋_GB2312" w:cs="仿宋_GB2312"/>
          <w:b/>
          <w:bCs/>
          <w:sz w:val="32"/>
          <w:szCs w:val="32"/>
          <w:highlight w:val="none"/>
          <w:lang w:eastAsia="zh-CN"/>
        </w:rPr>
        <w:t>国有资金经营预算转移支付补助</w:t>
      </w:r>
      <w:r>
        <w:rPr>
          <w:rFonts w:hint="eastAsia" w:ascii="仿宋_GB2312" w:hAnsi="仿宋_GB2312" w:eastAsia="仿宋_GB2312" w:cs="仿宋_GB2312"/>
          <w:b/>
          <w:bCs/>
          <w:sz w:val="32"/>
          <w:szCs w:val="32"/>
          <w:highlight w:val="none"/>
          <w:lang w:val="en-US" w:eastAsia="zh-CN"/>
        </w:rPr>
        <w:t>4万元，</w:t>
      </w:r>
      <w:r>
        <w:rPr>
          <w:rFonts w:hint="eastAsia" w:ascii="仿宋_GB2312" w:hAnsi="仿宋_GB2312" w:eastAsia="仿宋_GB2312" w:cs="仿宋_GB2312"/>
          <w:b w:val="0"/>
          <w:bCs w:val="0"/>
          <w:sz w:val="32"/>
          <w:szCs w:val="32"/>
          <w:highlight w:val="none"/>
          <w:lang w:val="en-US" w:eastAsia="zh-CN"/>
        </w:rPr>
        <w:t>主要是国有企业退休人员社会化管理补助资金。</w:t>
      </w:r>
      <w:r>
        <w:rPr>
          <w:rFonts w:hint="eastAsia" w:ascii="仿宋_GB2312" w:hAnsi="仿宋_GB2312" w:eastAsia="仿宋_GB2312" w:cs="仿宋_GB2312"/>
          <w:sz w:val="32"/>
          <w:szCs w:val="32"/>
          <w:highlight w:val="none"/>
          <w:lang w:eastAsia="zh-CN"/>
        </w:rPr>
        <w:t>截至</w:t>
      </w:r>
      <w:r>
        <w:rPr>
          <w:rFonts w:hint="eastAsia" w:ascii="仿宋_GB2312" w:hAnsi="仿宋_GB2312" w:eastAsia="仿宋_GB2312" w:cs="仿宋_GB2312"/>
          <w:sz w:val="32"/>
          <w:szCs w:val="32"/>
          <w:highlight w:val="none"/>
          <w:lang w:val="en-US" w:eastAsia="zh-CN"/>
        </w:rPr>
        <w:t>2023年底，已全部支出完毕。</w:t>
      </w:r>
    </w:p>
    <w:p>
      <w:pPr>
        <w:keepNext w:val="0"/>
        <w:keepLines w:val="0"/>
        <w:pageBreakBefore w:val="0"/>
        <w:widowControl w:val="0"/>
        <w:kinsoku/>
        <w:wordWrap/>
        <w:overflowPunct/>
        <w:topLinePunct w:val="0"/>
        <w:autoSpaceDE/>
        <w:autoSpaceDN/>
        <w:bidi w:val="0"/>
        <w:snapToGrid/>
        <w:spacing w:line="540" w:lineRule="exact"/>
        <w:ind w:firstLine="608" w:firstLineChars="200"/>
        <w:textAlignment w:val="auto"/>
        <w:rPr>
          <w:rFonts w:hint="default" w:ascii="楷体_GB2312" w:hAnsi="楷体_GB2312" w:eastAsia="楷体_GB2312" w:cs="楷体_GB2312"/>
          <w:bCs/>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2023年</w:t>
      </w:r>
      <w:r>
        <w:rPr>
          <w:rFonts w:hint="eastAsia" w:ascii="仿宋_GB2312" w:hAnsi="仿宋_GB2312" w:eastAsia="仿宋_GB2312" w:cs="仿宋_GB2312"/>
          <w:sz w:val="32"/>
          <w:szCs w:val="32"/>
          <w:highlight w:val="none"/>
          <w:lang w:eastAsia="zh-CN"/>
        </w:rPr>
        <w:t>县本级对</w:t>
      </w:r>
      <w:r>
        <w:rPr>
          <w:rFonts w:hint="eastAsia" w:ascii="仿宋_GB2312" w:hAnsi="仿宋_GB2312" w:eastAsia="仿宋_GB2312" w:cs="仿宋_GB2312"/>
          <w:sz w:val="32"/>
          <w:szCs w:val="32"/>
          <w:highlight w:val="none"/>
        </w:rPr>
        <w:t>下级财政</w:t>
      </w:r>
      <w:r>
        <w:rPr>
          <w:rFonts w:hint="eastAsia" w:ascii="仿宋_GB2312" w:hAnsi="仿宋_GB2312" w:eastAsia="仿宋_GB2312" w:cs="仿宋_GB2312"/>
          <w:sz w:val="32"/>
          <w:szCs w:val="32"/>
          <w:highlight w:val="none"/>
          <w:lang w:eastAsia="zh-CN"/>
        </w:rPr>
        <w:t>转移支付补助</w:t>
      </w:r>
      <w:r>
        <w:rPr>
          <w:rFonts w:hint="eastAsia" w:ascii="仿宋_GB2312" w:hAnsi="仿宋_GB2312" w:eastAsia="仿宋_GB2312" w:cs="仿宋_GB2312"/>
          <w:color w:val="auto"/>
          <w:spacing w:val="-8"/>
          <w:sz w:val="32"/>
          <w:szCs w:val="32"/>
          <w:highlight w:val="none"/>
          <w:lang w:val="en-US" w:eastAsia="zh-CN"/>
        </w:rPr>
        <w:t>19546万元，其中：体制定额补助1200万元、保障奖补机制补助1123万元（含村级运转转移支付331万元、居委会运转转移支付231万元、考核奖励及财力补助等561万元）、专项补助17223万元。</w:t>
      </w:r>
    </w:p>
    <w:p>
      <w:pPr>
        <w:keepNext w:val="0"/>
        <w:keepLines w:val="0"/>
        <w:pageBreakBefore w:val="0"/>
        <w:widowControl w:val="0"/>
        <w:kinsoku/>
        <w:wordWrap/>
        <w:overflowPunct/>
        <w:topLinePunct w:val="0"/>
        <w:autoSpaceDE/>
        <w:autoSpaceDN/>
        <w:bidi w:val="0"/>
        <w:snapToGrid/>
        <w:spacing w:line="540" w:lineRule="exact"/>
        <w:ind w:firstLine="480" w:firstLineChars="150"/>
        <w:textAlignment w:val="auto"/>
        <w:rPr>
          <w:rFonts w:hint="eastAsia" w:ascii="楷体_GB2312" w:hAnsi="楷体_GB2312" w:eastAsia="楷体_GB2312" w:cs="楷体_GB2312"/>
          <w:bCs/>
          <w:sz w:val="32"/>
          <w:szCs w:val="32"/>
          <w:highlight w:val="none"/>
          <w:lang w:eastAsia="zh-CN"/>
        </w:rPr>
      </w:pPr>
      <w:r>
        <w:rPr>
          <w:rFonts w:hint="eastAsia" w:ascii="楷体_GB2312" w:hAnsi="楷体_GB2312" w:eastAsia="楷体_GB2312" w:cs="楷体_GB2312"/>
          <w:bCs/>
          <w:sz w:val="32"/>
          <w:szCs w:val="32"/>
          <w:highlight w:val="none"/>
          <w:lang w:eastAsia="zh-CN"/>
        </w:rPr>
        <w:t>（六）</w:t>
      </w:r>
      <w:r>
        <w:rPr>
          <w:rFonts w:hint="eastAsia" w:ascii="楷体_GB2312" w:hAnsi="楷体_GB2312" w:eastAsia="楷体_GB2312" w:cs="楷体_GB2312"/>
          <w:bCs/>
          <w:sz w:val="32"/>
          <w:szCs w:val="32"/>
          <w:highlight w:val="none"/>
        </w:rPr>
        <w:t>财政结转</w:t>
      </w:r>
      <w:r>
        <w:rPr>
          <w:rFonts w:hint="eastAsia" w:ascii="楷体_GB2312" w:hAnsi="楷体_GB2312" w:eastAsia="楷体_GB2312" w:cs="楷体_GB2312"/>
          <w:bCs/>
          <w:sz w:val="32"/>
          <w:szCs w:val="32"/>
          <w:highlight w:val="none"/>
          <w:lang w:eastAsia="zh-CN"/>
        </w:rPr>
        <w:t>结余</w:t>
      </w:r>
      <w:r>
        <w:rPr>
          <w:rFonts w:hint="eastAsia" w:ascii="楷体_GB2312" w:hAnsi="楷体_GB2312" w:eastAsia="楷体_GB2312" w:cs="楷体_GB2312"/>
          <w:bCs/>
          <w:sz w:val="32"/>
          <w:szCs w:val="32"/>
          <w:highlight w:val="none"/>
        </w:rPr>
        <w:t>资金</w:t>
      </w:r>
      <w:r>
        <w:rPr>
          <w:rFonts w:hint="eastAsia" w:ascii="楷体_GB2312" w:hAnsi="楷体_GB2312" w:eastAsia="楷体_GB2312" w:cs="楷体_GB2312"/>
          <w:bCs/>
          <w:sz w:val="32"/>
          <w:szCs w:val="32"/>
          <w:highlight w:val="none"/>
          <w:lang w:eastAsia="zh-CN"/>
        </w:rPr>
        <w:t>及其</w:t>
      </w:r>
      <w:r>
        <w:rPr>
          <w:rFonts w:hint="eastAsia" w:ascii="楷体_GB2312" w:hAnsi="楷体_GB2312" w:eastAsia="楷体_GB2312" w:cs="楷体_GB2312"/>
          <w:bCs/>
          <w:sz w:val="32"/>
          <w:szCs w:val="32"/>
          <w:highlight w:val="none"/>
        </w:rPr>
        <w:t>使用</w:t>
      </w:r>
      <w:r>
        <w:rPr>
          <w:rFonts w:hint="eastAsia" w:ascii="楷体_GB2312" w:hAnsi="楷体_GB2312" w:eastAsia="楷体_GB2312" w:cs="楷体_GB2312"/>
          <w:bCs/>
          <w:sz w:val="32"/>
          <w:szCs w:val="32"/>
          <w:highlight w:val="none"/>
          <w:lang w:eastAsia="zh-CN"/>
        </w:rPr>
        <w:t>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Times New Roman" w:eastAsia="仿宋_GB2312" w:cs="Times New Roman"/>
          <w:kern w:val="0"/>
          <w:sz w:val="32"/>
          <w:szCs w:val="24"/>
          <w:lang w:val="en-US" w:eastAsia="zh-CN" w:bidi="ar-SA"/>
        </w:rPr>
      </w:pPr>
      <w:r>
        <w:rPr>
          <w:rFonts w:hint="eastAsia" w:ascii="仿宋_GB2312" w:hAnsi="Times New Roman" w:eastAsia="仿宋_GB2312" w:cs="Times New Roman"/>
          <w:kern w:val="0"/>
          <w:sz w:val="32"/>
          <w:szCs w:val="24"/>
          <w:lang w:val="en-US" w:eastAsia="zh-CN" w:bidi="ar-SA"/>
        </w:rPr>
        <w:t>2023年共盘活各类财政存量资金10254万元，统筹安排用于我县补民生短板及县域经济发展等支出。主要支出项目：瀚仙镇际头及下王洞安置小区基础设施建设、县人武部新迁建营区建设项目、县一中科学楼建设、第二实验小学迁建工程、公益性水库安全监测和雨水情测报设施建设、侨乡体育中心塑胶跑道改造提升项目、上坊村至南山路面改造工程、农村公路提档升级等。</w:t>
      </w:r>
    </w:p>
    <w:p>
      <w:pPr>
        <w:keepNext w:val="0"/>
        <w:keepLines w:val="0"/>
        <w:pageBreakBefore w:val="0"/>
        <w:widowControl w:val="0"/>
        <w:kinsoku/>
        <w:wordWrap/>
        <w:overflowPunct/>
        <w:topLinePunct w:val="0"/>
        <w:autoSpaceDE/>
        <w:autoSpaceDN/>
        <w:bidi w:val="0"/>
        <w:snapToGrid/>
        <w:spacing w:line="540" w:lineRule="exact"/>
        <w:ind w:firstLine="480" w:firstLineChars="150"/>
        <w:textAlignment w:val="auto"/>
        <w:rPr>
          <w:rFonts w:hint="eastAsia"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eastAsia="zh-CN"/>
        </w:rPr>
        <w:t>七</w:t>
      </w:r>
      <w:r>
        <w:rPr>
          <w:rFonts w:hint="eastAsia" w:ascii="楷体_GB2312" w:hAnsi="楷体_GB2312" w:eastAsia="楷体_GB2312" w:cs="楷体_GB2312"/>
          <w:bCs/>
          <w:sz w:val="32"/>
          <w:szCs w:val="32"/>
          <w:highlight w:val="none"/>
        </w:rPr>
        <w:t>）</w:t>
      </w:r>
      <w:r>
        <w:rPr>
          <w:rFonts w:hint="eastAsia" w:ascii="楷体_GB2312" w:hAnsi="楷体_GB2312" w:eastAsia="楷体_GB2312" w:cs="楷体_GB2312"/>
          <w:bCs/>
          <w:sz w:val="32"/>
          <w:szCs w:val="32"/>
          <w:highlight w:val="none"/>
          <w:lang w:eastAsia="zh-CN"/>
        </w:rPr>
        <w:t>超收收入安排、</w:t>
      </w:r>
      <w:r>
        <w:rPr>
          <w:rFonts w:hint="eastAsia" w:ascii="楷体_GB2312" w:hAnsi="楷体_GB2312" w:eastAsia="楷体_GB2312" w:cs="楷体_GB2312"/>
          <w:bCs/>
          <w:sz w:val="32"/>
          <w:szCs w:val="32"/>
          <w:highlight w:val="none"/>
        </w:rPr>
        <w:t>预算稳定调节基金的规模</w:t>
      </w:r>
      <w:r>
        <w:rPr>
          <w:rFonts w:hint="eastAsia" w:ascii="楷体_GB2312" w:hAnsi="楷体_GB2312" w:eastAsia="楷体_GB2312" w:cs="楷体_GB2312"/>
          <w:bCs/>
          <w:sz w:val="32"/>
          <w:szCs w:val="32"/>
          <w:highlight w:val="none"/>
          <w:lang w:eastAsia="zh-CN"/>
        </w:rPr>
        <w:t>及</w:t>
      </w:r>
      <w:r>
        <w:rPr>
          <w:rFonts w:hint="eastAsia" w:ascii="楷体_GB2312" w:hAnsi="楷体_GB2312" w:eastAsia="楷体_GB2312" w:cs="楷体_GB2312"/>
          <w:bCs/>
          <w:sz w:val="32"/>
          <w:szCs w:val="32"/>
          <w:highlight w:val="none"/>
        </w:rPr>
        <w:t>使用情况</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Times New Roman" w:eastAsia="仿宋_GB2312" w:cs="Times New Roman"/>
          <w:kern w:val="0"/>
          <w:sz w:val="32"/>
          <w:szCs w:val="24"/>
          <w:lang w:val="en-US" w:eastAsia="zh-CN" w:bidi="ar-SA"/>
        </w:rPr>
      </w:pPr>
      <w:r>
        <w:rPr>
          <w:rFonts w:hint="eastAsia" w:ascii="仿宋_GB2312" w:hAnsi="Times New Roman" w:eastAsia="仿宋_GB2312" w:cs="Times New Roman"/>
          <w:kern w:val="0"/>
          <w:sz w:val="32"/>
          <w:szCs w:val="24"/>
          <w:lang w:val="en-US" w:eastAsia="zh-CN" w:bidi="ar-SA"/>
        </w:rPr>
        <w:t>2023年县本级地方一般公共预算收入调整预算数为31994万元，实际完成34342万元，超收2348万元已全部调入预算稳定调节基金。</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Times New Roman" w:eastAsia="仿宋_GB2312" w:cs="Times New Roman"/>
          <w:kern w:val="0"/>
          <w:sz w:val="32"/>
          <w:szCs w:val="24"/>
          <w:lang w:val="zh-CN" w:eastAsia="zh-CN" w:bidi="ar-SA"/>
        </w:rPr>
      </w:pPr>
      <w:r>
        <w:rPr>
          <w:rFonts w:hint="eastAsia" w:ascii="仿宋_GB2312" w:hAnsi="Times New Roman" w:eastAsia="仿宋_GB2312" w:cs="Times New Roman"/>
          <w:kern w:val="0"/>
          <w:sz w:val="32"/>
          <w:szCs w:val="24"/>
          <w:lang w:val="zh-CN" w:eastAsia="zh-CN" w:bidi="ar-SA"/>
        </w:rPr>
        <w:t>20</w:t>
      </w:r>
      <w:r>
        <w:rPr>
          <w:rFonts w:hint="eastAsia" w:ascii="仿宋_GB2312" w:hAnsi="Times New Roman" w:eastAsia="仿宋_GB2312" w:cs="Times New Roman"/>
          <w:kern w:val="0"/>
          <w:sz w:val="32"/>
          <w:szCs w:val="24"/>
          <w:lang w:val="en-US" w:eastAsia="zh-CN" w:bidi="ar-SA"/>
        </w:rPr>
        <w:t>23</w:t>
      </w:r>
      <w:r>
        <w:rPr>
          <w:rFonts w:hint="eastAsia" w:ascii="仿宋_GB2312" w:hAnsi="Times New Roman" w:eastAsia="仿宋_GB2312" w:cs="Times New Roman"/>
          <w:kern w:val="0"/>
          <w:sz w:val="32"/>
          <w:szCs w:val="24"/>
          <w:lang w:val="zh-CN" w:eastAsia="zh-CN" w:bidi="ar-SA"/>
        </w:rPr>
        <w:t>年初，预算稳定调节基金上年结余</w:t>
      </w:r>
      <w:r>
        <w:rPr>
          <w:rFonts w:hint="eastAsia" w:ascii="仿宋_GB2312" w:hAnsi="Times New Roman" w:eastAsia="仿宋_GB2312" w:cs="Times New Roman"/>
          <w:kern w:val="0"/>
          <w:sz w:val="32"/>
          <w:szCs w:val="24"/>
          <w:lang w:val="en-US" w:eastAsia="zh-CN" w:bidi="ar-SA"/>
        </w:rPr>
        <w:t>19966</w:t>
      </w:r>
      <w:r>
        <w:rPr>
          <w:rFonts w:hint="eastAsia" w:ascii="仿宋_GB2312" w:hAnsi="Times New Roman" w:eastAsia="仿宋_GB2312" w:cs="Times New Roman"/>
          <w:kern w:val="0"/>
          <w:sz w:val="32"/>
          <w:szCs w:val="24"/>
          <w:lang w:val="zh-CN" w:eastAsia="zh-CN" w:bidi="ar-SA"/>
        </w:rPr>
        <w:t>万元，年度执行过程中动用预算稳定调节基金</w:t>
      </w:r>
      <w:r>
        <w:rPr>
          <w:rFonts w:hint="eastAsia" w:ascii="仿宋_GB2312" w:hAnsi="Times New Roman" w:eastAsia="仿宋_GB2312" w:cs="Times New Roman"/>
          <w:kern w:val="0"/>
          <w:sz w:val="32"/>
          <w:szCs w:val="24"/>
          <w:lang w:val="en-US" w:eastAsia="zh-CN" w:bidi="ar-SA"/>
        </w:rPr>
        <w:t>13809万元，</w:t>
      </w:r>
      <w:r>
        <w:rPr>
          <w:rFonts w:hint="eastAsia" w:ascii="仿宋_GB2312" w:hAnsi="Times New Roman" w:eastAsia="仿宋_GB2312" w:cs="Times New Roman"/>
          <w:kern w:val="0"/>
          <w:sz w:val="32"/>
          <w:szCs w:val="24"/>
          <w:lang w:val="zh-CN" w:eastAsia="zh-CN" w:bidi="ar-SA"/>
        </w:rPr>
        <w:t>年底决算安排预算稳定调节基金</w:t>
      </w:r>
      <w:r>
        <w:rPr>
          <w:rFonts w:hint="eastAsia" w:ascii="仿宋_GB2312" w:hAnsi="Times New Roman" w:eastAsia="仿宋_GB2312" w:cs="Times New Roman"/>
          <w:kern w:val="0"/>
          <w:sz w:val="32"/>
          <w:szCs w:val="24"/>
          <w:lang w:val="en-US" w:eastAsia="zh-CN" w:bidi="ar-SA"/>
        </w:rPr>
        <w:t>6576</w:t>
      </w:r>
      <w:r>
        <w:rPr>
          <w:rFonts w:hint="eastAsia" w:ascii="仿宋_GB2312" w:hAnsi="Times New Roman" w:eastAsia="仿宋_GB2312" w:cs="Times New Roman"/>
          <w:kern w:val="0"/>
          <w:sz w:val="32"/>
          <w:szCs w:val="24"/>
          <w:lang w:val="zh-CN" w:eastAsia="zh-CN" w:bidi="ar-SA"/>
        </w:rPr>
        <w:t>万元，</w:t>
      </w:r>
      <w:r>
        <w:rPr>
          <w:rFonts w:hint="eastAsia" w:ascii="仿宋_GB2312" w:eastAsia="仿宋_GB2312" w:cs="Times New Roman"/>
          <w:kern w:val="0"/>
          <w:sz w:val="32"/>
          <w:szCs w:val="24"/>
          <w:lang w:val="zh-CN" w:eastAsia="zh-CN" w:bidi="ar-SA"/>
        </w:rPr>
        <w:t>截至</w:t>
      </w:r>
      <w:r>
        <w:rPr>
          <w:rFonts w:hint="eastAsia" w:ascii="仿宋_GB2312" w:hAnsi="Times New Roman" w:eastAsia="仿宋_GB2312" w:cs="Times New Roman"/>
          <w:kern w:val="0"/>
          <w:sz w:val="32"/>
          <w:szCs w:val="24"/>
          <w:lang w:val="zh-CN" w:eastAsia="zh-CN" w:bidi="ar-SA"/>
        </w:rPr>
        <w:t>20</w:t>
      </w:r>
      <w:r>
        <w:rPr>
          <w:rFonts w:hint="eastAsia" w:ascii="仿宋_GB2312" w:hAnsi="Times New Roman" w:eastAsia="仿宋_GB2312" w:cs="Times New Roman"/>
          <w:kern w:val="0"/>
          <w:sz w:val="32"/>
          <w:szCs w:val="24"/>
          <w:lang w:val="en-US" w:eastAsia="zh-CN" w:bidi="ar-SA"/>
        </w:rPr>
        <w:t>23</w:t>
      </w:r>
      <w:r>
        <w:rPr>
          <w:rFonts w:hint="eastAsia" w:ascii="仿宋_GB2312" w:hAnsi="Times New Roman" w:eastAsia="仿宋_GB2312" w:cs="Times New Roman"/>
          <w:kern w:val="0"/>
          <w:sz w:val="32"/>
          <w:szCs w:val="24"/>
          <w:lang w:val="zh-CN" w:eastAsia="zh-CN" w:bidi="ar-SA"/>
        </w:rPr>
        <w:t>年底我县预算稳定调节基金余额</w:t>
      </w:r>
      <w:r>
        <w:rPr>
          <w:rFonts w:hint="eastAsia" w:ascii="仿宋_GB2312" w:hAnsi="Times New Roman" w:eastAsia="仿宋_GB2312" w:cs="Times New Roman"/>
          <w:kern w:val="0"/>
          <w:sz w:val="32"/>
          <w:szCs w:val="24"/>
          <w:lang w:val="en-US" w:eastAsia="zh-CN" w:bidi="ar-SA"/>
        </w:rPr>
        <w:t>12733</w:t>
      </w:r>
      <w:r>
        <w:rPr>
          <w:rFonts w:hint="eastAsia" w:ascii="仿宋_GB2312" w:hAnsi="Times New Roman" w:eastAsia="仿宋_GB2312" w:cs="Times New Roman"/>
          <w:kern w:val="0"/>
          <w:sz w:val="32"/>
          <w:szCs w:val="24"/>
          <w:lang w:val="zh-CN" w:eastAsia="zh-CN" w:bidi="ar-SA"/>
        </w:rPr>
        <w:t>万元。</w:t>
      </w:r>
    </w:p>
    <w:p>
      <w:pPr>
        <w:pStyle w:val="9"/>
        <w:keepNext w:val="0"/>
        <w:keepLines w:val="0"/>
        <w:pageBreakBefore w:val="0"/>
        <w:widowControl w:val="0"/>
        <w:kinsoku/>
        <w:wordWrap/>
        <w:topLinePunct w:val="0"/>
        <w:autoSpaceDE/>
        <w:autoSpaceDN/>
        <w:bidi w:val="0"/>
        <w:spacing w:line="540" w:lineRule="exact"/>
        <w:textAlignment w:val="auto"/>
        <w:rPr>
          <w:rFonts w:hint="eastAsia" w:ascii="黑体" w:hAnsi="黑体" w:eastAsia="黑体" w:cs="黑体"/>
          <w:bCs/>
          <w:kern w:val="2"/>
          <w:sz w:val="32"/>
          <w:szCs w:val="32"/>
          <w:highlight w:val="none"/>
          <w:lang w:val="en-US" w:eastAsia="zh-CN" w:bidi="ar-SA"/>
        </w:rPr>
      </w:pPr>
      <w:r>
        <w:rPr>
          <w:rFonts w:hint="eastAsia" w:ascii="黑体" w:hAnsi="黑体" w:eastAsia="黑体" w:cs="黑体"/>
          <w:bCs/>
          <w:kern w:val="2"/>
          <w:sz w:val="32"/>
          <w:szCs w:val="32"/>
          <w:highlight w:val="none"/>
          <w:lang w:val="zh-CN" w:eastAsia="zh-CN" w:bidi="ar-SA"/>
        </w:rPr>
        <w:t>三、</w:t>
      </w:r>
      <w:r>
        <w:rPr>
          <w:rFonts w:hint="eastAsia" w:ascii="黑体" w:hAnsi="黑体" w:eastAsia="黑体" w:cs="黑体"/>
          <w:bCs/>
          <w:kern w:val="2"/>
          <w:sz w:val="32"/>
          <w:szCs w:val="32"/>
          <w:highlight w:val="none"/>
          <w:lang w:val="en-US" w:eastAsia="zh-CN" w:bidi="ar-SA"/>
        </w:rPr>
        <w:t>2021至2023年县财政科技支出情况</w:t>
      </w:r>
    </w:p>
    <w:p>
      <w:pPr>
        <w:pStyle w:val="9"/>
        <w:keepNext w:val="0"/>
        <w:keepLines w:val="0"/>
        <w:pageBreakBefore w:val="0"/>
        <w:widowControl w:val="0"/>
        <w:kinsoku/>
        <w:wordWrap/>
        <w:topLinePunct w:val="0"/>
        <w:autoSpaceDE/>
        <w:autoSpaceDN/>
        <w:bidi w:val="0"/>
        <w:spacing w:line="540" w:lineRule="exact"/>
        <w:textAlignment w:val="auto"/>
        <w:rPr>
          <w:rFonts w:hint="default" w:ascii="楷体_GB2312" w:hAnsi="楷体_GB2312" w:eastAsia="楷体_GB2312" w:cs="楷体_GB2312"/>
          <w:bCs/>
          <w:kern w:val="2"/>
          <w:sz w:val="32"/>
          <w:szCs w:val="32"/>
          <w:highlight w:val="none"/>
          <w:lang w:val="en-US" w:eastAsia="zh-CN" w:bidi="ar-SA"/>
        </w:rPr>
      </w:pPr>
      <w:r>
        <w:rPr>
          <w:rFonts w:hint="eastAsia" w:ascii="楷体_GB2312" w:hAnsi="楷体_GB2312" w:eastAsia="楷体_GB2312" w:cs="楷体_GB2312"/>
          <w:bCs/>
          <w:kern w:val="2"/>
          <w:sz w:val="32"/>
          <w:szCs w:val="32"/>
          <w:highlight w:val="none"/>
          <w:lang w:val="en-US" w:eastAsia="zh-CN" w:bidi="ar-SA"/>
        </w:rPr>
        <w:t>（一）科技支出投入情况</w:t>
      </w:r>
    </w:p>
    <w:p>
      <w:pPr>
        <w:pStyle w:val="9"/>
        <w:keepNext w:val="0"/>
        <w:keepLines w:val="0"/>
        <w:pageBreakBefore w:val="0"/>
        <w:widowControl w:val="0"/>
        <w:kinsoku/>
        <w:wordWrap/>
        <w:topLinePunct w:val="0"/>
        <w:autoSpaceDE/>
        <w:autoSpaceDN/>
        <w:bidi w:val="0"/>
        <w:spacing w:line="540" w:lineRule="exact"/>
        <w:textAlignment w:val="auto"/>
        <w:rPr>
          <w:rFonts w:hint="eastAsia"/>
          <w:lang w:val="en-US" w:eastAsia="zh-CN"/>
        </w:rPr>
      </w:pPr>
      <w:r>
        <w:rPr>
          <w:rFonts w:hint="eastAsia"/>
          <w:lang w:val="en-US" w:eastAsia="zh-CN"/>
        </w:rPr>
        <w:t>近年来，县财政持续加大科技投入，及时兑现科技专项资金，着力推动科技成果转化，持续提高企业创新动力，科技成果转化质效得到有效提升。2021-2023年，全县财政科学技术支出（206科目）合计3164万元，其中：</w:t>
      </w:r>
    </w:p>
    <w:p>
      <w:pPr>
        <w:pStyle w:val="9"/>
        <w:keepNext w:val="0"/>
        <w:keepLines w:val="0"/>
        <w:pageBreakBefore w:val="0"/>
        <w:widowControl w:val="0"/>
        <w:kinsoku/>
        <w:wordWrap/>
        <w:topLinePunct w:val="0"/>
        <w:autoSpaceDE/>
        <w:autoSpaceDN/>
        <w:bidi w:val="0"/>
        <w:spacing w:line="540" w:lineRule="exact"/>
        <w:textAlignment w:val="auto"/>
        <w:rPr>
          <w:rFonts w:hint="eastAsia"/>
          <w:lang w:val="en-US" w:eastAsia="zh-CN"/>
        </w:rPr>
      </w:pPr>
      <w:r>
        <w:rPr>
          <w:rFonts w:hint="eastAsia"/>
          <w:lang w:val="en-US" w:eastAsia="zh-CN"/>
        </w:rPr>
        <w:t>2021年度，明溪县财政科学技术支出（206科目）1386万元，其中：科学技术管理事务55万元、应用研究158万元（主要是省级高新技术企业出入库奖补资金），技术研究与开发504万元（主要是企业研发补助资金、科技创新平台建设等补助资金）、科技条件与服务110万元（主要是海斯福科技创新平台项目经费、新型研发机构补助资金）、科学技术普及131万元（主要是科普经费）、科技重大项目300万元（主要是海斯福科技重大专项专题项目经费）、其他科学技术支出128万元。</w:t>
      </w:r>
    </w:p>
    <w:p>
      <w:pPr>
        <w:pStyle w:val="9"/>
        <w:keepNext w:val="0"/>
        <w:keepLines w:val="0"/>
        <w:pageBreakBefore w:val="0"/>
        <w:widowControl w:val="0"/>
        <w:kinsoku/>
        <w:wordWrap/>
        <w:topLinePunct w:val="0"/>
        <w:autoSpaceDE/>
        <w:autoSpaceDN/>
        <w:bidi w:val="0"/>
        <w:spacing w:line="540" w:lineRule="exact"/>
        <w:textAlignment w:val="auto"/>
        <w:rPr>
          <w:rFonts w:hint="eastAsia"/>
          <w:lang w:val="en-US" w:eastAsia="zh-CN"/>
        </w:rPr>
      </w:pPr>
      <w:r>
        <w:rPr>
          <w:rFonts w:hint="eastAsia"/>
          <w:lang w:val="en-US" w:eastAsia="zh-CN"/>
        </w:rPr>
        <w:t>2022年度，明溪县财政科学技术支出（206科目）839万元，其中：科学技术管理事务6万元、应用研究123万元、技术研究与开发426万元（主要是企业研发补助资金、科技计划项目等补助资金）、社会科学4万元、科学技术普及152万元（主要是科普经费）、其他科学技术支出128万元。</w:t>
      </w:r>
    </w:p>
    <w:p>
      <w:pPr>
        <w:pStyle w:val="9"/>
        <w:keepNext w:val="0"/>
        <w:keepLines w:val="0"/>
        <w:pageBreakBefore w:val="0"/>
        <w:widowControl w:val="0"/>
        <w:kinsoku/>
        <w:wordWrap/>
        <w:topLinePunct w:val="0"/>
        <w:autoSpaceDE/>
        <w:autoSpaceDN/>
        <w:bidi w:val="0"/>
        <w:spacing w:line="540" w:lineRule="exact"/>
        <w:textAlignment w:val="auto"/>
        <w:rPr>
          <w:rFonts w:hint="eastAsia"/>
          <w:lang w:val="en-US" w:eastAsia="zh-CN"/>
        </w:rPr>
      </w:pPr>
      <w:r>
        <w:rPr>
          <w:rFonts w:hint="eastAsia"/>
          <w:lang w:val="en-US" w:eastAsia="zh-CN"/>
        </w:rPr>
        <w:t>2023年度，明溪县财政科学技术支出（206科目）939万元，其中：技术研究与开发358万元（主要是中央引导地方科技发展资金、企业研发补助资金）、科技条件与服务30万元、社会科学4万元、科学技术普及159万元（主要是科普经费）、其他科学技术支出388万元（主要是一中迁建科技楼项目建设资金）。</w:t>
      </w:r>
    </w:p>
    <w:p>
      <w:pPr>
        <w:keepNext w:val="0"/>
        <w:keepLines w:val="0"/>
        <w:pageBreakBefore w:val="0"/>
        <w:widowControl w:val="0"/>
        <w:kinsoku/>
        <w:wordWrap/>
        <w:topLinePunct w:val="0"/>
        <w:autoSpaceDE/>
        <w:autoSpaceDN/>
        <w:bidi w:val="0"/>
        <w:spacing w:line="540" w:lineRule="exact"/>
        <w:textAlignment w:val="auto"/>
        <w:rPr>
          <w:rFonts w:hint="eastAsia" w:ascii="楷体_GB2312" w:hAnsi="楷体_GB2312" w:eastAsia="楷体_GB2312" w:cs="楷体_GB2312"/>
          <w:bCs/>
          <w:kern w:val="2"/>
          <w:sz w:val="32"/>
          <w:szCs w:val="32"/>
          <w:highlight w:val="none"/>
          <w:lang w:val="en-US" w:eastAsia="zh-CN" w:bidi="ar-SA"/>
        </w:rPr>
      </w:pPr>
      <w:r>
        <w:rPr>
          <w:rFonts w:hint="eastAsia" w:ascii="CESI仿宋-GB2312" w:hAnsi="CESI仿宋-GB2312" w:eastAsia="CESI仿宋-GB2312" w:cs="CESI仿宋-GB2312"/>
          <w:sz w:val="32"/>
          <w:szCs w:val="32"/>
          <w:lang w:val="en-US" w:eastAsia="zh-CN"/>
        </w:rPr>
        <w:t xml:space="preserve">  </w:t>
      </w:r>
      <w:r>
        <w:rPr>
          <w:rFonts w:hint="eastAsia" w:ascii="楷体_GB2312" w:hAnsi="楷体_GB2312" w:eastAsia="楷体_GB2312" w:cs="楷体_GB2312"/>
          <w:bCs/>
          <w:kern w:val="2"/>
          <w:sz w:val="32"/>
          <w:szCs w:val="32"/>
          <w:highlight w:val="none"/>
          <w:lang w:val="en-US" w:eastAsia="zh-CN" w:bidi="ar-SA"/>
        </w:rPr>
        <w:t xml:space="preserve">  （二）绩效情况</w:t>
      </w:r>
    </w:p>
    <w:p>
      <w:pPr>
        <w:pStyle w:val="9"/>
        <w:keepNext w:val="0"/>
        <w:keepLines w:val="0"/>
        <w:pageBreakBefore w:val="0"/>
        <w:widowControl w:val="0"/>
        <w:kinsoku/>
        <w:wordWrap/>
        <w:topLinePunct w:val="0"/>
        <w:autoSpaceDE/>
        <w:autoSpaceDN/>
        <w:bidi w:val="0"/>
        <w:spacing w:line="540" w:lineRule="exact"/>
        <w:textAlignment w:val="auto"/>
        <w:rPr>
          <w:rFonts w:hint="default"/>
          <w:lang w:val="en-US" w:eastAsia="zh-CN"/>
        </w:rPr>
      </w:pPr>
      <w:r>
        <w:rPr>
          <w:rFonts w:hint="eastAsia"/>
          <w:lang w:val="en-US" w:eastAsia="zh-CN"/>
        </w:rPr>
        <w:t>一是</w:t>
      </w:r>
      <w:r>
        <w:rPr>
          <w:rFonts w:hint="default"/>
          <w:lang w:val="en-US" w:eastAsia="zh-CN"/>
        </w:rPr>
        <w:t>项目服务有成效。2021-2023年，共获省级科技项目立项18个，其中：省产学研协同创新重大项目1个</w:t>
      </w:r>
      <w:r>
        <w:rPr>
          <w:rFonts w:hint="eastAsia"/>
          <w:lang w:val="en-US" w:eastAsia="zh-CN"/>
        </w:rPr>
        <w:t>、</w:t>
      </w:r>
      <w:r>
        <w:rPr>
          <w:rFonts w:hint="default"/>
          <w:lang w:val="en-US" w:eastAsia="zh-CN"/>
        </w:rPr>
        <w:t>中央引导地方科技发展资金项目2个</w:t>
      </w:r>
      <w:r>
        <w:rPr>
          <w:rFonts w:hint="eastAsia"/>
          <w:lang w:val="en-US" w:eastAsia="zh-CN"/>
        </w:rPr>
        <w:t>、</w:t>
      </w:r>
      <w:r>
        <w:rPr>
          <w:rFonts w:hint="default"/>
          <w:lang w:val="en-US" w:eastAsia="zh-CN"/>
        </w:rPr>
        <w:t>中科院STS计划配套项目5个</w:t>
      </w:r>
      <w:r>
        <w:rPr>
          <w:rFonts w:hint="eastAsia"/>
          <w:lang w:val="en-US" w:eastAsia="zh-CN"/>
        </w:rPr>
        <w:t>、</w:t>
      </w:r>
      <w:r>
        <w:rPr>
          <w:rFonts w:hint="default"/>
          <w:lang w:val="en-US" w:eastAsia="zh-CN"/>
        </w:rPr>
        <w:t>中科院STS计划配套院省合作重大项目1个</w:t>
      </w:r>
      <w:r>
        <w:rPr>
          <w:rFonts w:hint="eastAsia"/>
          <w:lang w:val="en-US" w:eastAsia="zh-CN"/>
        </w:rPr>
        <w:t>、</w:t>
      </w:r>
      <w:r>
        <w:rPr>
          <w:rFonts w:hint="default"/>
          <w:lang w:val="en-US" w:eastAsia="zh-CN"/>
        </w:rPr>
        <w:t>省高校产学合作项目1个</w:t>
      </w:r>
      <w:r>
        <w:rPr>
          <w:rFonts w:hint="eastAsia"/>
          <w:lang w:val="en-US" w:eastAsia="zh-CN"/>
        </w:rPr>
        <w:t>、</w:t>
      </w:r>
      <w:r>
        <w:rPr>
          <w:rFonts w:hint="default"/>
          <w:lang w:val="en-US" w:eastAsia="zh-CN"/>
        </w:rPr>
        <w:t>省区域发展项目2个</w:t>
      </w:r>
      <w:r>
        <w:rPr>
          <w:rFonts w:hint="eastAsia"/>
          <w:lang w:val="en-US" w:eastAsia="zh-CN"/>
        </w:rPr>
        <w:t>、</w:t>
      </w:r>
      <w:r>
        <w:rPr>
          <w:rFonts w:hint="default"/>
          <w:lang w:val="en-US" w:eastAsia="zh-CN"/>
        </w:rPr>
        <w:t>省科技特派员后补助项目4个</w:t>
      </w:r>
      <w:r>
        <w:rPr>
          <w:rFonts w:hint="eastAsia"/>
          <w:lang w:val="en-US" w:eastAsia="zh-CN"/>
        </w:rPr>
        <w:t>、</w:t>
      </w:r>
      <w:r>
        <w:rPr>
          <w:rFonts w:hint="default"/>
          <w:lang w:val="en-US" w:eastAsia="zh-CN"/>
        </w:rPr>
        <w:t>省星火项目2个</w:t>
      </w:r>
      <w:r>
        <w:rPr>
          <w:rFonts w:hint="eastAsia"/>
          <w:lang w:val="en-US" w:eastAsia="zh-CN"/>
        </w:rPr>
        <w:t>；</w:t>
      </w:r>
      <w:r>
        <w:rPr>
          <w:rFonts w:hint="default"/>
          <w:lang w:val="en-US" w:eastAsia="zh-CN"/>
        </w:rPr>
        <w:t>共获得市级科技计划项目立项14个，其中：市级科技引导性项目立项6个</w:t>
      </w:r>
      <w:r>
        <w:rPr>
          <w:rFonts w:hint="eastAsia"/>
          <w:lang w:val="en-US" w:eastAsia="zh-CN"/>
        </w:rPr>
        <w:t>、</w:t>
      </w:r>
      <w:r>
        <w:rPr>
          <w:rFonts w:hint="default"/>
          <w:lang w:val="en-US" w:eastAsia="zh-CN"/>
        </w:rPr>
        <w:t>市级揭榜挂帅项目2项</w:t>
      </w:r>
      <w:r>
        <w:rPr>
          <w:rFonts w:hint="eastAsia"/>
          <w:lang w:val="en-US" w:eastAsia="zh-CN"/>
        </w:rPr>
        <w:t>、</w:t>
      </w:r>
      <w:r>
        <w:rPr>
          <w:rFonts w:hint="default"/>
          <w:lang w:val="en-US" w:eastAsia="zh-CN"/>
        </w:rPr>
        <w:t>科特派产学研项目1个</w:t>
      </w:r>
      <w:r>
        <w:rPr>
          <w:rFonts w:hint="eastAsia"/>
          <w:lang w:val="en-US" w:eastAsia="zh-CN"/>
        </w:rPr>
        <w:t>、</w:t>
      </w:r>
      <w:r>
        <w:rPr>
          <w:rFonts w:hint="default"/>
          <w:lang w:val="en-US" w:eastAsia="zh-CN"/>
        </w:rPr>
        <w:t>科特派后补助项目5项。</w:t>
      </w:r>
      <w:r>
        <w:rPr>
          <w:rFonts w:hint="eastAsia"/>
          <w:lang w:val="en-US" w:eastAsia="zh-CN"/>
        </w:rPr>
        <w:t>二是</w:t>
      </w:r>
      <w:r>
        <w:rPr>
          <w:rFonts w:hint="default"/>
          <w:lang w:val="en-US" w:eastAsia="zh-CN"/>
        </w:rPr>
        <w:t>创新实力有提升。</w:t>
      </w:r>
      <w:r>
        <w:rPr>
          <w:rFonts w:hint="eastAsia"/>
          <w:lang w:val="en-US" w:eastAsia="zh-CN"/>
        </w:rPr>
        <w:t>共</w:t>
      </w:r>
      <w:r>
        <w:rPr>
          <w:rFonts w:hint="default"/>
          <w:lang w:val="en-US" w:eastAsia="zh-CN"/>
        </w:rPr>
        <w:t>新增高企10家，新增省级科技小巨人企业9家。</w:t>
      </w:r>
      <w:r>
        <w:rPr>
          <w:rFonts w:hint="eastAsia"/>
          <w:lang w:val="en-US" w:eastAsia="zh-CN"/>
        </w:rPr>
        <w:t>三是</w:t>
      </w:r>
      <w:r>
        <w:rPr>
          <w:rFonts w:hint="default"/>
          <w:lang w:val="en-US" w:eastAsia="zh-CN"/>
        </w:rPr>
        <w:t>科特派工作稳</w:t>
      </w:r>
      <w:r>
        <w:rPr>
          <w:rFonts w:hint="eastAsia"/>
          <w:lang w:val="en-US" w:eastAsia="zh-CN"/>
        </w:rPr>
        <w:t>步</w:t>
      </w:r>
      <w:r>
        <w:rPr>
          <w:rFonts w:hint="default"/>
          <w:lang w:val="en-US" w:eastAsia="zh-CN"/>
        </w:rPr>
        <w:t>推进。共完成70名省级科特派、26个团队科特派</w:t>
      </w:r>
      <w:r>
        <w:rPr>
          <w:rFonts w:hint="eastAsia"/>
          <w:lang w:val="en-US" w:eastAsia="zh-CN"/>
        </w:rPr>
        <w:t>、</w:t>
      </w:r>
      <w:r>
        <w:rPr>
          <w:rFonts w:hint="default"/>
          <w:lang w:val="en-US" w:eastAsia="zh-CN"/>
        </w:rPr>
        <w:t>1个法人科特派的选认工作；选认市级科技特派员10人；选认县级科特派46人，实现9个乡镇、88个村全覆盖。</w:t>
      </w:r>
    </w:p>
    <w:p>
      <w:pPr>
        <w:keepNext w:val="0"/>
        <w:keepLines w:val="0"/>
        <w:pageBreakBefore w:val="0"/>
        <w:widowControl w:val="0"/>
        <w:kinsoku/>
        <w:wordWrap/>
        <w:topLinePunct w:val="0"/>
        <w:autoSpaceDE/>
        <w:autoSpaceDN/>
        <w:bidi w:val="0"/>
        <w:spacing w:line="540" w:lineRule="exact"/>
        <w:ind w:firstLine="640" w:firstLineChars="200"/>
        <w:textAlignment w:val="auto"/>
        <w:rPr>
          <w:rFonts w:hint="eastAsia" w:ascii="楷体_GB2312" w:hAnsi="楷体_GB2312" w:eastAsia="楷体_GB2312" w:cs="楷体_GB2312"/>
          <w:bCs/>
          <w:kern w:val="2"/>
          <w:sz w:val="32"/>
          <w:szCs w:val="32"/>
          <w:highlight w:val="none"/>
          <w:lang w:val="en-US" w:eastAsia="zh-CN" w:bidi="ar-SA"/>
        </w:rPr>
      </w:pPr>
      <w:r>
        <w:rPr>
          <w:rFonts w:hint="eastAsia" w:ascii="楷体_GB2312" w:hAnsi="楷体_GB2312" w:eastAsia="楷体_GB2312" w:cs="楷体_GB2312"/>
          <w:bCs/>
          <w:kern w:val="2"/>
          <w:sz w:val="32"/>
          <w:szCs w:val="32"/>
          <w:highlight w:val="none"/>
          <w:lang w:val="en-US" w:eastAsia="zh-CN" w:bidi="ar-SA"/>
        </w:rPr>
        <w:t>（三）存在问题</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Times New Roman" w:eastAsia="仿宋_GB2312" w:cs="Times New Roman"/>
          <w:kern w:val="0"/>
          <w:sz w:val="32"/>
          <w:szCs w:val="24"/>
          <w:lang w:val="en-US" w:eastAsia="zh-CN" w:bidi="ar-SA"/>
        </w:rPr>
      </w:pPr>
      <w:r>
        <w:rPr>
          <w:rFonts w:hint="eastAsia" w:ascii="仿宋_GB2312" w:hAnsi="Times New Roman" w:eastAsia="仿宋_GB2312" w:cs="Times New Roman"/>
          <w:kern w:val="0"/>
          <w:sz w:val="32"/>
          <w:szCs w:val="24"/>
          <w:lang w:val="en-US" w:eastAsia="zh-CN" w:bidi="ar-SA"/>
        </w:rPr>
        <w:t>一是明溪县财政科学技术</w:t>
      </w:r>
      <w:r>
        <w:rPr>
          <w:rFonts w:hint="eastAsia" w:ascii="仿宋_GB2312" w:eastAsia="仿宋_GB2312" w:cs="Times New Roman"/>
          <w:kern w:val="0"/>
          <w:sz w:val="32"/>
          <w:szCs w:val="24"/>
          <w:lang w:val="en-US" w:eastAsia="zh-CN" w:bidi="ar-SA"/>
        </w:rPr>
        <w:t>上级</w:t>
      </w:r>
      <w:r>
        <w:rPr>
          <w:rFonts w:hint="eastAsia" w:ascii="仿宋_GB2312" w:hAnsi="Times New Roman" w:eastAsia="仿宋_GB2312" w:cs="Times New Roman"/>
          <w:kern w:val="0"/>
          <w:sz w:val="32"/>
          <w:szCs w:val="24"/>
          <w:lang w:val="en-US" w:eastAsia="zh-CN" w:bidi="ar-SA"/>
        </w:rPr>
        <w:t>补助总量较小，企业创新能力不足，虽然我县企业研发投入逐年增长，部分企业研发和创新水平</w:t>
      </w:r>
      <w:r>
        <w:rPr>
          <w:rFonts w:hint="eastAsia" w:ascii="仿宋_GB2312" w:eastAsia="仿宋_GB2312" w:cs="Times New Roman"/>
          <w:kern w:val="0"/>
          <w:sz w:val="32"/>
          <w:szCs w:val="24"/>
          <w:lang w:val="en-US" w:eastAsia="zh-CN" w:bidi="ar-SA"/>
        </w:rPr>
        <w:t>不断提高</w:t>
      </w:r>
      <w:r>
        <w:rPr>
          <w:rFonts w:hint="eastAsia" w:ascii="仿宋_GB2312" w:hAnsi="Times New Roman" w:eastAsia="仿宋_GB2312" w:cs="Times New Roman"/>
          <w:kern w:val="0"/>
          <w:sz w:val="32"/>
          <w:szCs w:val="24"/>
          <w:lang w:val="en-US" w:eastAsia="zh-CN" w:bidi="ar-SA"/>
        </w:rPr>
        <w:t>，但大多数企业还是处于产业的价值链低端，创新意识不强，企业研发投入强度（研发费用占</w:t>
      </w:r>
      <w:r>
        <w:rPr>
          <w:rFonts w:hint="default" w:ascii="仿宋_GB2312" w:hAnsi="Times New Roman" w:eastAsia="仿宋_GB2312" w:cs="Times New Roman"/>
          <w:kern w:val="0"/>
          <w:sz w:val="32"/>
          <w:szCs w:val="24"/>
          <w:lang w:val="en-US" w:eastAsia="zh-CN" w:bidi="ar-SA"/>
        </w:rPr>
        <w:t>GDP</w:t>
      </w:r>
      <w:r>
        <w:rPr>
          <w:rFonts w:hint="eastAsia" w:ascii="仿宋_GB2312" w:hAnsi="Times New Roman" w:eastAsia="仿宋_GB2312" w:cs="Times New Roman"/>
          <w:kern w:val="0"/>
          <w:sz w:val="32"/>
          <w:szCs w:val="24"/>
          <w:lang w:val="en-US" w:eastAsia="zh-CN" w:bidi="ar-SA"/>
        </w:rPr>
        <w:t>比重）总体偏弱，企业研发覆盖面低，科技成果转化项目较少。二是科技人才严重短缺，企业普遍存在研究开发性人才、产业工人、高水平创新团队、行业领军和拔尖人才紧缺的情况，科技服务体系不健全，人才外流较为严重，难以满足企业创新发展的需要，人才激励和培养机制需进一步完善。</w:t>
      </w:r>
    </w:p>
    <w:p>
      <w:pPr>
        <w:pStyle w:val="9"/>
        <w:keepNext w:val="0"/>
        <w:keepLines w:val="0"/>
        <w:pageBreakBefore w:val="0"/>
        <w:widowControl w:val="0"/>
        <w:kinsoku/>
        <w:wordWrap/>
        <w:topLinePunct w:val="0"/>
        <w:autoSpaceDE/>
        <w:autoSpaceDN/>
        <w:bidi w:val="0"/>
        <w:spacing w:line="540" w:lineRule="exact"/>
        <w:textAlignment w:val="auto"/>
        <w:rPr>
          <w:rFonts w:hint="eastAsia" w:ascii="楷体_GB2312" w:hAnsi="楷体_GB2312" w:eastAsia="楷体_GB2312" w:cs="楷体_GB2312"/>
          <w:bCs/>
          <w:kern w:val="2"/>
          <w:sz w:val="32"/>
          <w:szCs w:val="32"/>
          <w:highlight w:val="none"/>
          <w:lang w:val="en-US" w:eastAsia="zh-CN" w:bidi="ar-SA"/>
        </w:rPr>
      </w:pPr>
      <w:r>
        <w:rPr>
          <w:rFonts w:hint="eastAsia" w:ascii="楷体_GB2312" w:hAnsi="楷体_GB2312" w:eastAsia="楷体_GB2312" w:cs="楷体_GB2312"/>
          <w:bCs/>
          <w:kern w:val="2"/>
          <w:sz w:val="32"/>
          <w:szCs w:val="32"/>
          <w:highlight w:val="none"/>
          <w:lang w:val="en-US" w:eastAsia="zh-CN" w:bidi="ar-SA"/>
        </w:rPr>
        <w:t>（四）下一步工作措施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Times New Roman" w:eastAsia="仿宋_GB2312" w:cs="Times New Roman"/>
          <w:kern w:val="0"/>
          <w:sz w:val="32"/>
          <w:szCs w:val="24"/>
          <w:lang w:val="en-US" w:eastAsia="zh-CN" w:bidi="ar-SA"/>
        </w:rPr>
      </w:pPr>
      <w:r>
        <w:rPr>
          <w:rFonts w:hint="eastAsia" w:ascii="仿宋_GB2312" w:hAnsi="Times New Roman" w:eastAsia="仿宋_GB2312" w:cs="Times New Roman"/>
          <w:kern w:val="0"/>
          <w:sz w:val="32"/>
          <w:szCs w:val="24"/>
          <w:lang w:val="en-US" w:eastAsia="zh-CN" w:bidi="ar-SA"/>
        </w:rPr>
        <w:t>一是根据“十四五”规划要求，适时调整财政科技支出安排，加强科技资金绩效管理，提高资金使用绩效和科学化、精细化管理水平。二是加强财政科技资金监管，对资金的拨付、管理、使用情况实行动态跟踪，保障资金安全规范使用。三是积极向上争取支持，及时兑现科技专项资金，着力推动科技成果转化。</w:t>
      </w:r>
    </w:p>
    <w:p>
      <w:pPr>
        <w:pStyle w:val="2"/>
        <w:keepNext w:val="0"/>
        <w:keepLines w:val="0"/>
        <w:pageBreakBefore w:val="0"/>
        <w:widowControl w:val="0"/>
        <w:kinsoku/>
        <w:wordWrap/>
        <w:topLinePunct w:val="0"/>
        <w:autoSpaceDE/>
        <w:autoSpaceDN/>
        <w:bidi w:val="0"/>
        <w:spacing w:line="540" w:lineRule="exact"/>
        <w:ind w:firstLine="608" w:firstLineChars="200"/>
        <w:textAlignment w:val="auto"/>
        <w:rPr>
          <w:rFonts w:hint="default"/>
          <w:lang w:val="en-US" w:eastAsia="zh-CN"/>
        </w:rPr>
      </w:pPr>
      <w:r>
        <w:rPr>
          <w:rFonts w:hint="eastAsia" w:ascii="仿宋_GB2312" w:hAnsi="仿宋_GB2312" w:eastAsia="仿宋_GB2312" w:cs="仿宋_GB2312"/>
          <w:spacing w:val="-8"/>
          <w:sz w:val="32"/>
          <w:szCs w:val="32"/>
          <w:highlight w:val="none"/>
          <w:lang w:val="en-US" w:eastAsia="zh-CN"/>
        </w:rPr>
        <w:t>以上报告，请审议。</w:t>
      </w:r>
    </w:p>
    <w:p>
      <w:pPr>
        <w:keepNext w:val="0"/>
        <w:keepLines w:val="0"/>
        <w:pageBreakBefore w:val="0"/>
        <w:widowControl w:val="0"/>
        <w:kinsoku/>
        <w:wordWrap/>
        <w:topLinePunct w:val="0"/>
        <w:autoSpaceDE/>
        <w:autoSpaceDN/>
        <w:bidi w:val="0"/>
        <w:spacing w:line="540" w:lineRule="exact"/>
        <w:textAlignment w:val="auto"/>
        <w:rPr>
          <w:rFonts w:hint="default"/>
          <w:lang w:val="en-US" w:eastAsia="zh-CN"/>
        </w:rPr>
      </w:pPr>
    </w:p>
    <w:p>
      <w:pPr>
        <w:keepNext w:val="0"/>
        <w:keepLines w:val="0"/>
        <w:pageBreakBefore w:val="0"/>
        <w:widowControl w:val="0"/>
        <w:kinsoku/>
        <w:wordWrap/>
        <w:topLinePunct w:val="0"/>
        <w:autoSpaceDE/>
        <w:autoSpaceDN/>
        <w:bidi w:val="0"/>
        <w:spacing w:line="540" w:lineRule="exact"/>
        <w:textAlignment w:val="auto"/>
        <w:rPr>
          <w:rFonts w:hint="default" w:ascii="仿宋_GB2312" w:hAnsi="仿宋_GB2312" w:eastAsia="仿宋_GB2312" w:cs="仿宋_GB2312"/>
          <w:spacing w:val="-8"/>
          <w:kern w:val="2"/>
          <w:sz w:val="32"/>
          <w:szCs w:val="32"/>
          <w:highlight w:val="none"/>
          <w:lang w:val="en-US" w:eastAsia="zh-CN" w:bidi="ar-SA"/>
        </w:rPr>
      </w:pPr>
    </w:p>
    <w:sectPr>
      <w:headerReference r:id="rId3" w:type="default"/>
      <w:footerReference r:id="rId5" w:type="default"/>
      <w:headerReference r:id="rId4" w:type="even"/>
      <w:footerReference r:id="rId6" w:type="even"/>
      <w:pgSz w:w="11906" w:h="16838"/>
      <w:pgMar w:top="1871" w:right="1418" w:bottom="187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ind w:left="210" w:leftChars="100" w:right="210" w:rightChars="100"/>
      <w:rPr>
        <w:rStyle w:val="12"/>
        <w:rFonts w:hint="eastAsia" w:ascii="宋体" w:hAnsi="宋体"/>
        <w:sz w:val="28"/>
        <w:szCs w:val="28"/>
      </w:rPr>
    </w:pPr>
    <w:r>
      <w:rPr>
        <w:rStyle w:val="12"/>
        <w:rFonts w:hint="eastAsia"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PAGE  </w:instrText>
    </w:r>
    <w:r>
      <w:rPr>
        <w:rStyle w:val="12"/>
        <w:rFonts w:ascii="宋体" w:hAnsi="宋体"/>
        <w:sz w:val="28"/>
        <w:szCs w:val="28"/>
      </w:rPr>
      <w:fldChar w:fldCharType="separate"/>
    </w:r>
    <w:r>
      <w:rPr>
        <w:rStyle w:val="12"/>
        <w:rFonts w:ascii="宋体" w:hAnsi="宋体"/>
        <w:sz w:val="28"/>
        <w:szCs w:val="28"/>
      </w:rPr>
      <w:t>17</w:t>
    </w:r>
    <w:r>
      <w:rPr>
        <w:rStyle w:val="12"/>
        <w:rFonts w:ascii="宋体" w:hAnsi="宋体"/>
        <w:sz w:val="28"/>
        <w:szCs w:val="28"/>
      </w:rPr>
      <w:fldChar w:fldCharType="end"/>
    </w:r>
    <w:r>
      <w:rPr>
        <w:rStyle w:val="12"/>
        <w:rFonts w:hint="eastAsia" w:ascii="宋体" w:hAnsi="宋体"/>
        <w:sz w:val="28"/>
        <w:szCs w:val="28"/>
      </w:rPr>
      <w:t xml:space="preserve"> —</w:t>
    </w:r>
  </w:p>
  <w:p>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end"/>
    </w:r>
  </w:p>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2MmNmOGNkMDk5NzIxYzE0ZjY1N2QxZjYzODU2MDIifQ=="/>
  </w:docVars>
  <w:rsids>
    <w:rsidRoot w:val="00CD1DCC"/>
    <w:rsid w:val="00005994"/>
    <w:rsid w:val="00005B16"/>
    <w:rsid w:val="00011586"/>
    <w:rsid w:val="000130C2"/>
    <w:rsid w:val="00015B6F"/>
    <w:rsid w:val="000163BD"/>
    <w:rsid w:val="000171AF"/>
    <w:rsid w:val="0002279C"/>
    <w:rsid w:val="00024764"/>
    <w:rsid w:val="00025018"/>
    <w:rsid w:val="00034EE3"/>
    <w:rsid w:val="0005108C"/>
    <w:rsid w:val="00052AD3"/>
    <w:rsid w:val="00054C0A"/>
    <w:rsid w:val="00060C4F"/>
    <w:rsid w:val="00061944"/>
    <w:rsid w:val="00065137"/>
    <w:rsid w:val="00065B14"/>
    <w:rsid w:val="00071E41"/>
    <w:rsid w:val="00072AD8"/>
    <w:rsid w:val="000766EE"/>
    <w:rsid w:val="00077607"/>
    <w:rsid w:val="00081BE9"/>
    <w:rsid w:val="00082025"/>
    <w:rsid w:val="0008205B"/>
    <w:rsid w:val="00084F78"/>
    <w:rsid w:val="0008695D"/>
    <w:rsid w:val="00086E60"/>
    <w:rsid w:val="00092B47"/>
    <w:rsid w:val="00093054"/>
    <w:rsid w:val="000943BA"/>
    <w:rsid w:val="00095AF2"/>
    <w:rsid w:val="000A1B7B"/>
    <w:rsid w:val="000A2DC5"/>
    <w:rsid w:val="000A7B05"/>
    <w:rsid w:val="000B4C1F"/>
    <w:rsid w:val="000C2210"/>
    <w:rsid w:val="000C4EC2"/>
    <w:rsid w:val="000C7E8E"/>
    <w:rsid w:val="000D2306"/>
    <w:rsid w:val="000D2767"/>
    <w:rsid w:val="000F55F5"/>
    <w:rsid w:val="000F7169"/>
    <w:rsid w:val="0010140E"/>
    <w:rsid w:val="00101E90"/>
    <w:rsid w:val="00102A00"/>
    <w:rsid w:val="00104972"/>
    <w:rsid w:val="00104CE2"/>
    <w:rsid w:val="00111E46"/>
    <w:rsid w:val="00113CA4"/>
    <w:rsid w:val="00122D7E"/>
    <w:rsid w:val="001313BA"/>
    <w:rsid w:val="00135794"/>
    <w:rsid w:val="001402B7"/>
    <w:rsid w:val="0014325B"/>
    <w:rsid w:val="00143CD5"/>
    <w:rsid w:val="00144E23"/>
    <w:rsid w:val="00146551"/>
    <w:rsid w:val="00147A9C"/>
    <w:rsid w:val="00165AD4"/>
    <w:rsid w:val="00167BC8"/>
    <w:rsid w:val="00177AFB"/>
    <w:rsid w:val="00186767"/>
    <w:rsid w:val="00190497"/>
    <w:rsid w:val="0019403D"/>
    <w:rsid w:val="001E315E"/>
    <w:rsid w:val="001E6BE5"/>
    <w:rsid w:val="001E7EE4"/>
    <w:rsid w:val="001F1944"/>
    <w:rsid w:val="001F23C6"/>
    <w:rsid w:val="001F435D"/>
    <w:rsid w:val="001F608B"/>
    <w:rsid w:val="001F61D0"/>
    <w:rsid w:val="00203B98"/>
    <w:rsid w:val="00203C9F"/>
    <w:rsid w:val="00205AF6"/>
    <w:rsid w:val="00205D14"/>
    <w:rsid w:val="00211949"/>
    <w:rsid w:val="00214A22"/>
    <w:rsid w:val="002165D4"/>
    <w:rsid w:val="002173FD"/>
    <w:rsid w:val="00222F3B"/>
    <w:rsid w:val="00223402"/>
    <w:rsid w:val="0022546D"/>
    <w:rsid w:val="00226253"/>
    <w:rsid w:val="00226C28"/>
    <w:rsid w:val="002325BA"/>
    <w:rsid w:val="0023508F"/>
    <w:rsid w:val="00243E4B"/>
    <w:rsid w:val="0025057B"/>
    <w:rsid w:val="002516BB"/>
    <w:rsid w:val="00257DCE"/>
    <w:rsid w:val="00280F9B"/>
    <w:rsid w:val="0028153C"/>
    <w:rsid w:val="002822F5"/>
    <w:rsid w:val="002870E7"/>
    <w:rsid w:val="00291290"/>
    <w:rsid w:val="002923C2"/>
    <w:rsid w:val="00292728"/>
    <w:rsid w:val="002A1CA4"/>
    <w:rsid w:val="002A4B06"/>
    <w:rsid w:val="002B03A9"/>
    <w:rsid w:val="002B16DC"/>
    <w:rsid w:val="002B73C4"/>
    <w:rsid w:val="002C3FBC"/>
    <w:rsid w:val="002C7409"/>
    <w:rsid w:val="002D0CFA"/>
    <w:rsid w:val="002D7F81"/>
    <w:rsid w:val="002E0C8C"/>
    <w:rsid w:val="002E736E"/>
    <w:rsid w:val="002F00E1"/>
    <w:rsid w:val="002F73EC"/>
    <w:rsid w:val="00300D93"/>
    <w:rsid w:val="00303FD3"/>
    <w:rsid w:val="00305517"/>
    <w:rsid w:val="0030655D"/>
    <w:rsid w:val="00307F0B"/>
    <w:rsid w:val="00307FD2"/>
    <w:rsid w:val="003178E8"/>
    <w:rsid w:val="003255C0"/>
    <w:rsid w:val="00332078"/>
    <w:rsid w:val="00342EA6"/>
    <w:rsid w:val="00344DEA"/>
    <w:rsid w:val="00345CBC"/>
    <w:rsid w:val="00370280"/>
    <w:rsid w:val="00374712"/>
    <w:rsid w:val="00397D0E"/>
    <w:rsid w:val="003A271F"/>
    <w:rsid w:val="003B577B"/>
    <w:rsid w:val="003B5BE9"/>
    <w:rsid w:val="003B6D16"/>
    <w:rsid w:val="003B700B"/>
    <w:rsid w:val="003D1827"/>
    <w:rsid w:val="003D2312"/>
    <w:rsid w:val="003D608B"/>
    <w:rsid w:val="003D7E6C"/>
    <w:rsid w:val="003E27F2"/>
    <w:rsid w:val="003E73E3"/>
    <w:rsid w:val="003F578A"/>
    <w:rsid w:val="004019A6"/>
    <w:rsid w:val="00401FFE"/>
    <w:rsid w:val="0040594E"/>
    <w:rsid w:val="00406C63"/>
    <w:rsid w:val="004122CE"/>
    <w:rsid w:val="00412D5D"/>
    <w:rsid w:val="00416106"/>
    <w:rsid w:val="00430852"/>
    <w:rsid w:val="004315F5"/>
    <w:rsid w:val="00435207"/>
    <w:rsid w:val="004368B6"/>
    <w:rsid w:val="00441073"/>
    <w:rsid w:val="00445B5F"/>
    <w:rsid w:val="004513B4"/>
    <w:rsid w:val="00452196"/>
    <w:rsid w:val="00453F96"/>
    <w:rsid w:val="0045549F"/>
    <w:rsid w:val="004573DE"/>
    <w:rsid w:val="0046062D"/>
    <w:rsid w:val="00463CA6"/>
    <w:rsid w:val="00463F2D"/>
    <w:rsid w:val="00474EDD"/>
    <w:rsid w:val="00483378"/>
    <w:rsid w:val="004931F9"/>
    <w:rsid w:val="004932CE"/>
    <w:rsid w:val="004A3D92"/>
    <w:rsid w:val="004A4B30"/>
    <w:rsid w:val="004A687C"/>
    <w:rsid w:val="004A6948"/>
    <w:rsid w:val="004A6CEC"/>
    <w:rsid w:val="004B2FE3"/>
    <w:rsid w:val="004B3038"/>
    <w:rsid w:val="004D14FA"/>
    <w:rsid w:val="004D6D2D"/>
    <w:rsid w:val="004E0DCD"/>
    <w:rsid w:val="004E15CD"/>
    <w:rsid w:val="004E1CB8"/>
    <w:rsid w:val="004E2D4B"/>
    <w:rsid w:val="004E4410"/>
    <w:rsid w:val="004E61BC"/>
    <w:rsid w:val="004F0B1E"/>
    <w:rsid w:val="00500DF9"/>
    <w:rsid w:val="00507727"/>
    <w:rsid w:val="00507F87"/>
    <w:rsid w:val="00510DAD"/>
    <w:rsid w:val="0052065F"/>
    <w:rsid w:val="00522AB2"/>
    <w:rsid w:val="00522E4E"/>
    <w:rsid w:val="005371FF"/>
    <w:rsid w:val="00537BE8"/>
    <w:rsid w:val="00545F14"/>
    <w:rsid w:val="00556153"/>
    <w:rsid w:val="0056065C"/>
    <w:rsid w:val="0056180D"/>
    <w:rsid w:val="0056248A"/>
    <w:rsid w:val="00566295"/>
    <w:rsid w:val="0057061B"/>
    <w:rsid w:val="00570D03"/>
    <w:rsid w:val="0057305C"/>
    <w:rsid w:val="005741F0"/>
    <w:rsid w:val="005757F9"/>
    <w:rsid w:val="00576D1B"/>
    <w:rsid w:val="00583852"/>
    <w:rsid w:val="00583B9C"/>
    <w:rsid w:val="00591367"/>
    <w:rsid w:val="0059673A"/>
    <w:rsid w:val="005B08D2"/>
    <w:rsid w:val="005B0B09"/>
    <w:rsid w:val="005C151D"/>
    <w:rsid w:val="005C4E82"/>
    <w:rsid w:val="005D364B"/>
    <w:rsid w:val="005D546B"/>
    <w:rsid w:val="005E0764"/>
    <w:rsid w:val="005F0B42"/>
    <w:rsid w:val="005F2065"/>
    <w:rsid w:val="005F4611"/>
    <w:rsid w:val="005F69A1"/>
    <w:rsid w:val="00604607"/>
    <w:rsid w:val="0061159E"/>
    <w:rsid w:val="00613FB1"/>
    <w:rsid w:val="00620001"/>
    <w:rsid w:val="00620EC2"/>
    <w:rsid w:val="00623A9D"/>
    <w:rsid w:val="00630F77"/>
    <w:rsid w:val="00640E34"/>
    <w:rsid w:val="00644E93"/>
    <w:rsid w:val="006518B7"/>
    <w:rsid w:val="006532EF"/>
    <w:rsid w:val="0065522C"/>
    <w:rsid w:val="006607CA"/>
    <w:rsid w:val="00673125"/>
    <w:rsid w:val="00674425"/>
    <w:rsid w:val="00677A58"/>
    <w:rsid w:val="0068026B"/>
    <w:rsid w:val="00683AD2"/>
    <w:rsid w:val="00683EBC"/>
    <w:rsid w:val="00687DD4"/>
    <w:rsid w:val="00692F39"/>
    <w:rsid w:val="006953FD"/>
    <w:rsid w:val="006A6466"/>
    <w:rsid w:val="006A66F4"/>
    <w:rsid w:val="006A7E3B"/>
    <w:rsid w:val="006B092A"/>
    <w:rsid w:val="006B16A7"/>
    <w:rsid w:val="006B1E8F"/>
    <w:rsid w:val="006B7B06"/>
    <w:rsid w:val="006C2506"/>
    <w:rsid w:val="006C5652"/>
    <w:rsid w:val="006D3E21"/>
    <w:rsid w:val="006E35CD"/>
    <w:rsid w:val="006E408F"/>
    <w:rsid w:val="006F0404"/>
    <w:rsid w:val="006F2A41"/>
    <w:rsid w:val="006F3C70"/>
    <w:rsid w:val="006F415B"/>
    <w:rsid w:val="007007D5"/>
    <w:rsid w:val="00701819"/>
    <w:rsid w:val="007033C0"/>
    <w:rsid w:val="00704C88"/>
    <w:rsid w:val="0072229B"/>
    <w:rsid w:val="007254D9"/>
    <w:rsid w:val="0073636F"/>
    <w:rsid w:val="0074067B"/>
    <w:rsid w:val="00746361"/>
    <w:rsid w:val="00746ADD"/>
    <w:rsid w:val="00752F2A"/>
    <w:rsid w:val="00760003"/>
    <w:rsid w:val="00760BDB"/>
    <w:rsid w:val="00763767"/>
    <w:rsid w:val="00774FDF"/>
    <w:rsid w:val="00775C6D"/>
    <w:rsid w:val="00782C2C"/>
    <w:rsid w:val="007949D3"/>
    <w:rsid w:val="00797BD9"/>
    <w:rsid w:val="007A3C20"/>
    <w:rsid w:val="007A3D9C"/>
    <w:rsid w:val="007A5F4F"/>
    <w:rsid w:val="007B276A"/>
    <w:rsid w:val="007B3A47"/>
    <w:rsid w:val="007B4267"/>
    <w:rsid w:val="007B7C99"/>
    <w:rsid w:val="007C0618"/>
    <w:rsid w:val="007C0E83"/>
    <w:rsid w:val="007C3C93"/>
    <w:rsid w:val="007C4E2D"/>
    <w:rsid w:val="007C5F67"/>
    <w:rsid w:val="007D17BE"/>
    <w:rsid w:val="007D1A88"/>
    <w:rsid w:val="007F3139"/>
    <w:rsid w:val="00806AB2"/>
    <w:rsid w:val="00814D2C"/>
    <w:rsid w:val="00820B96"/>
    <w:rsid w:val="00821922"/>
    <w:rsid w:val="0082365B"/>
    <w:rsid w:val="008238E8"/>
    <w:rsid w:val="0082682A"/>
    <w:rsid w:val="00832500"/>
    <w:rsid w:val="0083412E"/>
    <w:rsid w:val="00841AA8"/>
    <w:rsid w:val="008633C2"/>
    <w:rsid w:val="008711EF"/>
    <w:rsid w:val="00876492"/>
    <w:rsid w:val="00876B2A"/>
    <w:rsid w:val="00883D5A"/>
    <w:rsid w:val="0088581F"/>
    <w:rsid w:val="0089054F"/>
    <w:rsid w:val="00891743"/>
    <w:rsid w:val="008934FE"/>
    <w:rsid w:val="00893F1A"/>
    <w:rsid w:val="008974C6"/>
    <w:rsid w:val="008A4431"/>
    <w:rsid w:val="008A6CD4"/>
    <w:rsid w:val="008B5136"/>
    <w:rsid w:val="008B59A0"/>
    <w:rsid w:val="008C59CC"/>
    <w:rsid w:val="008E289E"/>
    <w:rsid w:val="008E3880"/>
    <w:rsid w:val="008E50CF"/>
    <w:rsid w:val="008F0C29"/>
    <w:rsid w:val="00914D86"/>
    <w:rsid w:val="00917677"/>
    <w:rsid w:val="00920FD4"/>
    <w:rsid w:val="00921364"/>
    <w:rsid w:val="009251F3"/>
    <w:rsid w:val="00926B88"/>
    <w:rsid w:val="0092762C"/>
    <w:rsid w:val="00927BD0"/>
    <w:rsid w:val="00935F2E"/>
    <w:rsid w:val="0094664E"/>
    <w:rsid w:val="00950C5E"/>
    <w:rsid w:val="00951A1F"/>
    <w:rsid w:val="00960B0A"/>
    <w:rsid w:val="00961704"/>
    <w:rsid w:val="00961D00"/>
    <w:rsid w:val="00964CD8"/>
    <w:rsid w:val="00965D5E"/>
    <w:rsid w:val="0098330F"/>
    <w:rsid w:val="00990D07"/>
    <w:rsid w:val="00992294"/>
    <w:rsid w:val="00995BCA"/>
    <w:rsid w:val="0099692E"/>
    <w:rsid w:val="009A08A8"/>
    <w:rsid w:val="009A5783"/>
    <w:rsid w:val="009B168C"/>
    <w:rsid w:val="009B4A7A"/>
    <w:rsid w:val="009B4F31"/>
    <w:rsid w:val="009B5701"/>
    <w:rsid w:val="009B7BB7"/>
    <w:rsid w:val="009D1F4A"/>
    <w:rsid w:val="009D4609"/>
    <w:rsid w:val="009E0152"/>
    <w:rsid w:val="009F16FF"/>
    <w:rsid w:val="009F36DD"/>
    <w:rsid w:val="00A14FBC"/>
    <w:rsid w:val="00A32590"/>
    <w:rsid w:val="00A33B29"/>
    <w:rsid w:val="00A34CB5"/>
    <w:rsid w:val="00A34E47"/>
    <w:rsid w:val="00A365C5"/>
    <w:rsid w:val="00A3671C"/>
    <w:rsid w:val="00A442A2"/>
    <w:rsid w:val="00A46E51"/>
    <w:rsid w:val="00A5498E"/>
    <w:rsid w:val="00A56414"/>
    <w:rsid w:val="00A56439"/>
    <w:rsid w:val="00A6372A"/>
    <w:rsid w:val="00A6779E"/>
    <w:rsid w:val="00A74362"/>
    <w:rsid w:val="00A77160"/>
    <w:rsid w:val="00A83BA3"/>
    <w:rsid w:val="00A84391"/>
    <w:rsid w:val="00A9000A"/>
    <w:rsid w:val="00A902D0"/>
    <w:rsid w:val="00A90B13"/>
    <w:rsid w:val="00A93444"/>
    <w:rsid w:val="00A9558F"/>
    <w:rsid w:val="00A96692"/>
    <w:rsid w:val="00A97F17"/>
    <w:rsid w:val="00AA349D"/>
    <w:rsid w:val="00AA4E90"/>
    <w:rsid w:val="00AB15BC"/>
    <w:rsid w:val="00AB1B85"/>
    <w:rsid w:val="00AB7497"/>
    <w:rsid w:val="00AC09F2"/>
    <w:rsid w:val="00AC4338"/>
    <w:rsid w:val="00AC571E"/>
    <w:rsid w:val="00AC75AD"/>
    <w:rsid w:val="00AD2B5B"/>
    <w:rsid w:val="00AD75C3"/>
    <w:rsid w:val="00AE133E"/>
    <w:rsid w:val="00AE69B2"/>
    <w:rsid w:val="00AE7563"/>
    <w:rsid w:val="00AE75CA"/>
    <w:rsid w:val="00AF201E"/>
    <w:rsid w:val="00B05B4B"/>
    <w:rsid w:val="00B07411"/>
    <w:rsid w:val="00B07780"/>
    <w:rsid w:val="00B105B3"/>
    <w:rsid w:val="00B1228A"/>
    <w:rsid w:val="00B1602D"/>
    <w:rsid w:val="00B160DA"/>
    <w:rsid w:val="00B21197"/>
    <w:rsid w:val="00B244B3"/>
    <w:rsid w:val="00B2452F"/>
    <w:rsid w:val="00B35BCC"/>
    <w:rsid w:val="00B36F4E"/>
    <w:rsid w:val="00B37FC1"/>
    <w:rsid w:val="00B402D2"/>
    <w:rsid w:val="00B46AC3"/>
    <w:rsid w:val="00B472F9"/>
    <w:rsid w:val="00B51203"/>
    <w:rsid w:val="00B527EF"/>
    <w:rsid w:val="00B75B77"/>
    <w:rsid w:val="00B825BE"/>
    <w:rsid w:val="00B90029"/>
    <w:rsid w:val="00B9459A"/>
    <w:rsid w:val="00B9760D"/>
    <w:rsid w:val="00BA546B"/>
    <w:rsid w:val="00BA64E7"/>
    <w:rsid w:val="00BB1C55"/>
    <w:rsid w:val="00BB4AB8"/>
    <w:rsid w:val="00BC0236"/>
    <w:rsid w:val="00BC09E0"/>
    <w:rsid w:val="00BC1A2B"/>
    <w:rsid w:val="00BC3263"/>
    <w:rsid w:val="00BC5111"/>
    <w:rsid w:val="00BE57CF"/>
    <w:rsid w:val="00BF072D"/>
    <w:rsid w:val="00C02949"/>
    <w:rsid w:val="00C04806"/>
    <w:rsid w:val="00C0712E"/>
    <w:rsid w:val="00C076A6"/>
    <w:rsid w:val="00C134A5"/>
    <w:rsid w:val="00C163E2"/>
    <w:rsid w:val="00C205DA"/>
    <w:rsid w:val="00C2132B"/>
    <w:rsid w:val="00C2569E"/>
    <w:rsid w:val="00C258E5"/>
    <w:rsid w:val="00C428DD"/>
    <w:rsid w:val="00C42FE5"/>
    <w:rsid w:val="00C440CF"/>
    <w:rsid w:val="00C44625"/>
    <w:rsid w:val="00C45946"/>
    <w:rsid w:val="00C503FB"/>
    <w:rsid w:val="00C5110C"/>
    <w:rsid w:val="00C51712"/>
    <w:rsid w:val="00C558AD"/>
    <w:rsid w:val="00C56C26"/>
    <w:rsid w:val="00C56F7F"/>
    <w:rsid w:val="00C56F90"/>
    <w:rsid w:val="00C57B6B"/>
    <w:rsid w:val="00C74735"/>
    <w:rsid w:val="00C758E7"/>
    <w:rsid w:val="00C80133"/>
    <w:rsid w:val="00C83BAA"/>
    <w:rsid w:val="00C911FA"/>
    <w:rsid w:val="00CB3D9D"/>
    <w:rsid w:val="00CB44DF"/>
    <w:rsid w:val="00CC7E75"/>
    <w:rsid w:val="00CD1DCC"/>
    <w:rsid w:val="00CD3C6E"/>
    <w:rsid w:val="00CD4155"/>
    <w:rsid w:val="00CD5D23"/>
    <w:rsid w:val="00CE35D8"/>
    <w:rsid w:val="00CE5C26"/>
    <w:rsid w:val="00D01A56"/>
    <w:rsid w:val="00D021D6"/>
    <w:rsid w:val="00D049A8"/>
    <w:rsid w:val="00D07AAC"/>
    <w:rsid w:val="00D1435F"/>
    <w:rsid w:val="00D22E94"/>
    <w:rsid w:val="00D247E0"/>
    <w:rsid w:val="00D260E1"/>
    <w:rsid w:val="00D315BE"/>
    <w:rsid w:val="00D34497"/>
    <w:rsid w:val="00D346CF"/>
    <w:rsid w:val="00D35D11"/>
    <w:rsid w:val="00D37F09"/>
    <w:rsid w:val="00D41DF1"/>
    <w:rsid w:val="00D42986"/>
    <w:rsid w:val="00D43387"/>
    <w:rsid w:val="00D43F4C"/>
    <w:rsid w:val="00D4459A"/>
    <w:rsid w:val="00D526FF"/>
    <w:rsid w:val="00D5386E"/>
    <w:rsid w:val="00D54A34"/>
    <w:rsid w:val="00D60AAA"/>
    <w:rsid w:val="00D63842"/>
    <w:rsid w:val="00D638DC"/>
    <w:rsid w:val="00D64446"/>
    <w:rsid w:val="00D645B3"/>
    <w:rsid w:val="00D65D5E"/>
    <w:rsid w:val="00D70957"/>
    <w:rsid w:val="00D74537"/>
    <w:rsid w:val="00D92403"/>
    <w:rsid w:val="00D92A08"/>
    <w:rsid w:val="00D9455F"/>
    <w:rsid w:val="00D94D1D"/>
    <w:rsid w:val="00DA5B0D"/>
    <w:rsid w:val="00DA6872"/>
    <w:rsid w:val="00DB2242"/>
    <w:rsid w:val="00DB75CB"/>
    <w:rsid w:val="00DC298C"/>
    <w:rsid w:val="00DC460C"/>
    <w:rsid w:val="00DD5746"/>
    <w:rsid w:val="00DE098D"/>
    <w:rsid w:val="00DE331D"/>
    <w:rsid w:val="00DE47F7"/>
    <w:rsid w:val="00DE58A3"/>
    <w:rsid w:val="00DE6059"/>
    <w:rsid w:val="00DF28F5"/>
    <w:rsid w:val="00DF379B"/>
    <w:rsid w:val="00DF5504"/>
    <w:rsid w:val="00E0084E"/>
    <w:rsid w:val="00E02B5F"/>
    <w:rsid w:val="00E056BF"/>
    <w:rsid w:val="00E05D4C"/>
    <w:rsid w:val="00E101A7"/>
    <w:rsid w:val="00E30244"/>
    <w:rsid w:val="00E37BC8"/>
    <w:rsid w:val="00E4054F"/>
    <w:rsid w:val="00E44108"/>
    <w:rsid w:val="00E44E91"/>
    <w:rsid w:val="00E45779"/>
    <w:rsid w:val="00E46252"/>
    <w:rsid w:val="00E4747F"/>
    <w:rsid w:val="00E65AE1"/>
    <w:rsid w:val="00E80C73"/>
    <w:rsid w:val="00E818FE"/>
    <w:rsid w:val="00E829E8"/>
    <w:rsid w:val="00E83620"/>
    <w:rsid w:val="00E848BD"/>
    <w:rsid w:val="00E8601B"/>
    <w:rsid w:val="00E90ACF"/>
    <w:rsid w:val="00E94942"/>
    <w:rsid w:val="00E97D31"/>
    <w:rsid w:val="00EA05FD"/>
    <w:rsid w:val="00EA678F"/>
    <w:rsid w:val="00EB0D5B"/>
    <w:rsid w:val="00EB75FB"/>
    <w:rsid w:val="00ED08F3"/>
    <w:rsid w:val="00ED34AC"/>
    <w:rsid w:val="00EE02EA"/>
    <w:rsid w:val="00EE1AB4"/>
    <w:rsid w:val="00EF4C7E"/>
    <w:rsid w:val="00EF501C"/>
    <w:rsid w:val="00EF571F"/>
    <w:rsid w:val="00EF7371"/>
    <w:rsid w:val="00F10E11"/>
    <w:rsid w:val="00F120B5"/>
    <w:rsid w:val="00F12537"/>
    <w:rsid w:val="00F1436E"/>
    <w:rsid w:val="00F1509D"/>
    <w:rsid w:val="00F263AE"/>
    <w:rsid w:val="00F26E45"/>
    <w:rsid w:val="00F27DA5"/>
    <w:rsid w:val="00F41A58"/>
    <w:rsid w:val="00F438E5"/>
    <w:rsid w:val="00F44A69"/>
    <w:rsid w:val="00F45392"/>
    <w:rsid w:val="00F47055"/>
    <w:rsid w:val="00F5140E"/>
    <w:rsid w:val="00F53C71"/>
    <w:rsid w:val="00F64ECA"/>
    <w:rsid w:val="00F6532E"/>
    <w:rsid w:val="00F67242"/>
    <w:rsid w:val="00F760F8"/>
    <w:rsid w:val="00F81BD2"/>
    <w:rsid w:val="00F863D6"/>
    <w:rsid w:val="00F938A7"/>
    <w:rsid w:val="00F97B03"/>
    <w:rsid w:val="00FA23C0"/>
    <w:rsid w:val="00FA6D97"/>
    <w:rsid w:val="00FB0710"/>
    <w:rsid w:val="00FC32EA"/>
    <w:rsid w:val="00FD00F3"/>
    <w:rsid w:val="00FD508D"/>
    <w:rsid w:val="00FD68F0"/>
    <w:rsid w:val="00FD7B42"/>
    <w:rsid w:val="00FE269D"/>
    <w:rsid w:val="00FE4CB1"/>
    <w:rsid w:val="00FF325F"/>
    <w:rsid w:val="00FF3BF1"/>
    <w:rsid w:val="029D1014"/>
    <w:rsid w:val="02A623B4"/>
    <w:rsid w:val="04BB3DC0"/>
    <w:rsid w:val="099D3D29"/>
    <w:rsid w:val="0ACB262D"/>
    <w:rsid w:val="0AE722C7"/>
    <w:rsid w:val="0B4E4AA8"/>
    <w:rsid w:val="0B5F4D46"/>
    <w:rsid w:val="0BA03C9A"/>
    <w:rsid w:val="0BB75892"/>
    <w:rsid w:val="0BB958E6"/>
    <w:rsid w:val="0C3973D3"/>
    <w:rsid w:val="0CA943CD"/>
    <w:rsid w:val="0D1534DD"/>
    <w:rsid w:val="0FE22307"/>
    <w:rsid w:val="0FF50DB4"/>
    <w:rsid w:val="15D7507D"/>
    <w:rsid w:val="16DB276D"/>
    <w:rsid w:val="17501428"/>
    <w:rsid w:val="178B2EE3"/>
    <w:rsid w:val="17A51BBF"/>
    <w:rsid w:val="181352AD"/>
    <w:rsid w:val="18F075EF"/>
    <w:rsid w:val="192F497C"/>
    <w:rsid w:val="19974451"/>
    <w:rsid w:val="19E82624"/>
    <w:rsid w:val="1A46493B"/>
    <w:rsid w:val="1AAE61FB"/>
    <w:rsid w:val="1C29393F"/>
    <w:rsid w:val="1C3A4B1A"/>
    <w:rsid w:val="1DF060DE"/>
    <w:rsid w:val="1E3C2DD2"/>
    <w:rsid w:val="1EC73491"/>
    <w:rsid w:val="20D81D6E"/>
    <w:rsid w:val="217A395F"/>
    <w:rsid w:val="21843FF1"/>
    <w:rsid w:val="21EF39EE"/>
    <w:rsid w:val="23C672B3"/>
    <w:rsid w:val="24203438"/>
    <w:rsid w:val="24FB1497"/>
    <w:rsid w:val="2503125E"/>
    <w:rsid w:val="25D01B1C"/>
    <w:rsid w:val="25D96430"/>
    <w:rsid w:val="25DE684D"/>
    <w:rsid w:val="269D387A"/>
    <w:rsid w:val="26F5647B"/>
    <w:rsid w:val="27137E48"/>
    <w:rsid w:val="27DD4285"/>
    <w:rsid w:val="28834D12"/>
    <w:rsid w:val="28B0377C"/>
    <w:rsid w:val="2AA45BF1"/>
    <w:rsid w:val="2BFF5B49"/>
    <w:rsid w:val="2D146160"/>
    <w:rsid w:val="2F7A6E1F"/>
    <w:rsid w:val="302129D9"/>
    <w:rsid w:val="3234675F"/>
    <w:rsid w:val="32414C14"/>
    <w:rsid w:val="33747DCA"/>
    <w:rsid w:val="36810D4D"/>
    <w:rsid w:val="369B3CF5"/>
    <w:rsid w:val="369F5EC1"/>
    <w:rsid w:val="36A12C85"/>
    <w:rsid w:val="378D2686"/>
    <w:rsid w:val="37FD3041"/>
    <w:rsid w:val="37FF46BB"/>
    <w:rsid w:val="390B4876"/>
    <w:rsid w:val="391C49CD"/>
    <w:rsid w:val="39DFBCB4"/>
    <w:rsid w:val="39F46CFD"/>
    <w:rsid w:val="3A2554C5"/>
    <w:rsid w:val="3A495780"/>
    <w:rsid w:val="3AD77751"/>
    <w:rsid w:val="3EEEA053"/>
    <w:rsid w:val="3F1576AE"/>
    <w:rsid w:val="3F6171B5"/>
    <w:rsid w:val="3FAB4953"/>
    <w:rsid w:val="3FBF1414"/>
    <w:rsid w:val="3FD24D8F"/>
    <w:rsid w:val="431F5A1F"/>
    <w:rsid w:val="44C1006E"/>
    <w:rsid w:val="45B53B25"/>
    <w:rsid w:val="46753579"/>
    <w:rsid w:val="46FB3A0B"/>
    <w:rsid w:val="47F17828"/>
    <w:rsid w:val="48C74B68"/>
    <w:rsid w:val="4C496836"/>
    <w:rsid w:val="4C6E2A89"/>
    <w:rsid w:val="4E22193F"/>
    <w:rsid w:val="4E61168D"/>
    <w:rsid w:val="4E782E7D"/>
    <w:rsid w:val="4E855A70"/>
    <w:rsid w:val="4ECDC696"/>
    <w:rsid w:val="4ED650A0"/>
    <w:rsid w:val="516D076E"/>
    <w:rsid w:val="52317472"/>
    <w:rsid w:val="52DB17F7"/>
    <w:rsid w:val="535F1A56"/>
    <w:rsid w:val="55A46E0B"/>
    <w:rsid w:val="57437D81"/>
    <w:rsid w:val="575C00DE"/>
    <w:rsid w:val="57EB1EBA"/>
    <w:rsid w:val="57FFE5D3"/>
    <w:rsid w:val="58491E1A"/>
    <w:rsid w:val="595C6419"/>
    <w:rsid w:val="5A88708D"/>
    <w:rsid w:val="5B4C7DB3"/>
    <w:rsid w:val="5BB568FA"/>
    <w:rsid w:val="5C3D5DC7"/>
    <w:rsid w:val="5D3756D6"/>
    <w:rsid w:val="5DAF7194"/>
    <w:rsid w:val="5DD66B07"/>
    <w:rsid w:val="5DDE0C2E"/>
    <w:rsid w:val="5EA739DC"/>
    <w:rsid w:val="5F7A444C"/>
    <w:rsid w:val="5FDDB378"/>
    <w:rsid w:val="62F71703"/>
    <w:rsid w:val="64162EBB"/>
    <w:rsid w:val="642C3A9D"/>
    <w:rsid w:val="64693C3D"/>
    <w:rsid w:val="64DB13C8"/>
    <w:rsid w:val="657FA731"/>
    <w:rsid w:val="65A510AC"/>
    <w:rsid w:val="663E71EC"/>
    <w:rsid w:val="668D378E"/>
    <w:rsid w:val="67AF6D13"/>
    <w:rsid w:val="69042AE1"/>
    <w:rsid w:val="6A4110E9"/>
    <w:rsid w:val="6A7ED74B"/>
    <w:rsid w:val="6B0E79A2"/>
    <w:rsid w:val="6BC50105"/>
    <w:rsid w:val="6CF71F69"/>
    <w:rsid w:val="6D86385B"/>
    <w:rsid w:val="6DD4669F"/>
    <w:rsid w:val="6E77EA28"/>
    <w:rsid w:val="6F5D4BE6"/>
    <w:rsid w:val="6FD7EF1F"/>
    <w:rsid w:val="70621EAD"/>
    <w:rsid w:val="71AA15F3"/>
    <w:rsid w:val="71BD5090"/>
    <w:rsid w:val="72184B2E"/>
    <w:rsid w:val="723C71D7"/>
    <w:rsid w:val="72AC6634"/>
    <w:rsid w:val="7444360B"/>
    <w:rsid w:val="75FC7FC3"/>
    <w:rsid w:val="773FCC39"/>
    <w:rsid w:val="777FDD36"/>
    <w:rsid w:val="77ED9C96"/>
    <w:rsid w:val="77FD5CB1"/>
    <w:rsid w:val="783E0C22"/>
    <w:rsid w:val="789E5DDE"/>
    <w:rsid w:val="79BE88BC"/>
    <w:rsid w:val="79EA1040"/>
    <w:rsid w:val="7A3C0470"/>
    <w:rsid w:val="7AB13C4D"/>
    <w:rsid w:val="7ABD2A92"/>
    <w:rsid w:val="7ABDB8E5"/>
    <w:rsid w:val="7B537A63"/>
    <w:rsid w:val="7B662F79"/>
    <w:rsid w:val="7BFB37C8"/>
    <w:rsid w:val="7C4A19CF"/>
    <w:rsid w:val="7C5C0468"/>
    <w:rsid w:val="7CD07B74"/>
    <w:rsid w:val="7CD923F3"/>
    <w:rsid w:val="7D6D0C8B"/>
    <w:rsid w:val="7D7FB181"/>
    <w:rsid w:val="7DDD3244"/>
    <w:rsid w:val="7DE25CF6"/>
    <w:rsid w:val="7DEB0B9C"/>
    <w:rsid w:val="7DEB3D45"/>
    <w:rsid w:val="7E187D1F"/>
    <w:rsid w:val="7EBF6E1C"/>
    <w:rsid w:val="7EDEC97C"/>
    <w:rsid w:val="7FEE830E"/>
    <w:rsid w:val="7FEF8A6A"/>
    <w:rsid w:val="7FF2A794"/>
    <w:rsid w:val="7FF56B3A"/>
    <w:rsid w:val="7FFF013D"/>
    <w:rsid w:val="9FFFDB56"/>
    <w:rsid w:val="AE6F98D8"/>
    <w:rsid w:val="AEB4051D"/>
    <w:rsid w:val="AFE1DA11"/>
    <w:rsid w:val="B2B5BEA6"/>
    <w:rsid w:val="B3BB8281"/>
    <w:rsid w:val="B3F7C7BA"/>
    <w:rsid w:val="BDFFABD3"/>
    <w:rsid w:val="BEFD282C"/>
    <w:rsid w:val="BFF93C8D"/>
    <w:rsid w:val="BFFF5C3B"/>
    <w:rsid w:val="CF7FC1C4"/>
    <w:rsid w:val="D47AF6A7"/>
    <w:rsid w:val="D6DB08EA"/>
    <w:rsid w:val="DBFF641F"/>
    <w:rsid w:val="DCE71B69"/>
    <w:rsid w:val="DDF66650"/>
    <w:rsid w:val="DEEA0B75"/>
    <w:rsid w:val="DEF3ED6A"/>
    <w:rsid w:val="DF1F3483"/>
    <w:rsid w:val="DF7F6FB4"/>
    <w:rsid w:val="DFADD377"/>
    <w:rsid w:val="DFBFD560"/>
    <w:rsid w:val="DFFDEB8F"/>
    <w:rsid w:val="E77F5760"/>
    <w:rsid w:val="E7FD1DE0"/>
    <w:rsid w:val="EAF5E287"/>
    <w:rsid w:val="EB5A1C01"/>
    <w:rsid w:val="EBDF78D0"/>
    <w:rsid w:val="EF1D361C"/>
    <w:rsid w:val="F5ED7F25"/>
    <w:rsid w:val="F5FF1CC5"/>
    <w:rsid w:val="F69FC4A6"/>
    <w:rsid w:val="F7876C12"/>
    <w:rsid w:val="F79F5B00"/>
    <w:rsid w:val="F7B1538D"/>
    <w:rsid w:val="FBBC333D"/>
    <w:rsid w:val="FBEA7D06"/>
    <w:rsid w:val="FE7ABC2A"/>
    <w:rsid w:val="FEBB6843"/>
    <w:rsid w:val="FEDF8120"/>
    <w:rsid w:val="FEF69590"/>
    <w:rsid w:val="FFAF99BD"/>
    <w:rsid w:val="FFDFF9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customStyle="1" w:styleId="2">
    <w:name w:val="1.正文"/>
    <w:basedOn w:val="1"/>
    <w:qFormat/>
    <w:uiPriority w:val="0"/>
    <w:rPr>
      <w:rFonts w:ascii="Times New Roman" w:hAnsi="Times New Roman"/>
    </w:rPr>
  </w:style>
  <w:style w:type="paragraph" w:styleId="3">
    <w:name w:val="Body Text Indent"/>
    <w:basedOn w:val="1"/>
    <w:next w:val="4"/>
    <w:qFormat/>
    <w:uiPriority w:val="0"/>
    <w:pPr>
      <w:widowControl w:val="0"/>
      <w:ind w:firstLine="636"/>
      <w:jc w:val="both"/>
    </w:pPr>
    <w:rPr>
      <w:rFonts w:ascii="仿宋_GB2312" w:eastAsia="仿宋_GB2312" w:cs="Times New Roman"/>
      <w:kern w:val="0"/>
      <w:sz w:val="32"/>
      <w:szCs w:val="24"/>
      <w:lang w:val="en-US" w:eastAsia="zh-CN" w:bidi="ar-SA"/>
    </w:rPr>
  </w:style>
  <w:style w:type="paragraph" w:styleId="4">
    <w:name w:val="header"/>
    <w:basedOn w:val="1"/>
    <w:next w:val="5"/>
    <w:link w:val="20"/>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footer"/>
    <w:basedOn w:val="1"/>
    <w:next w:val="1"/>
    <w:link w:val="19"/>
    <w:unhideWhenUsed/>
    <w:qFormat/>
    <w:uiPriority w:val="99"/>
    <w:pPr>
      <w:tabs>
        <w:tab w:val="center" w:pos="4153"/>
        <w:tab w:val="right" w:pos="8306"/>
      </w:tabs>
      <w:snapToGrid w:val="0"/>
      <w:jc w:val="left"/>
    </w:pPr>
    <w:rPr>
      <w:kern w:val="0"/>
      <w:sz w:val="18"/>
      <w:szCs w:val="18"/>
    </w:rPr>
  </w:style>
  <w:style w:type="paragraph" w:styleId="6">
    <w:name w:val="endnote text"/>
    <w:basedOn w:val="1"/>
    <w:qFormat/>
    <w:uiPriority w:val="0"/>
    <w:pPr>
      <w:snapToGrid w:val="0"/>
      <w:jc w:val="left"/>
    </w:pPr>
  </w:style>
  <w:style w:type="paragraph" w:styleId="7">
    <w:name w:val="Balloon Text"/>
    <w:basedOn w:val="1"/>
    <w:next w:val="6"/>
    <w:link w:val="18"/>
    <w:unhideWhenUsed/>
    <w:qFormat/>
    <w:uiPriority w:val="99"/>
    <w:rPr>
      <w:kern w:val="0"/>
      <w:sz w:val="18"/>
      <w:szCs w:val="18"/>
    </w:rPr>
  </w:style>
  <w:style w:type="paragraph" w:styleId="8">
    <w:name w:val="footnote text"/>
    <w:basedOn w:val="1"/>
    <w:link w:val="21"/>
    <w:qFormat/>
    <w:uiPriority w:val="0"/>
    <w:pPr>
      <w:snapToGrid w:val="0"/>
      <w:jc w:val="left"/>
    </w:pPr>
    <w:rPr>
      <w:kern w:val="0"/>
      <w:sz w:val="18"/>
      <w:szCs w:val="18"/>
    </w:rPr>
  </w:style>
  <w:style w:type="paragraph" w:styleId="9">
    <w:name w:val="Body Text First Indent 2"/>
    <w:basedOn w:val="3"/>
    <w:next w:val="1"/>
    <w:qFormat/>
    <w:uiPriority w:val="0"/>
    <w:pPr>
      <w:ind w:firstLine="200" w:firstLineChars="200"/>
    </w:pPr>
  </w:style>
  <w:style w:type="character" w:styleId="12">
    <w:name w:val="page number"/>
    <w:basedOn w:val="11"/>
    <w:qFormat/>
    <w:uiPriority w:val="0"/>
  </w:style>
  <w:style w:type="character" w:styleId="13">
    <w:name w:val="footnote reference"/>
    <w:qFormat/>
    <w:uiPriority w:val="0"/>
    <w:rPr>
      <w:vertAlign w:val="superscript"/>
    </w:rPr>
  </w:style>
  <w:style w:type="paragraph" w:customStyle="1" w:styleId="14">
    <w:name w:val="Char Char Char Char1 Char Char Char Char Char Char Char Char"/>
    <w:basedOn w:val="1"/>
    <w:qFormat/>
    <w:uiPriority w:val="0"/>
    <w:rPr>
      <w:szCs w:val="21"/>
    </w:rPr>
  </w:style>
  <w:style w:type="paragraph" w:customStyle="1" w:styleId="15">
    <w:name w:val="Char Char Char Char1 Char Char Char Char Char Char Char Char1"/>
    <w:basedOn w:val="1"/>
    <w:qFormat/>
    <w:uiPriority w:val="0"/>
    <w:rPr>
      <w:szCs w:val="21"/>
    </w:rPr>
  </w:style>
  <w:style w:type="paragraph" w:customStyle="1" w:styleId="16">
    <w:name w:val=" Char Char Char Char1 Char Char Char Char Char Char Char Char"/>
    <w:basedOn w:val="1"/>
    <w:qFormat/>
    <w:uiPriority w:val="0"/>
    <w:rPr>
      <w:szCs w:val="21"/>
    </w:rPr>
  </w:style>
  <w:style w:type="paragraph" w:customStyle="1" w:styleId="17">
    <w:name w:val=" Char Char Char Char1 Char Char Char Char Char Char"/>
    <w:basedOn w:val="1"/>
    <w:qFormat/>
    <w:uiPriority w:val="0"/>
    <w:rPr>
      <w:szCs w:val="21"/>
    </w:rPr>
  </w:style>
  <w:style w:type="character" w:customStyle="1" w:styleId="18">
    <w:name w:val="批注框文本 Char"/>
    <w:link w:val="7"/>
    <w:semiHidden/>
    <w:qFormat/>
    <w:uiPriority w:val="99"/>
    <w:rPr>
      <w:rFonts w:ascii="Times New Roman" w:hAnsi="Times New Roman" w:eastAsia="宋体" w:cs="Times New Roman"/>
      <w:sz w:val="18"/>
      <w:szCs w:val="18"/>
    </w:rPr>
  </w:style>
  <w:style w:type="character" w:customStyle="1" w:styleId="19">
    <w:name w:val="页脚 Char"/>
    <w:link w:val="5"/>
    <w:qFormat/>
    <w:uiPriority w:val="99"/>
    <w:rPr>
      <w:rFonts w:ascii="Times New Roman" w:hAnsi="Times New Roman" w:eastAsia="宋体" w:cs="Times New Roman"/>
      <w:sz w:val="18"/>
      <w:szCs w:val="18"/>
    </w:rPr>
  </w:style>
  <w:style w:type="character" w:customStyle="1" w:styleId="20">
    <w:name w:val="页眉 Char"/>
    <w:link w:val="4"/>
    <w:qFormat/>
    <w:uiPriority w:val="99"/>
    <w:rPr>
      <w:rFonts w:ascii="Times New Roman" w:hAnsi="Times New Roman" w:eastAsia="宋体" w:cs="Times New Roman"/>
      <w:sz w:val="18"/>
      <w:szCs w:val="18"/>
    </w:rPr>
  </w:style>
  <w:style w:type="character" w:customStyle="1" w:styleId="21">
    <w:name w:val="脚注文本 Char"/>
    <w:link w:val="8"/>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Www.SangSan.Cn</Company>
  <Pages>10</Pages>
  <Words>5121</Words>
  <Characters>6093</Characters>
  <Lines>82</Lines>
  <Paragraphs>23</Paragraphs>
  <TotalTime>26</TotalTime>
  <ScaleCrop>false</ScaleCrop>
  <LinksUpToDate>false</LinksUpToDate>
  <CharactersWithSpaces>6116</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2020-06-01T08:13:00Z</dcterms:created>
  <dc:creator>null</dc:creator>
  <cp:lastModifiedBy>Administrator</cp:lastModifiedBy>
  <cp:lastPrinted>2024-07-29T16:30:00Z</cp:lastPrinted>
  <dcterms:modified xsi:type="dcterms:W3CDTF">2026-09-11T00:24:02Z</dcterms:modified>
  <cp:revision>280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2C302E05D87549F08AC1E709ED7874F0</vt:lpwstr>
  </property>
</Properties>
</file>