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夏坊乡人民政府</w:t>
      </w: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2"/>
        <w:rPr>
          <w:rFonts w:asciiTheme="majorEastAsia" w:hAnsiTheme="majorEastAsia" w:eastAsiaTheme="majorEastAsia"/>
          <w:sz w:val="36"/>
          <w:lang w:eastAsia="zh-CN"/>
        </w:rPr>
      </w:pPr>
    </w:p>
    <w:p>
      <w:pPr>
        <w:pStyle w:val="2"/>
        <w:rPr>
          <w:rFonts w:ascii="仿宋" w:hAnsi="仿宋" w:eastAsia="仿宋"/>
          <w:b/>
          <w:sz w:val="36"/>
          <w:lang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2"/>
        <w:ind w:firstLine="360" w:firstLineChars="100"/>
        <w:rPr>
          <w:rFonts w:ascii="仿宋" w:hAnsi="仿宋" w:eastAsia="仿宋"/>
          <w:sz w:val="36"/>
          <w:lang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ascii="仿宋" w:hAnsi="仿宋" w:eastAsia="仿宋"/>
          <w:sz w:val="36"/>
          <w:lang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6</w:t>
      </w:r>
    </w:p>
    <w:p>
      <w:pPr>
        <w:pStyle w:val="2"/>
        <w:ind w:firstLine="360" w:firstLineChars="100"/>
        <w:rPr>
          <w:rFonts w:ascii="仿宋" w:hAnsi="仿宋" w:eastAsia="仿宋"/>
          <w:sz w:val="36"/>
          <w:lang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6</w:t>
      </w:r>
    </w:p>
    <w:p>
      <w:pPr>
        <w:pStyle w:val="2"/>
        <w:rPr>
          <w:rFonts w:ascii="仿宋" w:hAnsi="仿宋" w:eastAsia="仿宋"/>
          <w:b/>
          <w:sz w:val="36"/>
          <w:lang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Times New Roman"/>
          <w:b/>
          <w:sz w:val="36"/>
          <w:szCs w:val="20"/>
          <w:lang w:val="en-US" w:eastAsia="zh-CN"/>
        </w:rPr>
        <w:t>2023</w:t>
      </w:r>
      <w:r>
        <w:rPr>
          <w:rFonts w:hint="eastAsia" w:ascii="仿宋" w:hAnsi="仿宋" w:eastAsia="仿宋"/>
          <w:b/>
          <w:sz w:val="36"/>
          <w:lang w:eastAsia="zh-CN"/>
        </w:rPr>
        <w:t>年度部门预算表</w:t>
      </w:r>
      <w:r>
        <w:rPr>
          <w:rFonts w:ascii="仿宋" w:hAnsi="仿宋" w:eastAsia="仿宋"/>
          <w:sz w:val="36"/>
          <w:lang w:eastAsia="zh-CN"/>
        </w:rPr>
        <w:t>…………………</w:t>
      </w:r>
      <w:r>
        <w:rPr>
          <w:rFonts w:ascii="仿宋" w:hAnsi="仿宋" w:eastAsia="仿宋"/>
          <w:sz w:val="36"/>
          <w:lang w:eastAsia="zh-CN"/>
        </w:rPr>
        <w:t>…</w:t>
      </w:r>
      <w:r>
        <w:rPr>
          <w:rFonts w:ascii="仿宋" w:hAnsi="仿宋" w:eastAsia="仿宋"/>
          <w:sz w:val="36"/>
          <w:lang w:eastAsia="zh-CN"/>
        </w:rPr>
        <w:t>…</w:t>
      </w:r>
      <w:r>
        <w:rPr>
          <w:rFonts w:hint="eastAsia" w:ascii="仿宋" w:hAnsi="仿宋" w:eastAsia="仿宋"/>
          <w:sz w:val="36"/>
          <w:lang w:val="en-US" w:eastAsia="zh-CN"/>
        </w:rPr>
        <w:t>8</w:t>
      </w:r>
    </w:p>
    <w:p>
      <w:pPr>
        <w:pStyle w:val="2"/>
        <w:ind w:firstLine="360" w:firstLineChars="100"/>
        <w:rPr>
          <w:rFonts w:ascii="仿宋" w:hAnsi="仿宋" w:eastAsia="仿宋"/>
          <w:sz w:val="36"/>
          <w:lang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9</w:t>
      </w:r>
    </w:p>
    <w:p>
      <w:pPr>
        <w:pStyle w:val="2"/>
        <w:ind w:firstLine="360" w:firstLineChars="100"/>
        <w:rPr>
          <w:rFonts w:ascii="仿宋" w:hAnsi="仿宋" w:eastAsia="仿宋"/>
          <w:sz w:val="36"/>
          <w:lang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11</w:t>
      </w:r>
    </w:p>
    <w:p>
      <w:pPr>
        <w:pStyle w:val="2"/>
        <w:ind w:firstLine="360" w:firstLineChars="100"/>
        <w:rPr>
          <w:rFonts w:ascii="仿宋" w:hAnsi="仿宋" w:eastAsia="仿宋"/>
          <w:sz w:val="36"/>
          <w:lang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12</w:t>
      </w:r>
    </w:p>
    <w:p>
      <w:pPr>
        <w:pStyle w:val="2"/>
        <w:ind w:firstLine="360" w:firstLineChars="100"/>
        <w:rPr>
          <w:rFonts w:ascii="仿宋" w:hAnsi="仿宋" w:eastAsia="仿宋"/>
          <w:sz w:val="36"/>
          <w:lang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14</w:t>
      </w:r>
    </w:p>
    <w:p>
      <w:pPr>
        <w:pStyle w:val="2"/>
        <w:ind w:firstLine="360" w:firstLineChars="100"/>
        <w:rPr>
          <w:rFonts w:ascii="仿宋" w:hAnsi="仿宋" w:eastAsia="仿宋"/>
          <w:sz w:val="36"/>
          <w:lang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15</w:t>
      </w:r>
    </w:p>
    <w:p>
      <w:pPr>
        <w:pStyle w:val="2"/>
        <w:ind w:firstLine="360" w:firstLineChars="100"/>
        <w:rPr>
          <w:rFonts w:ascii="仿宋" w:hAnsi="仿宋" w:eastAsia="仿宋"/>
          <w:sz w:val="36"/>
          <w:lang w:eastAsia="zh-CN"/>
        </w:rPr>
      </w:pPr>
      <w:r>
        <w:rPr>
          <w:rFonts w:hint="eastAsia" w:ascii="仿宋" w:hAnsi="仿宋" w:eastAsia="仿宋"/>
          <w:sz w:val="36"/>
          <w:lang w:eastAsia="zh-CN"/>
        </w:rPr>
        <w:t>六、政府性基金</w:t>
      </w:r>
      <w:r>
        <w:rPr>
          <w:rFonts w:hint="eastAsia" w:ascii="仿宋" w:hAnsi="仿宋" w:eastAsia="仿宋"/>
          <w:sz w:val="36"/>
          <w:lang w:eastAsia="zh-CN"/>
        </w:rPr>
        <w:t>预算</w:t>
      </w:r>
      <w:r>
        <w:rPr>
          <w:rFonts w:hint="eastAsia" w:ascii="仿宋" w:hAnsi="仿宋" w:eastAsia="仿宋"/>
          <w:sz w:val="36"/>
          <w:lang w:eastAsia="zh-CN"/>
        </w:rPr>
        <w:t>拨款支出预算表</w:t>
      </w:r>
      <w:r>
        <w:rPr>
          <w:rFonts w:ascii="仿宋" w:hAnsi="仿宋" w:eastAsia="仿宋"/>
          <w:sz w:val="36"/>
          <w:lang w:eastAsia="zh-CN"/>
        </w:rPr>
        <w:t>……………</w:t>
      </w:r>
      <w:r>
        <w:rPr>
          <w:rFonts w:hint="eastAsia" w:ascii="仿宋" w:hAnsi="仿宋" w:eastAsia="仿宋"/>
          <w:sz w:val="36"/>
          <w:lang w:val="en-US" w:eastAsia="zh-CN"/>
        </w:rPr>
        <w:t>17</w:t>
      </w:r>
    </w:p>
    <w:p>
      <w:pPr>
        <w:pStyle w:val="2"/>
        <w:ind w:firstLine="360" w:firstLineChars="100"/>
        <w:rPr>
          <w:rFonts w:ascii="仿宋" w:hAnsi="仿宋" w:eastAsia="仿宋"/>
          <w:sz w:val="36"/>
          <w:lang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18</w:t>
      </w:r>
    </w:p>
    <w:p>
      <w:pPr>
        <w:pStyle w:val="2"/>
        <w:ind w:firstLine="360" w:firstLineChars="100"/>
        <w:rPr>
          <w:rFonts w:ascii="仿宋" w:hAnsi="仿宋" w:eastAsia="仿宋"/>
          <w:sz w:val="36"/>
          <w:lang w:eastAsia="zh-CN"/>
        </w:rPr>
      </w:pPr>
      <w:r>
        <w:rPr>
          <w:rFonts w:hint="eastAsia" w:ascii="仿宋" w:hAnsi="仿宋" w:eastAsia="仿宋"/>
          <w:sz w:val="36"/>
          <w:lang w:eastAsia="zh-CN"/>
        </w:rPr>
        <w:t>八</w:t>
      </w:r>
      <w:r>
        <w:rPr>
          <w:rFonts w:hint="eastAsia" w:ascii="仿宋" w:hAnsi="仿宋" w:eastAsia="仿宋"/>
          <w:sz w:val="36"/>
          <w:lang w:eastAsia="zh-CN"/>
        </w:rPr>
        <w:t>、一般公共预算支出经济分类情况表</w:t>
      </w:r>
      <w:r>
        <w:rPr>
          <w:rFonts w:ascii="仿宋" w:hAnsi="仿宋" w:eastAsia="仿宋"/>
          <w:sz w:val="36"/>
          <w:lang w:eastAsia="zh-CN"/>
        </w:rPr>
        <w:t>…………</w:t>
      </w:r>
      <w:r>
        <w:rPr>
          <w:rFonts w:hint="eastAsia" w:ascii="仿宋" w:hAnsi="仿宋" w:eastAsia="仿宋"/>
          <w:sz w:val="36"/>
          <w:lang w:val="en-US" w:eastAsia="zh-CN"/>
        </w:rPr>
        <w:t>19</w:t>
      </w:r>
    </w:p>
    <w:p>
      <w:pPr>
        <w:pStyle w:val="2"/>
        <w:ind w:firstLine="360" w:firstLineChars="100"/>
        <w:rPr>
          <w:rFonts w:ascii="仿宋" w:hAnsi="仿宋" w:eastAsia="仿宋"/>
          <w:sz w:val="36"/>
          <w:lang w:eastAsia="zh-CN"/>
        </w:rPr>
      </w:pPr>
      <w:r>
        <w:rPr>
          <w:rFonts w:hint="eastAsia" w:ascii="仿宋" w:hAnsi="仿宋" w:eastAsia="仿宋"/>
          <w:sz w:val="36"/>
          <w:lang w:eastAsia="zh-CN"/>
        </w:rPr>
        <w:t>九</w:t>
      </w:r>
      <w:r>
        <w:rPr>
          <w:rFonts w:hint="eastAsia" w:ascii="仿宋" w:hAnsi="仿宋" w:eastAsia="仿宋"/>
          <w:sz w:val="36"/>
          <w:lang w:eastAsia="zh-CN"/>
        </w:rPr>
        <w:t>、一般公共预算基本支出经济分类情况表</w:t>
      </w:r>
      <w:r>
        <w:rPr>
          <w:rFonts w:ascii="仿宋" w:hAnsi="仿宋" w:eastAsia="仿宋"/>
          <w:sz w:val="36"/>
          <w:lang w:eastAsia="zh-CN"/>
        </w:rPr>
        <w:t>……</w:t>
      </w:r>
      <w:r>
        <w:rPr>
          <w:rFonts w:hint="eastAsia" w:ascii="仿宋" w:hAnsi="仿宋" w:eastAsia="仿宋"/>
          <w:sz w:val="36"/>
          <w:lang w:val="en-US" w:eastAsia="zh-CN"/>
        </w:rPr>
        <w:t>20</w:t>
      </w:r>
    </w:p>
    <w:p>
      <w:pPr>
        <w:pStyle w:val="2"/>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、一般公共预算“三公”经费支出预算表</w:t>
      </w:r>
      <w:r>
        <w:rPr>
          <w:rFonts w:ascii="仿宋" w:hAnsi="仿宋" w:eastAsia="仿宋"/>
          <w:sz w:val="36"/>
          <w:lang w:eastAsia="zh-CN"/>
        </w:rPr>
        <w:t>……</w:t>
      </w:r>
      <w:r>
        <w:rPr>
          <w:rFonts w:hint="eastAsia" w:ascii="仿宋" w:hAnsi="仿宋" w:eastAsia="仿宋"/>
          <w:sz w:val="36"/>
          <w:lang w:val="en-US" w:eastAsia="zh-CN"/>
        </w:rPr>
        <w:t>23</w:t>
      </w:r>
    </w:p>
    <w:p>
      <w:pPr>
        <w:pStyle w:val="2"/>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w:t>
      </w:r>
      <w:r>
        <w:rPr>
          <w:rFonts w:hint="eastAsia" w:ascii="仿宋" w:hAnsi="仿宋" w:eastAsia="仿宋"/>
          <w:sz w:val="36"/>
          <w:lang w:eastAsia="zh-CN"/>
        </w:rPr>
        <w:t>、部门专项资金管理清单目录</w:t>
      </w:r>
      <w:r>
        <w:rPr>
          <w:rFonts w:ascii="仿宋" w:hAnsi="仿宋" w:eastAsia="仿宋"/>
          <w:sz w:val="36"/>
          <w:lang w:eastAsia="zh-CN"/>
        </w:rPr>
        <w:t>………………</w:t>
      </w:r>
      <w:r>
        <w:rPr>
          <w:rFonts w:hint="eastAsia" w:ascii="仿宋" w:hAnsi="仿宋" w:eastAsia="仿宋"/>
          <w:sz w:val="36"/>
          <w:lang w:val="en-US" w:eastAsia="zh-CN"/>
        </w:rPr>
        <w:t>24</w:t>
      </w:r>
    </w:p>
    <w:p>
      <w:pPr>
        <w:widowControl/>
        <w:rPr>
          <w:rFonts w:ascii="仿宋" w:hAnsi="仿宋" w:eastAsia="仿宋"/>
          <w:b/>
          <w:sz w:val="40"/>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theme="minorBidi"/>
          <w:b/>
          <w:kern w:val="2"/>
          <w:sz w:val="40"/>
          <w:szCs w:val="22"/>
          <w:lang w:eastAsia="zh-CN"/>
        </w:rPr>
        <w:t>2</w:t>
      </w:r>
      <w:r>
        <w:rPr>
          <w:rFonts w:hint="eastAsia" w:ascii="仿宋" w:hAnsi="仿宋" w:eastAsia="仿宋" w:cstheme="minorBidi"/>
          <w:b/>
          <w:kern w:val="2"/>
          <w:sz w:val="40"/>
          <w:szCs w:val="22"/>
          <w:lang w:val="en-US" w:eastAsia="zh-CN"/>
        </w:rPr>
        <w:t>023</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25</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28</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28</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五</w:t>
      </w:r>
      <w:r>
        <w:rPr>
          <w:rFonts w:hint="eastAsia" w:ascii="仿宋" w:hAnsi="仿宋" w:eastAsia="仿宋" w:cs="Times New Roman"/>
          <w:kern w:val="0"/>
          <w:sz w:val="36"/>
          <w:szCs w:val="20"/>
        </w:rPr>
        <w:t>、</w:t>
      </w:r>
      <w:r>
        <w:rPr>
          <w:rFonts w:hint="eastAsia" w:ascii="仿宋" w:hAnsi="仿宋" w:eastAsia="仿宋" w:cs="Times New Roman"/>
          <w:kern w:val="0"/>
          <w:sz w:val="36"/>
          <w:szCs w:val="20"/>
        </w:rPr>
        <w:t>一般公共预算</w:t>
      </w:r>
      <w:r>
        <w:rPr>
          <w:rFonts w:hint="eastAsia" w:ascii="仿宋" w:hAnsi="仿宋" w:eastAsia="仿宋" w:cs="Times New Roman"/>
          <w:kern w:val="0"/>
          <w:sz w:val="36"/>
          <w:szCs w:val="20"/>
        </w:rPr>
        <w:t>拨款基本支出情况</w:t>
      </w:r>
      <w:r>
        <w:rPr>
          <w:rFonts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28</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六</w:t>
      </w:r>
      <w:r>
        <w:rPr>
          <w:rFonts w:hint="eastAsia" w:ascii="仿宋" w:hAnsi="仿宋" w:eastAsia="仿宋" w:cs="Times New Roman"/>
          <w:kern w:val="0"/>
          <w:sz w:val="36"/>
          <w:szCs w:val="20"/>
        </w:rPr>
        <w:t>、一般公共预算“三公”经费支出情况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29</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七</w:t>
      </w:r>
      <w:r>
        <w:rPr>
          <w:rFonts w:hint="eastAsia" w:ascii="仿宋" w:hAnsi="仿宋" w:eastAsia="仿宋" w:cs="Times New Roman"/>
          <w:kern w:val="0"/>
          <w:sz w:val="36"/>
          <w:szCs w:val="20"/>
        </w:rPr>
        <w:t>、预算绩效</w:t>
      </w:r>
      <w:r>
        <w:rPr>
          <w:rFonts w:hint="eastAsia" w:ascii="仿宋" w:hAnsi="仿宋" w:eastAsia="仿宋" w:cs="Times New Roman"/>
          <w:kern w:val="0"/>
          <w:sz w:val="36"/>
          <w:szCs w:val="20"/>
        </w:rPr>
        <w:t>目标</w:t>
      </w:r>
      <w:r>
        <w:rPr>
          <w:rFonts w:hint="eastAsia" w:ascii="仿宋" w:hAnsi="仿宋" w:eastAsia="仿宋" w:cs="Times New Roman"/>
          <w:kern w:val="0"/>
          <w:sz w:val="36"/>
          <w:szCs w:val="20"/>
        </w:rPr>
        <w:t>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30</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八</w:t>
      </w:r>
      <w:r>
        <w:rPr>
          <w:rFonts w:hint="eastAsia" w:ascii="仿宋" w:hAnsi="仿宋" w:eastAsia="仿宋" w:cs="Times New Roman"/>
          <w:kern w:val="0"/>
          <w:sz w:val="36"/>
          <w:szCs w:val="20"/>
        </w:rPr>
        <w:t>、其他重要事项说明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31</w:t>
      </w:r>
    </w:p>
    <w:p>
      <w:pPr>
        <w:pStyle w:val="2"/>
        <w:spacing w:before="3"/>
        <w:rPr>
          <w:rFonts w:ascii="仿宋" w:hAnsi="仿宋" w:eastAsia="仿宋"/>
          <w:sz w:val="26"/>
          <w:lang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33</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乡人民政府的主要职责是：</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（一）执行本乡的经济和社会发展规划、预算，管理本乡的经济、教育、科学、文化、卫生、体育事业和财政、社会事务、计划生育、安全生产、农村集体资产管理等行政工作。</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（二）关注和改善民生，加快社会事业发展，</w:t>
      </w:r>
      <w:r>
        <w:rPr>
          <w:rFonts w:hint="eastAsia" w:ascii="仿宋" w:hAnsi="仿宋" w:eastAsia="仿宋" w:cs="仿宋"/>
          <w:sz w:val="32"/>
          <w:szCs w:val="32"/>
          <w:lang w:val="en-US" w:eastAsia="zh-CN"/>
        </w:rPr>
        <w:t>加强</w:t>
      </w:r>
      <w:r>
        <w:rPr>
          <w:rFonts w:hint="eastAsia" w:ascii="仿宋" w:hAnsi="仿宋" w:eastAsia="仿宋" w:cs="仿宋"/>
          <w:sz w:val="32"/>
          <w:szCs w:val="32"/>
        </w:rPr>
        <w:t>公共服务。全面落实支农惠农政策，增加农民收入。开展农村扶贫和社会救助等工作，组织农村基础设施建设，发展农村公益事业，做好养老、医疗等社会保障工作。</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（三）加强财政收支管理，执行国家财经纪律，按计划组织本级财政收入的征收，完成国家财政计划，管好财政资金，增强财政实力。</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四）推动产业结构调整，转变农业发展方式，优化改善经济发展环境，稳定农村基本经营制度，维护农民的主体地位和权益；为农民提供科学技术、市场信息、劳动就业等方面的服务，培育发展农民合作组织，完善农业社会化服务体系。</w:t>
      </w:r>
    </w:p>
    <w:p>
      <w:pPr>
        <w:widowControl/>
        <w:shd w:val="clear" w:color="auto" w:fill="FFFFFF"/>
        <w:wordWrap w:val="0"/>
        <w:spacing w:line="480" w:lineRule="atLeast"/>
        <w:ind w:firstLine="450"/>
        <w:jc w:val="left"/>
        <w:rPr>
          <w:rFonts w:hint="eastAsia" w:ascii="仿宋" w:hAnsi="仿宋" w:eastAsia="仿宋" w:cs="仿宋"/>
          <w:sz w:val="32"/>
          <w:szCs w:val="32"/>
        </w:rPr>
      </w:pPr>
      <w:r>
        <w:rPr>
          <w:rFonts w:hint="eastAsia" w:ascii="仿宋" w:hAnsi="仿宋" w:eastAsia="仿宋" w:cs="仿宋"/>
          <w:sz w:val="32"/>
          <w:szCs w:val="32"/>
        </w:rPr>
        <w:t>（五）不断强化社会维稳体系，加强社会治安综合治理，推进平安创建，防范和化解社会矛盾，维护社会稳定。</w:t>
      </w:r>
    </w:p>
    <w:p>
      <w:pPr>
        <w:pStyle w:val="2"/>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w:t>
      </w:r>
      <w:r>
        <w:rPr>
          <w:rFonts w:hint="eastAsia" w:ascii="仿宋" w:hAnsi="仿宋" w:eastAsia="仿宋"/>
          <w:sz w:val="32"/>
          <w:szCs w:val="32"/>
        </w:rPr>
        <w:t>包括</w:t>
      </w:r>
      <w:r>
        <w:rPr>
          <w:rFonts w:hint="eastAsia" w:ascii="仿宋" w:hAnsi="仿宋" w:eastAsia="仿宋" w:cs="仿宋_GB2312"/>
          <w:sz w:val="32"/>
          <w:szCs w:val="32"/>
          <w:lang w:val="en-US" w:eastAsia="zh-CN"/>
        </w:rPr>
        <w:t>6</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3</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2023</w:t>
      </w:r>
      <w:r>
        <w:rPr>
          <w:rFonts w:hint="eastAsia" w:ascii="仿宋" w:hAnsi="仿宋" w:eastAsia="仿宋"/>
          <w:sz w:val="32"/>
          <w:szCs w:val="32"/>
        </w:rPr>
        <w:t>年部门预算编制范围的单位详细情况见下表:</w:t>
      </w:r>
    </w:p>
    <w:tbl>
      <w:tblPr>
        <w:tblStyle w:val="7"/>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cs="仿宋"/>
                <w:sz w:val="32"/>
                <w:szCs w:val="32"/>
              </w:rPr>
              <w:t>财政核拨</w:t>
            </w:r>
          </w:p>
        </w:tc>
        <w:tc>
          <w:tcPr>
            <w:tcW w:w="2087" w:type="dxa"/>
            <w:shd w:val="clear" w:color="auto" w:fill="auto"/>
          </w:tcPr>
          <w:p>
            <w:pPr>
              <w:tabs>
                <w:tab w:val="left" w:pos="7513"/>
              </w:tabs>
              <w:adjustRightInd w:val="0"/>
              <w:snapToGrid w:val="0"/>
              <w:spacing w:line="600" w:lineRule="exact"/>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45</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widowControl/>
        <w:shd w:val="clear" w:color="auto" w:fill="FFFFFF"/>
        <w:wordWrap w:val="0"/>
        <w:spacing w:line="480" w:lineRule="atLeast"/>
        <w:ind w:firstLine="640" w:firstLineChars="200"/>
        <w:jc w:val="left"/>
        <w:rPr>
          <w:rFonts w:hint="eastAsia" w:ascii="仿宋" w:hAnsi="仿宋" w:eastAsia="仿宋" w:cs="仿宋"/>
          <w:sz w:val="32"/>
          <w:szCs w:val="32"/>
          <w:highlight w:val="none"/>
        </w:rPr>
      </w:pPr>
      <w:r>
        <w:rPr>
          <w:rFonts w:hint="eastAsia" w:ascii="仿宋" w:hAnsi="仿宋" w:eastAsia="仿宋" w:cs="仿宋_GB2312"/>
          <w:sz w:val="32"/>
          <w:szCs w:val="32"/>
          <w:lang w:val="en-US" w:eastAsia="zh-CN"/>
        </w:rPr>
        <w:t>2023</w:t>
      </w:r>
      <w:r>
        <w:rPr>
          <w:rFonts w:hint="eastAsia" w:ascii="仿宋" w:hAnsi="仿宋" w:eastAsia="仿宋"/>
          <w:sz w:val="32"/>
          <w:szCs w:val="32"/>
        </w:rPr>
        <w:t>年，</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乡人民政府主要任务是</w:t>
      </w:r>
      <w:r>
        <w:rPr>
          <w:rFonts w:hint="eastAsia" w:ascii="仿宋" w:hAnsi="仿宋" w:eastAsia="仿宋"/>
          <w:sz w:val="32"/>
          <w:szCs w:val="32"/>
        </w:rPr>
        <w:t>：</w:t>
      </w:r>
      <w:r>
        <w:rPr>
          <w:rFonts w:hint="eastAsia" w:ascii="仿宋" w:hAnsi="仿宋" w:eastAsia="仿宋" w:cs="仿宋"/>
          <w:sz w:val="32"/>
          <w:szCs w:val="32"/>
          <w:lang w:eastAsia="zh-CN"/>
        </w:rPr>
        <w:t>在县委、县政府的领导下，</w:t>
      </w:r>
      <w:r>
        <w:rPr>
          <w:rFonts w:hint="eastAsia" w:ascii="仿宋" w:hAnsi="仿宋" w:eastAsia="仿宋" w:cs="仿宋"/>
          <w:sz w:val="32"/>
          <w:szCs w:val="32"/>
        </w:rPr>
        <w:t>紧紧围绕乡党委的决策部署，</w:t>
      </w:r>
      <w:r>
        <w:rPr>
          <w:rFonts w:hint="eastAsia" w:ascii="仿宋_GB2312" w:hAnsi="仿宋_GB2312" w:eastAsia="仿宋_GB2312" w:cs="仿宋_GB2312"/>
          <w:sz w:val="32"/>
          <w:szCs w:val="32"/>
        </w:rPr>
        <w:t>紧紧围绕全年总体目标任务，认真</w:t>
      </w:r>
      <w:r>
        <w:rPr>
          <w:rFonts w:hint="eastAsia" w:ascii="仿宋_GB2312" w:hAnsi="仿宋_GB2312" w:eastAsia="仿宋_GB2312" w:cs="仿宋_GB2312"/>
          <w:sz w:val="32"/>
          <w:szCs w:val="32"/>
          <w:highlight w:val="none"/>
          <w:lang w:eastAsia="zh-CN"/>
        </w:rPr>
        <w:t>贯彻落实党的二十大精神，</w:t>
      </w:r>
      <w:r>
        <w:rPr>
          <w:rFonts w:hint="eastAsia" w:ascii="仿宋" w:hAnsi="仿宋" w:eastAsia="仿宋" w:cs="仿宋"/>
          <w:sz w:val="32"/>
          <w:szCs w:val="32"/>
          <w:highlight w:val="none"/>
        </w:rPr>
        <w:t>坚持</w:t>
      </w:r>
      <w:r>
        <w:rPr>
          <w:rFonts w:hint="eastAsia" w:ascii="仿宋_GB2312" w:hAnsi="仿宋_GB2312" w:eastAsia="仿宋_GB2312" w:cs="仿宋_GB2312"/>
          <w:sz w:val="32"/>
          <w:szCs w:val="32"/>
          <w:highlight w:val="none"/>
          <w:lang w:eastAsia="zh-CN"/>
        </w:rPr>
        <w:t>“统筹兼顾，厉行节约，收支平衡”的工作原则，保障重点工作需要，</w:t>
      </w:r>
      <w:r>
        <w:rPr>
          <w:rFonts w:hint="eastAsia" w:ascii="仿宋_GB2312" w:hAnsi="仿宋_GB2312" w:eastAsia="仿宋_GB2312" w:cs="仿宋_GB2312"/>
          <w:sz w:val="32"/>
          <w:szCs w:val="32"/>
          <w:highlight w:val="none"/>
        </w:rPr>
        <w:t>从严控制</w:t>
      </w:r>
      <w:r>
        <w:rPr>
          <w:rFonts w:hint="eastAsia" w:ascii="仿宋_GB2312" w:hAnsi="仿宋_GB2312" w:eastAsia="仿宋_GB2312" w:cs="仿宋_GB2312"/>
          <w:sz w:val="32"/>
          <w:szCs w:val="32"/>
          <w:highlight w:val="none"/>
          <w:lang w:eastAsia="zh-CN"/>
        </w:rPr>
        <w:t>一般性</w:t>
      </w:r>
      <w:r>
        <w:rPr>
          <w:rFonts w:hint="eastAsia" w:ascii="仿宋_GB2312" w:hAnsi="仿宋_GB2312" w:eastAsia="仿宋_GB2312" w:cs="仿宋_GB2312"/>
          <w:sz w:val="32"/>
          <w:szCs w:val="32"/>
          <w:highlight w:val="none"/>
        </w:rPr>
        <w:t>支出，</w:t>
      </w:r>
      <w:r>
        <w:rPr>
          <w:rFonts w:hint="eastAsia" w:ascii="仿宋" w:hAnsi="仿宋" w:eastAsia="仿宋" w:cs="仿宋"/>
          <w:sz w:val="32"/>
          <w:szCs w:val="32"/>
          <w:highlight w:val="none"/>
        </w:rPr>
        <w:t>合理使用资金，提高财政资金的使用效益，确保预算收支平衡，实现我乡经济平稳快速发展与社会和谐稳定。围绕上述任务，重点抓好以下工作：</w:t>
      </w:r>
    </w:p>
    <w:p>
      <w:pPr>
        <w:widowControl/>
        <w:shd w:val="clear" w:color="auto" w:fill="FFFFFF"/>
        <w:wordWrap w:val="0"/>
        <w:spacing w:line="480" w:lineRule="atLeast"/>
        <w:ind w:firstLine="45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（一）加强财政收入组织管理。</w:t>
      </w:r>
      <w:r>
        <w:rPr>
          <w:rFonts w:hint="eastAsia" w:ascii="仿宋_GB2312" w:hAnsi="仿宋_GB2312" w:eastAsia="仿宋_GB2312" w:cs="仿宋_GB2312"/>
          <w:b w:val="0"/>
          <w:bCs w:val="0"/>
          <w:color w:val="auto"/>
          <w:sz w:val="32"/>
          <w:szCs w:val="32"/>
          <w:highlight w:val="none"/>
          <w:lang w:eastAsia="zh-CN"/>
        </w:rPr>
        <w:t>坚持把完成财政收支预算作为首要任务，加强全乡经济运行分析，研究各行业税收变化趋势，充分挖掘增收潜力</w:t>
      </w:r>
      <w:r>
        <w:rPr>
          <w:rFonts w:hint="eastAsia" w:ascii="仿宋" w:hAnsi="仿宋" w:eastAsia="仿宋" w:cs="仿宋"/>
          <w:sz w:val="32"/>
          <w:szCs w:val="32"/>
          <w:highlight w:val="none"/>
        </w:rPr>
        <w:t>；与税务部门协调联动，实时掌握时序进度，多渠道收集情况，查找征管薄弱环节，配合税务部门开展综合治税工作，支持税务部门依法征税，应收尽收；积</w:t>
      </w:r>
      <w:r>
        <w:rPr>
          <w:rFonts w:hint="eastAsia" w:ascii="仿宋_GB2312" w:hAnsi="仿宋_GB2312" w:eastAsia="仿宋_GB2312" w:cs="仿宋_GB2312"/>
          <w:color w:val="auto"/>
          <w:sz w:val="32"/>
          <w:szCs w:val="32"/>
          <w:highlight w:val="none"/>
          <w:lang w:eastAsia="zh-CN"/>
        </w:rPr>
        <w:t>极协调各方面的税款入库，加大对非税和零星税收代征力度，确保实现年初收入目标，保障财政运行平稳</w:t>
      </w:r>
      <w:r>
        <w:rPr>
          <w:rFonts w:hint="eastAsia" w:ascii="仿宋_GB2312" w:hAnsi="仿宋_GB2312" w:eastAsia="仿宋_GB2312" w:cs="仿宋_GB2312"/>
          <w:color w:val="4F81BD" w:themeColor="accent1"/>
          <w:sz w:val="32"/>
          <w:szCs w:val="32"/>
          <w:highlight w:val="none"/>
          <w:lang w:val="en-US" w:eastAsia="zh-CN"/>
          <w14:textFill>
            <w14:solidFill>
              <w14:schemeClr w14:val="accent1"/>
            </w14:solidFill>
          </w14:textFill>
        </w:rPr>
        <w:t xml:space="preserve"> </w:t>
      </w:r>
      <w:r>
        <w:rPr>
          <w:rFonts w:hint="eastAsia" w:ascii="仿宋" w:hAnsi="仿宋" w:eastAsia="仿宋" w:cs="仿宋"/>
          <w:sz w:val="32"/>
          <w:szCs w:val="32"/>
          <w:highlight w:val="none"/>
        </w:rPr>
        <w:t>。</w:t>
      </w:r>
    </w:p>
    <w:p>
      <w:pPr>
        <w:widowControl/>
        <w:shd w:val="clear" w:color="auto" w:fill="FFFFFF"/>
        <w:wordWrap w:val="0"/>
        <w:spacing w:line="480" w:lineRule="atLeast"/>
        <w:ind w:firstLine="45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w:t>
      </w:r>
      <w:r>
        <w:rPr>
          <w:rFonts w:hint="eastAsia" w:ascii="仿宋" w:hAnsi="仿宋" w:eastAsia="仿宋" w:cs="仿宋"/>
          <w:sz w:val="32"/>
          <w:szCs w:val="32"/>
          <w:highlight w:val="none"/>
          <w:lang w:val="en-US" w:eastAsia="zh-CN"/>
        </w:rPr>
        <w:t>全面实施乡村振兴战略</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坚持产业为基，绿色为源，人才为本，文化为魂，充分发挥绩效考核“指挥棒”作用，打好乡村振兴“组合拳”，为产业兴旺加码，为经济发展提速，助推乡村振兴全面发展。</w:t>
      </w:r>
      <w:r>
        <w:rPr>
          <w:rFonts w:hint="eastAsia" w:ascii="仿宋" w:hAnsi="仿宋" w:eastAsia="仿宋" w:cs="仿宋"/>
          <w:sz w:val="32"/>
          <w:szCs w:val="32"/>
          <w:highlight w:val="none"/>
        </w:rPr>
        <w:t>同时，严格资金监管，确保</w:t>
      </w:r>
      <w:r>
        <w:rPr>
          <w:rFonts w:hint="eastAsia" w:ascii="仿宋" w:hAnsi="仿宋" w:eastAsia="仿宋" w:cs="仿宋"/>
          <w:sz w:val="32"/>
          <w:szCs w:val="32"/>
          <w:highlight w:val="none"/>
          <w:lang w:val="en-US" w:eastAsia="zh-CN"/>
        </w:rPr>
        <w:t>项目</w:t>
      </w:r>
      <w:r>
        <w:rPr>
          <w:rFonts w:hint="eastAsia" w:ascii="仿宋" w:hAnsi="仿宋" w:eastAsia="仿宋" w:cs="仿宋"/>
          <w:sz w:val="32"/>
          <w:szCs w:val="32"/>
          <w:highlight w:val="none"/>
        </w:rPr>
        <w:t>资金安全高效使用。足额配套社会保障补助资金，确保城乡低保和农村五保对象应保尽保。在财政资金安排上，进一步增加对三农的投入，不断加快农村社会事业发展和农村基础设施建设。充分利用现代化管理手段，加大管理和督查力度，规范财经秩序。</w:t>
      </w:r>
    </w:p>
    <w:p>
      <w:pPr>
        <w:widowControl/>
        <w:shd w:val="clear" w:color="auto" w:fill="FFFFFF"/>
        <w:wordWrap w:val="0"/>
        <w:spacing w:line="480" w:lineRule="atLeast"/>
        <w:ind w:firstLine="45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（三）加强财政管理职能作用。不断制定和完善各项财政、财务管理制度，</w:t>
      </w:r>
      <w:r>
        <w:rPr>
          <w:rFonts w:hint="eastAsia" w:ascii="仿宋" w:hAnsi="仿宋" w:eastAsia="仿宋" w:cs="仿宋"/>
          <w:sz w:val="32"/>
          <w:szCs w:val="32"/>
          <w:highlight w:val="none"/>
          <w:lang w:val="en-US" w:eastAsia="zh-CN"/>
        </w:rPr>
        <w:t>规范收支管理体系</w:t>
      </w:r>
      <w:r>
        <w:rPr>
          <w:rFonts w:hint="eastAsia" w:ascii="仿宋" w:hAnsi="仿宋" w:eastAsia="仿宋" w:cs="仿宋"/>
          <w:sz w:val="32"/>
          <w:szCs w:val="32"/>
          <w:highlight w:val="none"/>
        </w:rPr>
        <w:t>，强化</w:t>
      </w:r>
      <w:r>
        <w:rPr>
          <w:rFonts w:hint="eastAsia" w:ascii="仿宋" w:hAnsi="仿宋" w:eastAsia="仿宋" w:cs="仿宋"/>
          <w:sz w:val="32"/>
          <w:szCs w:val="32"/>
          <w:highlight w:val="none"/>
          <w:lang w:val="en-US" w:eastAsia="zh-CN"/>
        </w:rPr>
        <w:t>制度执行力度</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做好</w:t>
      </w:r>
      <w:r>
        <w:rPr>
          <w:rFonts w:hint="eastAsia" w:ascii="仿宋" w:hAnsi="仿宋" w:eastAsia="仿宋" w:cs="仿宋"/>
          <w:sz w:val="32"/>
          <w:szCs w:val="32"/>
          <w:highlight w:val="none"/>
        </w:rPr>
        <w:t>财务</w:t>
      </w:r>
      <w:r>
        <w:rPr>
          <w:rFonts w:hint="eastAsia" w:ascii="仿宋" w:hAnsi="仿宋" w:eastAsia="仿宋" w:cs="仿宋"/>
          <w:sz w:val="32"/>
          <w:szCs w:val="32"/>
          <w:highlight w:val="none"/>
          <w:lang w:val="en-US" w:eastAsia="zh-CN"/>
        </w:rPr>
        <w:t>监督审查</w:t>
      </w:r>
      <w:r>
        <w:rPr>
          <w:rFonts w:hint="eastAsia" w:ascii="仿宋" w:hAnsi="仿宋" w:eastAsia="仿宋" w:cs="仿宋"/>
          <w:sz w:val="32"/>
          <w:szCs w:val="32"/>
          <w:highlight w:val="none"/>
        </w:rPr>
        <w:t>工作，加强项目资金和专项资金的使用管理，严格执行</w:t>
      </w:r>
      <w:r>
        <w:rPr>
          <w:rFonts w:hint="eastAsia" w:ascii="仿宋" w:hAnsi="仿宋" w:eastAsia="仿宋" w:cs="仿宋"/>
          <w:sz w:val="32"/>
          <w:szCs w:val="32"/>
          <w:highlight w:val="none"/>
          <w:lang w:val="en-US" w:eastAsia="zh-CN"/>
        </w:rPr>
        <w:t>中央八项规定及其实施细则精神</w:t>
      </w:r>
      <w:r>
        <w:rPr>
          <w:rFonts w:hint="eastAsia" w:ascii="仿宋" w:hAnsi="仿宋" w:eastAsia="仿宋" w:cs="仿宋"/>
          <w:sz w:val="32"/>
          <w:szCs w:val="32"/>
          <w:highlight w:val="none"/>
        </w:rPr>
        <w:t>，充分发挥资金的使用效果，定期报告财政收支与管理情况，及时研究和解决财税工作中存在的问题，主动接受人大和社会的监督。稳步推进政府债务的置换工作，强化政府债务的监控和管理。</w:t>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bookmarkStart w:id="0" w:name="_GoBack"/>
      <w:bookmarkEnd w:id="0"/>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both"/>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023</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7"/>
        <w:tblW w:w="11440" w:type="dxa"/>
        <w:tblInd w:w="-34" w:type="dxa"/>
        <w:tblLayout w:type="autofit"/>
        <w:tblCellMar>
          <w:top w:w="0" w:type="dxa"/>
          <w:left w:w="108" w:type="dxa"/>
          <w:bottom w:w="0" w:type="dxa"/>
          <w:right w:w="108" w:type="dxa"/>
        </w:tblCellMar>
      </w:tblPr>
      <w:tblGrid>
        <w:gridCol w:w="3874"/>
        <w:gridCol w:w="1661"/>
        <w:gridCol w:w="4243"/>
        <w:gridCol w:w="1662"/>
      </w:tblGrid>
      <w:tr>
        <w:tblPrEx>
          <w:tblCellMar>
            <w:top w:w="0" w:type="dxa"/>
            <w:left w:w="108" w:type="dxa"/>
            <w:bottom w:w="0" w:type="dxa"/>
            <w:right w:w="108" w:type="dxa"/>
          </w:tblCellMar>
        </w:tblPrEx>
        <w:trPr>
          <w:wBefore w:w="0" w:type="auto"/>
          <w:trHeight w:val="405" w:hRule="atLeast"/>
        </w:trPr>
        <w:tc>
          <w:tcPr>
            <w:tcW w:w="11440"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wBefore w:w="0" w:type="auto"/>
          <w:wAfter w:w="0" w:type="auto"/>
          <w:trHeight w:val="285" w:hRule="atLeast"/>
        </w:trPr>
        <w:tc>
          <w:tcPr>
            <w:tcW w:w="11440"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wBefore w:w="0" w:type="auto"/>
          <w:wAfter w:w="0" w:type="auto"/>
          <w:trHeight w:val="402" w:hRule="atLeast"/>
        </w:trPr>
        <w:tc>
          <w:tcPr>
            <w:tcW w:w="55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590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66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662"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1040.10</w:t>
            </w:r>
            <w:r>
              <w:rPr>
                <w:rFonts w:hint="eastAsia" w:ascii="宋体" w:hAnsi="宋体" w:eastAsia="宋体" w:cs="宋体"/>
                <w:kern w:val="0"/>
                <w:sz w:val="18"/>
                <w:szCs w:val="18"/>
              </w:rPr>
              <w:t>　</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662"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548.67</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r>
              <w:rPr>
                <w:rFonts w:hint="eastAsia" w:ascii="宋体" w:hAnsi="宋体" w:eastAsia="宋体" w:cs="宋体"/>
                <w:kern w:val="0"/>
                <w:sz w:val="18"/>
                <w:szCs w:val="18"/>
              </w:rPr>
              <w:t>　</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12.00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33.31</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52.27</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23.92</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42.12</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265.82</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9.67</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52.32</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58"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wAfter w:w="0" w:type="auto"/>
          <w:trHeight w:val="402" w:hRule="atLeast"/>
        </w:trPr>
        <w:tc>
          <w:tcPr>
            <w:tcW w:w="387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661"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1040.10</w:t>
            </w:r>
            <w:r>
              <w:rPr>
                <w:rFonts w:hint="eastAsia" w:ascii="宋体" w:hAnsi="宋体" w:eastAsia="宋体" w:cs="宋体"/>
                <w:b/>
                <w:kern w:val="0"/>
                <w:sz w:val="22"/>
              </w:rPr>
              <w:t>　</w:t>
            </w:r>
          </w:p>
        </w:tc>
        <w:tc>
          <w:tcPr>
            <w:tcW w:w="42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66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1040.10</w:t>
            </w:r>
            <w:r>
              <w:rPr>
                <w:rFonts w:hint="eastAsia" w:ascii="宋体" w:hAnsi="宋体" w:eastAsia="宋体" w:cs="宋体"/>
                <w:b/>
                <w:kern w:val="0"/>
                <w:sz w:val="22"/>
              </w:rPr>
              <w:t>　</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7"/>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wAfter w:w="0" w:type="auto"/>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wAfter w:w="0" w:type="auto"/>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1040.10</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1040.10</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201</w:t>
            </w:r>
            <w:r>
              <w:rPr>
                <w:rFonts w:hint="eastAsia" w:ascii="宋体" w:hAnsi="宋体" w:eastAsia="宋体" w:cs="宋体"/>
                <w:i w:val="0"/>
                <w:color w:val="000000"/>
                <w:kern w:val="0"/>
                <w:sz w:val="22"/>
                <w:szCs w:val="22"/>
                <w:u w:val="none"/>
                <w:lang w:val="en-US" w:eastAsia="zh-CN" w:bidi="ar"/>
              </w:rPr>
              <w:t>0301</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kern w:val="0"/>
                <w:sz w:val="22"/>
                <w:lang w:val="en-US" w:eastAsia="zh-CN"/>
              </w:rPr>
            </w:pPr>
            <w:r>
              <w:rPr>
                <w:rFonts w:hint="default" w:ascii="宋体" w:hAnsi="宋体" w:eastAsia="宋体" w:cs="宋体"/>
                <w:kern w:val="0"/>
                <w:sz w:val="22"/>
                <w:lang w:val="en-US" w:eastAsia="zh-CN"/>
              </w:rPr>
              <w:t>行政运行</w:t>
            </w:r>
          </w:p>
          <w:p>
            <w:pPr>
              <w:widowControl/>
              <w:spacing w:line="240" w:lineRule="auto"/>
              <w:jc w:val="center"/>
              <w:rPr>
                <w:rFonts w:hint="default" w:ascii="宋体" w:hAnsi="宋体" w:eastAsia="宋体" w:cs="宋体"/>
                <w:kern w:val="0"/>
                <w:sz w:val="22"/>
                <w:lang w:val="en-US" w:eastAsia="zh-CN"/>
              </w:rPr>
            </w:pPr>
            <w:r>
              <w:rPr>
                <w:rFonts w:hint="default" w:ascii="宋体" w:hAnsi="宋体" w:eastAsia="宋体" w:cs="宋体"/>
                <w:kern w:val="0"/>
                <w:sz w:val="22"/>
                <w:lang w:val="en-US" w:eastAsia="zh-CN"/>
              </w:rPr>
              <w:t>（政府办公厅（室及相关机</w:t>
            </w:r>
          </w:p>
          <w:p>
            <w:pPr>
              <w:widowControl/>
              <w:spacing w:line="240" w:lineRule="auto"/>
              <w:jc w:val="center"/>
              <w:rPr>
                <w:rFonts w:hint="default" w:ascii="宋体" w:hAnsi="宋体" w:eastAsia="宋体" w:cs="宋体"/>
                <w:kern w:val="0"/>
                <w:sz w:val="22"/>
                <w:lang w:val="en-US" w:eastAsia="zh-CN"/>
              </w:rPr>
            </w:pPr>
            <w:r>
              <w:rPr>
                <w:rFonts w:hint="default" w:ascii="宋体" w:hAnsi="宋体" w:eastAsia="宋体" w:cs="宋体"/>
                <w:kern w:val="0"/>
                <w:sz w:val="22"/>
                <w:lang w:val="en-US" w:eastAsia="zh-CN"/>
              </w:rPr>
              <w:t>构事务）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1040.10</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1040.10</w:t>
            </w: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22"/>
                <w:lang w:val="en-US" w:eastAsia="zh-CN"/>
              </w:rPr>
              <w:t>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7"/>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Change w:id="0">
          <w:tblGrid>
            <w:gridCol w:w="1291"/>
            <w:gridCol w:w="142"/>
            <w:gridCol w:w="2268"/>
            <w:gridCol w:w="850"/>
            <w:gridCol w:w="709"/>
            <w:gridCol w:w="850"/>
            <w:gridCol w:w="709"/>
            <w:gridCol w:w="850"/>
            <w:gridCol w:w="1560"/>
            <w:gridCol w:w="1559"/>
            <w:gridCol w:w="1559"/>
            <w:gridCol w:w="1559"/>
          </w:tblGrid>
        </w:tblGridChange>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wAfter w:w="0" w:type="auto"/>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1040.10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1004.10</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2"/>
                <w:u w:val="none"/>
                <w:lang w:bidi="ar"/>
              </w:rPr>
            </w:pPr>
            <w:r>
              <w:rPr>
                <w:rFonts w:hint="eastAsia" w:ascii="宋体" w:hAnsi="宋体" w:eastAsia="宋体" w:cs="宋体"/>
                <w:i w:val="0"/>
                <w:color w:val="000000"/>
                <w:kern w:val="0"/>
                <w:sz w:val="22"/>
                <w:szCs w:val="22"/>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rPr>
            </w:pPr>
            <w:r>
              <w:rPr>
                <w:rFonts w:hint="eastAsia" w:ascii="宋体" w:hAnsi="宋体" w:eastAsia="宋体" w:cs="宋体"/>
                <w:i w:val="0"/>
                <w:color w:val="000000"/>
                <w:kern w:val="0"/>
                <w:sz w:val="22"/>
                <w:szCs w:val="22"/>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548.67</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512.67</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u w:val="none"/>
                <w:lang w:bidi="ar"/>
              </w:rPr>
            </w:pPr>
            <w:r>
              <w:rPr>
                <w:rFonts w:hint="eastAsia" w:ascii="宋体" w:hAnsi="宋体" w:eastAsia="宋体" w:cs="宋体"/>
                <w:color w:val="000000"/>
                <w:kern w:val="0"/>
                <w:sz w:val="22"/>
                <w:szCs w:val="22"/>
                <w:u w:val="none"/>
                <w:lang w:bidi="ar"/>
              </w:rPr>
              <w:t>2010101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default" w:ascii="宋体" w:hAnsi="宋体" w:eastAsia="宋体" w:cs="宋体"/>
                <w:kern w:val="0"/>
                <w:sz w:val="24"/>
                <w:szCs w:val="24"/>
                <w:lang w:val="en-US"/>
              </w:rPr>
            </w:pPr>
            <w:r>
              <w:rPr>
                <w:rFonts w:hint="eastAsia" w:ascii="宋体" w:hAnsi="宋体" w:eastAsia="宋体" w:cs="宋体"/>
                <w:i w:val="0"/>
                <w:color w:val="000000"/>
                <w:kern w:val="0"/>
                <w:sz w:val="22"/>
                <w:szCs w:val="22"/>
                <w:u w:val="none"/>
                <w:lang w:val="en-US" w:eastAsia="zh-CN" w:bidi="ar"/>
              </w:rPr>
              <w:t>行政运行(人大事务)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15.61</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15.61</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wAfter w:w="0" w:type="auto"/>
          <w:trHeight w:val="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u w:val="none"/>
                <w:lang w:bidi="ar"/>
              </w:rPr>
            </w:pPr>
            <w:r>
              <w:rPr>
                <w:rFonts w:hint="eastAsia" w:ascii="宋体" w:hAnsi="宋体" w:eastAsia="宋体" w:cs="宋体"/>
                <w:i w:val="0"/>
                <w:color w:val="000000"/>
                <w:kern w:val="0"/>
                <w:sz w:val="22"/>
                <w:szCs w:val="22"/>
                <w:u w:val="none"/>
                <w:lang w:val="en-US" w:eastAsia="zh-CN" w:bidi="ar"/>
              </w:rPr>
              <w:t>2010301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eastAsia="zh-CN"/>
              </w:rPr>
              <w:t>行政运行（政府办公厅（室及相关机构事务）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451.74</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425.74</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2010601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default" w:ascii="宋体" w:hAnsi="宋体" w:eastAsia="宋体" w:cs="宋体"/>
                <w:kern w:val="0"/>
                <w:sz w:val="24"/>
                <w:szCs w:val="24"/>
                <w:lang w:val="en-US"/>
              </w:rPr>
            </w:pPr>
            <w:r>
              <w:rPr>
                <w:rFonts w:hint="eastAsia" w:ascii="宋体" w:hAnsi="宋体" w:eastAsia="宋体" w:cs="宋体"/>
                <w:i w:val="0"/>
                <w:color w:val="000000"/>
                <w:kern w:val="0"/>
                <w:sz w:val="22"/>
                <w:szCs w:val="22"/>
                <w:u w:val="none"/>
                <w:lang w:val="en-US" w:eastAsia="zh-CN" w:bidi="ar"/>
              </w:rPr>
              <w:t xml:space="preserve">行政运行(财政事务) </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20.33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20.33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2011101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hint="default" w:ascii="宋体" w:hAnsi="宋体" w:eastAsia="宋体" w:cs="宋体"/>
                <w:kern w:val="0"/>
                <w:sz w:val="24"/>
                <w:szCs w:val="24"/>
                <w:lang w:val="en-US"/>
              </w:rPr>
            </w:pPr>
            <w:r>
              <w:rPr>
                <w:rFonts w:hint="eastAsia" w:ascii="宋体" w:hAnsi="宋体" w:eastAsia="宋体" w:cs="宋体"/>
                <w:i w:val="0"/>
                <w:color w:val="000000"/>
                <w:kern w:val="0"/>
                <w:sz w:val="22"/>
                <w:szCs w:val="22"/>
                <w:u w:val="none"/>
                <w:lang w:val="en-US" w:eastAsia="zh-CN" w:bidi="ar"/>
              </w:rPr>
              <w:t xml:space="preserve">行政运行(纪检监察事务) </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27.52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27.52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2013101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textAlignment w:val="center"/>
              <w:rPr>
                <w:rFonts w:ascii="宋体" w:hAnsi="宋体" w:eastAsia="宋体" w:cs="宋体"/>
                <w:kern w:val="0"/>
                <w:sz w:val="24"/>
                <w:szCs w:val="24"/>
              </w:rPr>
            </w:pPr>
            <w:r>
              <w:rPr>
                <w:rFonts w:hint="eastAsia" w:ascii="宋体" w:hAnsi="宋体" w:eastAsia="宋体" w:cs="宋体"/>
                <w:i w:val="0"/>
                <w:color w:val="000000"/>
                <w:kern w:val="0"/>
                <w:sz w:val="22"/>
                <w:szCs w:val="22"/>
                <w:u w:val="none"/>
                <w:lang w:val="en-US" w:eastAsia="zh-CN" w:bidi="ar"/>
              </w:rPr>
              <w:t xml:space="preserve">行政运行(党委办公厅（室） 及相关机构事务) </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33.47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33.47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204</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公共安全支出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12.00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12.00</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2049999</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其他公共安全支出（公共安全） </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12.00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12.00</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207</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4"/>
                <w:szCs w:val="24"/>
                <w:lang w:val="en-US" w:eastAsia="zh-CN" w:bidi="ar-SA"/>
              </w:rPr>
            </w:pPr>
            <w:r>
              <w:rPr>
                <w:rFonts w:hint="eastAsia" w:ascii="宋体" w:hAnsi="宋体" w:eastAsia="宋体" w:cs="宋体"/>
                <w:i w:val="0"/>
                <w:color w:val="000000"/>
                <w:kern w:val="0"/>
                <w:sz w:val="22"/>
                <w:szCs w:val="22"/>
                <w:u w:val="none"/>
                <w:lang w:val="en-US" w:eastAsia="zh-CN" w:bidi="ar"/>
              </w:rPr>
              <w:t>文化旅游体育与传媒支出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2070101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行政运行（文化体育与传媒)</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行政运行（社会保障和就业）</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行政运行（医疗卫生与计划生育）</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城乡社区支出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2120201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行政运行(城乡社区支出）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农林水支出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行政运行（农林水支出）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交通运输支出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9.67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2140101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行政运行（交通运输支出）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住房公积金（住房保障支出）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52.32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52.32</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7"/>
        <w:tblW w:w="8648" w:type="dxa"/>
        <w:tblInd w:w="-34" w:type="dxa"/>
        <w:tblLayout w:type="autofit"/>
        <w:tblCellMar>
          <w:top w:w="0" w:type="dxa"/>
          <w:left w:w="108" w:type="dxa"/>
          <w:bottom w:w="0" w:type="dxa"/>
          <w:right w:w="108" w:type="dxa"/>
        </w:tblCellMar>
      </w:tblPr>
      <w:tblGrid>
        <w:gridCol w:w="2977"/>
        <w:gridCol w:w="1276"/>
        <w:gridCol w:w="3119"/>
        <w:gridCol w:w="1276"/>
        <w:tblGridChange w:id="1">
          <w:tblGrid>
            <w:gridCol w:w="238"/>
            <w:gridCol w:w="2739"/>
            <w:gridCol w:w="238"/>
            <w:gridCol w:w="1038"/>
            <w:gridCol w:w="3119"/>
            <w:gridCol w:w="1276"/>
          </w:tblGrid>
        </w:tblGridChange>
      </w:tblGrid>
      <w:tr>
        <w:tblPrEx>
          <w:tblCellMar>
            <w:top w:w="0" w:type="dxa"/>
            <w:left w:w="108" w:type="dxa"/>
            <w:bottom w:w="0" w:type="dxa"/>
            <w:right w:w="108" w:type="dxa"/>
          </w:tblCellMar>
        </w:tblPrEx>
        <w:trPr>
          <w:wBefore w:w="0" w:type="auto"/>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wBefore w:w="0" w:type="auto"/>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wBefore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1040.10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548.67</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33.31</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52.27</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23.92</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42.12</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265.82</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9.67</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52.32</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1040.10</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1040.10</w:t>
            </w:r>
            <w:r>
              <w:rPr>
                <w:rFonts w:hint="eastAsia" w:ascii="宋体" w:hAnsi="宋体" w:eastAsia="宋体" w:cs="宋体"/>
                <w:b/>
                <w:kern w:val="0"/>
                <w:sz w:val="22"/>
              </w:rPr>
              <w:t>　</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7"/>
        <w:tblW w:w="8237" w:type="dxa"/>
        <w:tblInd w:w="93" w:type="dxa"/>
        <w:tblLayout w:type="fixed"/>
        <w:tblCellMar>
          <w:top w:w="0" w:type="dxa"/>
          <w:left w:w="108" w:type="dxa"/>
          <w:bottom w:w="0" w:type="dxa"/>
          <w:right w:w="108" w:type="dxa"/>
        </w:tblCellMar>
      </w:tblPr>
      <w:tblGrid>
        <w:gridCol w:w="1149"/>
        <w:gridCol w:w="2772"/>
        <w:gridCol w:w="133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wAfter w:w="0" w:type="auto"/>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77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33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7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3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wAfter w:w="0" w:type="auto"/>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3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92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1040.10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1014.10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一般公共服务支出</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548.67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512.67</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color w:val="000000"/>
                <w:kern w:val="0"/>
                <w:sz w:val="22"/>
                <w:szCs w:val="22"/>
                <w:u w:val="none"/>
                <w:lang w:bidi="ar"/>
              </w:rPr>
              <w:t>2010101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行政运行(人大事务)</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15.61</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15.61</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2010301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2"/>
              </w:rPr>
            </w:pPr>
            <w:r>
              <w:rPr>
                <w:rFonts w:hint="default" w:ascii="宋体" w:hAnsi="宋体" w:eastAsia="宋体" w:cs="宋体"/>
                <w:kern w:val="0"/>
                <w:sz w:val="24"/>
                <w:szCs w:val="24"/>
                <w:lang w:val="en-US" w:eastAsia="zh-CN"/>
              </w:rPr>
              <w:t>行政运行（政府办公厅（室及相关机构事务）</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451.74</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425.74</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4"/>
                <w:szCs w:val="24"/>
                <w:lang w:val="en-US" w:eastAsia="zh-CN"/>
              </w:rPr>
              <w:t>2010601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行政运行(财政事务) </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20.33</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20.33</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2011101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行政运行(纪检监察事务) </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27.52</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27.52</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2013101</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行政运行(党委办公厅（室） 及相关机构事务) </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33.47</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33.47</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387"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204</w:t>
            </w:r>
          </w:p>
        </w:tc>
        <w:tc>
          <w:tcPr>
            <w:tcW w:w="277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公共安全支出</w:t>
            </w:r>
          </w:p>
        </w:tc>
        <w:tc>
          <w:tcPr>
            <w:tcW w:w="133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12.00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12.00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2049999</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 xml:space="preserve">其他公共安全支出（公共安全） </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12.00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12.00</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207</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2070101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行政运行（文化体育与传媒)</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33.31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208</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2080101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行政运行（社会保障和就业）</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52.27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卫生健康支出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2100101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行政运行（医疗卫生与计划生育）</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23.92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212</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城乡社区支出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2120201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行政运行(城乡社区支出）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42.12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377"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213</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农林水支出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2130101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rPr>
            </w:pPr>
            <w:r>
              <w:rPr>
                <w:rFonts w:hint="eastAsia" w:ascii="宋体" w:hAnsi="宋体" w:eastAsia="宋体" w:cs="宋体"/>
                <w:i w:val="0"/>
                <w:color w:val="000000"/>
                <w:kern w:val="0"/>
                <w:sz w:val="22"/>
                <w:szCs w:val="22"/>
                <w:u w:val="none"/>
                <w:lang w:val="en-US" w:eastAsia="zh-CN" w:bidi="ar"/>
              </w:rPr>
              <w:t>行政运行（农林水支出）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265.82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交通运输支出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2140101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行政运行（交通运输支出）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9.67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wAfter w:w="0" w:type="auto"/>
          <w:trHeight w:val="402"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2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住房公积金（住房保障支出）</w:t>
            </w:r>
          </w:p>
        </w:tc>
        <w:tc>
          <w:tcPr>
            <w:tcW w:w="13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52.32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center"/>
              <w:rPr>
                <w:rFonts w:hint="eastAsia" w:ascii="宋体" w:hAnsi="宋体" w:eastAsia="宋体" w:cs="宋体"/>
                <w:kern w:val="0"/>
                <w:sz w:val="22"/>
              </w:rPr>
            </w:pPr>
            <w:r>
              <w:rPr>
                <w:rFonts w:hint="eastAsia" w:ascii="宋体" w:hAnsi="宋体" w:eastAsia="宋体" w:cs="宋体"/>
                <w:kern w:val="0"/>
                <w:sz w:val="22"/>
                <w:lang w:val="en-US" w:eastAsia="zh-CN"/>
              </w:rPr>
              <w:t>0.00</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w:t>
      </w:r>
      <w:r>
        <w:rPr>
          <w:rFonts w:hint="eastAsia" w:ascii="黑体" w:hAnsi="黑体" w:eastAsia="黑体"/>
          <w:sz w:val="32"/>
          <w:szCs w:val="32"/>
        </w:rPr>
        <w:t>预算</w:t>
      </w:r>
      <w:r>
        <w:rPr>
          <w:rFonts w:hint="eastAsia" w:ascii="黑体" w:hAnsi="黑体" w:eastAsia="黑体"/>
          <w:sz w:val="32"/>
          <w:szCs w:val="32"/>
        </w:rPr>
        <w:t>拨款支出预算表</w:t>
      </w:r>
    </w:p>
    <w:tbl>
      <w:tblPr>
        <w:tblStyle w:val="7"/>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hint="eastAsia" w:ascii="楷体" w:hAnsi="楷体" w:eastAsia="楷体" w:cs="Times New Roman"/>
          <w:kern w:val="0"/>
          <w:sz w:val="28"/>
          <w:szCs w:val="28"/>
          <w:lang w:val="en-US" w:eastAsia="zh-CN"/>
        </w:rPr>
      </w:pPr>
    </w:p>
    <w:p>
      <w:pPr>
        <w:tabs>
          <w:tab w:val="left" w:pos="7513"/>
        </w:tabs>
        <w:adjustRightInd w:val="0"/>
        <w:snapToGrid w:val="0"/>
        <w:spacing w:line="300" w:lineRule="auto"/>
        <w:ind w:firstLine="352"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8"/>
          <w:szCs w:val="28"/>
          <w:lang w:val="en-US" w:eastAsia="zh-CN"/>
        </w:rPr>
        <w:t>备注：</w:t>
      </w:r>
      <w:r>
        <w:rPr>
          <w:rFonts w:hint="eastAsia" w:ascii="楷体" w:hAnsi="楷体" w:eastAsia="楷体" w:cs="Times New Roman"/>
          <w:kern w:val="0"/>
          <w:sz w:val="28"/>
          <w:szCs w:val="28"/>
        </w:rPr>
        <w:t>本部门</w:t>
      </w:r>
      <w:r>
        <w:rPr>
          <w:rFonts w:hint="eastAsia" w:ascii="楷体" w:hAnsi="楷体" w:eastAsia="楷体" w:cs="Times New Roman"/>
          <w:kern w:val="0"/>
          <w:sz w:val="28"/>
          <w:szCs w:val="28"/>
          <w:lang w:val="en-US" w:eastAsia="zh-CN"/>
        </w:rPr>
        <w:t>2023</w:t>
      </w:r>
      <w:r>
        <w:rPr>
          <w:rFonts w:hint="eastAsia" w:ascii="楷体" w:hAnsi="楷体" w:eastAsia="楷体" w:cs="Times New Roman"/>
          <w:kern w:val="0"/>
          <w:sz w:val="28"/>
          <w:szCs w:val="28"/>
        </w:rPr>
        <w:t>年没有使用政府性基金预算拨款安排的支出。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7"/>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widowControl/>
        <w:spacing w:line="300" w:lineRule="auto"/>
        <w:jc w:val="left"/>
        <w:rPr>
          <w:rFonts w:hint="eastAsia" w:ascii="楷体" w:hAnsi="楷体" w:eastAsia="楷体" w:cs="Times New Roman"/>
          <w:kern w:val="0"/>
          <w:szCs w:val="21"/>
        </w:rPr>
      </w:pPr>
    </w:p>
    <w:p>
      <w:pPr>
        <w:tabs>
          <w:tab w:val="left" w:pos="7513"/>
        </w:tabs>
        <w:adjustRightInd w:val="0"/>
        <w:snapToGrid w:val="0"/>
        <w:spacing w:line="300" w:lineRule="auto"/>
        <w:ind w:firstLine="560" w:firstLineChars="200"/>
        <w:rPr>
          <w:rFonts w:ascii="黑体" w:hAnsi="黑体" w:eastAsia="黑体"/>
          <w:sz w:val="28"/>
          <w:szCs w:val="28"/>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8"/>
          <w:szCs w:val="28"/>
        </w:rPr>
        <w:t>备注：本部门</w:t>
      </w:r>
      <w:r>
        <w:rPr>
          <w:rFonts w:hint="eastAsia" w:ascii="楷体" w:hAnsi="楷体" w:eastAsia="楷体" w:cs="Times New Roman"/>
          <w:kern w:val="0"/>
          <w:sz w:val="28"/>
          <w:szCs w:val="28"/>
          <w:lang w:val="en-US" w:eastAsia="zh-CN"/>
        </w:rPr>
        <w:t>2023</w:t>
      </w:r>
      <w:r>
        <w:rPr>
          <w:rFonts w:hint="eastAsia" w:ascii="楷体" w:hAnsi="楷体" w:eastAsia="楷体" w:cs="Times New Roman"/>
          <w:kern w:val="0"/>
          <w:sz w:val="28"/>
          <w:szCs w:val="28"/>
        </w:rPr>
        <w:t>年没有使用国有资本经营预算拨款安排的支出。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rPr>
        <w:t>、一般公共预算支出经济分类情况表</w:t>
      </w:r>
    </w:p>
    <w:tbl>
      <w:tblPr>
        <w:tblStyle w:val="7"/>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1040.10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819.31</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136.72</w:t>
            </w:r>
          </w:p>
        </w:tc>
      </w:tr>
      <w:tr>
        <w:tblPrEx>
          <w:tblCellMar>
            <w:top w:w="0" w:type="dxa"/>
            <w:left w:w="108" w:type="dxa"/>
            <w:bottom w:w="0" w:type="dxa"/>
            <w:right w:w="108" w:type="dxa"/>
          </w:tblCellMar>
        </w:tblPrEx>
        <w:trPr>
          <w:trHeight w:val="447"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58.07</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26.00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color w:val="000000"/>
                <w:kern w:val="0"/>
                <w:sz w:val="22"/>
                <w:lang w:val="en-US" w:eastAsia="zh-CN"/>
              </w:rPr>
              <w:t>0.00</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rPr>
        <w:t>、一般公共预算基本支出经济分类情况表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年度一般公共预算基本支出经济分类情况表</w:t>
      </w:r>
    </w:p>
    <w:tbl>
      <w:tblPr>
        <w:tblStyle w:val="7"/>
        <w:tblW w:w="8237" w:type="dxa"/>
        <w:tblInd w:w="93" w:type="dxa"/>
        <w:tblLayout w:type="autofit"/>
        <w:tblCellMar>
          <w:top w:w="0" w:type="dxa"/>
          <w:left w:w="108" w:type="dxa"/>
          <w:bottom w:w="0" w:type="dxa"/>
          <w:right w:w="108" w:type="dxa"/>
        </w:tblCellMar>
      </w:tblPr>
      <w:tblGrid>
        <w:gridCol w:w="1575"/>
        <w:gridCol w:w="4252"/>
        <w:gridCol w:w="2410"/>
        <w:gridCol w:w="142"/>
      </w:tblGrid>
      <w:tr>
        <w:trPr>
          <w:gridAfter w:val="1"/>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1040.10</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819.31</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259.07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71.27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104.29</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48.94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22.91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21.54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9.19</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52.32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229.78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136.72</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18.50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10.90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11.80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0.80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8.50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13.72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27.80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58.07</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18.98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5.11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33.98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0.00</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26.00</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26.00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0.00</w:t>
            </w:r>
          </w:p>
        </w:tc>
      </w:tr>
    </w:tbl>
    <w:tbl>
      <w:tblPr>
        <w:tblStyle w:val="7"/>
        <w:tblpPr w:leftFromText="180" w:rightFromText="180" w:vertAnchor="text" w:horzAnchor="page" w:tblpX="2050" w:tblpY="941"/>
        <w:tblOverlap w:val="never"/>
        <w:tblW w:w="7848" w:type="dxa"/>
        <w:tblInd w:w="0"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w:t>
            </w:r>
            <w:r>
              <w:rPr>
                <w:rFonts w:hint="eastAsia" w:ascii="方正小标宋简体" w:hAnsi="黑体" w:eastAsia="方正小标宋简体" w:cs="宋体"/>
                <w:kern w:val="0"/>
                <w:sz w:val="32"/>
                <w:szCs w:val="32"/>
                <w:lang w:val="en-US" w:eastAsia="zh-CN"/>
              </w:rPr>
              <w:t>023</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23.20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14.70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8.50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8.50</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一</w:t>
      </w:r>
      <w:r>
        <w:rPr>
          <w:rFonts w:hint="eastAsia" w:ascii="黑体" w:hAnsi="黑体" w:eastAsia="黑体"/>
          <w:sz w:val="32"/>
          <w:szCs w:val="32"/>
        </w:rPr>
        <w:t>、部门专项资金管理清单目录</w:t>
      </w:r>
    </w:p>
    <w:tbl>
      <w:tblPr>
        <w:tblStyle w:val="7"/>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023</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无</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无</w:t>
            </w:r>
          </w:p>
        </w:tc>
      </w:tr>
    </w:tbl>
    <w:p>
      <w:pPr>
        <w:tabs>
          <w:tab w:val="left" w:pos="798"/>
        </w:tabs>
        <w:spacing w:line="240" w:lineRule="auto"/>
        <w:ind w:firstLine="640" w:firstLineChars="200"/>
        <w:jc w:val="center"/>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sz w:val="32"/>
          <w:szCs w:val="32"/>
          <w:lang w:val="en-US" w:eastAsia="zh-CN"/>
        </w:rPr>
        <w:t>备注：本部门2023年度没有由本部门管理的专项资金。</w:t>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023</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w:t>
      </w:r>
      <w:r>
        <w:rPr>
          <w:rFonts w:hint="eastAsia" w:ascii="仿宋" w:hAnsi="仿宋" w:eastAsia="仿宋"/>
          <w:sz w:val="32"/>
          <w:szCs w:val="32"/>
        </w:rPr>
        <w:t>收入预算为</w:t>
      </w:r>
      <w:r>
        <w:rPr>
          <w:rFonts w:hint="eastAsia" w:ascii="仿宋" w:hAnsi="仿宋" w:eastAsia="仿宋" w:cs="仿宋_GB2312"/>
          <w:sz w:val="32"/>
          <w:szCs w:val="32"/>
          <w:lang w:val="en-US" w:eastAsia="zh-CN"/>
        </w:rPr>
        <w:t>1040.10</w:t>
      </w:r>
      <w:r>
        <w:rPr>
          <w:rFonts w:hint="eastAsia" w:ascii="仿宋" w:hAnsi="仿宋" w:eastAsia="仿宋"/>
          <w:sz w:val="32"/>
          <w:szCs w:val="32"/>
        </w:rPr>
        <w:t>万元，比上年增加</w:t>
      </w:r>
      <w:r>
        <w:rPr>
          <w:rFonts w:hint="eastAsia" w:ascii="仿宋" w:hAnsi="仿宋" w:eastAsia="仿宋"/>
          <w:sz w:val="32"/>
          <w:szCs w:val="32"/>
          <w:lang w:val="en-US" w:eastAsia="zh-CN"/>
        </w:rPr>
        <w:t>206.74</w:t>
      </w:r>
      <w:r>
        <w:rPr>
          <w:rFonts w:hint="eastAsia" w:ascii="仿宋" w:hAnsi="仿宋" w:eastAsia="仿宋"/>
          <w:sz w:val="32"/>
          <w:szCs w:val="32"/>
        </w:rPr>
        <w:t>万元，</w:t>
      </w:r>
      <w:r>
        <w:rPr>
          <w:rFonts w:hint="eastAsia" w:ascii="仿宋" w:hAnsi="仿宋" w:eastAsia="仿宋" w:cs="仿宋"/>
          <w:sz w:val="32"/>
          <w:szCs w:val="32"/>
        </w:rPr>
        <w:t>主要原因是税收收入增加。</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1040.10</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万元、财政专户管理资金收入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万元、上年结转结余</w:t>
      </w:r>
      <w:r>
        <w:rPr>
          <w:rFonts w:hint="eastAsia" w:ascii="仿宋" w:hAnsi="仿宋" w:eastAsia="仿宋"/>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1040.10</w:t>
      </w:r>
      <w:r>
        <w:rPr>
          <w:rFonts w:hint="eastAsia" w:ascii="仿宋" w:hAnsi="仿宋" w:eastAsia="仿宋"/>
          <w:sz w:val="32"/>
          <w:szCs w:val="32"/>
        </w:rPr>
        <w:t>万元，比上年增加</w:t>
      </w:r>
      <w:r>
        <w:rPr>
          <w:rFonts w:hint="eastAsia" w:ascii="仿宋" w:hAnsi="仿宋" w:eastAsia="仿宋"/>
          <w:sz w:val="32"/>
          <w:szCs w:val="32"/>
          <w:lang w:val="en-US" w:eastAsia="zh-CN"/>
        </w:rPr>
        <w:t>206.74</w:t>
      </w:r>
      <w:r>
        <w:rPr>
          <w:rFonts w:hint="eastAsia" w:ascii="仿宋" w:hAnsi="仿宋" w:eastAsia="仿宋"/>
          <w:sz w:val="32"/>
          <w:szCs w:val="32"/>
        </w:rPr>
        <w:t>万元，主要原因是</w:t>
      </w:r>
      <w:r>
        <w:rPr>
          <w:rFonts w:hint="eastAsia" w:ascii="仿宋" w:hAnsi="仿宋" w:eastAsia="仿宋" w:cs="仿宋_GB2312"/>
          <w:sz w:val="32"/>
          <w:szCs w:val="32"/>
          <w:lang w:val="en-US" w:eastAsia="zh-CN"/>
        </w:rPr>
        <w:t>人员增加，工资福利增加</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1014.10</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26</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1040.10</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206.74</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24.80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人员增加，工资福利增加</w:t>
      </w:r>
      <w:r>
        <w:rPr>
          <w:rFonts w:hint="eastAsia" w:ascii="仿宋" w:hAnsi="仿宋" w:eastAsia="仿宋" w:cs="仿宋_GB2312"/>
          <w:sz w:val="32"/>
          <w:szCs w:val="32"/>
        </w:rPr>
        <w:t>。按照党中央、国务院和省委、省政府关于过紧日子的有关要求，厉行节约办一切事业，大力压减一般性支出，同时合理保障了</w:t>
      </w:r>
      <w:r>
        <w:rPr>
          <w:rFonts w:hint="eastAsia" w:ascii="仿宋" w:hAnsi="仿宋" w:eastAsia="仿宋" w:cs="仿宋_GB2312"/>
          <w:sz w:val="32"/>
          <w:szCs w:val="32"/>
          <w:lang w:val="en-US" w:eastAsia="zh-CN"/>
        </w:rPr>
        <w:t>行政运行</w:t>
      </w:r>
      <w:r>
        <w:rPr>
          <w:rFonts w:hint="eastAsia" w:ascii="仿宋" w:hAnsi="仿宋" w:eastAsia="仿宋" w:cs="仿宋_GB2312"/>
          <w:sz w:val="32"/>
          <w:szCs w:val="32"/>
        </w:rPr>
        <w:t>等工作的支出需求，体现在有关支出科目中。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_GB2312"/>
          <w:sz w:val="32"/>
          <w:szCs w:val="32"/>
        </w:rPr>
        <w:t>（一）</w:t>
      </w:r>
      <w:r>
        <w:rPr>
          <w:rFonts w:hint="eastAsia" w:ascii="仿宋" w:hAnsi="仿宋" w:eastAsia="仿宋" w:cs="仿宋"/>
          <w:i w:val="0"/>
          <w:caps w:val="0"/>
          <w:color w:val="333333"/>
          <w:spacing w:val="0"/>
          <w:sz w:val="32"/>
          <w:szCs w:val="32"/>
          <w:shd w:val="clear" w:color="auto" w:fill="FFFFFF"/>
        </w:rPr>
        <w:t>一般公共服务支出-人大事务-行政运行</w:t>
      </w:r>
      <w:r>
        <w:rPr>
          <w:rFonts w:hint="eastAsia" w:ascii="仿宋" w:hAnsi="仿宋" w:eastAsia="仿宋" w:cs="仿宋"/>
          <w:i w:val="0"/>
          <w:caps w:val="0"/>
          <w:color w:val="333333"/>
          <w:spacing w:val="0"/>
          <w:sz w:val="32"/>
          <w:szCs w:val="32"/>
          <w:shd w:val="clear" w:color="auto" w:fill="FFFFFF"/>
          <w:lang w:val="en-US" w:eastAsia="zh-CN"/>
        </w:rPr>
        <w:t>15.61</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w:t>
      </w:r>
      <w:r>
        <w:rPr>
          <w:rFonts w:hint="eastAsia" w:ascii="仿宋" w:hAnsi="仿宋" w:eastAsia="仿宋" w:cs="仿宋"/>
          <w:i w:val="0"/>
          <w:caps w:val="0"/>
          <w:color w:val="333333"/>
          <w:spacing w:val="0"/>
          <w:sz w:val="32"/>
          <w:szCs w:val="32"/>
          <w:shd w:val="clear" w:color="auto" w:fill="FFFFFF"/>
        </w:rPr>
        <w:t>一般公共服务支出--政府办公厅及相关机构事务-行政运行</w:t>
      </w:r>
      <w:r>
        <w:rPr>
          <w:rFonts w:hint="eastAsia" w:ascii="仿宋" w:hAnsi="仿宋" w:eastAsia="仿宋" w:cs="仿宋"/>
          <w:i w:val="0"/>
          <w:caps w:val="0"/>
          <w:color w:val="333333"/>
          <w:spacing w:val="0"/>
          <w:sz w:val="32"/>
          <w:szCs w:val="32"/>
          <w:shd w:val="clear" w:color="auto" w:fill="FFFFFF"/>
          <w:lang w:val="en-US" w:eastAsia="zh-CN"/>
        </w:rPr>
        <w:t>441.74</w:t>
      </w:r>
      <w:r>
        <w:rPr>
          <w:rFonts w:hint="eastAsia" w:ascii="仿宋" w:hAnsi="仿宋" w:eastAsia="仿宋" w:cs="仿宋"/>
          <w:i w:val="0"/>
          <w:caps w:val="0"/>
          <w:color w:val="333333"/>
          <w:spacing w:val="0"/>
          <w:sz w:val="32"/>
          <w:szCs w:val="32"/>
          <w:shd w:val="clear" w:color="auto" w:fill="FFFFFF"/>
        </w:rPr>
        <w:t>万元。主要用于人员工资、维护办公正常运转有关支出。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_GB2312"/>
          <w:sz w:val="32"/>
          <w:szCs w:val="32"/>
        </w:rPr>
        <w:t>（三）</w:t>
      </w:r>
      <w:r>
        <w:rPr>
          <w:rFonts w:hint="eastAsia" w:ascii="仿宋" w:hAnsi="仿宋" w:eastAsia="仿宋" w:cs="仿宋"/>
          <w:i w:val="0"/>
          <w:caps w:val="0"/>
          <w:color w:val="333333"/>
          <w:spacing w:val="0"/>
          <w:sz w:val="32"/>
          <w:szCs w:val="32"/>
          <w:shd w:val="clear" w:color="auto" w:fill="FFFFFF"/>
        </w:rPr>
        <w:t>一般公共服务支出-财政事务-行政运行</w:t>
      </w:r>
      <w:r>
        <w:rPr>
          <w:rFonts w:hint="eastAsia" w:ascii="仿宋" w:hAnsi="仿宋" w:eastAsia="仿宋" w:cs="仿宋"/>
          <w:i w:val="0"/>
          <w:caps w:val="0"/>
          <w:color w:val="333333"/>
          <w:spacing w:val="0"/>
          <w:sz w:val="32"/>
          <w:szCs w:val="32"/>
          <w:shd w:val="clear" w:color="auto" w:fill="FFFFFF"/>
          <w:lang w:val="en-US" w:eastAsia="zh-CN"/>
        </w:rPr>
        <w:t>20.33</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（四）一般公共服务支出-纪检监察事务-行政运行</w:t>
      </w:r>
      <w:r>
        <w:rPr>
          <w:rFonts w:hint="eastAsia" w:ascii="仿宋" w:hAnsi="仿宋" w:eastAsia="仿宋" w:cs="仿宋"/>
          <w:i w:val="0"/>
          <w:caps w:val="0"/>
          <w:color w:val="333333"/>
          <w:spacing w:val="0"/>
          <w:sz w:val="32"/>
          <w:szCs w:val="32"/>
          <w:shd w:val="clear" w:color="auto" w:fill="FFFFFF"/>
          <w:lang w:val="en-US" w:eastAsia="zh-CN"/>
        </w:rPr>
        <w:t>27.52</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（五）一般公共服务支出-党委办公厅（室）及相关机构事务-行政运行</w:t>
      </w:r>
      <w:r>
        <w:rPr>
          <w:rFonts w:hint="eastAsia" w:ascii="仿宋" w:hAnsi="仿宋" w:eastAsia="仿宋" w:cs="仿宋"/>
          <w:i w:val="0"/>
          <w:caps w:val="0"/>
          <w:color w:val="333333"/>
          <w:spacing w:val="0"/>
          <w:sz w:val="32"/>
          <w:szCs w:val="32"/>
          <w:shd w:val="clear" w:color="auto" w:fill="FFFFFF"/>
          <w:lang w:val="en-US" w:eastAsia="zh-CN"/>
        </w:rPr>
        <w:t>33.47</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eastAsia="zh-CN"/>
        </w:rPr>
        <w:t>六</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公共安全</w:t>
      </w:r>
      <w:r>
        <w:rPr>
          <w:rFonts w:hint="eastAsia" w:ascii="仿宋" w:hAnsi="仿宋" w:eastAsia="仿宋" w:cs="仿宋"/>
          <w:i w:val="0"/>
          <w:caps w:val="0"/>
          <w:color w:val="333333"/>
          <w:spacing w:val="0"/>
          <w:sz w:val="32"/>
          <w:szCs w:val="32"/>
          <w:shd w:val="clear" w:color="auto" w:fill="FFFFFF"/>
        </w:rPr>
        <w:t>支出-其他</w:t>
      </w:r>
      <w:r>
        <w:rPr>
          <w:rFonts w:hint="eastAsia" w:ascii="仿宋" w:hAnsi="仿宋" w:eastAsia="仿宋" w:cs="仿宋"/>
          <w:i w:val="0"/>
          <w:caps w:val="0"/>
          <w:color w:val="333333"/>
          <w:spacing w:val="0"/>
          <w:sz w:val="32"/>
          <w:szCs w:val="32"/>
          <w:shd w:val="clear" w:color="auto" w:fill="FFFFFF"/>
          <w:lang w:val="en-US" w:eastAsia="zh-CN"/>
        </w:rPr>
        <w:t>公共安全</w:t>
      </w:r>
      <w:r>
        <w:rPr>
          <w:rFonts w:hint="eastAsia" w:ascii="仿宋" w:hAnsi="仿宋" w:eastAsia="仿宋" w:cs="仿宋"/>
          <w:i w:val="0"/>
          <w:caps w:val="0"/>
          <w:color w:val="333333"/>
          <w:spacing w:val="0"/>
          <w:sz w:val="32"/>
          <w:szCs w:val="32"/>
          <w:shd w:val="clear" w:color="auto" w:fill="FFFFFF"/>
        </w:rPr>
        <w:t>支出</w:t>
      </w:r>
      <w:r>
        <w:rPr>
          <w:rFonts w:hint="eastAsia" w:ascii="仿宋" w:hAnsi="仿宋" w:eastAsia="仿宋" w:cs="仿宋"/>
          <w:i w:val="0"/>
          <w:caps w:val="0"/>
          <w:color w:val="333333"/>
          <w:spacing w:val="0"/>
          <w:sz w:val="32"/>
          <w:szCs w:val="32"/>
          <w:shd w:val="clear" w:color="auto" w:fill="FFFFFF"/>
          <w:lang w:val="en-US" w:eastAsia="zh-CN"/>
        </w:rPr>
        <w:t>12</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eastAsia="zh-CN"/>
        </w:rPr>
        <w:t>七</w:t>
      </w:r>
      <w:r>
        <w:rPr>
          <w:rFonts w:hint="eastAsia" w:ascii="仿宋" w:hAnsi="仿宋" w:eastAsia="仿宋" w:cs="仿宋"/>
          <w:i w:val="0"/>
          <w:caps w:val="0"/>
          <w:color w:val="333333"/>
          <w:spacing w:val="0"/>
          <w:sz w:val="32"/>
          <w:szCs w:val="32"/>
          <w:shd w:val="clear" w:color="auto" w:fill="FFFFFF"/>
        </w:rPr>
        <w:t>）文化旅游体育与传媒支出-文化和旅游-行政运行</w:t>
      </w:r>
      <w:r>
        <w:rPr>
          <w:rFonts w:hint="eastAsia" w:ascii="仿宋" w:hAnsi="仿宋" w:eastAsia="仿宋" w:cs="仿宋"/>
          <w:i w:val="0"/>
          <w:caps w:val="0"/>
          <w:color w:val="333333"/>
          <w:spacing w:val="0"/>
          <w:sz w:val="32"/>
          <w:szCs w:val="32"/>
          <w:shd w:val="clear" w:color="auto" w:fill="FFFFFF"/>
          <w:lang w:val="en-US" w:eastAsia="zh-CN"/>
        </w:rPr>
        <w:t>33.31</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 </w:t>
      </w:r>
    </w:p>
    <w:p>
      <w:pPr>
        <w:tabs>
          <w:tab w:val="left" w:pos="7513"/>
        </w:tabs>
        <w:adjustRightInd w:val="0"/>
        <w:snapToGrid w:val="0"/>
        <w:spacing w:line="600" w:lineRule="exact"/>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lang w:eastAsia="zh-CN"/>
        </w:rPr>
        <w:t>（八）</w:t>
      </w:r>
      <w:r>
        <w:rPr>
          <w:rFonts w:hint="eastAsia" w:ascii="仿宋" w:hAnsi="仿宋" w:eastAsia="仿宋" w:cs="仿宋"/>
          <w:i w:val="0"/>
          <w:caps w:val="0"/>
          <w:color w:val="333333"/>
          <w:spacing w:val="0"/>
          <w:sz w:val="32"/>
          <w:szCs w:val="32"/>
          <w:shd w:val="clear" w:color="auto" w:fill="FFFFFF"/>
        </w:rPr>
        <w:t>社会保障和就业</w:t>
      </w:r>
      <w:r>
        <w:rPr>
          <w:rFonts w:hint="eastAsia" w:ascii="仿宋" w:hAnsi="仿宋" w:eastAsia="仿宋" w:cs="仿宋"/>
          <w:i w:val="0"/>
          <w:caps w:val="0"/>
          <w:color w:val="333333"/>
          <w:spacing w:val="0"/>
          <w:sz w:val="32"/>
          <w:szCs w:val="32"/>
          <w:shd w:val="clear" w:color="auto" w:fill="FFFFFF"/>
          <w:lang w:val="en-US" w:eastAsia="zh-CN"/>
        </w:rPr>
        <w:t>- 民政管理事务-</w:t>
      </w:r>
      <w:r>
        <w:rPr>
          <w:rFonts w:hint="eastAsia" w:ascii="仿宋" w:hAnsi="仿宋" w:eastAsia="仿宋" w:cs="仿宋"/>
          <w:i w:val="0"/>
          <w:caps w:val="0"/>
          <w:color w:val="333333"/>
          <w:spacing w:val="0"/>
          <w:sz w:val="32"/>
          <w:szCs w:val="32"/>
          <w:shd w:val="clear" w:color="auto" w:fill="FFFFFF"/>
        </w:rPr>
        <w:t>行政运行</w:t>
      </w:r>
      <w:r>
        <w:rPr>
          <w:rFonts w:hint="eastAsia" w:ascii="仿宋" w:hAnsi="仿宋" w:eastAsia="仿宋" w:cs="仿宋"/>
          <w:i w:val="0"/>
          <w:caps w:val="0"/>
          <w:color w:val="333333"/>
          <w:spacing w:val="0"/>
          <w:sz w:val="32"/>
          <w:szCs w:val="32"/>
          <w:shd w:val="clear" w:color="auto" w:fill="FFFFFF"/>
          <w:lang w:val="en-US" w:eastAsia="zh-CN"/>
        </w:rPr>
        <w:t>52.27</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lang w:val="en-US" w:eastAsia="zh-CN"/>
        </w:rPr>
        <w:t>及</w:t>
      </w:r>
      <w:r>
        <w:rPr>
          <w:rFonts w:hint="eastAsia" w:ascii="仿宋" w:hAnsi="仿宋" w:eastAsia="仿宋" w:cs="仿宋"/>
          <w:i w:val="0"/>
          <w:caps w:val="0"/>
          <w:color w:val="333333"/>
          <w:spacing w:val="0"/>
          <w:sz w:val="32"/>
          <w:szCs w:val="32"/>
          <w:shd w:val="clear" w:color="auto" w:fill="FFFFFF"/>
        </w:rPr>
        <w:t>对个人和家庭的补助</w:t>
      </w:r>
      <w:r>
        <w:rPr>
          <w:rFonts w:hint="eastAsia" w:ascii="仿宋" w:hAnsi="仿宋" w:eastAsia="仿宋" w:cs="仿宋"/>
          <w:i w:val="0"/>
          <w:caps w:val="0"/>
          <w:color w:val="333333"/>
          <w:spacing w:val="0"/>
          <w:sz w:val="32"/>
          <w:szCs w:val="32"/>
          <w:shd w:val="clear" w:color="auto" w:fill="FFFFFF"/>
          <w:lang w:val="en-US" w:eastAsia="zh-CN"/>
        </w:rPr>
        <w:t>支出</w:t>
      </w:r>
      <w:r>
        <w:rPr>
          <w:rFonts w:hint="eastAsia" w:ascii="仿宋" w:hAnsi="仿宋" w:eastAsia="仿宋" w:cs="仿宋"/>
          <w:i w:val="0"/>
          <w:caps w:val="0"/>
          <w:color w:val="333333"/>
          <w:spacing w:val="0"/>
          <w:sz w:val="32"/>
          <w:szCs w:val="32"/>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56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lang w:eastAsia="zh-CN"/>
        </w:rPr>
        <w:t>（九）</w:t>
      </w:r>
      <w:r>
        <w:rPr>
          <w:rFonts w:hint="eastAsia" w:ascii="仿宋" w:hAnsi="仿宋" w:eastAsia="仿宋" w:cs="仿宋"/>
          <w:i w:val="0"/>
          <w:caps w:val="0"/>
          <w:color w:val="333333"/>
          <w:spacing w:val="0"/>
          <w:sz w:val="32"/>
          <w:szCs w:val="32"/>
          <w:shd w:val="clear" w:color="auto" w:fill="FFFFFF"/>
          <w:lang w:val="en-US" w:eastAsia="zh-CN"/>
        </w:rPr>
        <w:t>卫生健康支出-卫生健康管理事务-</w:t>
      </w:r>
      <w:r>
        <w:rPr>
          <w:rFonts w:hint="eastAsia" w:ascii="仿宋" w:hAnsi="仿宋" w:eastAsia="仿宋" w:cs="仿宋"/>
          <w:i w:val="0"/>
          <w:caps w:val="0"/>
          <w:color w:val="333333"/>
          <w:spacing w:val="0"/>
          <w:sz w:val="32"/>
          <w:szCs w:val="32"/>
          <w:shd w:val="clear" w:color="auto" w:fill="FFFFFF"/>
        </w:rPr>
        <w:t>行政运行</w:t>
      </w:r>
      <w:r>
        <w:rPr>
          <w:rFonts w:hint="eastAsia" w:ascii="仿宋" w:hAnsi="仿宋" w:eastAsia="仿宋" w:cs="仿宋"/>
          <w:i w:val="0"/>
          <w:caps w:val="0"/>
          <w:color w:val="333333"/>
          <w:spacing w:val="0"/>
          <w:sz w:val="32"/>
          <w:szCs w:val="32"/>
          <w:shd w:val="clear" w:color="auto" w:fill="FFFFFF"/>
          <w:lang w:val="en-US" w:eastAsia="zh-CN"/>
        </w:rPr>
        <w:t>23.92万元。</w:t>
      </w:r>
      <w:r>
        <w:rPr>
          <w:rFonts w:hint="eastAsia" w:ascii="仿宋" w:hAnsi="仿宋" w:eastAsia="仿宋" w:cs="仿宋"/>
          <w:i w:val="0"/>
          <w:caps w:val="0"/>
          <w:color w:val="333333"/>
          <w:spacing w:val="0"/>
          <w:sz w:val="32"/>
          <w:szCs w:val="32"/>
          <w:shd w:val="clear" w:color="auto" w:fill="FFFFFF"/>
        </w:rPr>
        <w:t>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56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eastAsia="zh-CN"/>
        </w:rPr>
        <w:t>十</w:t>
      </w:r>
      <w:r>
        <w:rPr>
          <w:rFonts w:hint="eastAsia" w:ascii="仿宋" w:hAnsi="仿宋" w:eastAsia="仿宋" w:cs="仿宋"/>
          <w:i w:val="0"/>
          <w:caps w:val="0"/>
          <w:color w:val="333333"/>
          <w:spacing w:val="0"/>
          <w:sz w:val="32"/>
          <w:szCs w:val="32"/>
          <w:shd w:val="clear" w:color="auto" w:fill="FFFFFF"/>
        </w:rPr>
        <w:t>）城乡社区支出</w:t>
      </w:r>
      <w:r>
        <w:rPr>
          <w:rFonts w:hint="eastAsia" w:ascii="仿宋" w:hAnsi="仿宋" w:eastAsia="仿宋" w:cs="仿宋"/>
          <w:i w:val="0"/>
          <w:caps w:val="0"/>
          <w:color w:val="333333"/>
          <w:spacing w:val="0"/>
          <w:sz w:val="32"/>
          <w:szCs w:val="32"/>
          <w:shd w:val="clear" w:color="auto" w:fill="FFFFFF"/>
          <w:lang w:val="en-US" w:eastAsia="zh-CN"/>
        </w:rPr>
        <w:t>-城乡社区规划与管理(村建站)-行政运行42.12</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w:t>
      </w:r>
      <w:r>
        <w:rPr>
          <w:rFonts w:hint="eastAsia" w:ascii="仿宋" w:hAnsi="仿宋" w:eastAsia="仿宋" w:cs="仿宋"/>
          <w:i w:val="0"/>
          <w:caps w:val="0"/>
          <w:color w:val="333333"/>
          <w:spacing w:val="0"/>
          <w:sz w:val="32"/>
          <w:szCs w:val="32"/>
          <w:shd w:val="clear" w:color="auto" w:fill="FFFFFF"/>
        </w:rPr>
        <w:t>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lang w:val="en-US" w:eastAsia="zh-CN"/>
        </w:rPr>
        <w:t>（十一）</w:t>
      </w:r>
      <w:r>
        <w:rPr>
          <w:rFonts w:hint="eastAsia" w:ascii="仿宋" w:hAnsi="仿宋" w:eastAsia="仿宋" w:cs="仿宋"/>
          <w:i w:val="0"/>
          <w:caps w:val="0"/>
          <w:color w:val="333333"/>
          <w:spacing w:val="0"/>
          <w:sz w:val="32"/>
          <w:szCs w:val="32"/>
          <w:shd w:val="clear" w:color="auto" w:fill="FFFFFF"/>
        </w:rPr>
        <w:t>农林水事务-农业-行政运行</w:t>
      </w:r>
      <w:r>
        <w:rPr>
          <w:rFonts w:hint="eastAsia" w:ascii="仿宋" w:hAnsi="仿宋" w:eastAsia="仿宋" w:cs="仿宋"/>
          <w:i w:val="0"/>
          <w:caps w:val="0"/>
          <w:color w:val="333333"/>
          <w:spacing w:val="0"/>
          <w:sz w:val="32"/>
          <w:szCs w:val="32"/>
          <w:shd w:val="clear" w:color="auto" w:fill="FFFFFF"/>
          <w:lang w:val="en-US" w:eastAsia="zh-CN"/>
        </w:rPr>
        <w:t>265.82</w:t>
      </w:r>
      <w:r>
        <w:rPr>
          <w:rFonts w:hint="eastAsia" w:ascii="仿宋" w:hAnsi="仿宋" w:eastAsia="仿宋" w:cs="仿宋"/>
          <w:i w:val="0"/>
          <w:caps w:val="0"/>
          <w:color w:val="333333"/>
          <w:spacing w:val="0"/>
          <w:sz w:val="32"/>
          <w:szCs w:val="32"/>
          <w:shd w:val="clear" w:color="auto" w:fill="FFFFFF"/>
        </w:rPr>
        <w:t>万元。主要用于人员工资</w:t>
      </w:r>
      <w:r>
        <w:rPr>
          <w:rFonts w:hint="eastAsia" w:ascii="仿宋" w:hAnsi="仿宋" w:eastAsia="仿宋" w:cs="仿宋"/>
          <w:i w:val="0"/>
          <w:caps w:val="0"/>
          <w:color w:val="333333"/>
          <w:spacing w:val="0"/>
          <w:sz w:val="32"/>
          <w:szCs w:val="32"/>
          <w:shd w:val="clear" w:color="auto" w:fill="FFFFFF"/>
          <w:lang w:eastAsia="zh-CN"/>
        </w:rPr>
        <w:t>和福利支出</w:t>
      </w:r>
      <w:r>
        <w:rPr>
          <w:rFonts w:hint="eastAsia" w:ascii="仿宋" w:hAnsi="仿宋" w:eastAsia="仿宋" w:cs="仿宋"/>
          <w:i w:val="0"/>
          <w:caps w:val="0"/>
          <w:color w:val="333333"/>
          <w:spacing w:val="0"/>
          <w:sz w:val="32"/>
          <w:szCs w:val="32"/>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560"/>
        <w:jc w:val="both"/>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highlight w:val="none"/>
          <w:shd w:val="clear" w:color="auto" w:fill="FFFFFF"/>
          <w:lang w:val="en-US" w:eastAsia="zh-CN"/>
        </w:rPr>
        <w:t>（十二）</w:t>
      </w:r>
      <w:r>
        <w:rPr>
          <w:rFonts w:hint="eastAsia" w:ascii="仿宋" w:hAnsi="仿宋" w:eastAsia="仿宋" w:cs="仿宋"/>
          <w:i w:val="0"/>
          <w:caps w:val="0"/>
          <w:color w:val="333333"/>
          <w:spacing w:val="0"/>
          <w:sz w:val="32"/>
          <w:szCs w:val="32"/>
          <w:shd w:val="clear" w:color="auto" w:fill="FFFFFF"/>
          <w:lang w:eastAsia="zh-CN"/>
        </w:rPr>
        <w:t>交通运输</w:t>
      </w:r>
      <w:r>
        <w:rPr>
          <w:rFonts w:hint="eastAsia" w:ascii="仿宋" w:hAnsi="仿宋" w:eastAsia="仿宋" w:cs="仿宋"/>
          <w:i w:val="0"/>
          <w:caps w:val="0"/>
          <w:color w:val="333333"/>
          <w:spacing w:val="0"/>
          <w:sz w:val="32"/>
          <w:szCs w:val="32"/>
          <w:shd w:val="clear" w:color="auto" w:fill="FFFFFF"/>
          <w:lang w:val="en-US" w:eastAsia="zh-CN"/>
        </w:rPr>
        <w:t>-公路水路运输-公路养护9.67万元。主要用于</w:t>
      </w:r>
      <w:r>
        <w:rPr>
          <w:rFonts w:hint="eastAsia" w:ascii="仿宋" w:hAnsi="仿宋" w:eastAsia="仿宋" w:cs="仿宋"/>
          <w:i w:val="0"/>
          <w:caps w:val="0"/>
          <w:color w:val="333333"/>
          <w:spacing w:val="0"/>
          <w:sz w:val="32"/>
          <w:szCs w:val="32"/>
          <w:shd w:val="clear" w:color="auto" w:fill="FFFFFF"/>
        </w:rPr>
        <w:t>人员工资</w:t>
      </w:r>
      <w:r>
        <w:rPr>
          <w:rFonts w:hint="eastAsia" w:ascii="仿宋" w:hAnsi="仿宋" w:eastAsia="仿宋" w:cs="仿宋"/>
          <w:i w:val="0"/>
          <w:caps w:val="0"/>
          <w:color w:val="333333"/>
          <w:spacing w:val="0"/>
          <w:sz w:val="32"/>
          <w:szCs w:val="32"/>
          <w:shd w:val="clear" w:color="auto" w:fill="FFFFFF"/>
          <w:lang w:eastAsia="zh-CN"/>
        </w:rPr>
        <w:t>和福利支出</w:t>
      </w:r>
      <w:r>
        <w:rPr>
          <w:rFonts w:hint="eastAsia" w:ascii="仿宋" w:hAnsi="仿宋" w:eastAsia="仿宋" w:cs="仿宋"/>
          <w:i w:val="0"/>
          <w:caps w:val="0"/>
          <w:color w:val="333333"/>
          <w:spacing w:val="0"/>
          <w:sz w:val="32"/>
          <w:szCs w:val="32"/>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300" w:beforeAutospacing="0" w:after="0" w:afterAutospacing="0" w:line="480" w:lineRule="atLeast"/>
        <w:ind w:left="0" w:right="0" w:firstLine="640" w:firstLineChars="200"/>
        <w:jc w:val="both"/>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lang w:val="en-US" w:eastAsia="zh-CN"/>
        </w:rPr>
        <w:t>（十三）</w:t>
      </w:r>
      <w:r>
        <w:rPr>
          <w:rFonts w:hint="eastAsia" w:ascii="仿宋" w:hAnsi="仿宋" w:eastAsia="仿宋" w:cs="仿宋"/>
          <w:i w:val="0"/>
          <w:caps w:val="0"/>
          <w:color w:val="333333"/>
          <w:spacing w:val="0"/>
          <w:sz w:val="32"/>
          <w:szCs w:val="32"/>
          <w:shd w:val="clear" w:color="auto" w:fill="FFFFFF"/>
        </w:rPr>
        <w:t>住房保障支出-住房改革支出-住房公积金</w:t>
      </w:r>
      <w:r>
        <w:rPr>
          <w:rFonts w:hint="eastAsia" w:ascii="仿宋" w:hAnsi="仿宋" w:eastAsia="仿宋" w:cs="仿宋"/>
          <w:i w:val="0"/>
          <w:caps w:val="0"/>
          <w:color w:val="333333"/>
          <w:spacing w:val="0"/>
          <w:sz w:val="32"/>
          <w:szCs w:val="32"/>
          <w:shd w:val="clear" w:color="auto" w:fill="FFFFFF"/>
          <w:lang w:val="en-US" w:eastAsia="zh-CN"/>
        </w:rPr>
        <w:t>52.32</w:t>
      </w:r>
      <w:r>
        <w:rPr>
          <w:rFonts w:hint="eastAsia" w:ascii="仿宋" w:hAnsi="仿宋" w:eastAsia="仿宋" w:cs="仿宋"/>
          <w:i w:val="0"/>
          <w:caps w:val="0"/>
          <w:color w:val="333333"/>
          <w:spacing w:val="0"/>
          <w:sz w:val="32"/>
          <w:szCs w:val="32"/>
          <w:shd w:val="clear" w:color="auto" w:fill="FFFFFF"/>
        </w:rPr>
        <w:t>万元。主要用于人员支出。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年度政府性基金支出0万元，</w:t>
      </w:r>
      <w:r>
        <w:rPr>
          <w:rFonts w:hint="eastAsia" w:ascii="仿宋" w:hAnsi="仿宋" w:eastAsia="仿宋" w:cs="仿宋"/>
          <w:i w:val="0"/>
          <w:caps w:val="0"/>
          <w:color w:val="333333"/>
          <w:spacing w:val="0"/>
          <w:sz w:val="32"/>
          <w:szCs w:val="32"/>
          <w:shd w:val="clear" w:color="auto" w:fill="FFFFFF"/>
        </w:rPr>
        <w:t>比上年预算数增加0.00万元，增长0.00%</w:t>
      </w:r>
      <w:r>
        <w:rPr>
          <w:rFonts w:hint="eastAsia" w:ascii="仿宋" w:hAnsi="仿宋" w:eastAsia="仿宋" w:cs="仿宋"/>
          <w:sz w:val="32"/>
          <w:szCs w:val="32"/>
        </w:rPr>
        <w:t>。</w:t>
      </w:r>
      <w:r>
        <w:rPr>
          <w:rFonts w:hint="eastAsia" w:ascii="仿宋" w:hAnsi="仿宋" w:eastAsia="仿宋" w:cs="仿宋"/>
          <w:sz w:val="32"/>
          <w:szCs w:val="32"/>
          <w:lang w:val="en-US" w:eastAsia="zh-CN"/>
        </w:rPr>
        <w:t>主要原因是</w:t>
      </w:r>
      <w:r>
        <w:rPr>
          <w:rFonts w:hint="eastAsia" w:ascii="仿宋" w:hAnsi="仿宋" w:eastAsia="仿宋" w:cs="仿宋"/>
          <w:sz w:val="32"/>
          <w:szCs w:val="32"/>
        </w:rPr>
        <w:t>本单位202</w:t>
      </w:r>
      <w:r>
        <w:rPr>
          <w:rFonts w:hint="eastAsia" w:ascii="仿宋" w:hAnsi="仿宋" w:eastAsia="仿宋" w:cs="仿宋"/>
          <w:sz w:val="32"/>
          <w:szCs w:val="32"/>
          <w:lang w:val="en-US" w:eastAsia="zh-CN"/>
        </w:rPr>
        <w:t>3</w:t>
      </w:r>
      <w:r>
        <w:rPr>
          <w:rFonts w:hint="eastAsia" w:ascii="仿宋" w:hAnsi="仿宋" w:eastAsia="仿宋" w:cs="仿宋"/>
          <w:sz w:val="32"/>
          <w:szCs w:val="32"/>
        </w:rPr>
        <w:t>年度没有使用政府性基金预算拨款安排的支出。</w:t>
      </w:r>
    </w:p>
    <w:p>
      <w:pPr>
        <w:tabs>
          <w:tab w:val="left" w:pos="7513"/>
        </w:tabs>
        <w:adjustRightInd w:val="0"/>
        <w:snapToGrid w:val="0"/>
        <w:spacing w:line="600" w:lineRule="exact"/>
        <w:ind w:firstLine="0" w:firstLineChars="0"/>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年度国有资本经营预算支出</w:t>
      </w:r>
      <w:r>
        <w:rPr>
          <w:rFonts w:hint="eastAsia" w:ascii="仿宋" w:hAnsi="仿宋" w:eastAsia="仿宋"/>
          <w:sz w:val="32"/>
          <w:szCs w:val="32"/>
          <w:lang w:val="en-US" w:eastAsia="zh-CN"/>
        </w:rPr>
        <w:t>0.00</w:t>
      </w:r>
      <w:r>
        <w:rPr>
          <w:rFonts w:hint="eastAsia" w:ascii="仿宋" w:hAnsi="仿宋" w:eastAsia="仿宋" w:cs="仿宋_GB2312"/>
          <w:sz w:val="32"/>
          <w:szCs w:val="32"/>
        </w:rPr>
        <w:t>万元，</w:t>
      </w:r>
      <w:r>
        <w:rPr>
          <w:rFonts w:hint="eastAsia" w:ascii="仿宋" w:hAnsi="仿宋" w:eastAsia="仿宋"/>
          <w:sz w:val="32"/>
          <w:szCs w:val="32"/>
        </w:rPr>
        <w:t>比上年增加（减少）</w:t>
      </w:r>
      <w:r>
        <w:rPr>
          <w:rFonts w:hint="eastAsia" w:ascii="仿宋" w:hAnsi="仿宋" w:eastAsia="仿宋" w:cs="仿宋_GB2312"/>
          <w:kern w:val="0"/>
          <w:sz w:val="32"/>
          <w:szCs w:val="32"/>
          <w:lang w:val="en-US" w:eastAsia="zh-CN"/>
        </w:rPr>
        <w:t>0.00</w:t>
      </w:r>
      <w:r>
        <w:rPr>
          <w:rFonts w:hint="eastAsia" w:ascii="仿宋" w:hAnsi="仿宋" w:eastAsia="仿宋" w:cs="仿宋_GB2312"/>
          <w:kern w:val="0"/>
          <w:sz w:val="32"/>
          <w:szCs w:val="32"/>
        </w:rPr>
        <w:t>万元，</w:t>
      </w:r>
      <w:r>
        <w:rPr>
          <w:rFonts w:hint="eastAsia" w:ascii="仿宋" w:hAnsi="仿宋" w:eastAsia="仿宋" w:cs="仿宋_GB2312"/>
          <w:sz w:val="32"/>
          <w:szCs w:val="32"/>
        </w:rPr>
        <w:t>增长（降低）</w:t>
      </w:r>
      <w:r>
        <w:rPr>
          <w:rFonts w:hint="eastAsia" w:ascii="仿宋" w:hAnsi="仿宋" w:eastAsia="仿宋" w:cs="仿宋_GB2312"/>
          <w:sz w:val="32"/>
          <w:szCs w:val="32"/>
          <w:lang w:val="en-US" w:eastAsia="zh-CN"/>
        </w:rPr>
        <w:t>0.00</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
          <w:sz w:val="32"/>
          <w:szCs w:val="32"/>
        </w:rPr>
        <w:t>本</w:t>
      </w:r>
      <w:r>
        <w:rPr>
          <w:rFonts w:hint="eastAsia" w:ascii="仿宋" w:hAnsi="仿宋" w:eastAsia="仿宋" w:cs="仿宋"/>
          <w:sz w:val="32"/>
          <w:szCs w:val="32"/>
          <w:lang w:val="en-US" w:eastAsia="zh-CN"/>
        </w:rPr>
        <w:t>部门</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年度没有使用国有资本经营预算拨款安排的支出</w:t>
      </w:r>
      <w:r>
        <w:rPr>
          <w:rFonts w:hint="eastAsia" w:ascii="仿宋" w:hAnsi="仿宋" w:eastAsia="仿宋" w:cs="仿宋"/>
          <w:sz w:val="32"/>
          <w:szCs w:val="32"/>
          <w:lang w:eastAsia="zh-CN"/>
        </w:rPr>
        <w:t>。</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cstheme="minorBidi"/>
          <w:b w:val="0"/>
          <w:kern w:val="2"/>
          <w:sz w:val="32"/>
          <w:szCs w:val="32"/>
          <w:lang w:eastAsia="zh-CN"/>
        </w:rPr>
        <w:t>、</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1040.10</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877.38</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162.72</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w:t>
      </w:r>
      <w:r>
        <w:rPr>
          <w:rFonts w:hint="eastAsia" w:ascii="黑体" w:hAnsi="黑体" w:eastAsia="黑体" w:cstheme="minorBidi"/>
          <w:b w:val="0"/>
          <w:kern w:val="2"/>
          <w:sz w:val="32"/>
          <w:szCs w:val="32"/>
          <w:lang w:eastAsia="zh-CN"/>
        </w:rPr>
        <w:t>、一般公共预算“三公”经费支出情况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0.00</w:t>
      </w:r>
      <w:r>
        <w:rPr>
          <w:rFonts w:hint="eastAsia" w:ascii="仿宋" w:hAnsi="仿宋" w:eastAsia="仿宋" w:cs="宋体"/>
          <w:kern w:val="0"/>
          <w:sz w:val="32"/>
          <w:szCs w:val="32"/>
        </w:rPr>
        <w:t>万元，</w:t>
      </w:r>
      <w:r>
        <w:rPr>
          <w:rFonts w:hint="eastAsia" w:ascii="仿宋" w:hAnsi="仿宋" w:eastAsia="仿宋" w:cs="仿宋_GB2312"/>
          <w:sz w:val="32"/>
          <w:szCs w:val="32"/>
          <w:lang w:val="en-US" w:eastAsia="zh-CN"/>
        </w:rPr>
        <w:t>上年持平</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未安排人员出国（境）</w:t>
      </w:r>
      <w:r>
        <w:rPr>
          <w:rFonts w:hint="eastAsia" w:ascii="仿宋" w:hAnsi="仿宋" w:eastAsia="仿宋" w:cs="仿宋_GB2312"/>
          <w:sz w:val="32"/>
          <w:szCs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14.70</w:t>
      </w:r>
      <w:r>
        <w:rPr>
          <w:rFonts w:hint="eastAsia" w:ascii="仿宋" w:hAnsi="仿宋" w:eastAsia="仿宋" w:cs="宋体"/>
          <w:kern w:val="0"/>
          <w:sz w:val="32"/>
          <w:szCs w:val="32"/>
        </w:rPr>
        <w:t>万元，</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0.10</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0.68</w:t>
      </w:r>
      <w:r>
        <w:rPr>
          <w:rFonts w:ascii="仿宋" w:hAnsi="仿宋" w:eastAsia="仿宋" w:cs="仿宋_GB2312"/>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严格按照八项规定执行公务接待住宿和用餐标准</w:t>
      </w:r>
      <w:r>
        <w:rPr>
          <w:rFonts w:hint="eastAsia" w:ascii="仿宋" w:hAnsi="仿宋" w:eastAsia="仿宋" w:cs="仿宋_GB2312"/>
          <w:sz w:val="32"/>
          <w:szCs w:val="32"/>
        </w:rPr>
        <w:t>。</w:t>
      </w:r>
    </w:p>
    <w:p>
      <w:pPr>
        <w:widowControl/>
        <w:adjustRightInd w:val="0"/>
        <w:snapToGrid w:val="0"/>
        <w:spacing w:line="600" w:lineRule="exact"/>
        <w:ind w:firstLine="660"/>
        <w:rPr>
          <w:rFonts w:ascii="仿宋" w:hAnsi="仿宋" w:eastAsia="仿宋" w:cs="仿宋_GB2312"/>
          <w:sz w:val="32"/>
          <w:szCs w:val="32"/>
        </w:rPr>
      </w:pP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8.50</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8.50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与上年持平</w:t>
      </w:r>
      <w:r>
        <w:rPr>
          <w:rFonts w:hint="eastAsia" w:ascii="仿宋" w:hAnsi="仿宋" w:eastAsia="仿宋" w:cs="仿宋_GB2312"/>
          <w:sz w:val="32"/>
          <w:szCs w:val="32"/>
        </w:rPr>
        <w:t>；</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合理安排用车</w:t>
      </w:r>
      <w:r>
        <w:rPr>
          <w:rFonts w:hint="eastAsia" w:ascii="仿宋" w:hAnsi="仿宋" w:eastAsia="仿宋" w:cs="仿宋_GB2312"/>
          <w:sz w:val="32"/>
          <w:szCs w:val="32"/>
        </w:rPr>
        <w:t>。</w:t>
      </w:r>
    </w:p>
    <w:p>
      <w:pPr>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七</w:t>
      </w:r>
      <w:r>
        <w:rPr>
          <w:rFonts w:hint="eastAsia" w:ascii="黑体" w:hAnsi="黑体" w:eastAsia="黑体" w:cstheme="minorBidi"/>
          <w:b w:val="0"/>
          <w:kern w:val="2"/>
          <w:sz w:val="32"/>
          <w:szCs w:val="32"/>
          <w:lang w:eastAsia="zh-CN"/>
        </w:rPr>
        <w:t>、</w:t>
      </w:r>
      <w:r>
        <w:rPr>
          <w:rFonts w:hint="eastAsia" w:ascii="黑体" w:hAnsi="黑体" w:eastAsia="黑体" w:cstheme="minorBidi"/>
          <w:b w:val="0"/>
          <w:kern w:val="2"/>
          <w:sz w:val="32"/>
          <w:szCs w:val="32"/>
          <w:lang w:eastAsia="zh-CN"/>
        </w:rPr>
        <w:t>预算绩效目标情况</w:t>
      </w:r>
    </w:p>
    <w:p>
      <w:pPr>
        <w:spacing w:line="590" w:lineRule="exact"/>
        <w:ind w:firstLine="640" w:firstLineChars="200"/>
        <w:rPr>
          <w:rFonts w:ascii="仿宋" w:hAnsi="仿宋" w:eastAsia="仿宋" w:cs="仿宋_GB2312"/>
          <w:b w:val="0"/>
          <w:sz w:val="32"/>
          <w:szCs w:val="32"/>
        </w:rPr>
      </w:pPr>
      <w:r>
        <w:rPr>
          <w:rFonts w:hint="eastAsia" w:ascii="楷体" w:hAnsi="楷体" w:eastAsia="楷体" w:cs="楷体"/>
          <w:kern w:val="0"/>
          <w:sz w:val="32"/>
          <w:szCs w:val="32"/>
        </w:rPr>
        <w:t>（注：关于“七、预算绩效目标情况”具体要求，各市县财政部门可根据实际情况进行调整。）</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w:t>
      </w:r>
      <w:r>
        <w:rPr>
          <w:rFonts w:hint="eastAsia" w:ascii="仿宋" w:hAnsi="仿宋" w:eastAsia="仿宋" w:cs="仿宋"/>
          <w:color w:val="auto"/>
          <w:sz w:val="32"/>
          <w:szCs w:val="32"/>
        </w:rPr>
        <w:t>明溪县</w:t>
      </w:r>
      <w:r>
        <w:rPr>
          <w:rFonts w:hint="eastAsia" w:ascii="仿宋" w:hAnsi="仿宋" w:eastAsia="仿宋" w:cs="仿宋"/>
          <w:color w:val="auto"/>
          <w:sz w:val="32"/>
          <w:szCs w:val="32"/>
          <w:lang w:eastAsia="zh-CN"/>
        </w:rPr>
        <w:t>夏坊</w:t>
      </w:r>
      <w:r>
        <w:rPr>
          <w:rFonts w:hint="eastAsia" w:ascii="仿宋" w:hAnsi="仿宋" w:eastAsia="仿宋" w:cs="仿宋"/>
          <w:color w:val="auto"/>
          <w:sz w:val="32"/>
          <w:szCs w:val="32"/>
        </w:rPr>
        <w:t>乡人民政府</w:t>
      </w:r>
      <w:r>
        <w:rPr>
          <w:rFonts w:hint="eastAsia" w:ascii="仿宋" w:hAnsi="仿宋" w:eastAsia="仿宋" w:cs="仿宋"/>
          <w:color w:val="auto"/>
          <w:sz w:val="32"/>
          <w:szCs w:val="32"/>
          <w:lang w:eastAsia="zh-CN"/>
        </w:rPr>
        <w:t>共设置</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个</w:t>
      </w:r>
      <w:r>
        <w:rPr>
          <w:rFonts w:hint="eastAsia" w:ascii="仿宋" w:hAnsi="仿宋" w:eastAsia="仿宋" w:cs="仿宋_GB2312"/>
          <w:sz w:val="32"/>
          <w:szCs w:val="32"/>
          <w:lang w:val="en-US" w:eastAsia="zh-CN"/>
        </w:rPr>
        <w:t>项目绩效目标</w:t>
      </w:r>
      <w:r>
        <w:rPr>
          <w:rFonts w:hint="eastAsia" w:ascii="仿宋" w:hAnsi="仿宋" w:eastAsia="仿宋" w:cs="仿宋_GB2312"/>
          <w:kern w:val="0"/>
          <w:sz w:val="32"/>
          <w:szCs w:val="32"/>
        </w:rPr>
        <w:t>，共涉及财政拨款资金</w:t>
      </w:r>
      <w:r>
        <w:rPr>
          <w:rFonts w:hint="eastAsia" w:ascii="仿宋" w:hAnsi="仿宋" w:eastAsia="仿宋" w:cs="仿宋_GB2312"/>
          <w:kern w:val="0"/>
          <w:sz w:val="32"/>
          <w:szCs w:val="32"/>
          <w:lang w:val="en-US" w:eastAsia="zh-CN"/>
        </w:rPr>
        <w:t>0.00</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3" w:firstLineChars="200"/>
        <w:rPr>
          <w:rFonts w:ascii="仿宋" w:hAnsi="仿宋" w:eastAsia="仿宋"/>
          <w:b/>
          <w:sz w:val="32"/>
          <w:szCs w:val="32"/>
        </w:rPr>
      </w:pPr>
    </w:p>
    <w:p>
      <w:pPr>
        <w:spacing w:line="590" w:lineRule="exact"/>
        <w:ind w:firstLine="643" w:firstLineChars="200"/>
        <w:rPr>
          <w:rFonts w:ascii="仿宋" w:hAnsi="仿宋" w:eastAsia="仿宋"/>
          <w:b/>
          <w:sz w:val="32"/>
          <w:szCs w:val="32"/>
        </w:rPr>
      </w:pPr>
    </w:p>
    <w:tbl>
      <w:tblPr>
        <w:tblStyle w:val="7"/>
        <w:tblW w:w="8237" w:type="dxa"/>
        <w:tblInd w:w="93"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wAfter w:w="0" w:type="auto"/>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部门业务费绩效目标表</w:t>
            </w:r>
          </w:p>
        </w:tc>
      </w:tr>
      <w:tr>
        <w:tblPrEx>
          <w:tblCellMar>
            <w:top w:w="0" w:type="dxa"/>
            <w:left w:w="108" w:type="dxa"/>
            <w:bottom w:w="0" w:type="dxa"/>
            <w:right w:w="108" w:type="dxa"/>
          </w:tblCellMar>
        </w:tblPrEx>
        <w:trPr>
          <w:trHeight w:val="540" w:hRule="atLeast"/>
        </w:trPr>
        <w:tc>
          <w:tcPr>
            <w:tcW w:w="1575"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0.00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0.00</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全年新增2家企业，积极培植税源。</w:t>
            </w: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日常接待不超预算</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r>
      <w:tr>
        <w:tblPrEx>
          <w:tblCellMar>
            <w:top w:w="0" w:type="dxa"/>
            <w:left w:w="108" w:type="dxa"/>
            <w:bottom w:w="0" w:type="dxa"/>
            <w:right w:w="108" w:type="dxa"/>
          </w:tblCellMar>
        </w:tblPrEx>
        <w:trPr>
          <w:trHeight w:val="60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生态环境成本指标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引进企业经营范围对环境影响程度小</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≥95%</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引进两家企业</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2</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完成招商目标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100%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本年度内完成</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12个月</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工商税收增长</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工商税收≥600万</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无</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协助企业落户事宜</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≥95%</w:t>
            </w:r>
          </w:p>
        </w:tc>
      </w:tr>
    </w:tbl>
    <w:p>
      <w:pPr>
        <w:spacing w:line="590" w:lineRule="exact"/>
        <w:ind w:firstLine="640" w:firstLineChars="200"/>
        <w:rPr>
          <w:rFonts w:ascii="仿宋" w:hAnsi="仿宋" w:eastAsia="仿宋"/>
          <w:sz w:val="32"/>
          <w:szCs w:val="32"/>
        </w:rPr>
      </w:pPr>
      <w:r>
        <w:rPr>
          <w:rFonts w:hint="eastAsia" w:ascii="楷体" w:hAnsi="楷体" w:eastAsia="楷体" w:cs="楷体"/>
          <w:kern w:val="0"/>
          <w:sz w:val="32"/>
          <w:szCs w:val="32"/>
        </w:rPr>
        <w:t>本部门无项目支出绩效目标表</w:t>
      </w:r>
      <w:r>
        <w:rPr>
          <w:rFonts w:hint="eastAsia" w:ascii="楷体" w:hAnsi="楷体" w:eastAsia="楷体" w:cs="楷体"/>
          <w:kern w:val="0"/>
          <w:sz w:val="32"/>
          <w:szCs w:val="32"/>
          <w:lang w:eastAsia="zh-CN"/>
        </w:rPr>
        <w:t>。</w:t>
      </w:r>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本单位202</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年没有进行专项资金绩效自评。</w:t>
      </w:r>
    </w:p>
    <w:p>
      <w:pPr>
        <w:spacing w:line="600" w:lineRule="exact"/>
        <w:rPr>
          <w:rFonts w:ascii="黑体" w:hAnsi="黑体" w:eastAsia="黑体"/>
          <w:b w:val="0"/>
          <w:sz w:val="32"/>
          <w:szCs w:val="32"/>
        </w:rPr>
      </w:pPr>
      <w:r>
        <w:rPr>
          <w:rFonts w:hint="eastAsia" w:ascii="黑体" w:hAnsi="黑体" w:eastAsia="黑体"/>
          <w:b w:val="0"/>
          <w:sz w:val="32"/>
          <w:szCs w:val="32"/>
        </w:rPr>
        <w:t>八</w:t>
      </w:r>
      <w:r>
        <w:rPr>
          <w:rFonts w:hint="eastAsia" w:ascii="黑体" w:hAnsi="黑体" w:eastAsia="黑体"/>
          <w:b w:val="0"/>
          <w:sz w:val="32"/>
          <w:szCs w:val="32"/>
        </w:rPr>
        <w:t>、其他重要事项说明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w:t>
      </w:r>
      <w:r>
        <w:rPr>
          <w:rFonts w:hint="eastAsia" w:ascii="仿宋" w:hAnsi="仿宋" w:eastAsia="仿宋"/>
          <w:sz w:val="32"/>
          <w:szCs w:val="32"/>
        </w:rPr>
        <w:t>一般公共预算拨款安排的机关运行经费支出</w:t>
      </w:r>
      <w:r>
        <w:rPr>
          <w:rFonts w:hint="eastAsia" w:ascii="仿宋" w:hAnsi="仿宋" w:eastAsia="仿宋" w:cs="仿宋_GB2312"/>
          <w:kern w:val="0"/>
          <w:sz w:val="32"/>
          <w:szCs w:val="32"/>
          <w:lang w:val="en-US" w:eastAsia="zh-CN"/>
        </w:rPr>
        <w:t>136.72</w:t>
      </w:r>
      <w:r>
        <w:rPr>
          <w:rFonts w:hint="eastAsia" w:ascii="仿宋" w:hAnsi="仿宋" w:eastAsia="仿宋"/>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17.88</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15.04</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人员增加，机关运行经费支出增加</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2023</w:t>
      </w:r>
      <w:r>
        <w:rPr>
          <w:rFonts w:hint="eastAsia" w:ascii="仿宋" w:hAnsi="仿宋" w:eastAsia="仿宋"/>
          <w:kern w:val="0"/>
          <w:sz w:val="32"/>
          <w:szCs w:val="32"/>
        </w:rPr>
        <w:t>年，</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26</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26</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年12月31日，</w:t>
      </w:r>
      <w:r>
        <w:rPr>
          <w:rFonts w:hint="eastAsia" w:ascii="仿宋" w:hAnsi="仿宋" w:eastAsia="仿宋" w:cs="仿宋"/>
          <w:sz w:val="32"/>
          <w:szCs w:val="32"/>
        </w:rPr>
        <w:t>明溪县</w:t>
      </w:r>
      <w:r>
        <w:rPr>
          <w:rFonts w:hint="eastAsia" w:ascii="仿宋" w:hAnsi="仿宋" w:eastAsia="仿宋" w:cs="仿宋"/>
          <w:sz w:val="32"/>
          <w:szCs w:val="32"/>
          <w:lang w:eastAsia="zh-CN"/>
        </w:rPr>
        <w:t>夏坊</w:t>
      </w:r>
      <w:r>
        <w:rPr>
          <w:rFonts w:hint="eastAsia" w:ascii="仿宋" w:hAnsi="仿宋" w:eastAsia="仿宋" w:cs="仿宋"/>
          <w:sz w:val="32"/>
          <w:szCs w:val="32"/>
        </w:rPr>
        <w:t>乡人民政府本级及所属的预算单位共有车辆2辆</w:t>
      </w:r>
      <w:r>
        <w:rPr>
          <w:rFonts w:hint="eastAsia" w:ascii="仿宋" w:hAnsi="仿宋" w:eastAsia="仿宋"/>
          <w:sz w:val="32"/>
          <w:szCs w:val="32"/>
        </w:rPr>
        <w:t>，其中：省部级领导干部用车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sz w:val="32"/>
          <w:szCs w:val="32"/>
          <w:lang w:val="en-US" w:eastAsia="zh-CN"/>
        </w:rPr>
        <w:t>一般公务</w:t>
      </w:r>
      <w:r>
        <w:rPr>
          <w:rFonts w:hint="eastAsia" w:ascii="仿宋" w:hAnsi="仿宋" w:eastAsia="仿宋"/>
          <w:sz w:val="32"/>
          <w:szCs w:val="32"/>
        </w:rPr>
        <w:t>用车</w:t>
      </w:r>
      <w:r>
        <w:rPr>
          <w:rFonts w:hint="eastAsia" w:ascii="仿宋" w:hAnsi="仿宋" w:eastAsia="仿宋" w:cs="仿宋_GB2312"/>
          <w:kern w:val="0"/>
          <w:sz w:val="32"/>
          <w:szCs w:val="32"/>
          <w:lang w:val="en-US" w:eastAsia="zh-CN"/>
        </w:rPr>
        <w:t>2</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2023</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rPr>
        <w:t>事业单位</w:t>
      </w:r>
      <w:r>
        <w:rPr>
          <w:rFonts w:hint="eastAsia" w:ascii="仿宋" w:hAnsi="仿宋" w:eastAsia="仿宋" w:cs="仿宋"/>
          <w:b/>
          <w:color w:val="000000"/>
          <w:kern w:val="0"/>
          <w:sz w:val="32"/>
          <w:szCs w:val="32"/>
        </w:rPr>
        <w:t>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w:t>
      </w:r>
      <w:r>
        <w:rPr>
          <w:rFonts w:hint="eastAsia" w:ascii="仿宋" w:hAnsi="仿宋" w:eastAsia="仿宋" w:cs="仿宋"/>
          <w:b/>
          <w:color w:val="000000"/>
          <w:kern w:val="0"/>
          <w:sz w:val="32"/>
          <w:szCs w:val="32"/>
        </w:rPr>
        <w:t>、结转结余</w:t>
      </w:r>
      <w:r>
        <w:rPr>
          <w:rFonts w:hint="eastAsia" w:ascii="仿宋" w:hAnsi="仿宋" w:eastAsia="仿宋" w:cs="仿宋"/>
          <w:b/>
          <w:color w:val="000000"/>
          <w:kern w:val="0"/>
          <w:sz w:val="32"/>
          <w:szCs w:val="32"/>
        </w:rPr>
        <w:t>资金</w:t>
      </w:r>
      <w:r>
        <w:rPr>
          <w:rFonts w:hint="eastAsia" w:ascii="仿宋" w:hAnsi="仿宋" w:eastAsia="仿宋" w:cs="仿宋"/>
          <w:b/>
          <w:color w:val="000000"/>
          <w:kern w:val="0"/>
          <w:sz w:val="32"/>
          <w:szCs w:val="32"/>
        </w:rPr>
        <w:t>：</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3"/>
        <w:spacing w:line="600" w:lineRule="exact"/>
        <w:ind w:firstLine="640"/>
        <w:rPr>
          <w:rFonts w:hAnsi="仿宋"/>
          <w:sz w:val="32"/>
          <w:szCs w:val="32"/>
        </w:rPr>
      </w:pPr>
      <w:r>
        <w:rPr>
          <w:rFonts w:hint="eastAsia" w:hAnsi="仿宋"/>
          <w:b/>
          <w:sz w:val="32"/>
          <w:szCs w:val="32"/>
        </w:rPr>
        <w:t>六</w:t>
      </w:r>
      <w:r>
        <w:rPr>
          <w:rFonts w:hint="eastAsia" w:hAnsi="仿宋"/>
          <w:b/>
          <w:sz w:val="32"/>
          <w:szCs w:val="32"/>
        </w:rPr>
        <w:t>、基本支出：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七</w:t>
      </w:r>
      <w:r>
        <w:rPr>
          <w:rFonts w:hint="eastAsia" w:hAnsi="仿宋"/>
          <w:b/>
          <w:sz w:val="32"/>
          <w:szCs w:val="32"/>
        </w:rPr>
        <w:t>、项目支出：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八</w:t>
      </w:r>
      <w:r>
        <w:rPr>
          <w:rFonts w:hint="eastAsia" w:hAnsi="仿宋"/>
          <w:b/>
          <w:sz w:val="32"/>
          <w:szCs w:val="32"/>
        </w:rPr>
        <w:t>、</w:t>
      </w:r>
      <w:r>
        <w:rPr>
          <w:rFonts w:hint="eastAsia" w:hAnsi="仿宋"/>
          <w:b/>
          <w:sz w:val="32"/>
          <w:szCs w:val="32"/>
        </w:rPr>
        <w:t>事业单位</w:t>
      </w:r>
      <w:r>
        <w:rPr>
          <w:rFonts w:hint="eastAsia" w:hAnsi="仿宋"/>
          <w:b/>
          <w:sz w:val="32"/>
          <w:szCs w:val="32"/>
        </w:rPr>
        <w:t>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3"/>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3"/>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3"/>
        <w:spacing w:line="600" w:lineRule="exact"/>
        <w:ind w:firstLine="640"/>
        <w:rPr>
          <w:rFonts w:hAnsi="仿宋"/>
          <w:sz w:val="32"/>
          <w:szCs w:val="32"/>
        </w:rPr>
      </w:pPr>
      <w:r>
        <w:rPr>
          <w:rFonts w:hint="eastAsia" w:hAnsi="仿宋"/>
          <w:b/>
          <w:sz w:val="32"/>
          <w:szCs w:val="32"/>
        </w:rPr>
        <w:t>十一</w:t>
      </w:r>
      <w:r>
        <w:rPr>
          <w:rFonts w:hint="eastAsia" w:hAnsi="仿宋"/>
          <w:b/>
          <w:sz w:val="32"/>
          <w:szCs w:val="32"/>
        </w:rPr>
        <w:t>、</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w:t>
      </w:r>
      <w:r>
        <w:rPr>
          <w:rFonts w:hint="eastAsia" w:ascii="仿宋" w:hAnsi="仿宋" w:eastAsia="仿宋"/>
          <w:b/>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p/>
    <w:p/>
    <w:p/>
    <w:p/>
    <w:p/>
    <w:p/>
    <w:p/>
    <w:p/>
    <w:p/>
    <w:p/>
    <w:p/>
    <w:p/>
    <w:p/>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Mzc4N2U3YTMzNzFhNGQ0YTVmNjQ3MzQzMmMwYjg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6E7F"/>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4290"/>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2B40E52"/>
    <w:rsid w:val="03682CEB"/>
    <w:rsid w:val="04040917"/>
    <w:rsid w:val="04A95C26"/>
    <w:rsid w:val="07AB3B7E"/>
    <w:rsid w:val="08E83BCC"/>
    <w:rsid w:val="0B7218AA"/>
    <w:rsid w:val="0B8E5BC4"/>
    <w:rsid w:val="0D3F6AD8"/>
    <w:rsid w:val="0DC11E7F"/>
    <w:rsid w:val="10294501"/>
    <w:rsid w:val="114F7F97"/>
    <w:rsid w:val="12886570"/>
    <w:rsid w:val="153A0149"/>
    <w:rsid w:val="15AC7CFD"/>
    <w:rsid w:val="15BA241F"/>
    <w:rsid w:val="199649B5"/>
    <w:rsid w:val="1A734590"/>
    <w:rsid w:val="1C4E118A"/>
    <w:rsid w:val="1C687369"/>
    <w:rsid w:val="1DC568AC"/>
    <w:rsid w:val="1E92609D"/>
    <w:rsid w:val="1F971487"/>
    <w:rsid w:val="1F996FAD"/>
    <w:rsid w:val="1FE741BD"/>
    <w:rsid w:val="1FFD6664"/>
    <w:rsid w:val="24514DFE"/>
    <w:rsid w:val="267C312E"/>
    <w:rsid w:val="26BB1EFF"/>
    <w:rsid w:val="296F1FFA"/>
    <w:rsid w:val="2A910D3F"/>
    <w:rsid w:val="2D9B240A"/>
    <w:rsid w:val="2EF76207"/>
    <w:rsid w:val="2F72255B"/>
    <w:rsid w:val="30017081"/>
    <w:rsid w:val="313925D7"/>
    <w:rsid w:val="31682C84"/>
    <w:rsid w:val="32FC3D52"/>
    <w:rsid w:val="371142A7"/>
    <w:rsid w:val="37FB5FB3"/>
    <w:rsid w:val="3825170D"/>
    <w:rsid w:val="382D01A4"/>
    <w:rsid w:val="38FB618B"/>
    <w:rsid w:val="39B85571"/>
    <w:rsid w:val="3A2D57B3"/>
    <w:rsid w:val="3B314DC9"/>
    <w:rsid w:val="3C236125"/>
    <w:rsid w:val="3D1B4654"/>
    <w:rsid w:val="3DC7040C"/>
    <w:rsid w:val="401A25E2"/>
    <w:rsid w:val="40ED3C67"/>
    <w:rsid w:val="41FF27AC"/>
    <w:rsid w:val="441445A5"/>
    <w:rsid w:val="451B1E6A"/>
    <w:rsid w:val="455B3988"/>
    <w:rsid w:val="46AD1D38"/>
    <w:rsid w:val="48AD0383"/>
    <w:rsid w:val="4A655B5A"/>
    <w:rsid w:val="4A797BBD"/>
    <w:rsid w:val="4ACC5BD9"/>
    <w:rsid w:val="4B440FCE"/>
    <w:rsid w:val="4C0A79B1"/>
    <w:rsid w:val="4D424BF3"/>
    <w:rsid w:val="4EF77A6E"/>
    <w:rsid w:val="51181B78"/>
    <w:rsid w:val="53231A60"/>
    <w:rsid w:val="53A87E6D"/>
    <w:rsid w:val="54A50937"/>
    <w:rsid w:val="55241F81"/>
    <w:rsid w:val="556B7EF8"/>
    <w:rsid w:val="55C1014F"/>
    <w:rsid w:val="57931F59"/>
    <w:rsid w:val="5B934D72"/>
    <w:rsid w:val="5BCD1176"/>
    <w:rsid w:val="5C981DBF"/>
    <w:rsid w:val="5D2E002E"/>
    <w:rsid w:val="5F473629"/>
    <w:rsid w:val="5F66156B"/>
    <w:rsid w:val="602E1CDB"/>
    <w:rsid w:val="612E1517"/>
    <w:rsid w:val="626A0161"/>
    <w:rsid w:val="632629F4"/>
    <w:rsid w:val="6343779D"/>
    <w:rsid w:val="65B21EA0"/>
    <w:rsid w:val="65C46D60"/>
    <w:rsid w:val="65E6594A"/>
    <w:rsid w:val="660D737A"/>
    <w:rsid w:val="6AB76B53"/>
    <w:rsid w:val="6D6C721B"/>
    <w:rsid w:val="6FF46EB5"/>
    <w:rsid w:val="7042571A"/>
    <w:rsid w:val="727F76BF"/>
    <w:rsid w:val="73AE6B2C"/>
    <w:rsid w:val="73FB6A64"/>
    <w:rsid w:val="74394FD1"/>
    <w:rsid w:val="75091655"/>
    <w:rsid w:val="75216057"/>
    <w:rsid w:val="75705230"/>
    <w:rsid w:val="762E2999"/>
    <w:rsid w:val="768177CF"/>
    <w:rsid w:val="76CC0B8C"/>
    <w:rsid w:val="7733232C"/>
    <w:rsid w:val="799C6662"/>
    <w:rsid w:val="79E64555"/>
    <w:rsid w:val="7C224F06"/>
    <w:rsid w:val="7D6A4D38"/>
    <w:rsid w:val="7DE12CE2"/>
    <w:rsid w:val="7DF74740"/>
    <w:rsid w:val="7EC30AC6"/>
    <w:rsid w:val="7F7E636A"/>
    <w:rsid w:val="7F9F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2"/>
    <w:unhideWhenUsed/>
    <w:qFormat/>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qFormat/>
    <w:uiPriority w:val="1"/>
    <w:rPr>
      <w:rFonts w:ascii="Times New Roman" w:hAnsi="Times New Roman" w:eastAsia="Times New Roman" w:cs="Times New Roman"/>
      <w:kern w:val="0"/>
      <w:sz w:val="20"/>
      <w:szCs w:val="20"/>
      <w:lang w:eastAsia="en-US"/>
    </w:rPr>
  </w:style>
  <w:style w:type="character" w:customStyle="1" w:styleId="12">
    <w:name w:val="批注框文本 Char"/>
    <w:basedOn w:val="8"/>
    <w:link w:val="3"/>
    <w:semiHidden/>
    <w:qFormat/>
    <w:uiPriority w:val="99"/>
    <w:rPr>
      <w:sz w:val="18"/>
      <w:szCs w:val="18"/>
    </w:rPr>
  </w:style>
  <w:style w:type="paragraph" w:customStyle="1" w:styleId="1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4">
    <w:name w:val="列出段落1"/>
    <w:basedOn w:val="1"/>
    <w:qFormat/>
    <w:uiPriority w:val="34"/>
    <w:pPr>
      <w:ind w:firstLine="420" w:firstLineChars="200"/>
    </w:p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8550</Words>
  <Characters>11144</Characters>
  <Lines>95</Lines>
  <Paragraphs>26</Paragraphs>
  <TotalTime>9</TotalTime>
  <ScaleCrop>false</ScaleCrop>
  <LinksUpToDate>false</LinksUpToDate>
  <CharactersWithSpaces>11390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陈洁</cp:lastModifiedBy>
  <cp:lastPrinted>2023-01-03T09:16:00Z</cp:lastPrinted>
  <dcterms:modified xsi:type="dcterms:W3CDTF">2023-09-19T02:21:07Z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1674FCAB01CA4BDD8B45413317D565E2_13</vt:lpwstr>
  </property>
</Properties>
</file>