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bookmarkStart w:id="0" w:name="_GoBack"/>
      <w:bookmarkEnd w:id="0"/>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2023</w:t>
      </w:r>
      <w:r>
        <w:rPr>
          <w:rFonts w:hint="eastAsia" w:ascii="方正小标宋简体" w:eastAsia="方正小标宋简体"/>
          <w:sz w:val="84"/>
          <w:szCs w:val="84"/>
        </w:rPr>
        <w:t>年度</w:t>
      </w:r>
    </w:p>
    <w:p>
      <w:pPr>
        <w:widowControl/>
        <w:jc w:val="center"/>
        <w:rPr>
          <w:rFonts w:hint="eastAsia" w:ascii="方正小标宋简体" w:eastAsia="方正小标宋简体"/>
          <w:sz w:val="84"/>
          <w:szCs w:val="84"/>
          <w:lang w:eastAsia="zh-CN"/>
        </w:rPr>
      </w:pPr>
      <w:r>
        <w:rPr>
          <w:rFonts w:hint="eastAsia" w:ascii="方正小标宋简体" w:eastAsia="方正小标宋简体"/>
          <w:sz w:val="84"/>
          <w:szCs w:val="84"/>
          <w:lang w:eastAsia="zh-CN"/>
        </w:rPr>
        <w:t>明溪县信访局</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2"/>
        <w:rPr>
          <w:rFonts w:asciiTheme="majorEastAsia" w:hAnsiTheme="majorEastAsia" w:eastAsiaTheme="majorEastAsia"/>
          <w:sz w:val="36"/>
          <w:lang w:eastAsia="zh-CN"/>
        </w:rPr>
      </w:pPr>
    </w:p>
    <w:p>
      <w:pPr>
        <w:pStyle w:val="2"/>
        <w:rPr>
          <w:rFonts w:hint="default" w:ascii="仿宋" w:hAnsi="仿宋" w:eastAsia="仿宋"/>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4</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6</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6</w:t>
      </w:r>
    </w:p>
    <w:p>
      <w:pPr>
        <w:pStyle w:val="2"/>
        <w:rPr>
          <w:rFonts w:hint="default" w:ascii="仿宋" w:hAnsi="仿宋" w:eastAsia="仿宋"/>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2023</w:t>
      </w:r>
      <w:r>
        <w:rPr>
          <w:rFonts w:hint="eastAsia" w:ascii="仿宋" w:hAnsi="仿宋" w:eastAsia="仿宋"/>
          <w:b/>
          <w:sz w:val="36"/>
          <w:lang w:eastAsia="zh-CN"/>
        </w:rPr>
        <w:t>年度部门预算表</w:t>
      </w:r>
      <w:r>
        <w:rPr>
          <w:rFonts w:ascii="仿宋" w:hAnsi="仿宋" w:eastAsia="仿宋"/>
          <w:sz w:val="36"/>
          <w:lang w:eastAsia="zh-CN"/>
        </w:rPr>
        <w:t>………………………</w:t>
      </w:r>
      <w:r>
        <w:rPr>
          <w:rFonts w:hint="eastAsia" w:ascii="仿宋" w:hAnsi="仿宋" w:eastAsia="仿宋"/>
          <w:sz w:val="36"/>
          <w:lang w:val="en-US" w:eastAsia="zh-CN"/>
        </w:rPr>
        <w:t>8</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9</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11</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12</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13</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15</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r>
        <w:rPr>
          <w:rFonts w:hint="eastAsia" w:ascii="仿宋" w:hAnsi="仿宋" w:eastAsia="仿宋"/>
          <w:sz w:val="36"/>
          <w:lang w:val="en-US" w:eastAsia="zh-CN"/>
        </w:rPr>
        <w:t>16</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17</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r>
        <w:rPr>
          <w:rFonts w:hint="eastAsia" w:ascii="仿宋" w:hAnsi="仿宋" w:eastAsia="仿宋"/>
          <w:sz w:val="36"/>
          <w:lang w:val="en-US" w:eastAsia="zh-CN"/>
        </w:rPr>
        <w:t>18</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r>
        <w:rPr>
          <w:rFonts w:hint="eastAsia" w:ascii="仿宋" w:hAnsi="仿宋" w:eastAsia="仿宋"/>
          <w:sz w:val="36"/>
          <w:lang w:val="en-US" w:eastAsia="zh-CN"/>
        </w:rPr>
        <w:t>19</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r>
        <w:rPr>
          <w:rFonts w:hint="eastAsia" w:ascii="仿宋" w:hAnsi="仿宋" w:eastAsia="仿宋"/>
          <w:sz w:val="36"/>
          <w:lang w:val="en-US" w:eastAsia="zh-CN"/>
        </w:rPr>
        <w:t>23</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十一、部门专项资金管理清单目录</w:t>
      </w:r>
      <w:r>
        <w:rPr>
          <w:rFonts w:ascii="仿宋" w:hAnsi="仿宋" w:eastAsia="仿宋"/>
          <w:sz w:val="36"/>
          <w:lang w:eastAsia="zh-CN"/>
        </w:rPr>
        <w:t>………………</w:t>
      </w:r>
      <w:r>
        <w:rPr>
          <w:rFonts w:hint="eastAsia" w:ascii="仿宋" w:hAnsi="仿宋" w:eastAsia="仿宋"/>
          <w:sz w:val="36"/>
          <w:lang w:val="en-US" w:eastAsia="zh-CN"/>
        </w:rPr>
        <w:t>24</w:t>
      </w:r>
    </w:p>
    <w:p>
      <w:pPr>
        <w:widowControl/>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val="en-US" w:eastAsia="zh-CN"/>
        </w:rPr>
        <w:t>2023</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25</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五、</w:t>
      </w:r>
      <w:r>
        <w:rPr>
          <w:rFonts w:hint="eastAsia" w:ascii="仿宋" w:hAnsi="仿宋" w:eastAsia="仿宋" w:cs="Times New Roman"/>
          <w:kern w:val="0"/>
          <w:sz w:val="36"/>
          <w:szCs w:val="20"/>
          <w:highlight w:val="none"/>
        </w:rPr>
        <w:t>一般公共预算</w:t>
      </w:r>
      <w:r>
        <w:rPr>
          <w:rFonts w:hint="eastAsia" w:ascii="仿宋" w:hAnsi="仿宋" w:eastAsia="仿宋" w:cs="Times New Roman"/>
          <w:kern w:val="0"/>
          <w:sz w:val="36"/>
          <w:szCs w:val="20"/>
        </w:rPr>
        <w:t>拨款基本支出情况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28</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28</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29</w:t>
      </w:r>
    </w:p>
    <w:p>
      <w:pPr>
        <w:pStyle w:val="2"/>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30</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2"/>
        <w:rPr>
          <w:rFonts w:ascii="黑体" w:hAnsi="黑体" w:eastAsia="黑体"/>
          <w:sz w:val="36"/>
          <w:szCs w:val="36"/>
          <w:lang w:eastAsia="zh-CN"/>
        </w:rPr>
      </w:pPr>
    </w:p>
    <w:p>
      <w:pPr>
        <w:pStyle w:val="2"/>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信访局</w:t>
      </w:r>
      <w:r>
        <w:rPr>
          <w:rFonts w:hint="eastAsia" w:ascii="仿宋" w:hAnsi="仿宋" w:eastAsia="仿宋"/>
          <w:sz w:val="32"/>
          <w:szCs w:val="32"/>
        </w:rPr>
        <w:t>的主要职责是：</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（一）负责处理国内群众、境外人士、法人及其他组织通过信访渠道给县委、县政府及县委、县政府负责同志的来信、来访、来邮、来电及网络信访，保证信访渠道畅通。</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（二）负责及时、准确地向县委、县政府及县委、县政府负责同志反映群众信访中提出的重要建议、意见和问题，分析研究全县信访工作情况，提出改进工作、完善政策和给予处分的建议。</w:t>
      </w:r>
    </w:p>
    <w:p>
      <w:pPr>
        <w:ind w:firstLine="640" w:firstLineChars="200"/>
        <w:rPr>
          <w:rFonts w:hint="eastAsia" w:ascii="仿宋" w:hAnsi="仿宋" w:eastAsia="仿宋"/>
          <w:sz w:val="32"/>
          <w:szCs w:val="32"/>
        </w:rPr>
      </w:pPr>
      <w:r>
        <w:rPr>
          <w:rFonts w:hint="eastAsia" w:ascii="仿宋" w:hAnsi="仿宋" w:eastAsia="仿宋"/>
          <w:sz w:val="32"/>
          <w:szCs w:val="32"/>
        </w:rPr>
        <w:t>（三）综合协调、指导和监督全县信访工作，综合协调处理跨部门、跨行业的重要信访问题，依法依规受理、交办、转送和督办信访事项，推动信访工作责任制落实。</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研究、起草有关信访工作的文件，总结推广乡镇和县直部门信访工作经验，并对各乡镇党委政府和县直部门的信访工作情况进行年度考核。</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负责县领导接待群众来访的各项服务工作，承办县委、县政府领导交办的信访事项，督促检查领导同志有关批示件和接访件的办理落实情况。</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制定信访问题排查化解制度并组织实施，建立和完善信访信息汇集分析机制，指导全县信访信息系统建设和应用。协调信访工作的宣传和信息发布。</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加强全县信访工作队伍建设，组织全县信访干部培训。</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（八）</w:t>
      </w:r>
      <w:r>
        <w:rPr>
          <w:rFonts w:hint="eastAsia" w:ascii="仿宋" w:hAnsi="仿宋" w:eastAsia="仿宋"/>
          <w:sz w:val="32"/>
          <w:szCs w:val="32"/>
        </w:rPr>
        <w:t>完成县委、县政府交办的其他任务。</w:t>
      </w: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cs="仿宋_GB2312"/>
          <w:sz w:val="32"/>
          <w:szCs w:val="32"/>
          <w:lang w:eastAsia="zh-CN"/>
        </w:rPr>
        <w:t>信访局</w:t>
      </w:r>
      <w:r>
        <w:rPr>
          <w:rFonts w:hint="eastAsia" w:ascii="仿宋" w:hAnsi="仿宋" w:eastAsia="仿宋"/>
          <w:sz w:val="32"/>
          <w:szCs w:val="32"/>
        </w:rPr>
        <w:t>包括</w:t>
      </w:r>
      <w:r>
        <w:rPr>
          <w:rFonts w:hint="eastAsia" w:ascii="仿宋" w:hAnsi="仿宋" w:eastAsia="仿宋" w:cs="仿宋_GB2312"/>
          <w:sz w:val="32"/>
          <w:szCs w:val="32"/>
          <w:lang w:val="en-US" w:eastAsia="zh-CN"/>
        </w:rPr>
        <w:t>1</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1</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2023</w:t>
      </w:r>
      <w:r>
        <w:rPr>
          <w:rFonts w:hint="eastAsia" w:ascii="仿宋" w:hAnsi="仿宋" w:eastAsia="仿宋"/>
          <w:sz w:val="32"/>
          <w:szCs w:val="32"/>
        </w:rPr>
        <w:t>年部门预算编制范围的单位详细情况见下表:</w:t>
      </w:r>
    </w:p>
    <w:tbl>
      <w:tblPr>
        <w:tblStyle w:val="6"/>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明溪县信访局</w:t>
            </w:r>
          </w:p>
        </w:tc>
        <w:tc>
          <w:tcPr>
            <w:tcW w:w="2189"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财政核拨</w:t>
            </w:r>
          </w:p>
        </w:tc>
        <w:tc>
          <w:tcPr>
            <w:tcW w:w="2087"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明溪县信访服务中心</w:t>
            </w:r>
          </w:p>
        </w:tc>
        <w:tc>
          <w:tcPr>
            <w:tcW w:w="2189"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财政核拨</w:t>
            </w:r>
          </w:p>
        </w:tc>
        <w:tc>
          <w:tcPr>
            <w:tcW w:w="2087"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val="en-US" w:eastAsia="zh-CN"/>
              </w:rPr>
              <w:t>2</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2023</w:t>
      </w:r>
      <w:r>
        <w:rPr>
          <w:rFonts w:hint="eastAsia" w:ascii="仿宋" w:hAnsi="仿宋" w:eastAsia="仿宋"/>
          <w:sz w:val="32"/>
          <w:szCs w:val="32"/>
        </w:rPr>
        <w:t>年，</w:t>
      </w:r>
      <w:r>
        <w:rPr>
          <w:rFonts w:hint="eastAsia" w:ascii="仿宋" w:hAnsi="仿宋" w:eastAsia="仿宋" w:cs="仿宋_GB2312"/>
          <w:sz w:val="32"/>
          <w:szCs w:val="32"/>
        </w:rPr>
        <w:t>信访局部门主要任务是：认真处理来信、接待来访，倾听人民群众的意见、建议和要求，承办上级和本级人民政府交由处理的信访事项,协调处理重要信访事项。</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围绕上述任务，重点抓好以下工作：</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（一）全国及省、市“两会”期间信访维稳工作。</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（二）其他重要节点期间信访维稳工作。</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（三）受理、交办、转送信访人提出的信访事项；承办上级和本级人民政府交由处理的信访事项；协调处理重要信访事项；督促检查信访事项的处理。</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（四）县领导接待群众来访的各项服务工作，承办县委、县政府领导交办的信访事项，督促检查领导同志有关批示件和接访件的办理落实情况。</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（五）加强全县信访工作队伍建设，组织全县信访干部培训。</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（六）完成县委、县政府交办的其他任务。</w:t>
      </w:r>
    </w:p>
    <w:p>
      <w:pPr>
        <w:ind w:firstLine="640" w:firstLineChars="200"/>
        <w:rPr>
          <w:rFonts w:ascii="仿宋" w:hAnsi="仿宋" w:eastAsia="仿宋" w:cs="仿宋_GB2312"/>
          <w:sz w:val="32"/>
          <w:szCs w:val="32"/>
        </w:rPr>
      </w:pPr>
    </w:p>
    <w:p>
      <w:pPr>
        <w:pStyle w:val="2"/>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6"/>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115.56</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115.56</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color w:val="auto"/>
                <w:kern w:val="0"/>
                <w:sz w:val="18"/>
                <w:szCs w:val="18"/>
                <w:highlight w:val="none"/>
                <w:shd w:val="clear"/>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115.56</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115.56</w:t>
            </w:r>
            <w:r>
              <w:rPr>
                <w:rFonts w:hint="eastAsia" w:ascii="宋体" w:hAnsi="宋体" w:eastAsia="宋体" w:cs="宋体"/>
                <w:b/>
                <w:kern w:val="0"/>
                <w:sz w:val="22"/>
              </w:rPr>
              <w:t>　</w:t>
            </w:r>
          </w:p>
        </w:tc>
      </w:tr>
    </w:tbl>
    <w:p>
      <w:pPr>
        <w:widowControl/>
        <w:spacing w:line="300" w:lineRule="auto"/>
        <w:jc w:val="left"/>
        <w:rPr>
          <w:rFonts w:ascii="楷体" w:hAnsi="楷体" w:eastAsia="楷体" w:cs="Times New Roman"/>
          <w:kern w:val="0"/>
          <w:sz w:val="21"/>
          <w:szCs w:val="21"/>
        </w:rPr>
      </w:pPr>
      <w:r>
        <w:rPr>
          <w:rFonts w:hint="eastAsia" w:ascii="楷体" w:hAnsi="楷体" w:eastAsia="楷体" w:cs="Times New Roman"/>
          <w:kern w:val="0"/>
          <w:sz w:val="21"/>
          <w:szCs w:val="21"/>
        </w:rPr>
        <w:t>编报说明</w:t>
      </w:r>
      <w:r>
        <w:rPr>
          <w:rFonts w:hint="eastAsia" w:ascii="楷体" w:hAnsi="楷体" w:eastAsia="楷体" w:cs="Times New Roman"/>
          <w:kern w:val="0"/>
          <w:szCs w:val="21"/>
        </w:rPr>
        <w:t>（制作文本时请删除“编报说明”内容）</w:t>
      </w:r>
      <w:r>
        <w:rPr>
          <w:rFonts w:hint="eastAsia" w:ascii="楷体" w:hAnsi="楷体" w:eastAsia="楷体" w:cs="Times New Roman"/>
          <w:kern w:val="0"/>
          <w:sz w:val="21"/>
          <w:szCs w:val="21"/>
        </w:rPr>
        <w:t>：</w:t>
      </w:r>
    </w:p>
    <w:p>
      <w:pPr>
        <w:tabs>
          <w:tab w:val="left" w:pos="7513"/>
        </w:tabs>
        <w:adjustRightInd/>
        <w:snapToGrid/>
        <w:spacing w:line="300" w:lineRule="auto"/>
        <w:ind w:firstLine="420" w:firstLineChars="200"/>
        <w:jc w:val="left"/>
        <w:rPr>
          <w:rFonts w:ascii="楷体" w:hAnsi="楷体" w:eastAsia="楷体" w:cs="Times New Roman"/>
          <w:kern w:val="0"/>
          <w:szCs w:val="21"/>
        </w:rPr>
      </w:pPr>
      <w:r>
        <w:rPr>
          <w:rFonts w:ascii="楷体" w:hAnsi="楷体" w:eastAsia="楷体" w:cs="Times New Roman"/>
          <w:kern w:val="0"/>
          <w:sz w:val="21"/>
          <w:szCs w:val="21"/>
        </w:rPr>
        <w:t>1.部门预算信息公开报表</w:t>
      </w:r>
      <w:r>
        <w:rPr>
          <w:rFonts w:hint="eastAsia" w:ascii="楷体" w:hAnsi="楷体" w:eastAsia="楷体" w:cs="Times New Roman"/>
          <w:kern w:val="0"/>
          <w:szCs w:val="21"/>
        </w:rPr>
        <w:t>请从</w:t>
      </w:r>
      <w:r>
        <w:rPr>
          <w:rFonts w:hint="eastAsia" w:ascii="楷体" w:hAnsi="楷体" w:eastAsia="楷体" w:cs="Times New Roman"/>
          <w:kern w:val="0"/>
          <w:sz w:val="21"/>
          <w:szCs w:val="21"/>
        </w:rPr>
        <w:t>财政一体化系统导出，制作文本时请删除表格下方</w:t>
      </w:r>
      <w:r>
        <w:rPr>
          <w:rFonts w:hint="eastAsia" w:ascii="楷体" w:hAnsi="楷体" w:eastAsia="楷体" w:cs="Times New Roman"/>
          <w:kern w:val="0"/>
          <w:szCs w:val="21"/>
        </w:rPr>
        <w:t>“编报说明”有关内容</w:t>
      </w:r>
      <w:r>
        <w:rPr>
          <w:rFonts w:hint="eastAsia" w:ascii="楷体" w:hAnsi="楷体" w:eastAsia="楷体" w:cs="Times New Roman"/>
          <w:kern w:val="0"/>
          <w:sz w:val="21"/>
          <w:szCs w:val="21"/>
        </w:rPr>
        <w:t>（下同）；</w:t>
      </w:r>
    </w:p>
    <w:p>
      <w:pPr>
        <w:tabs>
          <w:tab w:val="left" w:pos="7513"/>
        </w:tabs>
        <w:adjustRightInd/>
        <w:snapToGrid/>
        <w:spacing w:line="300" w:lineRule="auto"/>
        <w:ind w:firstLine="420" w:firstLineChars="200"/>
        <w:jc w:val="left"/>
        <w:rPr>
          <w:rFonts w:ascii="楷体" w:hAnsi="楷体" w:eastAsia="楷体" w:cs="Times New Roman"/>
          <w:kern w:val="0"/>
          <w:szCs w:val="21"/>
        </w:rPr>
      </w:pPr>
      <w:r>
        <w:rPr>
          <w:rFonts w:ascii="楷体" w:hAnsi="楷体" w:eastAsia="楷体" w:cs="Times New Roman"/>
          <w:kern w:val="0"/>
          <w:szCs w:val="21"/>
        </w:rPr>
        <w:t>2.表中涉密项目请按《福建省财政厅关于印发福建省预决算公开操作规程的通知》（</w:t>
      </w:r>
      <w:r>
        <w:rPr>
          <w:rFonts w:hint="eastAsia" w:ascii="楷体" w:hAnsi="楷体" w:eastAsia="楷体" w:cs="Times New Roman"/>
          <w:kern w:val="0"/>
          <w:szCs w:val="21"/>
        </w:rPr>
        <w:t>闽财预〔</w:t>
      </w:r>
      <w:r>
        <w:rPr>
          <w:rFonts w:ascii="楷体" w:hAnsi="楷体" w:eastAsia="楷体" w:cs="Times New Roman"/>
          <w:kern w:val="0"/>
          <w:szCs w:val="21"/>
        </w:rPr>
        <w:t>2017〕38号）有关规定对收入、支出有关金额同步进行处理，并保持与后续表格数据勾</w:t>
      </w:r>
      <w:r>
        <w:rPr>
          <w:rFonts w:hint="eastAsia" w:ascii="楷体" w:hAnsi="楷体" w:eastAsia="楷体" w:cs="Times New Roman"/>
          <w:kern w:val="0"/>
          <w:szCs w:val="21"/>
        </w:rPr>
        <w:t>稽关系一致（下同）；</w:t>
      </w:r>
    </w:p>
    <w:p>
      <w:pPr>
        <w:tabs>
          <w:tab w:val="left" w:pos="7513"/>
        </w:tabs>
        <w:adjustRightInd/>
        <w:snapToGrid/>
        <w:spacing w:line="300" w:lineRule="auto"/>
        <w:ind w:firstLine="420" w:firstLineChars="200"/>
        <w:jc w:val="left"/>
        <w:rPr>
          <w:rFonts w:ascii="楷体" w:hAnsi="楷体" w:eastAsia="楷体" w:cs="Times New Roman"/>
          <w:kern w:val="0"/>
          <w:szCs w:val="21"/>
        </w:rPr>
      </w:pPr>
      <w:r>
        <w:rPr>
          <w:rFonts w:ascii="楷体" w:hAnsi="楷体" w:eastAsia="楷体" w:cs="Times New Roman"/>
          <w:kern w:val="0"/>
          <w:szCs w:val="21"/>
        </w:rPr>
        <w:t>3.</w:t>
      </w:r>
      <w:r>
        <w:rPr>
          <w:rFonts w:hint="eastAsia" w:ascii="楷体" w:hAnsi="楷体" w:eastAsia="楷体" w:cs="Times New Roman"/>
          <w:kern w:val="0"/>
          <w:szCs w:val="21"/>
        </w:rPr>
        <w:t>新的表格请另起一页（下同）；</w:t>
      </w:r>
    </w:p>
    <w:p>
      <w:pPr>
        <w:tabs>
          <w:tab w:val="left" w:pos="7513"/>
        </w:tabs>
        <w:adjustRightInd/>
        <w:snapToGrid/>
        <w:spacing w:line="300" w:lineRule="auto"/>
        <w:ind w:firstLine="420" w:firstLineChars="200"/>
        <w:jc w:val="left"/>
        <w:rPr>
          <w:rFonts w:ascii="楷体" w:hAnsi="楷体" w:eastAsia="楷体" w:cs="Times New Roman"/>
          <w:kern w:val="0"/>
          <w:sz w:val="21"/>
          <w:szCs w:val="21"/>
        </w:rPr>
      </w:pPr>
      <w:r>
        <w:rPr>
          <w:rFonts w:hint="eastAsia" w:ascii="楷体" w:hAnsi="楷体" w:eastAsia="楷体" w:cs="Times New Roman"/>
          <w:kern w:val="0"/>
          <w:szCs w:val="21"/>
        </w:rPr>
        <w:t>4.本表支出项目中没有金额的项目，可以根据需要删除；</w:t>
      </w:r>
    </w:p>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5</w:t>
      </w:r>
      <w:r>
        <w:rPr>
          <w:rFonts w:ascii="楷体" w:hAnsi="楷体" w:eastAsia="楷体" w:cs="Times New Roman"/>
          <w:kern w:val="0"/>
          <w:szCs w:val="21"/>
        </w:rPr>
        <w:t>.</w:t>
      </w:r>
      <w:r>
        <w:rPr>
          <w:rFonts w:hint="eastAsia" w:ascii="楷体" w:hAnsi="楷体" w:eastAsia="楷体" w:cs="Times New Roman"/>
          <w:kern w:val="0"/>
          <w:szCs w:val="21"/>
        </w:rPr>
        <w:t>本表有关金额应与第三部分“一、预算收支总体情况”说明保持一致，并与后续表格对应项目保持数据勾稽关系一致，如：“</w:t>
      </w:r>
      <w:r>
        <w:rPr>
          <w:rFonts w:hint="eastAsia" w:ascii="楷体" w:hAnsi="楷体" w:eastAsia="楷体" w:cs="宋体"/>
          <w:kern w:val="0"/>
          <w:sz w:val="21"/>
          <w:szCs w:val="21"/>
        </w:rPr>
        <w:t>一般公共预算拨款</w:t>
      </w:r>
      <w:r>
        <w:rPr>
          <w:rFonts w:hint="eastAsia" w:ascii="楷体" w:hAnsi="楷体" w:eastAsia="楷体" w:cs="宋体"/>
          <w:kern w:val="0"/>
          <w:szCs w:val="21"/>
        </w:rPr>
        <w:t>收入</w:t>
      </w:r>
      <w:r>
        <w:rPr>
          <w:rFonts w:hint="eastAsia" w:ascii="楷体" w:hAnsi="楷体" w:eastAsia="楷体" w:cs="Times New Roman"/>
          <w:kern w:val="0"/>
          <w:szCs w:val="21"/>
        </w:rPr>
        <w:t>”、“</w:t>
      </w:r>
      <w:r>
        <w:rPr>
          <w:rFonts w:hint="eastAsia" w:ascii="楷体" w:hAnsi="楷体" w:eastAsia="楷体" w:cs="宋体"/>
          <w:kern w:val="0"/>
          <w:sz w:val="21"/>
          <w:szCs w:val="21"/>
        </w:rPr>
        <w:t>政府性基金预算拨款</w:t>
      </w:r>
      <w:r>
        <w:rPr>
          <w:rFonts w:hint="eastAsia" w:ascii="楷体" w:hAnsi="楷体" w:eastAsia="楷体" w:cs="宋体"/>
          <w:kern w:val="0"/>
          <w:szCs w:val="21"/>
        </w:rPr>
        <w:t>收入</w:t>
      </w:r>
      <w:r>
        <w:rPr>
          <w:rFonts w:hint="eastAsia" w:ascii="楷体" w:hAnsi="楷体" w:eastAsia="楷体" w:cs="Times New Roman"/>
          <w:kern w:val="0"/>
          <w:szCs w:val="21"/>
        </w:rPr>
        <w:t>”、“</w:t>
      </w:r>
      <w:r>
        <w:rPr>
          <w:rFonts w:hint="eastAsia" w:ascii="楷体" w:hAnsi="楷体" w:eastAsia="楷体" w:cs="宋体"/>
          <w:kern w:val="0"/>
          <w:sz w:val="21"/>
          <w:szCs w:val="21"/>
        </w:rPr>
        <w:t>国有资本经营预算拨款</w:t>
      </w:r>
      <w:r>
        <w:rPr>
          <w:rFonts w:hint="eastAsia" w:ascii="楷体" w:hAnsi="楷体" w:eastAsia="楷体" w:cs="宋体"/>
          <w:kern w:val="0"/>
          <w:szCs w:val="21"/>
        </w:rPr>
        <w:t>收入</w:t>
      </w:r>
      <w:r>
        <w:rPr>
          <w:rFonts w:hint="eastAsia" w:ascii="楷体" w:hAnsi="楷体" w:eastAsia="楷体" w:cs="Times New Roman"/>
          <w:kern w:val="0"/>
          <w:szCs w:val="21"/>
        </w:rPr>
        <w:t>”金额应与表四《××年度财政拨款收支预算总表》对应项目及后续说明保持数据勾稽关系一致。</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6"/>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115.56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201</w:t>
            </w:r>
          </w:p>
        </w:tc>
        <w:tc>
          <w:tcPr>
            <w:tcW w:w="1251" w:type="dxa"/>
            <w:gridSpan w:val="2"/>
            <w:tcBorders>
              <w:top w:val="nil"/>
              <w:left w:val="nil"/>
              <w:bottom w:val="single" w:color="auto" w:sz="4" w:space="0"/>
              <w:right w:val="single" w:color="auto" w:sz="4" w:space="0"/>
            </w:tcBorders>
            <w:shd w:val="clear" w:color="auto" w:fill="auto"/>
            <w:vAlign w:val="center"/>
          </w:tcPr>
          <w:p>
            <w:pPr>
              <w:widowControl/>
              <w:tabs>
                <w:tab w:val="left" w:pos="464"/>
              </w:tabs>
              <w:spacing w:line="240" w:lineRule="auto"/>
              <w:jc w:val="left"/>
              <w:rPr>
                <w:rFonts w:ascii="宋体" w:hAnsi="宋体" w:eastAsia="宋体" w:cs="宋体"/>
                <w:kern w:val="0"/>
                <w:sz w:val="22"/>
              </w:rPr>
            </w:pPr>
            <w:r>
              <w:rPr>
                <w:rFonts w:hint="eastAsia" w:ascii="宋体" w:hAnsi="宋体" w:eastAsia="宋体" w:cs="宋体"/>
                <w:kern w:val="0"/>
                <w:sz w:val="22"/>
                <w:lang w:eastAsia="zh-CN"/>
              </w:rPr>
              <w:t>一般公共服务支出</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20103</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政府办公厅(室)及相关机构事务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2010308</w:t>
            </w:r>
          </w:p>
        </w:tc>
        <w:tc>
          <w:tcPr>
            <w:tcW w:w="12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信访事务</w:t>
            </w:r>
          </w:p>
        </w:tc>
        <w:tc>
          <w:tcPr>
            <w:tcW w:w="1017"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115.56</w:t>
            </w: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115.56</w:t>
            </w: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1.本表“科目编码”填写支出功能分类项级科目编码，“科目名称”填写支出功能分类项级科目名称；</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2.本表有关项目合计金额应与表一《××年度收支预算总表》对应项目保持数据勾稽关系一致。</w:t>
      </w:r>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6"/>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115.56</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kern w:val="0"/>
                <w:sz w:val="22"/>
                <w:lang w:val="en-US" w:eastAsia="zh-CN"/>
              </w:rPr>
              <w:t>115.56</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20103</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政府办公厅(室)及相关机构事务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2010308</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信访事务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115.56</w:t>
            </w: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115.56</w:t>
            </w:r>
            <w:r>
              <w:rPr>
                <w:rFonts w:hint="eastAsia" w:ascii="宋体" w:hAnsi="宋体" w:eastAsia="宋体" w:cs="宋体"/>
                <w:kern w:val="0"/>
                <w:sz w:val="24"/>
                <w:szCs w:val="24"/>
              </w:rPr>
              <w:t>　</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4" w:firstLineChars="202"/>
        <w:jc w:val="left"/>
        <w:rPr>
          <w:rFonts w:ascii="楷体" w:hAnsi="楷体" w:eastAsia="楷体" w:cs="Times New Roman"/>
          <w:kern w:val="0"/>
          <w:szCs w:val="21"/>
        </w:rPr>
      </w:pPr>
      <w:r>
        <w:rPr>
          <w:rFonts w:hint="eastAsia" w:ascii="楷体" w:hAnsi="楷体" w:eastAsia="楷体" w:cs="Times New Roman"/>
          <w:kern w:val="0"/>
          <w:szCs w:val="21"/>
        </w:rPr>
        <w:t>1.本表“科目编码”填写支出功能分类项级科目编码，“科目名称”填写支出功能分类项级科目名称；</w:t>
      </w:r>
    </w:p>
    <w:p>
      <w:pPr>
        <w:tabs>
          <w:tab w:val="left" w:pos="7513"/>
        </w:tabs>
        <w:spacing w:line="300" w:lineRule="auto"/>
        <w:ind w:firstLine="424" w:firstLineChars="202"/>
        <w:jc w:val="left"/>
        <w:rPr>
          <w:rFonts w:ascii="楷体" w:hAnsi="楷体" w:eastAsia="楷体" w:cs="Times New Roman"/>
          <w:kern w:val="0"/>
          <w:szCs w:val="21"/>
        </w:rPr>
      </w:pPr>
      <w:r>
        <w:rPr>
          <w:rFonts w:hint="eastAsia" w:ascii="楷体" w:hAnsi="楷体" w:eastAsia="楷体" w:cs="Times New Roman"/>
          <w:kern w:val="0"/>
          <w:szCs w:val="21"/>
        </w:rPr>
        <w:t>2.本表有关项目合计金额应与表一《××年度收支预算总表》对应项目保持数据勾稽关系一致。</w:t>
      </w:r>
    </w:p>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6"/>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115.56</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115.56</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highlight w:val="none"/>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115.56</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115.56</w:t>
            </w:r>
            <w:r>
              <w:rPr>
                <w:rFonts w:hint="eastAsia" w:ascii="宋体" w:hAnsi="宋体" w:eastAsia="宋体" w:cs="宋体"/>
                <w:b/>
                <w:kern w:val="0"/>
                <w:sz w:val="22"/>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1.本表有关收入项目金额应与表一《××年度收支预算总表》对应项目保持数据勾稽关系一致，有关支出项目金额应小于或等于表一《××年度收支预算总表》对应项目金额；</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2.本表支出项目中没有金额的项目，可以根据需要删除；</w:t>
      </w:r>
    </w:p>
    <w:p>
      <w:pPr>
        <w:tabs>
          <w:tab w:val="left" w:pos="7513"/>
        </w:tabs>
        <w:spacing w:line="300" w:lineRule="auto"/>
        <w:ind w:firstLine="420" w:firstLineChars="200"/>
        <w:jc w:val="left"/>
        <w:rPr>
          <w:rFonts w:ascii="楷体" w:hAnsi="楷体" w:eastAsia="楷体" w:cs="Times New Roman"/>
          <w:kern w:val="0"/>
          <w:sz w:val="36"/>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3.本表没有数据的部门，应公开空表，并在表格下方说明“备注：本部门××年没有财政拨款收入和使用财政拨款安排的支出”。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115.56</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color w:val="000000"/>
                <w:kern w:val="0"/>
                <w:sz w:val="22"/>
                <w:lang w:val="en-US" w:eastAsia="zh-CN"/>
              </w:rPr>
              <w:t>201</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color w:val="000000"/>
                <w:kern w:val="0"/>
                <w:sz w:val="22"/>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color w:val="000000"/>
                <w:kern w:val="0"/>
                <w:sz w:val="22"/>
                <w:lang w:val="en-US" w:eastAsia="zh-CN"/>
              </w:rPr>
              <w:t>20103</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color w:val="000000"/>
                <w:kern w:val="0"/>
                <w:sz w:val="22"/>
              </w:rPr>
              <w:t>政府办公厅(室)及相关机构事务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115.56</w:t>
            </w: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4"/>
                <w:szCs w:val="24"/>
                <w:lang w:val="en-US" w:eastAsia="zh-CN"/>
              </w:rPr>
              <w:t>2010308</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4"/>
                <w:szCs w:val="24"/>
              </w:rPr>
              <w:t>信访事务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4"/>
                <w:szCs w:val="24"/>
                <w:lang w:val="en-US" w:eastAsia="zh-CN"/>
              </w:rPr>
              <w:t>115.56</w:t>
            </w:r>
            <w:r>
              <w:rPr>
                <w:rFonts w:hint="eastAsia" w:ascii="宋体" w:hAnsi="宋体" w:eastAsia="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4"/>
                <w:szCs w:val="24"/>
                <w:lang w:val="en-US" w:eastAsia="zh-CN"/>
              </w:rPr>
              <w:t>115.56</w:t>
            </w:r>
            <w:r>
              <w:rPr>
                <w:rFonts w:hint="eastAsia" w:ascii="宋体" w:hAnsi="宋体" w:eastAsia="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1.本表“科目编码”填写支出功能分类项级科目编码，“科目名称”填写支出功能分类项级科目名称；</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2.本表合计金额应与表一《××年度收支预算总表》、表四《××年度财政拨款收支预算总表》对应项目保持数据勾稽关系一致；</w:t>
      </w:r>
    </w:p>
    <w:p>
      <w:pPr>
        <w:tabs>
          <w:tab w:val="left" w:pos="7513"/>
        </w:tabs>
        <w:adjustRightInd/>
        <w:snapToGrid/>
        <w:spacing w:line="300" w:lineRule="auto"/>
        <w:ind w:firstLine="420" w:firstLineChars="200"/>
        <w:rPr>
          <w:rFonts w:ascii="楷体" w:hAnsi="楷体" w:eastAsia="楷体" w:cs="Times New Roman"/>
          <w:kern w:val="0"/>
          <w:szCs w:val="21"/>
        </w:rPr>
      </w:pPr>
      <w:r>
        <w:rPr>
          <w:rFonts w:hint="eastAsia" w:ascii="楷体" w:hAnsi="楷体" w:eastAsia="楷体" w:cs="Times New Roman"/>
          <w:kern w:val="0"/>
          <w:szCs w:val="21"/>
        </w:rPr>
        <w:t>3.本表有关金额应与第三部分“二、一般公共预算拨款支出情况”说明保持一致；</w:t>
      </w:r>
    </w:p>
    <w:p>
      <w:pPr>
        <w:tabs>
          <w:tab w:val="left" w:pos="7513"/>
        </w:tabs>
        <w:adjustRightInd/>
        <w:snapToGrid/>
        <w:spacing w:line="300" w:lineRule="auto"/>
        <w:ind w:firstLine="420" w:firstLineChars="200"/>
        <w:rPr>
          <w:rFonts w:ascii="楷体" w:hAnsi="楷体" w:eastAsia="楷体" w:cs="Times New Roman"/>
          <w:kern w:val="0"/>
          <w:szCs w:val="21"/>
        </w:rPr>
      </w:pPr>
      <w:r>
        <w:rPr>
          <w:rFonts w:hint="eastAsia" w:ascii="楷体" w:hAnsi="楷体" w:eastAsia="楷体" w:cs="Times New Roman"/>
          <w:kern w:val="0"/>
          <w:szCs w:val="21"/>
        </w:rPr>
        <w:t>4.本表没有数据的部门，应公开空表，并在表格下方说明“备注：本部门××年没有使用一般公共预算拨款安排的支出”。</w:t>
      </w:r>
    </w:p>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1.本表“科目编码”填写支出功能分类项级科目编码，“科目名称”填写支出功能分类项级科目名称；</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2.本表合计金额应与表一《××年度收支预算总表》、表四《××年度财政拨款收支预算总表》对应项目保持数据勾稽关系一致；</w:t>
      </w:r>
    </w:p>
    <w:p>
      <w:pPr>
        <w:tabs>
          <w:tab w:val="left" w:pos="7513"/>
        </w:tabs>
        <w:adjustRightInd w:val="0"/>
        <w:snapToGrid w:val="0"/>
        <w:spacing w:line="300" w:lineRule="auto"/>
        <w:ind w:firstLine="420" w:firstLineChars="200"/>
        <w:rPr>
          <w:rFonts w:ascii="楷体" w:hAnsi="楷体" w:eastAsia="楷体" w:cs="Times New Roman"/>
          <w:kern w:val="0"/>
          <w:szCs w:val="21"/>
        </w:rPr>
      </w:pPr>
      <w:r>
        <w:rPr>
          <w:rFonts w:hint="eastAsia" w:ascii="楷体" w:hAnsi="楷体" w:eastAsia="楷体" w:cs="Times New Roman"/>
          <w:kern w:val="0"/>
          <w:szCs w:val="21"/>
        </w:rPr>
        <w:t>3.本表有关金额应与第三部分“三、政府性基金预算拨款支出情况”说明保持一致；</w:t>
      </w:r>
    </w:p>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4.本表没有数据的部门，应公开空表，并在表格下方说明“备注：本部门××年没有使用政府性基金预算拨款安排的支出”。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1.本表“科目编码”填写支出功能分类项级科目编码，“科目名称”填写支出功能分类项级科目名称；</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2.本表合计金额应与表一《××年度收支预算总表》、表四《××年度财政拨款收支预算总表》对应项目保持数据勾稽关系一致；</w:t>
      </w:r>
    </w:p>
    <w:p>
      <w:pPr>
        <w:tabs>
          <w:tab w:val="left" w:pos="7513"/>
        </w:tabs>
        <w:adjustRightInd w:val="0"/>
        <w:snapToGrid w:val="0"/>
        <w:spacing w:line="300" w:lineRule="auto"/>
        <w:ind w:firstLine="420" w:firstLineChars="200"/>
        <w:rPr>
          <w:rFonts w:ascii="楷体" w:hAnsi="楷体" w:eastAsia="楷体" w:cs="Times New Roman"/>
          <w:kern w:val="0"/>
          <w:szCs w:val="21"/>
        </w:rPr>
      </w:pPr>
      <w:r>
        <w:rPr>
          <w:rFonts w:hint="eastAsia" w:ascii="楷体" w:hAnsi="楷体" w:eastAsia="楷体" w:cs="Times New Roman"/>
          <w:kern w:val="0"/>
          <w:szCs w:val="21"/>
        </w:rPr>
        <w:t>3.本表有关金额应与第三部分“四、国有资本经营预算拨款支出情况”说明保持一致；</w:t>
      </w:r>
    </w:p>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4.本表没有数据的部门，应公开空表，并在表格下方说明“备注：本部门××年没有使用国有资本经营预算拨款安排的支出”。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115.56</w:t>
            </w: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107.05</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8.26</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0.25</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1.本表“科目编码”填写部门预算支出经济分类类级科目编码，“科目名称”填写部门预算支出经济分类类级科目名称；</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2.本表没有数据的部门，应公开空表，并在表格下方说明“备注：本部门××年没有使用一般公共预算拨款安排的支出”。</w:t>
      </w: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年度一般公共预算基本支出经济分类情况表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highlight w:val="none"/>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115.56</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107.05</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27.18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15.47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3.87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5.11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3.72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0.4</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7.66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3.11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8.26</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0.93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3.91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0.25</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0.25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spacing w:line="300" w:lineRule="auto"/>
        <w:jc w:val="left"/>
        <w:rPr>
          <w:rFonts w:ascii="楷体" w:hAnsi="楷体" w:eastAsia="楷体" w:cs="Times New Roman"/>
          <w:kern w:val="0"/>
          <w:szCs w:val="21"/>
        </w:rPr>
      </w:pPr>
      <w:r>
        <w:rPr>
          <w:rFonts w:hint="eastAsia" w:ascii="楷体" w:hAnsi="楷体" w:eastAsia="楷体" w:cs="Times New Roman"/>
          <w:kern w:val="0"/>
          <w:szCs w:val="21"/>
        </w:rPr>
        <w:t>编报说明（制作文本时请删除“编报说明”内容）：</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1.“科目编码”分别填写部门预算支出经济分类类级和款级科目编码，“科目名称”分别填写部门预算支出经济分类类级和款级科目名称；</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2.本表无数据的行可以删除；</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3.</w:t>
      </w:r>
      <w:r>
        <w:rPr>
          <w:rFonts w:hint="eastAsia"/>
        </w:rPr>
        <w:t xml:space="preserve"> </w:t>
      </w:r>
      <w:r>
        <w:rPr>
          <w:rFonts w:hint="eastAsia" w:ascii="楷体" w:hAnsi="楷体" w:eastAsia="楷体" w:cs="Times New Roman"/>
          <w:kern w:val="0"/>
          <w:szCs w:val="21"/>
        </w:rPr>
        <w:t>本表有关合计数金额应与第三部分“五、一般公共预算拨款基本支出情况”说明保持一致；</w:t>
      </w:r>
    </w:p>
    <w:p>
      <w:pPr>
        <w:tabs>
          <w:tab w:val="left" w:pos="7513"/>
        </w:tabs>
        <w:spacing w:line="300" w:lineRule="auto"/>
        <w:ind w:firstLine="420" w:firstLineChars="200"/>
        <w:jc w:val="left"/>
        <w:rPr>
          <w:rFonts w:ascii="楷体" w:hAnsi="楷体" w:eastAsia="楷体" w:cs="Times New Roman"/>
          <w:kern w:val="0"/>
          <w:szCs w:val="21"/>
        </w:rPr>
      </w:pPr>
      <w:r>
        <w:rPr>
          <w:rFonts w:hint="eastAsia" w:ascii="楷体" w:hAnsi="楷体" w:eastAsia="楷体" w:cs="Times New Roman"/>
          <w:kern w:val="0"/>
          <w:szCs w:val="21"/>
        </w:rPr>
        <w:t>4.本表涉及“三公”经费的部门预算支出经济分类科目金额</w:t>
      </w:r>
      <w:r>
        <w:rPr>
          <w:rFonts w:hint="eastAsia" w:ascii="楷体" w:hAnsi="楷体" w:eastAsia="楷体" w:cs="Times New Roman"/>
          <w:kern w:val="0"/>
          <w:szCs w:val="21"/>
          <w:highlight w:val="none"/>
        </w:rPr>
        <w:t>应小于或等于表十</w:t>
      </w:r>
      <w:r>
        <w:rPr>
          <w:rFonts w:hint="eastAsia" w:ascii="楷体" w:hAnsi="楷体" w:eastAsia="楷体" w:cs="Times New Roman"/>
          <w:kern w:val="0"/>
          <w:szCs w:val="21"/>
        </w:rPr>
        <w:t>《××年度一般公共预算“三公”经费支出预算表》中对应项目金额；</w:t>
      </w:r>
    </w:p>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5.本表没有数据的部门，应公开空表，并在表格下方说明“备注：本部门××年没有使用一般公共预算拨款安排的支出”。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6"/>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val="en-US" w:eastAsia="zh-CN"/>
              </w:rPr>
              <w:t>2023</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0.5</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0.5</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jc w:val="left"/>
        <w:rPr>
          <w:rFonts w:ascii="楷体" w:hAnsi="楷体" w:eastAsia="楷体" w:cs="Times New Roman"/>
          <w:kern w:val="0"/>
          <w:sz w:val="21"/>
          <w:szCs w:val="21"/>
        </w:rPr>
      </w:pPr>
      <w:r>
        <w:rPr>
          <w:rFonts w:hint="eastAsia" w:ascii="楷体" w:hAnsi="楷体" w:eastAsia="楷体" w:cs="Times New Roman"/>
          <w:kern w:val="0"/>
          <w:sz w:val="21"/>
          <w:szCs w:val="21"/>
        </w:rPr>
        <w:t>编报说明</w:t>
      </w:r>
      <w:r>
        <w:rPr>
          <w:rFonts w:hint="eastAsia" w:ascii="楷体" w:hAnsi="楷体" w:eastAsia="楷体" w:cs="Times New Roman"/>
          <w:kern w:val="0"/>
          <w:szCs w:val="21"/>
        </w:rPr>
        <w:t>（制作文本时请删除“编报说明”内容）</w:t>
      </w:r>
      <w:r>
        <w:rPr>
          <w:rFonts w:hint="eastAsia" w:ascii="楷体" w:hAnsi="楷体" w:eastAsia="楷体" w:cs="Times New Roman"/>
          <w:kern w:val="0"/>
          <w:sz w:val="21"/>
          <w:szCs w:val="21"/>
        </w:rPr>
        <w:t>：</w:t>
      </w:r>
    </w:p>
    <w:p>
      <w:pPr>
        <w:tabs>
          <w:tab w:val="left" w:pos="7513"/>
        </w:tabs>
        <w:adjustRightInd w:val="0"/>
        <w:snapToGrid w:val="0"/>
        <w:spacing w:line="300" w:lineRule="auto"/>
        <w:ind w:firstLine="420" w:firstLineChars="200"/>
        <w:jc w:val="left"/>
        <w:rPr>
          <w:rFonts w:ascii="楷体" w:hAnsi="楷体" w:eastAsia="楷体" w:cs="Times New Roman"/>
          <w:kern w:val="0"/>
          <w:szCs w:val="21"/>
        </w:rPr>
      </w:pPr>
      <w:r>
        <w:rPr>
          <w:rFonts w:ascii="楷体" w:hAnsi="楷体" w:eastAsia="楷体" w:cs="Times New Roman"/>
          <w:kern w:val="0"/>
          <w:sz w:val="21"/>
          <w:szCs w:val="21"/>
        </w:rPr>
        <w:t>1.</w:t>
      </w:r>
      <w:r>
        <w:rPr>
          <w:rFonts w:hint="eastAsia" w:ascii="楷体" w:hAnsi="楷体" w:eastAsia="楷体" w:cs="Times New Roman"/>
          <w:kern w:val="0"/>
          <w:sz w:val="21"/>
          <w:szCs w:val="21"/>
        </w:rPr>
        <w:t>本表不能留空，没有金额</w:t>
      </w:r>
      <w:r>
        <w:rPr>
          <w:rFonts w:hint="eastAsia" w:ascii="楷体" w:hAnsi="楷体" w:eastAsia="楷体" w:cs="Times New Roman"/>
          <w:kern w:val="0"/>
          <w:szCs w:val="21"/>
        </w:rPr>
        <w:t>的栏位</w:t>
      </w:r>
      <w:r>
        <w:rPr>
          <w:rFonts w:hint="eastAsia" w:ascii="楷体" w:hAnsi="楷体" w:eastAsia="楷体" w:cs="Times New Roman"/>
          <w:kern w:val="0"/>
          <w:sz w:val="21"/>
          <w:szCs w:val="21"/>
        </w:rPr>
        <w:t>必须标</w:t>
      </w:r>
      <w:r>
        <w:rPr>
          <w:rFonts w:hint="eastAsia" w:ascii="楷体" w:hAnsi="楷体" w:eastAsia="楷体" w:cs="Times New Roman"/>
          <w:kern w:val="0"/>
          <w:szCs w:val="21"/>
        </w:rPr>
        <w:t>“0”；</w:t>
      </w:r>
    </w:p>
    <w:p>
      <w:pPr>
        <w:adjustRightInd/>
        <w:snapToGrid/>
        <w:spacing w:line="300" w:lineRule="auto"/>
        <w:ind w:firstLine="420" w:firstLineChars="200"/>
        <w:jc w:val="left"/>
        <w:rPr>
          <w:rFonts w:ascii="楷体" w:hAnsi="楷体" w:eastAsia="楷体" w:cs="Times New Roman"/>
          <w:kern w:val="0"/>
          <w:szCs w:val="21"/>
        </w:rPr>
      </w:pPr>
      <w:r>
        <w:rPr>
          <w:rFonts w:ascii="楷体" w:hAnsi="楷体" w:eastAsia="楷体" w:cs="Times New Roman"/>
          <w:kern w:val="0"/>
          <w:sz w:val="21"/>
          <w:szCs w:val="21"/>
        </w:rPr>
        <w:t>2</w:t>
      </w:r>
      <w:r>
        <w:rPr>
          <w:rFonts w:hint="eastAsia" w:ascii="楷体" w:hAnsi="楷体" w:eastAsia="楷体" w:cs="Times New Roman"/>
          <w:kern w:val="0"/>
          <w:szCs w:val="21"/>
        </w:rPr>
        <w:t>.本表有关金额应与第三部分“六、一般公共预算‘三公’经费支出情况”说明保持一致；</w:t>
      </w:r>
    </w:p>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3</w:t>
      </w:r>
      <w:r>
        <w:rPr>
          <w:rFonts w:ascii="楷体" w:hAnsi="楷体" w:eastAsia="楷体" w:cs="Times New Roman"/>
          <w:kern w:val="0"/>
          <w:sz w:val="21"/>
          <w:szCs w:val="21"/>
        </w:rPr>
        <w:t>.</w:t>
      </w:r>
      <w:r>
        <w:rPr>
          <w:rFonts w:hint="eastAsia" w:ascii="楷体" w:hAnsi="楷体" w:eastAsia="楷体" w:cs="Times New Roman"/>
          <w:kern w:val="0"/>
          <w:szCs w:val="21"/>
        </w:rPr>
        <w:t>本表没有数据的部门，应在所有栏位标“0”，并在表格下方说明“</w:t>
      </w:r>
      <w:r>
        <w:rPr>
          <w:rFonts w:hint="eastAsia" w:ascii="楷体" w:hAnsi="楷体" w:eastAsia="楷体" w:cs="Times New Roman"/>
          <w:kern w:val="0"/>
          <w:sz w:val="21"/>
          <w:szCs w:val="21"/>
        </w:rPr>
        <w:t>备注：</w:t>
      </w:r>
      <w:r>
        <w:rPr>
          <w:rFonts w:hint="eastAsia" w:ascii="楷体" w:hAnsi="楷体" w:eastAsia="楷体" w:cs="Times New Roman"/>
          <w:kern w:val="0"/>
          <w:szCs w:val="21"/>
        </w:rPr>
        <w:t>本</w:t>
      </w:r>
      <w:r>
        <w:rPr>
          <w:rFonts w:hint="eastAsia" w:ascii="楷体" w:hAnsi="楷体" w:eastAsia="楷体" w:cs="Times New Roman"/>
          <w:kern w:val="0"/>
          <w:sz w:val="21"/>
          <w:szCs w:val="21"/>
        </w:rPr>
        <w:t>部门××年度</w:t>
      </w:r>
      <w:r>
        <w:rPr>
          <w:rFonts w:hint="eastAsia" w:ascii="楷体" w:hAnsi="楷体" w:eastAsia="楷体"/>
        </w:rPr>
        <w:t>没有</w:t>
      </w:r>
      <w:r>
        <w:rPr>
          <w:rFonts w:hint="eastAsia" w:ascii="楷体" w:hAnsi="楷体" w:eastAsia="楷体" w:cs="Times New Roman"/>
          <w:kern w:val="0"/>
          <w:szCs w:val="21"/>
        </w:rPr>
        <w:t>一般公共预算安排的</w:t>
      </w:r>
      <w:r>
        <w:rPr>
          <w:rFonts w:hint="eastAsia" w:ascii="楷体" w:hAnsi="楷体" w:eastAsia="楷体" w:cs="Times New Roman"/>
          <w:kern w:val="0"/>
          <w:sz w:val="21"/>
          <w:szCs w:val="21"/>
        </w:rPr>
        <w:t>‘三公’</w:t>
      </w:r>
      <w:r>
        <w:rPr>
          <w:rFonts w:hint="eastAsia" w:ascii="楷体" w:hAnsi="楷体" w:eastAsia="楷体" w:cs="Times New Roman"/>
          <w:kern w:val="0"/>
          <w:szCs w:val="21"/>
        </w:rPr>
        <w:t>经费支出”</w:t>
      </w:r>
      <w:r>
        <w:rPr>
          <w:rFonts w:hint="eastAsia" w:ascii="楷体" w:hAnsi="楷体" w:eastAsia="楷体" w:cs="Times New Roman"/>
          <w:kern w:val="0"/>
          <w:sz w:val="21"/>
          <w:szCs w:val="21"/>
        </w:rPr>
        <w:t>。</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6"/>
        <w:tblW w:w="13998" w:type="dxa"/>
        <w:tblInd w:w="93" w:type="dxa"/>
        <w:tblLayout w:type="autofit"/>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480"/>
        </w:tabs>
        <w:spacing w:line="240" w:lineRule="auto"/>
        <w:rPr>
          <w:rFonts w:ascii="楷体" w:hAnsi="楷体" w:eastAsia="楷体"/>
        </w:rPr>
      </w:pPr>
      <w:r>
        <w:rPr>
          <w:rFonts w:hint="eastAsia" w:ascii="楷体" w:hAnsi="楷体" w:eastAsia="楷体"/>
        </w:rPr>
        <w:t>编报说明</w:t>
      </w:r>
      <w:r>
        <w:rPr>
          <w:rFonts w:hint="eastAsia" w:ascii="楷体" w:hAnsi="楷体" w:eastAsia="楷体" w:cs="Times New Roman"/>
          <w:kern w:val="0"/>
          <w:szCs w:val="21"/>
        </w:rPr>
        <w:t>（制作文本时请删除“编报说明”内容）</w:t>
      </w:r>
      <w:r>
        <w:rPr>
          <w:rFonts w:hint="eastAsia" w:ascii="楷体" w:hAnsi="楷体" w:eastAsia="楷体"/>
        </w:rPr>
        <w:t>：</w:t>
      </w:r>
    </w:p>
    <w:p>
      <w:pPr>
        <w:tabs>
          <w:tab w:val="left" w:pos="798"/>
        </w:tabs>
        <w:spacing w:line="240" w:lineRule="auto"/>
        <w:ind w:firstLine="420" w:firstLineChars="200"/>
        <w:rPr>
          <w:rFonts w:ascii="楷体" w:hAnsi="楷体" w:eastAsia="楷体"/>
        </w:rPr>
      </w:pPr>
      <w:r>
        <w:rPr>
          <w:rFonts w:hint="eastAsia" w:ascii="楷体" w:hAnsi="楷体" w:eastAsia="楷体"/>
        </w:rPr>
        <w:t>1.立项依据：指专项资金设立所依据的法律、法规、规章或者政府的规范性文件。按照“《标题》+（文号）：主要依据内容”的格式填报。有多个设立依据的，应按设立依据的级次，从高到低填列。</w:t>
      </w:r>
    </w:p>
    <w:p>
      <w:pPr>
        <w:tabs>
          <w:tab w:val="left" w:pos="798"/>
        </w:tabs>
        <w:spacing w:line="240" w:lineRule="auto"/>
        <w:ind w:firstLine="420" w:firstLineChars="200"/>
        <w:rPr>
          <w:rFonts w:ascii="楷体" w:hAnsi="楷体" w:eastAsia="楷体"/>
        </w:rPr>
      </w:pPr>
      <w:r>
        <w:rPr>
          <w:rFonts w:hint="eastAsia" w:ascii="楷体" w:hAnsi="楷体" w:eastAsia="楷体"/>
        </w:rPr>
        <w:t>2.执行年限：专项资金未确定执行期限的，统一设定期限为3年。</w:t>
      </w:r>
    </w:p>
    <w:p>
      <w:pPr>
        <w:tabs>
          <w:tab w:val="left" w:pos="798"/>
        </w:tabs>
        <w:spacing w:line="240" w:lineRule="auto"/>
        <w:ind w:firstLine="420" w:firstLineChars="200"/>
        <w:rPr>
          <w:rFonts w:ascii="楷体" w:hAnsi="楷体" w:eastAsia="楷体"/>
        </w:rPr>
      </w:pPr>
      <w:r>
        <w:rPr>
          <w:rFonts w:hint="eastAsia" w:ascii="楷体" w:hAnsi="楷体" w:eastAsia="楷体"/>
        </w:rPr>
        <w:t>3.总体绩效目标：描述专项资金在实施过程中（包括实施期、当年度）计划达到的产出和效果，主要采用定性描述。</w:t>
      </w:r>
    </w:p>
    <w:p>
      <w:pPr>
        <w:tabs>
          <w:tab w:val="left" w:pos="798"/>
        </w:tabs>
        <w:spacing w:line="240" w:lineRule="auto"/>
        <w:ind w:firstLine="420" w:firstLineChars="200"/>
        <w:rPr>
          <w:rFonts w:ascii="楷体" w:hAnsi="楷体" w:eastAsia="楷体"/>
        </w:rPr>
      </w:pPr>
      <w:r>
        <w:rPr>
          <w:rFonts w:hint="eastAsia" w:ascii="楷体" w:hAnsi="楷体" w:eastAsia="楷体"/>
        </w:rPr>
        <w:t>4.实施规划：描述专项资金的主要内容和分阶段实施计划等内容。</w:t>
      </w:r>
    </w:p>
    <w:p>
      <w:pPr>
        <w:tabs>
          <w:tab w:val="left" w:pos="798"/>
        </w:tabs>
        <w:spacing w:line="240" w:lineRule="auto"/>
        <w:ind w:firstLine="420" w:firstLineChars="200"/>
        <w:rPr>
          <w:rFonts w:ascii="楷体" w:hAnsi="楷体" w:eastAsia="楷体"/>
        </w:rPr>
      </w:pPr>
      <w:r>
        <w:rPr>
          <w:rFonts w:ascii="楷体" w:hAnsi="楷体" w:eastAsia="楷体"/>
        </w:rPr>
        <w:t>5.</w:t>
      </w:r>
      <w:r>
        <w:rPr>
          <w:rFonts w:hint="eastAsia" w:ascii="楷体" w:hAnsi="楷体" w:eastAsia="楷体"/>
        </w:rPr>
        <w:t>支出级次：分为“省本级支出”和“对市县的转移支付支出”。同一专项资金项目包含多种分类的，需区别标识，例：省本级支出xxx万元、对市县的转移支付支出xxx万元。</w:t>
      </w:r>
    </w:p>
    <w:p>
      <w:pPr>
        <w:tabs>
          <w:tab w:val="left" w:pos="798"/>
        </w:tabs>
        <w:spacing w:line="240" w:lineRule="auto"/>
        <w:ind w:firstLine="420" w:firstLineChars="200"/>
        <w:jc w:val="center"/>
        <w:rPr>
          <w:rFonts w:ascii="楷体" w:hAnsi="楷体" w:eastAsia="楷体"/>
        </w:rPr>
      </w:pPr>
      <w:r>
        <w:rPr>
          <w:rFonts w:ascii="楷体" w:hAnsi="楷体" w:eastAsia="楷体"/>
        </w:rPr>
        <w:t>6.</w:t>
      </w:r>
      <w:r>
        <w:rPr>
          <w:rFonts w:hint="eastAsia" w:ascii="楷体" w:hAnsi="楷体" w:eastAsia="楷体"/>
        </w:rPr>
        <w:t>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审批程序；</w:t>
      </w:r>
    </w:p>
    <w:p>
      <w:pPr>
        <w:tabs>
          <w:tab w:val="left" w:pos="798"/>
        </w:tabs>
        <w:spacing w:line="240" w:lineRule="auto"/>
        <w:ind w:firstLine="420" w:firstLineChars="200"/>
        <w:jc w:val="center"/>
        <w:rPr>
          <w:rFonts w:ascii="楷体" w:hAnsi="楷体" w:eastAsia="楷体"/>
          <w:sz w:val="36"/>
          <w:szCs w:val="36"/>
          <w:highlight w:val="yellow"/>
          <w:lang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rPr>
        <w:t>7.没有管理省级专项资金的部门，</w:t>
      </w:r>
      <w:r>
        <w:rPr>
          <w:rFonts w:hint="eastAsia" w:ascii="楷体" w:hAnsi="楷体" w:eastAsia="楷体" w:cs="Times New Roman"/>
          <w:kern w:val="0"/>
          <w:szCs w:val="21"/>
          <w:highlight w:val="none"/>
        </w:rPr>
        <w:t>可不公开本表</w:t>
      </w:r>
      <w:r>
        <w:rPr>
          <w:rFonts w:hint="eastAsia" w:ascii="楷体" w:hAnsi="楷体" w:eastAsia="楷体"/>
          <w:highlight w:val="none"/>
        </w:rPr>
        <w:t>。市县部门不作统一要求。</w:t>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cs="仿宋_GB2312"/>
          <w:sz w:val="32"/>
          <w:szCs w:val="32"/>
          <w:lang w:eastAsia="zh-CN"/>
        </w:rPr>
        <w:t>信访局</w:t>
      </w:r>
      <w:r>
        <w:rPr>
          <w:rFonts w:hint="eastAsia" w:ascii="仿宋" w:hAnsi="仿宋" w:eastAsia="仿宋"/>
          <w:sz w:val="32"/>
          <w:szCs w:val="32"/>
        </w:rPr>
        <w:t>收入预算为</w:t>
      </w:r>
      <w:r>
        <w:rPr>
          <w:rFonts w:hint="eastAsia" w:ascii="仿宋" w:hAnsi="仿宋" w:eastAsia="仿宋" w:cs="仿宋_GB2312"/>
          <w:sz w:val="32"/>
          <w:szCs w:val="32"/>
          <w:lang w:val="en-US" w:eastAsia="zh-CN"/>
        </w:rPr>
        <w:t>115.56</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12.61</w:t>
      </w:r>
      <w:r>
        <w:rPr>
          <w:rFonts w:hint="eastAsia" w:ascii="仿宋" w:hAnsi="仿宋" w:eastAsia="仿宋"/>
          <w:sz w:val="32"/>
          <w:szCs w:val="32"/>
        </w:rPr>
        <w:t>万元，主要原因是</w:t>
      </w:r>
      <w:r>
        <w:rPr>
          <w:rFonts w:hint="eastAsia" w:ascii="仿宋" w:hAnsi="仿宋" w:eastAsia="仿宋"/>
          <w:sz w:val="32"/>
          <w:szCs w:val="32"/>
          <w:lang w:eastAsia="zh-CN"/>
        </w:rPr>
        <w:t>新增</w:t>
      </w:r>
      <w:r>
        <w:rPr>
          <w:rFonts w:hint="eastAsia" w:ascii="仿宋" w:hAnsi="仿宋" w:eastAsia="仿宋" w:cs="仿宋_GB2312"/>
          <w:sz w:val="32"/>
          <w:szCs w:val="32"/>
          <w:lang w:eastAsia="zh-CN"/>
        </w:rPr>
        <w:t>人员导致人员经费增加</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115.56</w:t>
      </w:r>
      <w:r>
        <w:rPr>
          <w:rFonts w:hint="eastAsia" w:ascii="仿宋" w:hAnsi="仿宋" w:eastAsia="仿宋"/>
          <w:sz w:val="32"/>
          <w:szCs w:val="32"/>
        </w:rPr>
        <w:t>万元、政府性基金预算拨款收入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万元、财政专户管理资金收入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万元、上级补助收入</w:t>
      </w:r>
      <w:r>
        <w:rPr>
          <w:rFonts w:hint="eastAsia" w:ascii="仿宋" w:hAnsi="仿宋" w:eastAsia="仿宋" w:cs="仿宋_GB2312"/>
          <w:sz w:val="32"/>
          <w:szCs w:val="32"/>
          <w:lang w:val="en-US" w:eastAsia="zh-CN"/>
        </w:rPr>
        <w:t>0</w:t>
      </w:r>
      <w:r>
        <w:rPr>
          <w:rFonts w:hint="eastAsia" w:ascii="仿宋" w:hAnsi="仿宋" w:eastAsia="仿宋"/>
          <w:sz w:val="32"/>
          <w:szCs w:val="32"/>
        </w:rPr>
        <w:t>万元、附属单位上缴收入</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万元、上年结转结余</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115.56</w:t>
      </w:r>
      <w:r>
        <w:rPr>
          <w:rFonts w:hint="eastAsia" w:ascii="仿宋" w:hAnsi="仿宋" w:eastAsia="仿宋"/>
          <w:sz w:val="32"/>
          <w:szCs w:val="32"/>
        </w:rPr>
        <w:t>万元，比上年增加</w:t>
      </w:r>
      <w:r>
        <w:rPr>
          <w:rFonts w:hint="eastAsia" w:ascii="仿宋" w:hAnsi="仿宋" w:eastAsia="仿宋"/>
          <w:sz w:val="32"/>
          <w:szCs w:val="32"/>
          <w:lang w:val="en-US" w:eastAsia="zh-CN"/>
        </w:rPr>
        <w:t>12.61</w:t>
      </w:r>
      <w:r>
        <w:rPr>
          <w:rFonts w:hint="eastAsia" w:ascii="仿宋" w:hAnsi="仿宋" w:eastAsia="仿宋"/>
          <w:sz w:val="32"/>
          <w:szCs w:val="32"/>
        </w:rPr>
        <w:t>万元，主要原因是</w:t>
      </w:r>
      <w:r>
        <w:rPr>
          <w:rFonts w:hint="eastAsia" w:ascii="仿宋" w:hAnsi="仿宋" w:eastAsia="仿宋" w:cs="仿宋_GB2312"/>
          <w:sz w:val="32"/>
          <w:szCs w:val="32"/>
        </w:rPr>
        <w:t>新增人员导致人员经费增加。</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115.56</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万元、事业单位经营支出</w:t>
      </w:r>
      <w:r>
        <w:rPr>
          <w:rFonts w:hint="eastAsia" w:ascii="仿宋" w:hAnsi="仿宋" w:eastAsia="仿宋" w:cs="仿宋_GB2312"/>
          <w:sz w:val="32"/>
          <w:szCs w:val="32"/>
          <w:lang w:val="en-US" w:eastAsia="zh-CN"/>
        </w:rPr>
        <w:t>0</w:t>
      </w:r>
      <w:r>
        <w:rPr>
          <w:rFonts w:hint="eastAsia" w:ascii="仿宋" w:hAnsi="仿宋" w:eastAsia="仿宋"/>
          <w:sz w:val="32"/>
          <w:szCs w:val="32"/>
        </w:rPr>
        <w:t>万元、上缴上级支出</w:t>
      </w:r>
      <w:r>
        <w:rPr>
          <w:rFonts w:hint="eastAsia" w:ascii="仿宋" w:hAnsi="仿宋" w:eastAsia="仿宋" w:cs="仿宋_GB2312"/>
          <w:sz w:val="32"/>
          <w:szCs w:val="32"/>
          <w:lang w:val="en-US" w:eastAsia="zh-CN"/>
        </w:rPr>
        <w:t>0</w:t>
      </w:r>
      <w:r>
        <w:rPr>
          <w:rFonts w:hint="eastAsia" w:ascii="仿宋" w:hAnsi="仿宋" w:eastAsia="仿宋"/>
          <w:sz w:val="32"/>
          <w:szCs w:val="32"/>
        </w:rPr>
        <w:t>万元、对附属单位补助支出</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2023</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115.56</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12.61</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12.25</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rPr>
        <w:t>新增人员导致人员经费增加。</w:t>
      </w:r>
      <w:r>
        <w:rPr>
          <w:rFonts w:hint="eastAsia" w:ascii="仿宋" w:hAnsi="仿宋" w:eastAsia="仿宋" w:cs="仿宋_GB2312"/>
          <w:sz w:val="32"/>
          <w:szCs w:val="32"/>
          <w:highlight w:val="none"/>
        </w:rPr>
        <w:t>按照党中央、国务院和省委、省政府关于过紧日子的有关要求，厉行节约办一切事业，大力压减一般性支出，重点压减了公用经费和培训等项目支出中涉及的非急需非刚性支出，同时合理保障了</w:t>
      </w:r>
      <w:r>
        <w:rPr>
          <w:rFonts w:hint="eastAsia" w:ascii="仿宋" w:hAnsi="仿宋" w:eastAsia="仿宋" w:cs="仿宋_GB2312"/>
          <w:sz w:val="32"/>
          <w:szCs w:val="32"/>
          <w:highlight w:val="none"/>
          <w:lang w:eastAsia="zh-CN"/>
        </w:rPr>
        <w:t>信访维稳</w:t>
      </w:r>
      <w:r>
        <w:rPr>
          <w:rFonts w:hint="eastAsia" w:ascii="仿宋" w:hAnsi="仿宋" w:eastAsia="仿宋" w:cs="仿宋_GB2312"/>
          <w:sz w:val="32"/>
          <w:szCs w:val="32"/>
          <w:highlight w:val="none"/>
        </w:rPr>
        <w:t>等工作的支出需求，体现在有关支出科目中。</w:t>
      </w:r>
      <w:r>
        <w:rPr>
          <w:rFonts w:hint="eastAsia" w:ascii="仿宋" w:hAnsi="仿宋" w:eastAsia="仿宋" w:cs="宋体"/>
          <w:bCs/>
          <w:sz w:val="32"/>
          <w:szCs w:val="32"/>
          <w:highlight w:val="none"/>
        </w:rPr>
        <w:t>其中（按项级科目分类统计）</w:t>
      </w:r>
      <w:r>
        <w:rPr>
          <w:rFonts w:hint="eastAsia" w:ascii="仿宋" w:hAnsi="仿宋" w:eastAsia="仿宋" w:cs="仿宋_GB2312"/>
          <w:sz w:val="32"/>
          <w:szCs w:val="32"/>
          <w:highlight w:val="none"/>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2010308</w:t>
      </w:r>
      <w:r>
        <w:rPr>
          <w:rFonts w:hint="eastAsia" w:ascii="仿宋" w:hAnsi="仿宋" w:eastAsia="仿宋" w:cs="仿宋_GB2312"/>
          <w:sz w:val="32"/>
          <w:szCs w:val="32"/>
        </w:rPr>
        <w:t>-</w:t>
      </w:r>
      <w:r>
        <w:rPr>
          <w:rFonts w:hint="eastAsia" w:ascii="仿宋" w:hAnsi="仿宋" w:eastAsia="仿宋" w:cs="仿宋_GB2312"/>
          <w:sz w:val="32"/>
          <w:szCs w:val="32"/>
          <w:lang w:eastAsia="zh-CN"/>
        </w:rPr>
        <w:t>信访事务</w:t>
      </w:r>
      <w:r>
        <w:rPr>
          <w:rFonts w:hint="eastAsia" w:ascii="仿宋" w:hAnsi="仿宋" w:eastAsia="仿宋" w:cs="仿宋_GB2312"/>
          <w:sz w:val="32"/>
          <w:szCs w:val="32"/>
          <w:lang w:val="en-US" w:eastAsia="zh-CN"/>
        </w:rPr>
        <w:t>115.56</w:t>
      </w:r>
      <w:r>
        <w:rPr>
          <w:rFonts w:hint="eastAsia" w:ascii="仿宋" w:hAnsi="仿宋" w:eastAsia="仿宋" w:cs="仿宋_GB2312"/>
          <w:sz w:val="32"/>
          <w:szCs w:val="32"/>
        </w:rPr>
        <w:t>万元。主要用于于人员经费、日常公用经费支出。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楷体" w:hAnsi="楷体" w:eastAsia="仿宋" w:cs="仿宋_GB2312"/>
          <w:sz w:val="32"/>
          <w:szCs w:val="32"/>
          <w:lang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rPr>
        <w:t>年度政府性基金预算支出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万元，比上年增加（减少）0万元，增长（降低）0%，主要原因是没有使用政府性基金预算拨款安排的支出</w:t>
      </w:r>
      <w:r>
        <w:rPr>
          <w:rFonts w:hint="eastAsia" w:ascii="仿宋" w:hAnsi="仿宋" w:eastAsia="仿宋" w:cs="仿宋"/>
          <w:sz w:val="32"/>
          <w:szCs w:val="32"/>
          <w:lang w:eastAsia="zh-CN"/>
        </w:rPr>
        <w:t>。</w:t>
      </w: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楷体" w:hAnsi="楷体" w:eastAsia="楷体" w:cs="仿宋_GB2312"/>
          <w:sz w:val="32"/>
          <w:szCs w:val="32"/>
        </w:rPr>
        <w:t>注：本部门</w:t>
      </w:r>
      <w:r>
        <w:rPr>
          <w:rFonts w:hint="eastAsia" w:ascii="楷体" w:hAnsi="楷体" w:eastAsia="楷体" w:cs="仿宋_GB2312"/>
          <w:sz w:val="32"/>
          <w:szCs w:val="32"/>
          <w:lang w:val="en-US" w:eastAsia="zh-CN"/>
        </w:rPr>
        <w:t>2023</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hint="eastAsia" w:ascii="楷体" w:hAnsi="楷体" w:eastAsia="仿宋" w:cs="仿宋_GB2312"/>
          <w:sz w:val="32"/>
          <w:szCs w:val="32"/>
          <w:lang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rPr>
        <w:t>年度国有资本经营预算支出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万元，增长（降低）</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%，主要原因是没有使用国有资本经营预算拨款安排的支出</w:t>
      </w:r>
      <w:r>
        <w:rPr>
          <w:rFonts w:hint="eastAsia" w:ascii="仿宋" w:hAnsi="仿宋" w:eastAsia="仿宋" w:cs="仿宋"/>
          <w:sz w:val="32"/>
          <w:szCs w:val="32"/>
          <w:lang w:eastAsia="zh-CN"/>
        </w:rPr>
        <w:t>。</w:t>
      </w:r>
    </w:p>
    <w:p>
      <w:pPr>
        <w:tabs>
          <w:tab w:val="left" w:pos="7513"/>
        </w:tabs>
        <w:adjustRightInd w:val="0"/>
        <w:snapToGrid w:val="0"/>
        <w:spacing w:line="600" w:lineRule="exact"/>
        <w:ind w:firstLine="640" w:firstLineChars="200"/>
        <w:rPr>
          <w:rFonts w:hint="eastAsia" w:ascii="楷体" w:hAnsi="楷体" w:eastAsia="楷体" w:cs="仿宋_GB2312"/>
          <w:sz w:val="32"/>
          <w:szCs w:val="32"/>
        </w:rPr>
      </w:pPr>
      <w:r>
        <w:rPr>
          <w:rFonts w:hint="eastAsia" w:ascii="楷体" w:hAnsi="楷体" w:eastAsia="楷体" w:cs="仿宋_GB2312"/>
          <w:sz w:val="32"/>
          <w:szCs w:val="32"/>
        </w:rPr>
        <w:t>注：本部门</w:t>
      </w:r>
      <w:r>
        <w:rPr>
          <w:rFonts w:hint="eastAsia" w:ascii="楷体" w:hAnsi="楷体" w:eastAsia="楷体" w:cs="仿宋_GB2312"/>
          <w:sz w:val="32"/>
          <w:szCs w:val="32"/>
          <w:lang w:val="en-US" w:eastAsia="zh-CN"/>
        </w:rPr>
        <w:t>2023</w:t>
      </w:r>
      <w:r>
        <w:rPr>
          <w:rFonts w:hint="eastAsia" w:ascii="楷体" w:hAnsi="楷体" w:eastAsia="楷体" w:cs="仿宋_GB2312"/>
          <w:sz w:val="32"/>
          <w:szCs w:val="32"/>
        </w:rPr>
        <w:t>年度没有使用国有资本经营预算拨款安排的支出。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115.56</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107.3</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8.26</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楷体" w:hAnsi="楷体" w:eastAsia="楷体"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lang w:eastAsia="zh-CN"/>
        </w:rPr>
        <w:t>与</w:t>
      </w:r>
      <w:r>
        <w:rPr>
          <w:rFonts w:hint="eastAsia" w:ascii="仿宋" w:hAnsi="仿宋" w:eastAsia="仿宋" w:cs="仿宋_GB2312"/>
          <w:sz w:val="32"/>
          <w:szCs w:val="32"/>
        </w:rPr>
        <w:t>上年</w:t>
      </w:r>
      <w:r>
        <w:rPr>
          <w:rFonts w:hint="eastAsia" w:ascii="仿宋" w:hAnsi="仿宋" w:eastAsia="仿宋" w:cs="仿宋_GB2312"/>
          <w:sz w:val="32"/>
          <w:szCs w:val="32"/>
          <w:lang w:eastAsia="zh-CN"/>
        </w:rPr>
        <w:t>持平</w:t>
      </w:r>
      <w:r>
        <w:rPr>
          <w:rFonts w:hint="eastAsia" w:ascii="仿宋" w:hAnsi="仿宋" w:eastAsia="仿宋" w:cs="仿宋_GB2312"/>
          <w:sz w:val="32"/>
          <w:szCs w:val="32"/>
        </w:rPr>
        <w:t>。主要原因是:无因公出国人员。</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0.5</w:t>
      </w:r>
      <w:r>
        <w:rPr>
          <w:rFonts w:hint="eastAsia" w:ascii="仿宋" w:hAnsi="仿宋" w:eastAsia="仿宋" w:cs="宋体"/>
          <w:kern w:val="0"/>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0.2</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66.7</w:t>
      </w:r>
      <w:r>
        <w:rPr>
          <w:rFonts w:ascii="仿宋" w:hAnsi="仿宋" w:eastAsia="仿宋" w:cs="仿宋_GB2312"/>
          <w:sz w:val="32"/>
          <w:szCs w:val="32"/>
        </w:rPr>
        <w:t>%</w:t>
      </w:r>
      <w:r>
        <w:rPr>
          <w:rFonts w:hint="eastAsia" w:ascii="仿宋" w:hAnsi="仿宋" w:eastAsia="仿宋" w:cs="仿宋_GB2312"/>
          <w:sz w:val="32"/>
          <w:szCs w:val="32"/>
        </w:rPr>
        <w:t>。主要原因是:省、市信访局督导</w:t>
      </w:r>
      <w:r>
        <w:rPr>
          <w:rFonts w:hint="eastAsia" w:ascii="仿宋" w:hAnsi="仿宋" w:eastAsia="仿宋" w:cs="仿宋_GB2312"/>
          <w:sz w:val="32"/>
          <w:szCs w:val="32"/>
          <w:lang w:eastAsia="zh-CN"/>
        </w:rPr>
        <w:t>、</w:t>
      </w:r>
      <w:r>
        <w:rPr>
          <w:rFonts w:hint="eastAsia" w:ascii="仿宋" w:hAnsi="仿宋" w:eastAsia="仿宋" w:cs="仿宋_GB2312"/>
          <w:sz w:val="32"/>
          <w:szCs w:val="32"/>
        </w:rPr>
        <w:t>检查及其他县信访局业务交流等方面的接待活动。</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与上年持平；</w:t>
      </w:r>
      <w:r>
        <w:rPr>
          <w:rFonts w:hint="eastAsia" w:ascii="仿宋" w:hAnsi="仿宋" w:eastAsia="仿宋" w:cs="宋体"/>
          <w:kern w:val="0"/>
          <w:sz w:val="32"/>
          <w:szCs w:val="32"/>
        </w:rPr>
        <w:t>公务用车购置费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与上年持平。主要原因是:无公务用车。</w:t>
      </w:r>
    </w:p>
    <w:p>
      <w:pPr>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p>
      <w:pPr>
        <w:spacing w:line="590" w:lineRule="exact"/>
        <w:ind w:firstLine="640" w:firstLineChars="200"/>
        <w:rPr>
          <w:rFonts w:ascii="仿宋" w:hAnsi="仿宋" w:eastAsia="仿宋"/>
          <w:b/>
          <w:sz w:val="32"/>
          <w:szCs w:val="32"/>
        </w:rPr>
      </w:pPr>
      <w:r>
        <w:rPr>
          <w:rFonts w:hint="eastAsia" w:ascii="楷体" w:hAnsi="楷体" w:eastAsia="楷体" w:cs="楷体"/>
          <w:kern w:val="0"/>
          <w:sz w:val="32"/>
          <w:szCs w:val="32"/>
        </w:rPr>
        <w:t>本部门无项目支出绩效目标表</w:t>
      </w:r>
    </w:p>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 xml:space="preserve"> 年本单位无设置项目绩效目标。</w:t>
      </w:r>
    </w:p>
    <w:p>
      <w:pPr>
        <w:spacing w:line="600" w:lineRule="exact"/>
        <w:rPr>
          <w:rFonts w:ascii="黑体" w:hAnsi="黑体" w:eastAsia="黑体"/>
          <w:b w:val="0"/>
          <w:sz w:val="32"/>
          <w:szCs w:val="32"/>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sz w:val="32"/>
          <w:szCs w:val="32"/>
        </w:rPr>
        <w:t>年，</w:t>
      </w:r>
      <w:r>
        <w:rPr>
          <w:rFonts w:hint="eastAsia" w:ascii="仿宋" w:hAnsi="仿宋" w:eastAsia="仿宋" w:cs="仿宋_GB2312"/>
          <w:kern w:val="0"/>
          <w:sz w:val="32"/>
          <w:szCs w:val="32"/>
          <w:lang w:eastAsia="zh-CN"/>
        </w:rPr>
        <w:t>信访局</w:t>
      </w:r>
      <w:r>
        <w:rPr>
          <w:rFonts w:hint="eastAsia" w:ascii="仿宋" w:hAnsi="仿宋" w:eastAsia="仿宋"/>
          <w:sz w:val="32"/>
          <w:szCs w:val="32"/>
        </w:rPr>
        <w:t>一般公共预算拨款安排的机关运行经费支出</w:t>
      </w:r>
      <w:r>
        <w:rPr>
          <w:rFonts w:hint="eastAsia" w:ascii="仿宋" w:hAnsi="仿宋" w:eastAsia="仿宋" w:cs="仿宋_GB2312"/>
          <w:kern w:val="0"/>
          <w:sz w:val="32"/>
          <w:szCs w:val="32"/>
          <w:lang w:val="en-US" w:eastAsia="zh-CN"/>
        </w:rPr>
        <w:t>8.26</w:t>
      </w:r>
      <w:r>
        <w:rPr>
          <w:rFonts w:hint="eastAsia" w:ascii="仿宋" w:hAnsi="仿宋" w:eastAsia="仿宋"/>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0.04</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0.5</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人员调资</w:t>
      </w:r>
      <w:r>
        <w:rPr>
          <w:rFonts w:hint="eastAsia" w:ascii="仿宋" w:hAnsi="仿宋" w:eastAsia="仿宋" w:cs="仿宋_GB2312"/>
          <w:sz w:val="32"/>
          <w:szCs w:val="32"/>
          <w:lang w:eastAsia="zh-CN"/>
        </w:rPr>
        <w:t>工会经费增加</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2023</w:t>
      </w:r>
      <w:r>
        <w:rPr>
          <w:rFonts w:hint="eastAsia" w:ascii="仿宋" w:hAnsi="仿宋" w:eastAsia="仿宋"/>
          <w:kern w:val="0"/>
          <w:sz w:val="32"/>
          <w:szCs w:val="32"/>
        </w:rPr>
        <w:t>年，</w:t>
      </w:r>
      <w:r>
        <w:rPr>
          <w:rFonts w:hint="eastAsia" w:ascii="仿宋" w:hAnsi="仿宋" w:eastAsia="仿宋"/>
          <w:kern w:val="0"/>
          <w:sz w:val="32"/>
          <w:szCs w:val="32"/>
          <w:lang w:eastAsia="zh-CN"/>
        </w:rPr>
        <w:t>信访局</w:t>
      </w:r>
      <w:r>
        <w:rPr>
          <w:rFonts w:hint="eastAsia" w:ascii="仿宋" w:hAnsi="仿宋" w:eastAsia="仿宋"/>
          <w:kern w:val="0"/>
          <w:sz w:val="32"/>
          <w:szCs w:val="32"/>
        </w:rPr>
        <w:t>部门政府采购预算总额</w:t>
      </w:r>
      <w:r>
        <w:rPr>
          <w:rFonts w:hint="eastAsia" w:ascii="仿宋" w:hAnsi="仿宋" w:eastAsia="仿宋"/>
          <w:kern w:val="0"/>
          <w:sz w:val="32"/>
          <w:szCs w:val="32"/>
          <w:lang w:val="en-US" w:eastAsia="zh-CN"/>
        </w:rPr>
        <w:t>1.3</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1.3</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highlight w:val="yellow"/>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eastAsia="zh-CN"/>
        </w:rPr>
        <w:t>信访局</w:t>
      </w:r>
      <w:r>
        <w:rPr>
          <w:rFonts w:hint="eastAsia" w:ascii="仿宋" w:hAnsi="仿宋" w:eastAsia="仿宋"/>
          <w:sz w:val="32"/>
          <w:szCs w:val="32"/>
        </w:rPr>
        <w:t>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sz w:val="32"/>
          <w:szCs w:val="32"/>
          <w:highlight w:val="none"/>
        </w:rPr>
        <w:t>。单位价值100万元（含）以上设备</w:t>
      </w:r>
      <w:r>
        <w:rPr>
          <w:rFonts w:hint="eastAsia" w:ascii="仿宋" w:hAnsi="仿宋" w:eastAsia="仿宋" w:cs="仿宋_GB2312"/>
          <w:kern w:val="0"/>
          <w:sz w:val="32"/>
          <w:szCs w:val="32"/>
          <w:highlight w:val="none"/>
          <w:lang w:val="en-US" w:eastAsia="zh-CN"/>
        </w:rPr>
        <w:t>0</w:t>
      </w:r>
      <w:r>
        <w:rPr>
          <w:rFonts w:hint="eastAsia" w:ascii="仿宋" w:hAnsi="仿宋" w:eastAsia="仿宋" w:cs="仿宋_GB2312"/>
          <w:kern w:val="0"/>
          <w:sz w:val="32"/>
          <w:szCs w:val="32"/>
          <w:highlight w:val="none"/>
        </w:rPr>
        <w:t>台（套）。</w:t>
      </w:r>
    </w:p>
    <w:p>
      <w:pPr>
        <w:ind w:firstLine="640" w:firstLineChars="200"/>
        <w:rPr>
          <w:rFonts w:ascii="仿宋" w:hAnsi="仿宋" w:eastAsia="仿宋" w:cs="楷体"/>
          <w:kern w:val="0"/>
          <w:sz w:val="32"/>
          <w:szCs w:val="32"/>
          <w:highlight w:val="none"/>
        </w:rPr>
      </w:pPr>
      <w:r>
        <w:rPr>
          <w:rFonts w:hint="eastAsia" w:ascii="仿宋" w:hAnsi="仿宋" w:eastAsia="仿宋" w:cs="楷体"/>
          <w:kern w:val="0"/>
          <w:sz w:val="32"/>
          <w:szCs w:val="32"/>
          <w:lang w:val="en-US" w:eastAsia="zh-CN"/>
        </w:rPr>
        <w:t>2023</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sz w:val="32"/>
          <w:szCs w:val="32"/>
          <w:highlight w:val="none"/>
        </w:rPr>
        <w:t>单位价值100万元（含）以上设备</w:t>
      </w:r>
      <w:r>
        <w:rPr>
          <w:rFonts w:hint="eastAsia" w:ascii="仿宋" w:hAnsi="仿宋" w:eastAsia="仿宋" w:cs="仿宋_GB2312"/>
          <w:kern w:val="0"/>
          <w:sz w:val="32"/>
          <w:szCs w:val="32"/>
          <w:highlight w:val="none"/>
          <w:lang w:val="en-US" w:eastAsia="zh-CN"/>
        </w:rPr>
        <w:t>0</w:t>
      </w:r>
      <w:r>
        <w:rPr>
          <w:rFonts w:hint="eastAsia" w:ascii="仿宋" w:hAnsi="仿宋" w:eastAsia="仿宋" w:cs="仿宋_GB2312"/>
          <w:kern w:val="0"/>
          <w:sz w:val="32"/>
          <w:szCs w:val="32"/>
          <w:highlight w:val="none"/>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2"/>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2"/>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2"/>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TRlMDMyYjk0NjY2MTk2YmEwNmUyNjIyMzk4ZWY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1A207E41"/>
    <w:rsid w:val="242279FA"/>
    <w:rsid w:val="3EFB6D49"/>
    <w:rsid w:val="489108BA"/>
    <w:rsid w:val="4B281C61"/>
    <w:rsid w:val="4D424BF3"/>
    <w:rsid w:val="50C10D15"/>
    <w:rsid w:val="599214C4"/>
    <w:rsid w:val="5BCD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8809</Words>
  <Characters>9790</Characters>
  <Lines>95</Lines>
  <Paragraphs>26</Paragraphs>
  <TotalTime>17</TotalTime>
  <ScaleCrop>false</ScaleCrop>
  <LinksUpToDate>false</LinksUpToDate>
  <CharactersWithSpaces>10169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弋</cp:lastModifiedBy>
  <cp:lastPrinted>2023-01-03T09:16:00Z</cp:lastPrinted>
  <dcterms:modified xsi:type="dcterms:W3CDTF">2023-01-17T07:50:08Z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85E69B0C20164D7296199088DBF4BF1A</vt:lpwstr>
  </property>
</Properties>
</file>