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CFB949">
      <w:pPr>
        <w:spacing w:line="360" w:lineRule="auto"/>
        <w:jc w:val="center"/>
        <w:rPr>
          <w:rFonts w:ascii="宋体" w:hAnsi="宋体"/>
          <w:sz w:val="24"/>
        </w:rPr>
      </w:pPr>
    </w:p>
    <w:p w14:paraId="194C6AA1">
      <w:pPr>
        <w:spacing w:line="360" w:lineRule="auto"/>
        <w:jc w:val="center"/>
        <w:rPr>
          <w:rFonts w:ascii="宋体" w:hAnsi="宋体"/>
          <w:sz w:val="24"/>
        </w:rPr>
      </w:pPr>
    </w:p>
    <w:p w14:paraId="24BB73CB">
      <w:pPr>
        <w:spacing w:line="360" w:lineRule="auto"/>
        <w:jc w:val="center"/>
        <w:rPr>
          <w:rFonts w:ascii="宋体" w:hAnsi="宋体"/>
          <w:sz w:val="24"/>
        </w:rPr>
      </w:pPr>
    </w:p>
    <w:p w14:paraId="445C7C9E">
      <w:pPr>
        <w:spacing w:line="360" w:lineRule="auto"/>
        <w:jc w:val="center"/>
        <w:rPr>
          <w:rFonts w:ascii="宋体" w:hAnsi="宋体"/>
          <w:sz w:val="24"/>
        </w:rPr>
      </w:pPr>
    </w:p>
    <w:p w14:paraId="1C7930B3">
      <w:pPr>
        <w:widowControl/>
        <w:jc w:val="center"/>
        <w:rPr>
          <w:sz w:val="32"/>
          <w:szCs w:val="32"/>
          <w:highlight w:val="none"/>
        </w:rPr>
      </w:pPr>
    </w:p>
    <w:p w14:paraId="5502385D">
      <w:pPr>
        <w:widowControl/>
        <w:jc w:val="both"/>
        <w:rPr>
          <w:sz w:val="84"/>
          <w:szCs w:val="84"/>
          <w:highlight w:val="none"/>
        </w:rPr>
      </w:pPr>
    </w:p>
    <w:p w14:paraId="52992E74">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lang w:val="en-US" w:eastAsia="zh-CN"/>
        </w:rPr>
        <w:t>2025</w:t>
      </w:r>
      <w:r>
        <w:rPr>
          <w:rFonts w:hint="eastAsia" w:ascii="方正小标宋简体" w:eastAsia="方正小标宋简体"/>
          <w:b/>
          <w:bCs/>
          <w:sz w:val="84"/>
          <w:szCs w:val="84"/>
          <w:highlight w:val="none"/>
        </w:rPr>
        <w:t>年度</w:t>
      </w:r>
    </w:p>
    <w:p w14:paraId="54E340D0">
      <w:pPr>
        <w:widowControl/>
        <w:jc w:val="center"/>
        <w:rPr>
          <w:rFonts w:hint="eastAsia" w:ascii="方正小标宋简体" w:eastAsia="方正小标宋简体"/>
          <w:b/>
          <w:bCs/>
          <w:sz w:val="84"/>
          <w:szCs w:val="84"/>
          <w:highlight w:val="none"/>
        </w:rPr>
      </w:pPr>
      <w:r>
        <w:rPr>
          <w:rFonts w:hint="eastAsia" w:ascii="方正小标宋简体" w:eastAsia="方正小标宋简体"/>
          <w:b/>
          <w:bCs/>
          <w:sz w:val="84"/>
          <w:szCs w:val="84"/>
          <w:highlight w:val="none"/>
        </w:rPr>
        <w:t>明溪县人民政府办公室</w:t>
      </w:r>
    </w:p>
    <w:p w14:paraId="11BA1EED">
      <w:pPr>
        <w:widowControl/>
        <w:jc w:val="center"/>
        <w:rPr>
          <w:rFonts w:hint="eastAsia" w:ascii="方正小标宋简体" w:eastAsia="方正小标宋简体"/>
          <w:b/>
          <w:bCs/>
          <w:sz w:val="84"/>
          <w:szCs w:val="84"/>
          <w:highlight w:val="none"/>
          <w:lang w:val="en-US" w:eastAsia="zh-CN"/>
        </w:rPr>
        <w:sectPr>
          <w:footerReference r:id="rId4" w:type="first"/>
          <w:footerReference r:id="rId3" w:type="default"/>
          <w:pgSz w:w="11906" w:h="16838"/>
          <w:pgMar w:top="1440" w:right="1083" w:bottom="1440" w:left="1083" w:header="0" w:footer="720" w:gutter="0"/>
          <w:pgBorders>
            <w:top w:val="none" w:sz="0" w:space="0"/>
            <w:left w:val="none" w:sz="0" w:space="0"/>
            <w:bottom w:val="none" w:sz="0" w:space="0"/>
            <w:right w:val="none" w:sz="0" w:space="0"/>
          </w:pgBorders>
          <w:pgNumType w:fmt="decimal"/>
          <w:cols w:space="0" w:num="1"/>
          <w:titlePg/>
          <w:rtlGutter w:val="0"/>
          <w:docGrid w:type="lines" w:linePitch="317" w:charSpace="0"/>
        </w:sectPr>
      </w:pPr>
      <w:r>
        <w:rPr>
          <w:rFonts w:hint="eastAsia" w:ascii="方正小标宋简体" w:eastAsia="方正小标宋简体"/>
          <w:b/>
          <w:bCs/>
          <w:sz w:val="84"/>
          <w:u w:val="none" w:color="auto"/>
          <w:lang w:val="en-US" w:eastAsia="zh-CN"/>
        </w:rPr>
        <w:t>部门</w:t>
      </w:r>
      <w:r>
        <w:rPr>
          <w:rFonts w:hint="eastAsia" w:ascii="方正小标宋简体" w:eastAsia="方正小标宋简体"/>
          <w:b/>
          <w:bCs/>
          <w:sz w:val="84"/>
          <w:szCs w:val="84"/>
          <w:highlight w:val="none"/>
        </w:rPr>
        <w:t>决算</w:t>
      </w:r>
    </w:p>
    <w:sdt>
      <w:sdtPr>
        <w:rPr>
          <w:rFonts w:hint="eastAsia" w:ascii="仿宋" w:hAnsi="仿宋" w:eastAsia="仿宋" w:cs="仿宋"/>
          <w:b/>
          <w:bCs/>
          <w:kern w:val="0"/>
          <w:sz w:val="32"/>
          <w:szCs w:val="32"/>
          <w:lang w:val="en-US" w:eastAsia="zh-CN"/>
        </w:rPr>
        <w:id w:val="147456983"/>
        <w15:color w:val="DBDBDB"/>
        <w:docPartObj>
          <w:docPartGallery w:val="Table of Contents"/>
          <w:docPartUnique/>
        </w:docPartObj>
      </w:sdtPr>
      <w:sdtEndPr>
        <w:rPr>
          <w:rFonts w:hint="eastAsia" w:ascii="宋体" w:hAnsi="宋体" w:eastAsia="宋体" w:cs="Times New Roman"/>
          <w:b/>
          <w:bCs/>
          <w:kern w:val="2"/>
          <w:sz w:val="32"/>
          <w:szCs w:val="32"/>
          <w:lang w:val="en-US" w:eastAsia="zh-CN" w:bidi="ar-SA"/>
        </w:rPr>
      </w:sdtEndPr>
      <w:sdtContent>
        <w:p w14:paraId="4CDABD30">
          <w:pPr>
            <w:widowControl/>
            <w:spacing w:before="0" w:beforeLines="0" w:after="0" w:afterLines="0" w:line="240" w:lineRule="auto"/>
            <w:ind w:left="0" w:leftChars="0" w:right="0" w:rightChars="0" w:firstLine="0" w:firstLineChars="0"/>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目</w:t>
          </w:r>
          <w:r>
            <w:rPr>
              <w:rFonts w:hint="eastAsia" w:ascii="仿宋" w:hAnsi="仿宋" w:eastAsia="仿宋" w:cs="仿宋"/>
              <w:b/>
              <w:bCs/>
              <w:kern w:val="0"/>
              <w:sz w:val="32"/>
              <w:szCs w:val="32"/>
              <w:lang w:val="en-US" w:eastAsia="zh-CN"/>
            </w:rPr>
            <w:t xml:space="preserve"> </w:t>
          </w:r>
          <w:r>
            <w:rPr>
              <w:rFonts w:hint="eastAsia" w:ascii="仿宋" w:hAnsi="仿宋" w:eastAsia="仿宋" w:cs="仿宋"/>
              <w:b/>
              <w:bCs/>
              <w:kern w:val="0"/>
              <w:sz w:val="32"/>
              <w:szCs w:val="32"/>
            </w:rPr>
            <w:t>录</w:t>
          </w:r>
        </w:p>
        <w:p w14:paraId="232962DB">
          <w:pPr>
            <w:pStyle w:val="19"/>
            <w:tabs>
              <w:tab w:val="right" w:leader="dot" w:pos="9730"/>
            </w:tabs>
            <w:rPr>
              <w:rFonts w:asciiTheme="minorHAnsi" w:hAnsiTheme="minorHAnsi"/>
              <w:sz w:val="22"/>
            </w:rPr>
          </w:pPr>
          <w:r>
            <w:rPr>
              <w:rFonts w:hint="eastAsia" w:ascii="仿宋" w:hAnsi="仿宋" w:eastAsia="仿宋" w:cs="仿宋"/>
              <w:b w:val="0"/>
              <w:bCs/>
              <w:kern w:val="2"/>
              <w:sz w:val="32"/>
              <w:szCs w:val="32"/>
              <w:lang w:val="en-US" w:eastAsia="zh-CN" w:bidi="ar-SA"/>
            </w:rPr>
            <w:fldChar w:fldCharType="begin"/>
          </w:r>
          <w:r>
            <w:rPr>
              <w:rFonts w:hint="eastAsia" w:ascii="仿宋" w:hAnsi="仿宋" w:eastAsia="仿宋" w:cs="仿宋"/>
              <w:b w:val="0"/>
              <w:bCs/>
              <w:kern w:val="2"/>
              <w:sz w:val="32"/>
              <w:szCs w:val="32"/>
              <w:lang w:val="en-US" w:eastAsia="zh-CN" w:bidi="ar-SA"/>
            </w:rPr>
            <w:instrText xml:space="preserve">TOC \o "1-3" \h \u </w:instrText>
          </w:r>
          <w:r>
            <w:rPr>
              <w:rFonts w:hint="eastAsia" w:ascii="仿宋" w:hAnsi="仿宋" w:eastAsia="仿宋" w:cs="仿宋"/>
              <w:b w:val="0"/>
              <w:bCs/>
              <w:kern w:val="2"/>
              <w:sz w:val="32"/>
              <w:szCs w:val="32"/>
              <w:lang w:val="en-US" w:eastAsia="zh-CN" w:bidi="ar-SA"/>
            </w:rPr>
            <w:fldChar w:fldCharType="separate"/>
          </w:r>
          <w:r>
            <w:fldChar w:fldCharType="begin"/>
          </w:r>
          <w:r>
            <w:instrText xml:space="preserve"> HYPERLINK \l "_Toc256000054" </w:instrText>
          </w:r>
          <w:r>
            <w:fldChar w:fldCharType="separate"/>
          </w:r>
          <w:r>
            <w:rPr>
              <w:rStyle w:val="24"/>
              <w:rFonts w:ascii="仿宋" w:hAnsi="仿宋" w:eastAsia="仿宋" w:cs="仿宋"/>
            </w:rPr>
            <w:t>第一部分</w:t>
          </w:r>
          <w:r>
            <w:rPr>
              <w:rStyle w:val="24"/>
              <w:rFonts w:ascii="黑体" w:hAnsi="黑体" w:eastAsia="黑体" w:cs="黑体"/>
            </w:rPr>
            <w:t xml:space="preserve"> </w:t>
          </w:r>
          <w:r>
            <w:rPr>
              <w:rStyle w:val="24"/>
              <w:rFonts w:ascii="仿宋" w:hAnsi="仿宋" w:eastAsia="仿宋" w:cs="仿宋"/>
            </w:rPr>
            <w:t>部门概况</w:t>
          </w:r>
          <w:r>
            <w:tab/>
          </w:r>
          <w:r>
            <w:fldChar w:fldCharType="begin"/>
          </w:r>
          <w:r>
            <w:instrText xml:space="preserve"> PAGEREF _Toc256000054 \h </w:instrText>
          </w:r>
          <w:r>
            <w:fldChar w:fldCharType="separate"/>
          </w:r>
          <w:r>
            <w:t>3</w:t>
          </w:r>
          <w:r>
            <w:fldChar w:fldCharType="end"/>
          </w:r>
          <w:r>
            <w:fldChar w:fldCharType="end"/>
          </w:r>
        </w:p>
        <w:p w14:paraId="06B66127">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"_Toc256000055" </w:instrText>
          </w:r>
          <w:r>
            <w:fldChar w:fldCharType="separate"/>
          </w:r>
          <w:r>
            <w:rPr>
              <w:rStyle w:val="24"/>
              <w:rFonts w:ascii="仿宋" w:hAnsi="仿宋" w:eastAsia="仿宋" w:cs="仿宋"/>
            </w:rPr>
            <w:t>一、部门主要职责</w:t>
          </w:r>
          <w:r>
            <w:tab/>
          </w:r>
          <w:r>
            <w:rPr>
              <w:rFonts w:hint="eastAsia"/>
              <w:lang w:val="en-US" w:eastAsia="zh-CN"/>
            </w:rPr>
            <w:t>3</w:t>
          </w:r>
          <w:r>
            <w:fldChar w:fldCharType="end"/>
          </w:r>
        </w:p>
        <w:p w14:paraId="44A6E770">
          <w:pPr>
            <w:pStyle w:val="12"/>
            <w:tabs>
              <w:tab w:val="right" w:leader="dot" w:pos="9730"/>
            </w:tabs>
            <w:rPr>
              <w:rFonts w:asciiTheme="minorHAnsi" w:hAnsiTheme="minorHAnsi"/>
              <w:sz w:val="22"/>
            </w:rPr>
          </w:pPr>
          <w:r>
            <w:fldChar w:fldCharType="begin"/>
          </w:r>
          <w:r>
            <w:instrText xml:space="preserve"> HYPERLINK \l "_Toc256000056" </w:instrText>
          </w:r>
          <w:r>
            <w:fldChar w:fldCharType="separate"/>
          </w:r>
          <w:r>
            <w:rPr>
              <w:rStyle w:val="24"/>
              <w:rFonts w:ascii="仿宋" w:hAnsi="仿宋" w:eastAsia="仿宋" w:cs="仿宋"/>
            </w:rPr>
            <w:t>二、部门决算单位基本情况</w:t>
          </w:r>
          <w:r>
            <w:tab/>
          </w:r>
          <w:r>
            <w:rPr>
              <w:rFonts w:hint="eastAsia"/>
              <w:lang w:val="en-US" w:eastAsia="zh-CN"/>
            </w:rPr>
            <w:t>4</w:t>
          </w:r>
          <w:r>
            <w:fldChar w:fldCharType="end"/>
          </w:r>
        </w:p>
        <w:p w14:paraId="7BBBE3DB">
          <w:pPr>
            <w:pStyle w:val="12"/>
            <w:tabs>
              <w:tab w:val="right" w:leader="dot" w:pos="9730"/>
            </w:tabs>
            <w:rPr>
              <w:rFonts w:asciiTheme="minorHAnsi" w:hAnsiTheme="minorHAnsi"/>
              <w:sz w:val="22"/>
            </w:rPr>
          </w:pPr>
          <w:r>
            <w:fldChar w:fldCharType="begin"/>
          </w:r>
          <w:r>
            <w:instrText xml:space="preserve"> HYPERLINK \l "_Toc256000057" </w:instrText>
          </w:r>
          <w:r>
            <w:fldChar w:fldCharType="separate"/>
          </w:r>
          <w:r>
            <w:rPr>
              <w:rStyle w:val="24"/>
              <w:rFonts w:ascii="仿宋" w:hAnsi="仿宋" w:eastAsia="仿宋" w:cs="仿宋"/>
            </w:rPr>
            <w:t>三、部门主要工作总结</w:t>
          </w:r>
          <w:r>
            <w:tab/>
          </w:r>
          <w:r>
            <w:rPr>
              <w:rFonts w:hint="eastAsia"/>
              <w:lang w:val="en-US" w:eastAsia="zh-CN"/>
            </w:rPr>
            <w:t>4</w:t>
          </w:r>
          <w:r>
            <w:fldChar w:fldCharType="end"/>
          </w:r>
        </w:p>
        <w:p w14:paraId="238460BC">
          <w:pPr>
            <w:pStyle w:val="19"/>
            <w:tabs>
              <w:tab w:val="right" w:leader="dot" w:pos="9730"/>
            </w:tabs>
            <w:rPr>
              <w:rFonts w:asciiTheme="minorHAnsi" w:hAnsiTheme="minorHAnsi"/>
              <w:sz w:val="22"/>
            </w:rPr>
          </w:pPr>
          <w:r>
            <w:fldChar w:fldCharType="begin"/>
          </w:r>
          <w:r>
            <w:instrText xml:space="preserve"> HYPERLINK \l "_Toc256000058" </w:instrText>
          </w:r>
          <w:r>
            <w:fldChar w:fldCharType="separate"/>
          </w:r>
          <w:r>
            <w:rPr>
              <w:rStyle w:val="24"/>
              <w:rFonts w:ascii="仿宋" w:hAnsi="仿宋" w:eastAsia="仿宋" w:cs="仿宋"/>
            </w:rPr>
            <w:t>第二部分</w:t>
          </w:r>
          <w:r>
            <w:rPr>
              <w:rStyle w:val="24"/>
              <w:rFonts w:ascii="黑体" w:hAnsi="黑体" w:eastAsia="黑体" w:cs="黑体"/>
            </w:rPr>
            <w:t xml:space="preserve"> </w:t>
          </w:r>
          <w:r>
            <w:rPr>
              <w:rStyle w:val="24"/>
              <w:rFonts w:ascii="仿宋" w:hAnsi="仿宋" w:eastAsia="仿宋" w:cs="仿宋"/>
            </w:rPr>
            <w:t>2025年度部门决算表</w:t>
          </w:r>
          <w:r>
            <w:tab/>
          </w:r>
          <w:r>
            <w:rPr>
              <w:rFonts w:hint="eastAsia"/>
              <w:lang w:val="en-US" w:eastAsia="zh-CN"/>
            </w:rPr>
            <w:t>7</w:t>
          </w:r>
          <w:r>
            <w:fldChar w:fldCharType="end"/>
          </w:r>
        </w:p>
        <w:p w14:paraId="6FFC3CE7">
          <w:pPr>
            <w:pStyle w:val="12"/>
            <w:tabs>
              <w:tab w:val="right" w:leader="dot" w:pos="9730"/>
            </w:tabs>
            <w:rPr>
              <w:rFonts w:asciiTheme="minorHAnsi" w:hAnsiTheme="minorHAnsi"/>
              <w:sz w:val="22"/>
            </w:rPr>
          </w:pPr>
          <w:r>
            <w:fldChar w:fldCharType="begin"/>
          </w:r>
          <w:r>
            <w:instrText xml:space="preserve"> HYPERLINK \l "_Toc256000059" </w:instrText>
          </w:r>
          <w:r>
            <w:fldChar w:fldCharType="separate"/>
          </w:r>
          <w:r>
            <w:rPr>
              <w:rStyle w:val="24"/>
              <w:rFonts w:ascii="仿宋" w:hAnsi="仿宋" w:eastAsia="仿宋" w:cs="仿宋"/>
            </w:rPr>
            <w:t>一、收入支出决算总表</w:t>
          </w:r>
          <w:r>
            <w:tab/>
          </w:r>
          <w:r>
            <w:rPr>
              <w:rFonts w:hint="eastAsia"/>
              <w:lang w:val="en-US" w:eastAsia="zh-CN"/>
            </w:rPr>
            <w:t>7</w:t>
          </w:r>
          <w:r>
            <w:fldChar w:fldCharType="end"/>
          </w:r>
        </w:p>
        <w:p w14:paraId="2E59F71E">
          <w:pPr>
            <w:pStyle w:val="12"/>
            <w:tabs>
              <w:tab w:val="right" w:leader="dot" w:pos="9730"/>
            </w:tabs>
            <w:rPr>
              <w:rFonts w:asciiTheme="minorHAnsi" w:hAnsiTheme="minorHAnsi"/>
              <w:sz w:val="22"/>
            </w:rPr>
          </w:pPr>
          <w:r>
            <w:fldChar w:fldCharType="begin"/>
          </w:r>
          <w:r>
            <w:instrText xml:space="preserve"> HYPERLINK \l "_Toc256000060" </w:instrText>
          </w:r>
          <w:r>
            <w:fldChar w:fldCharType="separate"/>
          </w:r>
          <w:r>
            <w:rPr>
              <w:rStyle w:val="24"/>
              <w:rFonts w:ascii="仿宋" w:hAnsi="仿宋" w:eastAsia="仿宋" w:cs="仿宋"/>
            </w:rPr>
            <w:t>二、收入决算表</w:t>
          </w:r>
          <w:r>
            <w:tab/>
          </w:r>
          <w:r>
            <w:rPr>
              <w:rFonts w:hint="eastAsia"/>
              <w:lang w:val="en-US" w:eastAsia="zh-CN"/>
            </w:rPr>
            <w:t>9</w:t>
          </w:r>
          <w:r>
            <w:fldChar w:fldCharType="end"/>
          </w:r>
        </w:p>
        <w:p w14:paraId="06A3CA63">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"_Toc256000061" </w:instrText>
          </w:r>
          <w:r>
            <w:fldChar w:fldCharType="separate"/>
          </w:r>
          <w:r>
            <w:rPr>
              <w:rStyle w:val="24"/>
              <w:rFonts w:ascii="仿宋" w:hAnsi="仿宋" w:eastAsia="仿宋" w:cs="仿宋"/>
            </w:rPr>
            <w:t>三、支出决算表</w:t>
          </w:r>
          <w:r>
            <w:tab/>
          </w:r>
          <w:r>
            <w:rPr>
              <w:rFonts w:hint="eastAsia"/>
              <w:lang w:val="en-US" w:eastAsia="zh-CN"/>
            </w:rPr>
            <w:t>1</w:t>
          </w:r>
          <w:r>
            <w:fldChar w:fldCharType="end"/>
          </w:r>
          <w:r>
            <w:rPr>
              <w:rFonts w:hint="eastAsia"/>
              <w:lang w:val="en-US" w:eastAsia="zh-CN"/>
            </w:rPr>
            <w:t>1</w:t>
          </w:r>
        </w:p>
        <w:p w14:paraId="5257C8AE">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"_Toc256000062" </w:instrText>
          </w:r>
          <w:r>
            <w:fldChar w:fldCharType="separate"/>
          </w:r>
          <w:r>
            <w:rPr>
              <w:rStyle w:val="24"/>
              <w:rFonts w:ascii="仿宋" w:hAnsi="仿宋" w:eastAsia="仿宋" w:cs="仿宋"/>
            </w:rPr>
            <w:t>四、财政拨款收入支出决算总表</w:t>
          </w:r>
          <w:r>
            <w:tab/>
          </w:r>
          <w:r>
            <w:rPr>
              <w:rFonts w:hint="eastAsia"/>
              <w:lang w:val="en-US" w:eastAsia="zh-CN"/>
            </w:rPr>
            <w:t>1</w:t>
          </w:r>
          <w:r>
            <w:fldChar w:fldCharType="end"/>
          </w:r>
          <w:r>
            <w:rPr>
              <w:rFonts w:hint="eastAsia"/>
              <w:lang w:val="en-US" w:eastAsia="zh-CN"/>
            </w:rPr>
            <w:t>3</w:t>
          </w:r>
        </w:p>
        <w:p w14:paraId="3C132224">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"_Toc256000063" </w:instrText>
          </w:r>
          <w:r>
            <w:fldChar w:fldCharType="separate"/>
          </w:r>
          <w:r>
            <w:rPr>
              <w:rStyle w:val="24"/>
              <w:rFonts w:ascii="仿宋" w:hAnsi="仿宋" w:eastAsia="仿宋" w:cs="仿宋"/>
            </w:rPr>
            <w:t>五、一般公共预算财政拨款支出决算表</w:t>
          </w:r>
          <w:r>
            <w:tab/>
          </w:r>
          <w:r>
            <w:fldChar w:fldCharType="begin"/>
          </w:r>
          <w:r>
            <w:instrText xml:space="preserve"> PAGEREF _Toc256000063 \h </w:instrText>
          </w:r>
          <w:r>
            <w:fldChar w:fldCharType="separate"/>
          </w:r>
          <w:r>
            <w:t>16</w:t>
          </w:r>
          <w:r>
            <w:fldChar w:fldCharType="end"/>
          </w:r>
          <w:r>
            <w:fldChar w:fldCharType="end"/>
          </w:r>
        </w:p>
        <w:p w14:paraId="46BC1296">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"_Toc256000064" </w:instrText>
          </w:r>
          <w:r>
            <w:fldChar w:fldCharType="separate"/>
          </w:r>
          <w:r>
            <w:rPr>
              <w:rStyle w:val="24"/>
              <w:rFonts w:ascii="仿宋" w:hAnsi="仿宋" w:eastAsia="仿宋" w:cs="仿宋"/>
            </w:rPr>
            <w:t>六、一般公共预算财政拨款基本支出决算表</w:t>
          </w:r>
          <w:r>
            <w:tab/>
          </w:r>
          <w:r>
            <w:rPr>
              <w:rFonts w:hint="eastAsia"/>
              <w:lang w:val="en-US" w:eastAsia="zh-CN"/>
            </w:rPr>
            <w:t>17</w:t>
          </w:r>
          <w:r>
            <w:fldChar w:fldCharType="end"/>
          </w:r>
        </w:p>
        <w:p w14:paraId="6679ACC0">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"_Toc256000065" </w:instrText>
          </w:r>
          <w:r>
            <w:fldChar w:fldCharType="separate"/>
          </w:r>
          <w:r>
            <w:rPr>
              <w:rStyle w:val="24"/>
              <w:rFonts w:ascii="仿宋" w:hAnsi="仿宋" w:eastAsia="仿宋" w:cs="仿宋"/>
            </w:rPr>
            <w:t>七、一般公共预算财政拨款“三公”经费支出决算表</w:t>
          </w:r>
          <w:r>
            <w:tab/>
          </w:r>
          <w:r>
            <w:rPr>
              <w:rFonts w:hint="eastAsia"/>
              <w:lang w:val="en-US" w:eastAsia="zh-CN"/>
            </w:rPr>
            <w:t>20</w:t>
          </w:r>
          <w:r>
            <w:fldChar w:fldCharType="end"/>
          </w:r>
        </w:p>
        <w:p w14:paraId="3F8A6273">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"_Toc256000066" </w:instrText>
          </w:r>
          <w:r>
            <w:fldChar w:fldCharType="separate"/>
          </w:r>
          <w:r>
            <w:rPr>
              <w:rStyle w:val="24"/>
              <w:rFonts w:ascii="仿宋" w:hAnsi="仿宋" w:eastAsia="仿宋" w:cs="仿宋"/>
            </w:rPr>
            <w:t>八、政府性基金预算财政拨款收入支出决算表</w:t>
          </w:r>
          <w:r>
            <w:tab/>
          </w:r>
          <w:r>
            <w:rPr>
              <w:rFonts w:hint="eastAsia"/>
              <w:lang w:val="en-US" w:eastAsia="zh-CN"/>
            </w:rPr>
            <w:t>2</w:t>
          </w:r>
          <w:r>
            <w:fldChar w:fldCharType="end"/>
          </w:r>
          <w:r>
            <w:rPr>
              <w:rFonts w:hint="eastAsia"/>
              <w:lang w:val="en-US" w:eastAsia="zh-CN"/>
            </w:rPr>
            <w:t>1</w:t>
          </w:r>
        </w:p>
        <w:p w14:paraId="4CBFBFE3">
          <w:pPr>
            <w:pStyle w:val="12"/>
            <w:tabs>
              <w:tab w:val="right" w:leader="dot" w:pos="9730"/>
            </w:tabs>
            <w:rPr>
              <w:rFonts w:hint="eastAsia" w:eastAsia="仿宋" w:asciiTheme="minorHAnsi" w:hAnsiTheme="minorHAnsi"/>
              <w:sz w:val="22"/>
              <w:lang w:val="en-US" w:eastAsia="zh-CN"/>
            </w:rPr>
          </w:pPr>
          <w:r>
            <w:fldChar w:fldCharType="begin"/>
          </w:r>
          <w:r>
            <w:instrText xml:space="preserve"> HYPERLINK \l "_Toc256000067" </w:instrText>
          </w:r>
          <w:r>
            <w:fldChar w:fldCharType="separate"/>
          </w:r>
          <w:r>
            <w:rPr>
              <w:rStyle w:val="24"/>
              <w:rFonts w:ascii="仿宋" w:hAnsi="仿宋" w:eastAsia="仿宋" w:cs="仿宋"/>
            </w:rPr>
            <w:t>九、国有资本经营预算财政拨款支出决算表</w:t>
          </w:r>
          <w:r>
            <w:tab/>
          </w:r>
          <w:r>
            <w:rPr>
              <w:rFonts w:hint="eastAsia"/>
              <w:lang w:val="en-US" w:eastAsia="zh-CN"/>
            </w:rPr>
            <w:t>2</w:t>
          </w:r>
          <w:r>
            <w:fldChar w:fldCharType="end"/>
          </w:r>
          <w:r>
            <w:rPr>
              <w:rFonts w:hint="eastAsia"/>
              <w:lang w:val="en-US" w:eastAsia="zh-CN"/>
            </w:rPr>
            <w:t>2</w:t>
          </w:r>
        </w:p>
        <w:p w14:paraId="77F9B779">
          <w:pPr>
            <w:pStyle w:val="19"/>
            <w:tabs>
              <w:tab w:val="right" w:leader="dot" w:pos="9730"/>
            </w:tabs>
            <w:rPr>
              <w:rFonts w:asciiTheme="minorHAnsi" w:hAnsiTheme="minorHAnsi"/>
              <w:sz w:val="22"/>
            </w:rPr>
          </w:pPr>
          <w:r>
            <w:fldChar w:fldCharType="begin"/>
          </w:r>
          <w:r>
            <w:instrText xml:space="preserve"> HYPERLINK \l "_Toc256000068" </w:instrText>
          </w:r>
          <w:r>
            <w:fldChar w:fldCharType="separate"/>
          </w:r>
          <w:r>
            <w:rPr>
              <w:rStyle w:val="24"/>
              <w:rFonts w:ascii="仿宋" w:hAnsi="仿宋" w:eastAsia="仿宋" w:cs="仿宋"/>
            </w:rPr>
            <w:t>第三部分</w:t>
          </w:r>
          <w:r>
            <w:rPr>
              <w:rStyle w:val="24"/>
              <w:rFonts w:ascii="黑体" w:hAnsi="黑体" w:eastAsia="黑体" w:cs="黑体"/>
            </w:rPr>
            <w:t xml:space="preserve"> </w:t>
          </w:r>
          <w:r>
            <w:rPr>
              <w:rStyle w:val="24"/>
              <w:rFonts w:ascii="仿宋" w:hAnsi="仿宋" w:eastAsia="仿宋" w:cs="仿宋"/>
            </w:rPr>
            <w:t>2025年度部门决算情况说明</w:t>
          </w:r>
          <w:r>
            <w:tab/>
          </w:r>
          <w:r>
            <w:fldChar w:fldCharType="begin"/>
          </w:r>
          <w:r>
            <w:instrText xml:space="preserve"> PAGEREF _Toc256000068 \h </w:instrText>
          </w:r>
          <w:r>
            <w:fldChar w:fldCharType="separate"/>
          </w:r>
          <w:r>
            <w:t>23</w:t>
          </w:r>
          <w:r>
            <w:fldChar w:fldCharType="end"/>
          </w:r>
          <w:r>
            <w:fldChar w:fldCharType="end"/>
          </w:r>
        </w:p>
        <w:p w14:paraId="2FA381EC">
          <w:pPr>
            <w:pStyle w:val="12"/>
            <w:tabs>
              <w:tab w:val="right" w:leader="dot" w:pos="9730"/>
            </w:tabs>
            <w:rPr>
              <w:rFonts w:asciiTheme="minorHAnsi" w:hAnsiTheme="minorHAnsi"/>
              <w:sz w:val="22"/>
            </w:rPr>
          </w:pPr>
          <w:r>
            <w:fldChar w:fldCharType="begin"/>
          </w:r>
          <w:r>
            <w:instrText xml:space="preserve"> HYPERLINK \l "_Toc256000069" </w:instrText>
          </w:r>
          <w:r>
            <w:fldChar w:fldCharType="separate"/>
          </w:r>
          <w:r>
            <w:rPr>
              <w:rStyle w:val="24"/>
              <w:rFonts w:ascii="仿宋" w:hAnsi="仿宋" w:eastAsia="仿宋" w:cs="仿宋"/>
            </w:rPr>
            <w:t>一、收入支出决算总体情况说明</w:t>
          </w:r>
          <w:r>
            <w:tab/>
          </w:r>
          <w:r>
            <w:fldChar w:fldCharType="begin"/>
          </w:r>
          <w:r>
            <w:instrText xml:space="preserve"> PAGEREF _Toc256000069 \h </w:instrText>
          </w:r>
          <w:r>
            <w:fldChar w:fldCharType="separate"/>
          </w:r>
          <w:r>
            <w:t>23</w:t>
          </w:r>
          <w:r>
            <w:fldChar w:fldCharType="end"/>
          </w:r>
          <w:r>
            <w:fldChar w:fldCharType="end"/>
          </w:r>
        </w:p>
        <w:p w14:paraId="4CCB71AA">
          <w:pPr>
            <w:pStyle w:val="12"/>
            <w:tabs>
              <w:tab w:val="right" w:leader="dot" w:pos="9730"/>
            </w:tabs>
            <w:rPr>
              <w:rFonts w:asciiTheme="minorHAnsi" w:hAnsiTheme="minorHAnsi"/>
              <w:sz w:val="22"/>
            </w:rPr>
          </w:pPr>
          <w:r>
            <w:fldChar w:fldCharType="begin"/>
          </w:r>
          <w:r>
            <w:instrText xml:space="preserve"> HYPERLINK \l "_Toc256000070" </w:instrText>
          </w:r>
          <w:r>
            <w:fldChar w:fldCharType="separate"/>
          </w:r>
          <w:r>
            <w:rPr>
              <w:rStyle w:val="24"/>
              <w:rFonts w:ascii="仿宋" w:hAnsi="仿宋" w:eastAsia="仿宋" w:cs="仿宋"/>
            </w:rPr>
            <w:t>二、财政拨款收入支出决算总体情况说明</w:t>
          </w:r>
          <w:r>
            <w:tab/>
          </w:r>
          <w:r>
            <w:fldChar w:fldCharType="begin"/>
          </w:r>
          <w:r>
            <w:instrText xml:space="preserve"> PAGEREF _Toc256000070 \h </w:instrText>
          </w:r>
          <w:r>
            <w:fldChar w:fldCharType="separate"/>
          </w:r>
          <w:r>
            <w:t>24</w:t>
          </w:r>
          <w:r>
            <w:fldChar w:fldCharType="end"/>
          </w:r>
          <w:r>
            <w:fldChar w:fldCharType="end"/>
          </w:r>
        </w:p>
        <w:p w14:paraId="00CD4492">
          <w:pPr>
            <w:pStyle w:val="12"/>
            <w:tabs>
              <w:tab w:val="right" w:leader="dot" w:pos="9730"/>
            </w:tabs>
            <w:rPr>
              <w:rFonts w:asciiTheme="minorHAnsi" w:hAnsiTheme="minorHAnsi"/>
              <w:sz w:val="22"/>
            </w:rPr>
          </w:pPr>
          <w:r>
            <w:fldChar w:fldCharType="begin"/>
          </w:r>
          <w:r>
            <w:instrText xml:space="preserve"> HYPERLINK \l "_Toc256000071" </w:instrText>
          </w:r>
          <w:r>
            <w:fldChar w:fldCharType="separate"/>
          </w:r>
          <w:r>
            <w:rPr>
              <w:rStyle w:val="24"/>
              <w:rFonts w:ascii="仿宋" w:hAnsi="仿宋" w:eastAsia="仿宋" w:cs="仿宋"/>
            </w:rPr>
            <w:t>三、一般公共预算财政拨款支出决算情况说明</w:t>
          </w:r>
          <w:r>
            <w:tab/>
          </w:r>
          <w:r>
            <w:fldChar w:fldCharType="begin"/>
          </w:r>
          <w:r>
            <w:instrText xml:space="preserve"> PAGEREF _Toc256000071 \h </w:instrText>
          </w:r>
          <w:r>
            <w:fldChar w:fldCharType="separate"/>
          </w:r>
          <w:r>
            <w:t>24</w:t>
          </w:r>
          <w:r>
            <w:fldChar w:fldCharType="end"/>
          </w:r>
          <w:r>
            <w:fldChar w:fldCharType="end"/>
          </w:r>
        </w:p>
        <w:p w14:paraId="590BAE23">
          <w:pPr>
            <w:pStyle w:val="12"/>
            <w:tabs>
              <w:tab w:val="right" w:leader="dot" w:pos="9730"/>
            </w:tabs>
            <w:rPr>
              <w:rFonts w:asciiTheme="minorHAnsi" w:hAnsiTheme="minorHAnsi"/>
              <w:sz w:val="22"/>
            </w:rPr>
          </w:pPr>
          <w:r>
            <w:fldChar w:fldCharType="begin"/>
          </w:r>
          <w:r>
            <w:instrText xml:space="preserve"> HYPERLINK \l "_Toc256000072" </w:instrText>
          </w:r>
          <w:r>
            <w:fldChar w:fldCharType="separate"/>
          </w:r>
          <w:r>
            <w:rPr>
              <w:rStyle w:val="24"/>
              <w:rFonts w:ascii="仿宋" w:hAnsi="仿宋" w:eastAsia="仿宋" w:cs="仿宋"/>
            </w:rPr>
            <w:t>四、政府性基金预算财政拨款支出决算情况说明</w:t>
          </w:r>
          <w:r>
            <w:tab/>
          </w:r>
          <w:r>
            <w:fldChar w:fldCharType="begin"/>
          </w:r>
          <w:r>
            <w:instrText xml:space="preserve"> PAGEREF _Toc256000072 \h </w:instrText>
          </w:r>
          <w:r>
            <w:fldChar w:fldCharType="separate"/>
          </w:r>
          <w:r>
            <w:t>25</w:t>
          </w:r>
          <w:r>
            <w:fldChar w:fldCharType="end"/>
          </w:r>
          <w:r>
            <w:fldChar w:fldCharType="end"/>
          </w:r>
        </w:p>
        <w:p w14:paraId="7B0EAB91">
          <w:pPr>
            <w:pStyle w:val="12"/>
            <w:tabs>
              <w:tab w:val="right" w:leader="dot" w:pos="9730"/>
            </w:tabs>
            <w:rPr>
              <w:rFonts w:asciiTheme="minorHAnsi" w:hAnsiTheme="minorHAnsi"/>
              <w:sz w:val="22"/>
            </w:rPr>
          </w:pPr>
          <w:r>
            <w:fldChar w:fldCharType="begin"/>
          </w:r>
          <w:r>
            <w:instrText xml:space="preserve"> HYPERLINK \l "_Toc256000073" </w:instrText>
          </w:r>
          <w:r>
            <w:fldChar w:fldCharType="separate"/>
          </w:r>
          <w:r>
            <w:rPr>
              <w:rStyle w:val="24"/>
              <w:rFonts w:ascii="仿宋" w:hAnsi="仿宋" w:eastAsia="仿宋" w:cs="仿宋"/>
            </w:rPr>
            <w:t>五、国有资本经营预算财政拨款支出决算情况说明</w:t>
          </w:r>
          <w:r>
            <w:tab/>
          </w:r>
          <w:r>
            <w:fldChar w:fldCharType="begin"/>
          </w:r>
          <w:r>
            <w:instrText xml:space="preserve"> PAGEREF _Toc256000073 \h </w:instrText>
          </w:r>
          <w:r>
            <w:fldChar w:fldCharType="separate"/>
          </w:r>
          <w:r>
            <w:t>25</w:t>
          </w:r>
          <w:r>
            <w:fldChar w:fldCharType="end"/>
          </w:r>
          <w:r>
            <w:fldChar w:fldCharType="end"/>
          </w:r>
        </w:p>
        <w:p w14:paraId="35F3F0F1">
          <w:pPr>
            <w:pStyle w:val="12"/>
            <w:tabs>
              <w:tab w:val="right" w:leader="dot" w:pos="9730"/>
            </w:tabs>
            <w:rPr>
              <w:rFonts w:asciiTheme="minorHAnsi" w:hAnsiTheme="minorHAnsi"/>
              <w:sz w:val="22"/>
            </w:rPr>
          </w:pPr>
          <w:r>
            <w:fldChar w:fldCharType="begin"/>
          </w:r>
          <w:r>
            <w:instrText xml:space="preserve"> HYPERLINK \l "_Toc256000074" </w:instrText>
          </w:r>
          <w:r>
            <w:fldChar w:fldCharType="separate"/>
          </w:r>
          <w:r>
            <w:rPr>
              <w:rStyle w:val="24"/>
              <w:rFonts w:ascii="仿宋" w:hAnsi="仿宋" w:eastAsia="仿宋" w:cs="仿宋"/>
            </w:rPr>
            <w:t>六、一般公共预算财政拨款基本支出决算情况说明</w:t>
          </w:r>
          <w:r>
            <w:tab/>
          </w:r>
          <w:r>
            <w:fldChar w:fldCharType="begin"/>
          </w:r>
          <w:r>
            <w:instrText xml:space="preserve"> PAGEREF _Toc256000074 \h </w:instrText>
          </w:r>
          <w:r>
            <w:fldChar w:fldCharType="separate"/>
          </w:r>
          <w:r>
            <w:t>25</w:t>
          </w:r>
          <w:r>
            <w:fldChar w:fldCharType="end"/>
          </w:r>
          <w:r>
            <w:fldChar w:fldCharType="end"/>
          </w:r>
        </w:p>
        <w:p w14:paraId="7E129DD9">
          <w:pPr>
            <w:pStyle w:val="12"/>
            <w:tabs>
              <w:tab w:val="right" w:leader="dot" w:pos="9730"/>
            </w:tabs>
            <w:rPr>
              <w:rFonts w:asciiTheme="minorHAnsi" w:hAnsiTheme="minorHAnsi"/>
              <w:sz w:val="22"/>
            </w:rPr>
          </w:pPr>
          <w:r>
            <w:fldChar w:fldCharType="begin"/>
          </w:r>
          <w:r>
            <w:instrText xml:space="preserve"> HYPERLINK \l "_Toc256000075" </w:instrText>
          </w:r>
          <w:r>
            <w:fldChar w:fldCharType="separate"/>
          </w:r>
          <w:r>
            <w:rPr>
              <w:rStyle w:val="24"/>
              <w:rFonts w:ascii="仿宋" w:hAnsi="仿宋" w:eastAsia="仿宋" w:cs="仿宋"/>
            </w:rPr>
            <w:t>七、一般公共预算财政拨款“三公”经费支出决算情况说明</w:t>
          </w:r>
          <w:r>
            <w:tab/>
          </w:r>
          <w:r>
            <w:fldChar w:fldCharType="begin"/>
          </w:r>
          <w:r>
            <w:instrText xml:space="preserve"> PAGEREF _Toc256000075 \h </w:instrText>
          </w:r>
          <w:r>
            <w:fldChar w:fldCharType="separate"/>
          </w:r>
          <w:r>
            <w:t>26</w:t>
          </w:r>
          <w:r>
            <w:fldChar w:fldCharType="end"/>
          </w:r>
          <w:r>
            <w:fldChar w:fldCharType="end"/>
          </w:r>
        </w:p>
        <w:p w14:paraId="252484AA">
          <w:pPr>
            <w:pStyle w:val="12"/>
            <w:tabs>
              <w:tab w:val="right" w:leader="dot" w:pos="9730"/>
            </w:tabs>
            <w:rPr>
              <w:rFonts w:asciiTheme="minorHAnsi" w:hAnsiTheme="minorHAnsi"/>
              <w:sz w:val="22"/>
            </w:rPr>
          </w:pPr>
          <w:r>
            <w:fldChar w:fldCharType="begin"/>
          </w:r>
          <w:r>
            <w:instrText xml:space="preserve"> HYPERLINK \l "_Toc256000076" </w:instrText>
          </w:r>
          <w:r>
            <w:fldChar w:fldCharType="separate"/>
          </w:r>
          <w:r>
            <w:rPr>
              <w:rStyle w:val="24"/>
              <w:rFonts w:ascii="仿宋" w:hAnsi="仿宋" w:eastAsia="仿宋" w:cs="仿宋"/>
            </w:rPr>
            <w:t>八、预算绩效情况说明</w:t>
          </w:r>
          <w:r>
            <w:tab/>
          </w:r>
          <w:r>
            <w:fldChar w:fldCharType="begin"/>
          </w:r>
          <w:r>
            <w:instrText xml:space="preserve"> PAGEREF _Toc256000076 \h </w:instrText>
          </w:r>
          <w:r>
            <w:fldChar w:fldCharType="separate"/>
          </w:r>
          <w:r>
            <w:t>26</w:t>
          </w:r>
          <w:r>
            <w:fldChar w:fldCharType="end"/>
          </w:r>
          <w:r>
            <w:fldChar w:fldCharType="end"/>
          </w:r>
        </w:p>
        <w:p w14:paraId="4637E7F9">
          <w:pPr>
            <w:pStyle w:val="12"/>
            <w:tabs>
              <w:tab w:val="right" w:leader="dot" w:pos="9730"/>
            </w:tabs>
            <w:rPr>
              <w:rFonts w:asciiTheme="minorHAnsi" w:hAnsiTheme="minorHAnsi"/>
              <w:sz w:val="22"/>
            </w:rPr>
          </w:pPr>
          <w:r>
            <w:fldChar w:fldCharType="begin"/>
          </w:r>
          <w:r>
            <w:instrText xml:space="preserve"> HYPERLINK \l "_Toc256000077" </w:instrText>
          </w:r>
          <w:r>
            <w:fldChar w:fldCharType="separate"/>
          </w:r>
          <w:r>
            <w:rPr>
              <w:rStyle w:val="24"/>
              <w:rFonts w:ascii="仿宋" w:hAnsi="仿宋" w:eastAsia="仿宋" w:cs="仿宋"/>
            </w:rPr>
            <w:t>九、其他重要事项说明</w:t>
          </w:r>
          <w:r>
            <w:tab/>
          </w:r>
          <w:r>
            <w:fldChar w:fldCharType="begin"/>
          </w:r>
          <w:r>
            <w:instrText xml:space="preserve"> PAGEREF _Toc256000077 \h </w:instrText>
          </w:r>
          <w:r>
            <w:fldChar w:fldCharType="separate"/>
          </w:r>
          <w:r>
            <w:t>27</w:t>
          </w:r>
          <w:r>
            <w:fldChar w:fldCharType="end"/>
          </w:r>
          <w:r>
            <w:fldChar w:fldCharType="end"/>
          </w:r>
        </w:p>
        <w:p w14:paraId="7236857E">
          <w:pPr>
            <w:pStyle w:val="19"/>
            <w:tabs>
              <w:tab w:val="right" w:leader="dot" w:pos="9730"/>
            </w:tabs>
            <w:rPr>
              <w:rFonts w:hint="eastAsia" w:eastAsia="仿宋" w:asciiTheme="minorHAnsi" w:hAnsiTheme="minorHAnsi"/>
              <w:sz w:val="22"/>
              <w:lang w:val="en-US" w:eastAsia="zh-CN"/>
            </w:rPr>
          </w:pPr>
          <w:r>
            <w:fldChar w:fldCharType="begin"/>
          </w:r>
          <w:r>
            <w:instrText xml:space="preserve"> HYPERLINK \l "_Toc256000079" </w:instrText>
          </w:r>
          <w:r>
            <w:fldChar w:fldCharType="separate"/>
          </w:r>
          <w:r>
            <w:rPr>
              <w:rStyle w:val="24"/>
              <w:rFonts w:ascii="仿宋" w:hAnsi="仿宋" w:eastAsia="仿宋" w:cs="仿宋"/>
            </w:rPr>
            <w:t>第四部分</w:t>
          </w:r>
          <w:r>
            <w:rPr>
              <w:rStyle w:val="24"/>
              <w:rFonts w:ascii="黑体" w:hAnsi="黑体" w:eastAsia="黑体" w:cs="黑体"/>
            </w:rPr>
            <w:t xml:space="preserve"> </w:t>
          </w:r>
          <w:r>
            <w:rPr>
              <w:rStyle w:val="24"/>
              <w:rFonts w:ascii="仿宋" w:hAnsi="仿宋" w:eastAsia="仿宋" w:cs="仿宋"/>
            </w:rPr>
            <w:t>名词解释</w:t>
          </w:r>
          <w:r>
            <w:tab/>
          </w:r>
          <w:r>
            <w:rPr>
              <w:rFonts w:hint="eastAsia"/>
              <w:lang w:val="en-US" w:eastAsia="zh-CN"/>
            </w:rPr>
            <w:t>2</w:t>
          </w:r>
          <w:r>
            <w:fldChar w:fldCharType="end"/>
          </w:r>
          <w:r>
            <w:rPr>
              <w:rFonts w:hint="eastAsia"/>
              <w:lang w:val="en-US" w:eastAsia="zh-CN"/>
            </w:rPr>
            <w:t>8</w:t>
          </w:r>
        </w:p>
        <w:p w14:paraId="7F48DC20">
          <w:pPr>
            <w:pStyle w:val="19"/>
            <w:tabs>
              <w:tab w:val="right" w:leader="dot" w:pos="9730"/>
            </w:tabs>
            <w:rPr>
              <w:rFonts w:asciiTheme="minorHAnsi" w:hAnsiTheme="minorHAnsi"/>
              <w:sz w:val="22"/>
            </w:rPr>
          </w:pPr>
          <w:r>
            <w:fldChar w:fldCharType="begin"/>
          </w:r>
          <w:r>
            <w:instrText xml:space="preserve"> HYPERLINK \l "_Toc256000080" </w:instrText>
          </w:r>
          <w:r>
            <w:fldChar w:fldCharType="separate"/>
          </w:r>
          <w:r>
            <w:rPr>
              <w:rStyle w:val="24"/>
              <w:rFonts w:ascii="仿宋" w:hAnsi="仿宋" w:eastAsia="仿宋" w:cs="仿宋"/>
            </w:rPr>
            <w:t>第五部分</w:t>
          </w:r>
          <w:r>
            <w:rPr>
              <w:rStyle w:val="24"/>
              <w:rFonts w:ascii="黑体" w:hAnsi="黑体" w:eastAsia="黑体" w:cs="黑体"/>
            </w:rPr>
            <w:t xml:space="preserve"> </w:t>
          </w:r>
          <w:r>
            <w:rPr>
              <w:rStyle w:val="24"/>
              <w:rFonts w:ascii="仿宋" w:hAnsi="仿宋" w:eastAsia="仿宋" w:cs="仿宋"/>
            </w:rPr>
            <w:t>附件</w:t>
          </w:r>
          <w:r>
            <w:tab/>
          </w:r>
          <w:r>
            <w:fldChar w:fldCharType="begin"/>
          </w:r>
          <w:r>
            <w:instrText xml:space="preserve"> PAGEREF _Toc256000080 \h </w:instrText>
          </w:r>
          <w:r>
            <w:fldChar w:fldCharType="separate"/>
          </w:r>
          <w:r>
            <w:t>30</w:t>
          </w:r>
          <w:r>
            <w:fldChar w:fldCharType="end"/>
          </w:r>
          <w:r>
            <w:fldChar w:fldCharType="end"/>
          </w:r>
        </w:p>
        <w:p w14:paraId="3F2CB2F0">
          <w:pPr>
            <w:adjustRightInd w:val="0"/>
            <w:snapToGrid w:val="0"/>
            <w:rPr>
              <w:rFonts w:ascii="宋体" w:hAnsi="宋体"/>
              <w:b/>
              <w:sz w:val="32"/>
              <w:szCs w:val="32"/>
            </w:rPr>
            <w:sectPr>
              <w:footerReference r:id="rId5" w:type="default"/>
              <w:pgSz w:w="11906" w:h="16838"/>
              <w:pgMar w:top="1440" w:right="1083" w:bottom="1440" w:left="1083" w:header="0" w:footer="720" w:gutter="0"/>
              <w:pgNumType w:start="1"/>
              <w:cols w:space="0" w:num="1"/>
              <w:rtlGutter w:val="0"/>
              <w:docGrid w:type="lines" w:linePitch="317" w:charSpace="0"/>
            </w:sectPr>
          </w:pPr>
          <w:r>
            <w:rPr>
              <w:rFonts w:hint="eastAsia" w:ascii="仿宋" w:hAnsi="仿宋" w:eastAsia="仿宋" w:cs="仿宋"/>
              <w:b w:val="0"/>
              <w:bCs/>
              <w:kern w:val="2"/>
              <w:sz w:val="32"/>
              <w:szCs w:val="32"/>
              <w:lang w:val="en-US" w:eastAsia="zh-CN" w:bidi="ar-SA"/>
            </w:rPr>
            <w:fldChar w:fldCharType="end"/>
          </w:r>
        </w:p>
      </w:sdtContent>
    </w:sdt>
    <w:p w14:paraId="07CACB08">
      <w:pPr>
        <w:pStyle w:val="30"/>
        <w:widowControl/>
        <w:spacing w:before="100" w:after="100"/>
        <w:ind w:left="559" w:leftChars="266" w:right="100" w:firstLine="2240" w:firstLineChars="400"/>
        <w:jc w:val="left"/>
        <w:rPr>
          <w:rFonts w:ascii="Times New Roman" w:hAnsi="Times New Roman" w:eastAsia="Times New Roman" w:cs="Times New Roman"/>
          <w:b/>
          <w:bCs/>
          <w:kern w:val="0"/>
          <w:sz w:val="36"/>
          <w:szCs w:val="36"/>
        </w:rPr>
      </w:pPr>
      <w:bookmarkStart w:id="0" w:name="_Toc256000054"/>
      <w:bookmarkStart w:id="1" w:name="a000"/>
      <w:r>
        <w:rPr>
          <w:rFonts w:ascii="黑体" w:hAnsi="黑体" w:eastAsia="黑体" w:cs="黑体"/>
          <w:b w:val="0"/>
          <w:bCs w:val="0"/>
          <w:spacing w:val="0"/>
          <w:sz w:val="56"/>
          <w:szCs w:val="56"/>
        </w:rPr>
        <w:t>第一部分</w:t>
      </w:r>
      <w:r>
        <w:rPr>
          <w:rFonts w:hint="eastAsia" w:ascii="黑体" w:hAnsi="黑体" w:eastAsia="黑体" w:cs="黑体"/>
          <w:b w:val="0"/>
          <w:bCs w:val="0"/>
          <w:spacing w:val="0"/>
          <w:sz w:val="56"/>
          <w:szCs w:val="56"/>
          <w:lang w:val="en-US" w:eastAsia="zh-CN"/>
        </w:rPr>
        <w:t xml:space="preserve">  </w:t>
      </w:r>
      <w:r>
        <w:rPr>
          <w:rFonts w:ascii="黑体" w:hAnsi="黑体" w:eastAsia="黑体" w:cs="黑体"/>
          <w:b w:val="0"/>
          <w:bCs w:val="0"/>
          <w:spacing w:val="0"/>
          <w:sz w:val="56"/>
          <w:szCs w:val="56"/>
        </w:rPr>
        <w:t>部门概况</w:t>
      </w:r>
      <w:bookmarkEnd w:id="0"/>
    </w:p>
    <w:p w14:paraId="1CCBBD22">
      <w:pPr>
        <w:widowControl/>
        <w:spacing w:before="240" w:after="240"/>
        <w:jc w:val="left"/>
        <w:rPr>
          <w:rFonts w:ascii="Times New Roman" w:hAnsi="Times New Roman" w:eastAsia="Times New Roman" w:cs="Times New Roman"/>
          <w:kern w:val="0"/>
          <w:sz w:val="24"/>
        </w:rPr>
      </w:pPr>
    </w:p>
    <w:p w14:paraId="0DAAB407">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 w:name="_Toc256000055"/>
      <w:r>
        <w:rPr>
          <w:rFonts w:ascii="黑体" w:hAnsi="黑体" w:eastAsia="黑体" w:cs="黑体"/>
          <w:b w:val="0"/>
          <w:bCs w:val="0"/>
          <w:spacing w:val="0"/>
        </w:rPr>
        <w:t>一、部门主要职责</w:t>
      </w:r>
      <w:bookmarkEnd w:id="2"/>
    </w:p>
    <w:p w14:paraId="61A86537">
      <w:pPr>
        <w:pStyle w:val="30"/>
        <w:widowControl/>
        <w:spacing w:before="100" w:after="100" w:line="560" w:lineRule="atLeast"/>
        <w:ind w:left="100" w:right="100" w:firstLine="640"/>
        <w:jc w:val="left"/>
        <w:rPr>
          <w:rFonts w:ascii="FangSong_GB2312" w:hAnsi="FangSong_GB2312" w:eastAsia="FangSong_GB2312" w:cs="FangSong_GB2312"/>
          <w:spacing w:val="0"/>
          <w:kern w:val="0"/>
          <w:sz w:val="32"/>
          <w:szCs w:val="32"/>
        </w:rPr>
      </w:pPr>
      <w:r>
        <w:rPr>
          <w:rFonts w:ascii="FangSong_GB2312" w:hAnsi="FangSong_GB2312" w:eastAsia="FangSong_GB2312" w:cs="FangSong_GB2312"/>
          <w:spacing w:val="0"/>
          <w:kern w:val="0"/>
          <w:sz w:val="32"/>
          <w:szCs w:val="32"/>
        </w:rPr>
        <w:t>明溪县人民政府办公室部门的主要职责是：</w:t>
      </w:r>
    </w:p>
    <w:p w14:paraId="046C7A64">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(一)公文处理职责。负责县政府、办公室日常公文处理工作。</w:t>
      </w:r>
    </w:p>
    <w:p w14:paraId="75ACF177">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(二)调研信息职责。根据县政府领导的要求，组织有关调查研究，及时反映情况，提出建议，为县政府领导科学决策服务。</w:t>
      </w:r>
    </w:p>
    <w:p w14:paraId="3CCB2D17">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(三)督促检查职责。督促检查县政府各部门和各乡(镇)人民政府对县委、县政府文件和会议决定事项的贯彻执行情况，并向县政府领导报告。</w:t>
      </w:r>
    </w:p>
    <w:p w14:paraId="2C5F31B7">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(四)协调联系职责。根据县政府领导要求，组织协调县政府有关部门，省、市属驻明单位、驻军等关系，处理工作中出现的问题。</w:t>
      </w:r>
    </w:p>
    <w:p w14:paraId="7385D830">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(五)服务接待职责。负责县政府领导重要活动的安排，协助县政府领导做好上级政府部门领导和海外重要宾客的接待工作；指导各乡(镇)政府办公室工作和机关后勤接待等工作。</w:t>
      </w:r>
    </w:p>
    <w:p w14:paraId="48101D94">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(六)外事职责。贯彻执行党和国家关于外事工作的方针政策、法律法规、指示决定；综合管理、统筹协调全县外事工作。</w:t>
      </w:r>
    </w:p>
    <w:p w14:paraId="5618A680">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(七)金融工作职责。负责落实县委、县政府有关金融工作的决策部署；组织研究金融政策、金融形势和区域金融改革发展、金融行业管理机构的管理和地方法人金融企业的指导。</w:t>
      </w:r>
    </w:p>
    <w:p w14:paraId="744E8499">
      <w:pPr>
        <w:pStyle w:val="30"/>
        <w:widowControl/>
        <w:spacing w:before="100" w:after="100" w:line="560" w:lineRule="atLeast"/>
        <w:ind w:right="100" w:firstLine="640" w:firstLineChars="20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八)机关效能建设工作职责。组织协调指导各乡(镇)、各部门开展机关效能建设工作，监督检查各级机关及其工作人员的履行职责、转变职能、提高效能、勤政廉政以及执行机关效能建设制度规定等情况，承担县机关效能建设领导小组的日常工作，负责效能建设工作政策研究、制度建设等工作。</w:t>
      </w:r>
    </w:p>
    <w:p w14:paraId="28C2ECF7">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hint="eastAsia" w:ascii="FangSong_GB2312" w:hAnsi="FangSong_GB2312" w:eastAsia="FangSong_GB2312" w:cs="FangSong_GB2312"/>
          <w:spacing w:val="0"/>
          <w:kern w:val="0"/>
          <w:sz w:val="32"/>
          <w:szCs w:val="32"/>
        </w:rPr>
        <w:t>(九)承办县委、县政府和县政府领导同志交办的其他事项。</w:t>
      </w:r>
    </w:p>
    <w:p w14:paraId="3D1BC028">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3" w:name="_Toc256000056"/>
      <w:r>
        <w:rPr>
          <w:rFonts w:ascii="黑体" w:hAnsi="黑体" w:eastAsia="黑体" w:cs="黑体"/>
          <w:b w:val="0"/>
          <w:bCs w:val="0"/>
          <w:spacing w:val="0"/>
        </w:rPr>
        <w:t>二、部门决算单位基本情况</w:t>
      </w:r>
      <w:bookmarkEnd w:id="3"/>
    </w:p>
    <w:p w14:paraId="37B54F06">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从决算单位构成看，明溪县人民政府办公室部门包括</w:t>
      </w:r>
      <w:r>
        <w:rPr>
          <w:rFonts w:hint="eastAsia" w:ascii="FangSong_GB2312" w:hAnsi="FangSong_GB2312" w:eastAsia="FangSong_GB2312" w:cs="FangSong_GB2312"/>
          <w:spacing w:val="0"/>
          <w:kern w:val="0"/>
          <w:sz w:val="32"/>
          <w:szCs w:val="32"/>
          <w:lang w:val="en-US" w:eastAsia="zh-CN"/>
        </w:rPr>
        <w:t>7</w:t>
      </w:r>
      <w:r>
        <w:rPr>
          <w:rFonts w:ascii="FangSong_GB2312" w:hAnsi="FangSong_GB2312" w:eastAsia="FangSong_GB2312" w:cs="FangSong_GB2312"/>
          <w:spacing w:val="0"/>
          <w:kern w:val="0"/>
          <w:sz w:val="32"/>
          <w:szCs w:val="32"/>
        </w:rPr>
        <w:t>个机关行政处（科、股）室</w:t>
      </w:r>
      <w:r>
        <w:rPr>
          <w:rFonts w:hint="eastAsia" w:ascii="FangSong_GB2312" w:hAnsi="FangSong_GB2312" w:eastAsia="FangSong_GB2312" w:cs="FangSong_GB2312"/>
          <w:spacing w:val="0"/>
          <w:kern w:val="0"/>
          <w:sz w:val="32"/>
          <w:szCs w:val="32"/>
          <w:lang w:eastAsia="zh-CN"/>
        </w:rPr>
        <w:t>及</w:t>
      </w:r>
      <w:r>
        <w:rPr>
          <w:rFonts w:hint="eastAsia" w:ascii="FangSong_GB2312" w:hAnsi="FangSong_GB2312" w:eastAsia="FangSong_GB2312" w:cs="FangSong_GB2312"/>
          <w:spacing w:val="0"/>
          <w:kern w:val="0"/>
          <w:sz w:val="32"/>
          <w:szCs w:val="32"/>
          <w:lang w:val="en-US" w:eastAsia="zh-CN"/>
        </w:rPr>
        <w:t>4个下属单位</w:t>
      </w:r>
      <w:r>
        <w:rPr>
          <w:rFonts w:ascii="FangSong_GB2312" w:hAnsi="FangSong_GB2312" w:eastAsia="FangSong_GB2312" w:cs="FangSong_GB2312"/>
          <w:kern w:val="0"/>
          <w:sz w:val="32"/>
          <w:szCs w:val="32"/>
        </w:rPr>
        <w:t>，其中：列入2025年部门决算编制范围的单位详细情况见下表:</w:t>
      </w:r>
    </w:p>
    <w:tbl>
      <w:tblPr>
        <w:tblStyle w:val="21"/>
        <w:tblpPr w:leftFromText="180" w:rightFromText="180" w:vertAnchor="text" w:horzAnchor="page" w:tblpX="1014" w:tblpY="286"/>
        <w:tblOverlap w:val="never"/>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7" w:type="dxa"/>
          <w:bottom w:w="0" w:type="dxa"/>
          <w:right w:w="107" w:type="dxa"/>
        </w:tblCellMar>
      </w:tblPr>
      <w:tblGrid>
        <w:gridCol w:w="4815"/>
        <w:gridCol w:w="3675"/>
        <w:gridCol w:w="1590"/>
      </w:tblGrid>
      <w:tr w14:paraId="7DA2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540" w:hRule="atLeast"/>
        </w:trPr>
        <w:tc>
          <w:tcPr>
            <w:tcW w:w="4815" w:type="dxa"/>
            <w:vAlign w:val="center"/>
          </w:tcPr>
          <w:p w14:paraId="6E106EF7">
            <w:pPr>
              <w:jc w:val="center"/>
              <w:rPr>
                <w:rFonts w:ascii="FangSong_GB2312" w:hAnsi="FangSong_GB2312" w:eastAsia="FangSong_GB2312" w:cs="FangSong_GB2312"/>
                <w:b/>
                <w:bCs/>
                <w:spacing w:val="0"/>
                <w:kern w:val="0"/>
                <w:sz w:val="32"/>
                <w:szCs w:val="32"/>
                <w:lang w:val="en-US" w:eastAsia="zh-CN" w:bidi="ar-SA"/>
              </w:rPr>
            </w:pPr>
            <w:bookmarkStart w:id="4" w:name="_Toc256000057"/>
            <w:r>
              <w:rPr>
                <w:rFonts w:ascii="FangSong_GB2312" w:hAnsi="FangSong_GB2312" w:eastAsia="FangSong_GB2312" w:cs="FangSong_GB2312"/>
                <w:b/>
                <w:bCs/>
                <w:spacing w:val="0"/>
                <w:kern w:val="0"/>
                <w:sz w:val="32"/>
                <w:szCs w:val="32"/>
                <w:lang w:val="en-US" w:eastAsia="zh-CN" w:bidi="ar-SA"/>
              </w:rPr>
              <w:t>单位名称</w:t>
            </w:r>
          </w:p>
        </w:tc>
        <w:tc>
          <w:tcPr>
            <w:tcW w:w="3675" w:type="dxa"/>
            <w:vAlign w:val="center"/>
          </w:tcPr>
          <w:p w14:paraId="16D624BE">
            <w:pPr>
              <w:jc w:val="center"/>
              <w:rPr>
                <w:rFonts w:ascii="FangSong_GB2312" w:hAnsi="FangSong_GB2312" w:eastAsia="FangSong_GB2312" w:cs="FangSong_GB2312"/>
                <w:b/>
                <w:bCs/>
                <w:spacing w:val="0"/>
                <w:kern w:val="0"/>
                <w:sz w:val="32"/>
                <w:szCs w:val="32"/>
                <w:lang w:val="en-US" w:eastAsia="zh-CN" w:bidi="ar-SA"/>
              </w:rPr>
            </w:pPr>
            <w:r>
              <w:rPr>
                <w:rFonts w:ascii="FangSong_GB2312" w:hAnsi="FangSong_GB2312" w:eastAsia="FangSong_GB2312" w:cs="FangSong_GB2312"/>
                <w:b/>
                <w:bCs/>
                <w:spacing w:val="0"/>
                <w:kern w:val="0"/>
                <w:sz w:val="32"/>
                <w:szCs w:val="32"/>
                <w:lang w:val="en-US" w:eastAsia="zh-CN" w:bidi="ar-SA"/>
              </w:rPr>
              <w:t>单位性质</w:t>
            </w:r>
          </w:p>
        </w:tc>
        <w:tc>
          <w:tcPr>
            <w:tcW w:w="1590" w:type="dxa"/>
            <w:vAlign w:val="center"/>
          </w:tcPr>
          <w:p w14:paraId="755B7CC3">
            <w:pPr>
              <w:jc w:val="center"/>
              <w:rPr>
                <w:rFonts w:ascii="FangSong_GB2312" w:hAnsi="FangSong_GB2312" w:eastAsia="FangSong_GB2312" w:cs="FangSong_GB2312"/>
                <w:b/>
                <w:bCs/>
                <w:spacing w:val="0"/>
                <w:kern w:val="0"/>
                <w:sz w:val="32"/>
                <w:szCs w:val="32"/>
                <w:lang w:val="en-US" w:eastAsia="zh-CN" w:bidi="ar-SA"/>
              </w:rPr>
            </w:pPr>
            <w:r>
              <w:rPr>
                <w:rFonts w:ascii="FangSong_GB2312" w:hAnsi="FangSong_GB2312" w:eastAsia="FangSong_GB2312" w:cs="FangSong_GB2312"/>
                <w:b/>
                <w:bCs/>
                <w:spacing w:val="0"/>
                <w:kern w:val="0"/>
                <w:sz w:val="32"/>
                <w:szCs w:val="32"/>
                <w:lang w:val="en-US" w:eastAsia="zh-CN" w:bidi="ar-SA"/>
              </w:rPr>
              <w:t>在职人数</w:t>
            </w:r>
          </w:p>
        </w:tc>
      </w:tr>
      <w:tr w14:paraId="035C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583" w:hRule="atLeast"/>
        </w:trPr>
        <w:tc>
          <w:tcPr>
            <w:tcW w:w="4815" w:type="dxa"/>
            <w:vAlign w:val="center"/>
          </w:tcPr>
          <w:p w14:paraId="7FD7EDB5">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明溪县人民政府办公室</w:t>
            </w:r>
          </w:p>
        </w:tc>
        <w:tc>
          <w:tcPr>
            <w:tcW w:w="3675" w:type="dxa"/>
            <w:vAlign w:val="center"/>
          </w:tcPr>
          <w:p w14:paraId="0831C4B8">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行政单位</w:t>
            </w:r>
          </w:p>
        </w:tc>
        <w:tc>
          <w:tcPr>
            <w:tcW w:w="1590" w:type="dxa"/>
            <w:vAlign w:val="center"/>
          </w:tcPr>
          <w:p w14:paraId="65F91452">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2</w:t>
            </w:r>
            <w:r>
              <w:rPr>
                <w:rFonts w:hint="eastAsia" w:ascii="FangSong_GB2312" w:hAnsi="FangSong_GB2312" w:eastAsia="FangSong_GB2312" w:cs="FangSong_GB2312"/>
                <w:spacing w:val="0"/>
                <w:kern w:val="0"/>
                <w:sz w:val="28"/>
                <w:szCs w:val="28"/>
                <w:lang w:val="en-US" w:eastAsia="zh-CN" w:bidi="ar-SA"/>
              </w:rPr>
              <w:t>1</w:t>
            </w:r>
          </w:p>
        </w:tc>
      </w:tr>
      <w:tr w14:paraId="43896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01" w:hRule="atLeast"/>
        </w:trPr>
        <w:tc>
          <w:tcPr>
            <w:tcW w:w="4815" w:type="dxa"/>
            <w:vAlign w:val="center"/>
          </w:tcPr>
          <w:p w14:paraId="2B1B3BA7">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数字明溪建设中心</w:t>
            </w:r>
          </w:p>
        </w:tc>
        <w:tc>
          <w:tcPr>
            <w:tcW w:w="3675" w:type="dxa"/>
            <w:vAlign w:val="center"/>
          </w:tcPr>
          <w:p w14:paraId="79898E19">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参照公务员法管理事业单位</w:t>
            </w:r>
          </w:p>
        </w:tc>
        <w:tc>
          <w:tcPr>
            <w:tcW w:w="1590" w:type="dxa"/>
            <w:vAlign w:val="center"/>
          </w:tcPr>
          <w:p w14:paraId="24E16FBF">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7</w:t>
            </w:r>
          </w:p>
        </w:tc>
      </w:tr>
      <w:tr w14:paraId="2462E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48" w:hRule="atLeast"/>
        </w:trPr>
        <w:tc>
          <w:tcPr>
            <w:tcW w:w="4815" w:type="dxa"/>
            <w:vAlign w:val="center"/>
          </w:tcPr>
          <w:p w14:paraId="1981F453">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明溪县机关效能建设投诉中心</w:t>
            </w:r>
          </w:p>
        </w:tc>
        <w:tc>
          <w:tcPr>
            <w:tcW w:w="3675" w:type="dxa"/>
            <w:vAlign w:val="center"/>
          </w:tcPr>
          <w:p w14:paraId="2FB8A6B7">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财政补助事业单位</w:t>
            </w:r>
          </w:p>
        </w:tc>
        <w:tc>
          <w:tcPr>
            <w:tcW w:w="1590" w:type="dxa"/>
            <w:vAlign w:val="center"/>
          </w:tcPr>
          <w:p w14:paraId="0B3A67A5">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3</w:t>
            </w:r>
          </w:p>
        </w:tc>
      </w:tr>
      <w:tr w14:paraId="4B21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73" w:hRule="atLeast"/>
        </w:trPr>
        <w:tc>
          <w:tcPr>
            <w:tcW w:w="4815" w:type="dxa"/>
            <w:vAlign w:val="center"/>
          </w:tcPr>
          <w:p w14:paraId="41E0916A">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明溪县金融监管服务中心</w:t>
            </w:r>
          </w:p>
        </w:tc>
        <w:tc>
          <w:tcPr>
            <w:tcW w:w="3675" w:type="dxa"/>
            <w:vAlign w:val="center"/>
          </w:tcPr>
          <w:p w14:paraId="41C36E2F">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财政补助事业单位</w:t>
            </w:r>
          </w:p>
        </w:tc>
        <w:tc>
          <w:tcPr>
            <w:tcW w:w="1590" w:type="dxa"/>
            <w:vAlign w:val="center"/>
          </w:tcPr>
          <w:p w14:paraId="0B282126">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1</w:t>
            </w:r>
          </w:p>
        </w:tc>
      </w:tr>
      <w:tr w14:paraId="0D93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7" w:type="dxa"/>
            <w:bottom w:w="0" w:type="dxa"/>
            <w:right w:w="107" w:type="dxa"/>
          </w:tblCellMar>
        </w:tblPrEx>
        <w:trPr>
          <w:trHeight w:val="603" w:hRule="atLeast"/>
        </w:trPr>
        <w:tc>
          <w:tcPr>
            <w:tcW w:w="4815" w:type="dxa"/>
            <w:vAlign w:val="center"/>
          </w:tcPr>
          <w:p w14:paraId="09D69898">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明溪县12345政务服务便民热线中心</w:t>
            </w:r>
          </w:p>
        </w:tc>
        <w:tc>
          <w:tcPr>
            <w:tcW w:w="3675" w:type="dxa"/>
            <w:vAlign w:val="center"/>
          </w:tcPr>
          <w:p w14:paraId="3C70D1D8">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财政补助事业单位</w:t>
            </w:r>
          </w:p>
        </w:tc>
        <w:tc>
          <w:tcPr>
            <w:tcW w:w="1590" w:type="dxa"/>
            <w:vAlign w:val="center"/>
          </w:tcPr>
          <w:p w14:paraId="60689518">
            <w:pPr>
              <w:jc w:val="center"/>
              <w:rPr>
                <w:rFonts w:ascii="FangSong_GB2312" w:hAnsi="FangSong_GB2312" w:eastAsia="FangSong_GB2312" w:cs="FangSong_GB2312"/>
                <w:spacing w:val="0"/>
                <w:kern w:val="0"/>
                <w:sz w:val="28"/>
                <w:szCs w:val="28"/>
                <w:lang w:val="en-US" w:eastAsia="zh-CN" w:bidi="ar-SA"/>
              </w:rPr>
            </w:pPr>
            <w:r>
              <w:rPr>
                <w:rFonts w:ascii="FangSong_GB2312" w:hAnsi="FangSong_GB2312" w:eastAsia="FangSong_GB2312" w:cs="FangSong_GB2312"/>
                <w:spacing w:val="0"/>
                <w:kern w:val="0"/>
                <w:sz w:val="28"/>
                <w:szCs w:val="28"/>
                <w:lang w:val="en-US" w:eastAsia="zh-CN" w:bidi="ar-SA"/>
              </w:rPr>
              <w:t>3</w:t>
            </w:r>
          </w:p>
        </w:tc>
      </w:tr>
    </w:tbl>
    <w:p w14:paraId="49AB2559">
      <w:pPr>
        <w:pStyle w:val="7"/>
        <w:keepNext w:val="0"/>
        <w:keepLines w:val="0"/>
        <w:pageBreakBefore w:val="0"/>
        <w:widowControl/>
        <w:kinsoku/>
        <w:wordWrap/>
        <w:overflowPunct/>
        <w:topLinePunct w:val="0"/>
        <w:autoSpaceDE/>
        <w:autoSpaceDN/>
        <w:bidi w:val="0"/>
        <w:adjustRightInd/>
        <w:snapToGrid/>
        <w:spacing w:before="100" w:after="100" w:line="300" w:lineRule="atLeast"/>
        <w:ind w:left="102" w:right="102" w:firstLine="641" w:firstLineChars="0"/>
        <w:textAlignment w:val="auto"/>
        <w:rPr>
          <w:rFonts w:hint="eastAsia" w:ascii="黑体" w:hAnsi="黑体" w:eastAsia="黑体" w:cs="黑体"/>
          <w:b w:val="0"/>
          <w:bCs w:val="0"/>
          <w:spacing w:val="0"/>
          <w:lang w:eastAsia="zh-CN"/>
        </w:rPr>
      </w:pPr>
      <w:r>
        <w:rPr>
          <w:rFonts w:hint="eastAsia" w:ascii="黑体" w:hAnsi="黑体" w:eastAsia="黑体" w:cs="黑体"/>
          <w:b w:val="0"/>
          <w:bCs w:val="0"/>
          <w:spacing w:val="0"/>
          <w:lang w:eastAsia="zh-CN"/>
        </w:rPr>
        <w:t xml:space="preserve"> </w:t>
      </w:r>
    </w:p>
    <w:p w14:paraId="2B339C92">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r>
        <w:rPr>
          <w:rFonts w:ascii="黑体" w:hAnsi="黑体" w:eastAsia="黑体" w:cs="黑体"/>
          <w:b w:val="0"/>
          <w:bCs w:val="0"/>
          <w:spacing w:val="0"/>
        </w:rPr>
        <w:t>三、部门主要工作总结</w:t>
      </w:r>
      <w:bookmarkEnd w:id="4"/>
    </w:p>
    <w:p w14:paraId="49AF0C43">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2025年，明溪县人民政府办公室在县委、县政府的领导下，坚持以习近平新时代中国特色社会主义思想为指导，深入学习贯彻党的二十届四中全会精神、习近平总书记来闽考察重要讲话重要指示精神，立足“三服务”核心职能，充分发挥统筹协调、参谋辅政、督查落实、服务保障关键作用，持续补短板、强弱项、提质效，全力保障县政府各项决策部署落地落细、各项工作高效有序运转。围绕年度重点任务，扎实推进各项工作，取得阶段性成效，重点工作完成情况如下：</w:t>
      </w:r>
    </w:p>
    <w:p w14:paraId="423D9029">
      <w:pPr>
        <w:pStyle w:val="30"/>
        <w:widowControl/>
        <w:spacing w:before="100" w:after="100" w:line="560" w:lineRule="atLeast"/>
        <w:ind w:right="100" w:firstLine="640" w:firstLineChars="20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一）深耕参谋辅政，提质增效，全力当好决策“智囊团”。紧紧围绕全县经济社会发展中心工作，紧盯重点项目、产业发展、民生保障等热点难点问题，常态化开展调研分析、研判谋划，切实以高质量参谋服务助力科学决策。持续锤炼公文写作功底，文字综合工作精益求精，严把文稿政治关、政策关、文字关、格式关，精准保障各类汇报材料、工作报告、会议材料高质高效输出。政务信息报送精准及时、真实全面，紧扣上级工作导向和县域发展实际，提炼特色亮点、梳理问题短板、报送经验做法，充分发挥信息参谋、预警、宣传作用。健全综合协调工作机制，统筹衔接各乡镇、各部门工作，高效推进跨领域、跨部门事项协同办理，保障全县重点工作、重大会议、重要活动有序开展。强化督查督办刚性效力，围绕县委县政府重点部署、民生实事、重点项目建设等工作，实行清单化、闭环式督查，紧盯进度、紧盯落实、紧盯成效，倒逼各项工作落地见效。严格规范办文办会办事流程，细化全流程标准，做到缜密细致、严谨规范，全面提升政务运转规范化、精细化水平。</w:t>
      </w:r>
    </w:p>
    <w:p w14:paraId="09C8F1E2">
      <w:pPr>
        <w:pStyle w:val="30"/>
        <w:widowControl/>
        <w:spacing w:before="100" w:after="100" w:line="560" w:lineRule="atLeast"/>
        <w:ind w:right="100" w:firstLine="640" w:firstLineChars="20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二）紧扣发展大局，履职尽责，扎实做好服务“保障员”。始终立足全县发展大局，紧扣年度重点工作任务，结合办公室岗位职责，主动履职尽责、主动担当作为，全方位服务县域高质量发展。持续深化政务公开工作，规范公开内容、优化公开渠道、细化公开类目，聚焦群众关切、社会关注的重点领域，主动公开政务信息，保障群众知情权、参与权、监督权。稳步推进金融服务保障工作，积极协调对接金融机构，助力实体经济发展、小微企业纾困、乡村振兴金融赋能，推动全县金融运行稳中提质、稳中向好。规范有序开展外事工作，严格落实外事工作管理制度，严守外事工作纪律，稳妥做好各类外事对接、交流服务工作。常态化推进精神文明创建工作，常态化开展志愿服务、文明宣传、环境整治等创建活动，巩固文明创建成果，营造文明和谐的政务环境和社会氛围，以扎实工作服务全县发展大局。</w:t>
      </w:r>
    </w:p>
    <w:p w14:paraId="35E89DCA">
      <w:pPr>
        <w:pStyle w:val="30"/>
        <w:widowControl/>
        <w:spacing w:before="100" w:after="100" w:line="560" w:lineRule="atLeast"/>
        <w:ind w:right="100" w:firstLine="640" w:firstLineChars="20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三）抓实强基固本，淬炼本领，筑牢干事创业“硬根基”。坚持以党建引领队伍建设，持续深化理论学习，健全“中心组示范领学、支部联动深学、干部互动促学”立体化学习模式，常态化开展政治理论、政策法规、业务知识学习。严格落实党建工作责任清单，持续巩固拓展主题教育成果，夯实基层党建工作基础。完善干部培养锻炼机制，坚持提升干部队伍能力素质，建立“半月谈+月复盘”工作机制，搭建“青年大讲堂”平台，组织开展培训交流，推动理论学习与工作实践深度融合。常态化开展正向激励，建立“定岗定责、定期考核”机制，将工作实绩与评优评先挂钩，激励干部履职尽责、担当作为。</w:t>
      </w:r>
    </w:p>
    <w:p w14:paraId="66B09C7D">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r>
        <w:rPr>
          <w:rFonts w:hint="eastAsia" w:ascii="FangSong_GB2312" w:hAnsi="FangSong_GB2312" w:eastAsia="FangSong_GB2312" w:cs="FangSong_GB2312"/>
          <w:spacing w:val="0"/>
          <w:kern w:val="0"/>
          <w:sz w:val="32"/>
          <w:szCs w:val="32"/>
        </w:rPr>
        <w:t>（四）严守纪律规矩，正风肃纪，擦亮清正廉洁“本色底色”。扎实推进党纪学习教育常态化长效化，推动党风廉政建设与政务业务工作深度融合、同频共振。通过典型案例剖析、廉政专题学习、警示教育展览、廉政谈话提醒等多种形式，常态化开展廉洁教育，引导全体干部职工筑牢思想防线、严守纪律底线，时刻做到警钟长鸣、拒腐防变。严格贯彻落实中央八项规定及其实施细则精神，常态化开展自查自纠、承诺践诺、谈心谈话，常态化纠治作风顽疾。坚决整治不作为、不担当、慢作为问题，持续涵养求真务实、清正廉洁、担当实干的优良政风，全力锻造政治忠诚、作风干净、履职担当的政府办公室干部铁军，为全县政务工作高质量开展提供坚强纪律作风保障。</w:t>
      </w:r>
    </w:p>
    <w:p w14:paraId="56216FC7">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pPr>
    </w:p>
    <w:p w14:paraId="7A80EF2E">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rPr>
        <w:sectPr>
          <w:footerReference r:id="rId6" w:type="default"/>
          <w:pgSz w:w="11906" w:h="16838"/>
          <w:pgMar w:top="1440" w:right="720" w:bottom="1440" w:left="720" w:header="720" w:footer="720" w:gutter="0"/>
          <w:cols w:space="720" w:num="1"/>
        </w:sectPr>
      </w:pPr>
    </w:p>
    <w:p w14:paraId="0D54ABAB">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0AA943F5">
      <w:pPr>
        <w:pStyle w:val="5"/>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5" w:name="_Toc256000058"/>
      <w:r>
        <w:rPr>
          <w:rFonts w:ascii="黑体" w:hAnsi="黑体" w:eastAsia="黑体" w:cs="黑体"/>
          <w:b w:val="0"/>
          <w:bCs w:val="0"/>
          <w:spacing w:val="0"/>
          <w:sz w:val="56"/>
          <w:szCs w:val="56"/>
        </w:rPr>
        <w:t>第二部分</w:t>
      </w:r>
      <w:r>
        <w:rPr>
          <w:rFonts w:ascii="黑体" w:hAnsi="黑体" w:eastAsia="黑体" w:cs="黑体"/>
          <w:b w:val="0"/>
          <w:bCs w:val="0"/>
          <w:spacing w:val="0"/>
          <w:sz w:val="56"/>
          <w:szCs w:val="56"/>
        </w:rPr>
        <w:br w:type="textWrapping"/>
      </w:r>
      <w:r>
        <w:rPr>
          <w:rFonts w:ascii="黑体" w:hAnsi="黑体" w:eastAsia="黑体" w:cs="黑体"/>
          <w:b w:val="0"/>
          <w:bCs w:val="0"/>
          <w:spacing w:val="0"/>
          <w:sz w:val="56"/>
          <w:szCs w:val="56"/>
        </w:rPr>
        <w:t>2025年度部门决算表</w:t>
      </w:r>
      <w:bookmarkEnd w:id="5"/>
    </w:p>
    <w:p w14:paraId="7C719570">
      <w:pPr>
        <w:widowControl/>
        <w:spacing w:before="240" w:after="240"/>
        <w:jc w:val="left"/>
        <w:rPr>
          <w:rFonts w:ascii="Times New Roman" w:hAnsi="Times New Roman" w:eastAsia="Times New Roman" w:cs="Times New Roman"/>
          <w:kern w:val="0"/>
          <w:sz w:val="24"/>
        </w:rPr>
      </w:pPr>
    </w:p>
    <w:p w14:paraId="2B7DF3DB">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6" w:name="_Toc256000059"/>
      <w:r>
        <w:rPr>
          <w:rFonts w:ascii="黑体" w:hAnsi="黑体" w:eastAsia="黑体" w:cs="黑体"/>
          <w:b w:val="0"/>
          <w:bCs w:val="0"/>
          <w:spacing w:val="0"/>
        </w:rPr>
        <w:t>一、收入支出决算总表</w:t>
      </w:r>
      <w:bookmarkEnd w:id="6"/>
    </w:p>
    <w:p w14:paraId="1BE17F3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1"/>
        <w:tblW w:w="15159" w:type="dxa"/>
        <w:tblInd w:w="20" w:type="dxa"/>
        <w:tblLayout w:type="fixed"/>
        <w:tblCellMar>
          <w:top w:w="0" w:type="dxa"/>
          <w:left w:w="108" w:type="dxa"/>
          <w:bottom w:w="0" w:type="dxa"/>
          <w:right w:w="108" w:type="dxa"/>
        </w:tblCellMar>
      </w:tblPr>
      <w:tblGrid>
        <w:gridCol w:w="3789"/>
        <w:gridCol w:w="3790"/>
        <w:gridCol w:w="3790"/>
        <w:gridCol w:w="3790"/>
      </w:tblGrid>
      <w:tr w14:paraId="438E2DBA">
        <w:tblPrEx>
          <w:tblCellMar>
            <w:top w:w="0" w:type="dxa"/>
            <w:left w:w="108" w:type="dxa"/>
            <w:bottom w:w="0" w:type="dxa"/>
            <w:right w:w="108" w:type="dxa"/>
          </w:tblCellMar>
        </w:tblPrEx>
        <w:trPr>
          <w:cantSplit/>
          <w:tblHeader/>
        </w:trPr>
        <w:tc>
          <w:tcPr>
            <w:tcW w:w="15159" w:type="dxa"/>
            <w:gridSpan w:val="4"/>
            <w:tcMar>
              <w:top w:w="15" w:type="dxa"/>
              <w:left w:w="108" w:type="dxa"/>
              <w:bottom w:w="15" w:type="dxa"/>
              <w:right w:w="108" w:type="dxa"/>
            </w:tcMar>
            <w:vAlign w:val="center"/>
          </w:tcPr>
          <w:p w14:paraId="5DB66FCF">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02496133">
        <w:tblPrEx>
          <w:tblCellMar>
            <w:top w:w="0" w:type="dxa"/>
            <w:left w:w="108" w:type="dxa"/>
            <w:bottom w:w="0" w:type="dxa"/>
            <w:right w:w="108" w:type="dxa"/>
          </w:tblCellMar>
        </w:tblPrEx>
        <w:trPr>
          <w:cantSplit/>
          <w:tblHeader/>
        </w:trPr>
        <w:tc>
          <w:tcPr>
            <w:tcW w:w="7579" w:type="dxa"/>
            <w:gridSpan w:val="2"/>
            <w:tcMar>
              <w:top w:w="15" w:type="dxa"/>
              <w:left w:w="108" w:type="dxa"/>
              <w:bottom w:w="15" w:type="dxa"/>
              <w:right w:w="108" w:type="dxa"/>
            </w:tcMar>
            <w:vAlign w:val="bottom"/>
          </w:tcPr>
          <w:p w14:paraId="732399D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0" w:type="dxa"/>
            <w:tcMar>
              <w:top w:w="15" w:type="dxa"/>
              <w:left w:w="108" w:type="dxa"/>
              <w:bottom w:w="15" w:type="dxa"/>
              <w:right w:w="108" w:type="dxa"/>
            </w:tcMar>
            <w:vAlign w:val="bottom"/>
          </w:tcPr>
          <w:p w14:paraId="40B2B51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0" w:type="dxa"/>
            <w:tcMar>
              <w:top w:w="15" w:type="dxa"/>
              <w:left w:w="108" w:type="dxa"/>
              <w:bottom w:w="15" w:type="dxa"/>
              <w:right w:w="108" w:type="dxa"/>
            </w:tcMar>
            <w:vAlign w:val="center"/>
          </w:tcPr>
          <w:p w14:paraId="6A4316F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26C19C89">
        <w:tblPrEx>
          <w:tblCellMar>
            <w:top w:w="0" w:type="dxa"/>
            <w:left w:w="108" w:type="dxa"/>
            <w:bottom w:w="0" w:type="dxa"/>
            <w:right w:w="108" w:type="dxa"/>
          </w:tblCellMar>
        </w:tblPrEx>
        <w:trPr>
          <w:cantSplit/>
          <w:tblHeader/>
        </w:trPr>
        <w:tc>
          <w:tcPr>
            <w:tcW w:w="11369" w:type="dxa"/>
            <w:gridSpan w:val="3"/>
            <w:tcMar>
              <w:top w:w="15" w:type="dxa"/>
              <w:left w:w="108" w:type="dxa"/>
              <w:bottom w:w="15" w:type="dxa"/>
              <w:right w:w="108" w:type="dxa"/>
            </w:tcMar>
            <w:vAlign w:val="center"/>
          </w:tcPr>
          <w:p w14:paraId="54B789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3790" w:type="dxa"/>
            <w:tcMar>
              <w:top w:w="15" w:type="dxa"/>
              <w:left w:w="108" w:type="dxa"/>
              <w:bottom w:w="15" w:type="dxa"/>
              <w:right w:w="108" w:type="dxa"/>
            </w:tcMar>
            <w:vAlign w:val="center"/>
          </w:tcPr>
          <w:p w14:paraId="015145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6F5C93E4">
        <w:tblPrEx>
          <w:tblCellMar>
            <w:top w:w="0" w:type="dxa"/>
            <w:left w:w="108" w:type="dxa"/>
            <w:bottom w:w="0" w:type="dxa"/>
            <w:right w:w="108" w:type="dxa"/>
          </w:tblCellMar>
        </w:tblPrEx>
        <w:trPr>
          <w:cantSplit/>
          <w:tblHeader/>
        </w:trPr>
        <w:tc>
          <w:tcPr>
            <w:tcW w:w="7579"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B5EF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758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8500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38CA0F37">
        <w:tblPrEx>
          <w:tblCellMar>
            <w:top w:w="0" w:type="dxa"/>
            <w:left w:w="108" w:type="dxa"/>
            <w:bottom w:w="0" w:type="dxa"/>
            <w:right w:w="108" w:type="dxa"/>
          </w:tblCellMar>
        </w:tblPrEx>
        <w:trPr>
          <w:cantSplit/>
          <w:tblHeader/>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1743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1FCE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ADF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F864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33B893B4">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FD71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2B44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1A0A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6BA0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r>
      <w:tr w14:paraId="2170DA81">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BC05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20BD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2D4B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FE7F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C2F7CD">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24FA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ACBA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95A1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6B28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74438FF">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AC39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7D96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4E54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DDC6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D19D793">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D941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0E6E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BEC4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7C7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2E2BBC">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6B3D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BA53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6F66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2637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8C51940">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9E38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F46C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12A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1DD4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5D99CD6">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8595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66CE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CC95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B038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r>
      <w:tr w14:paraId="6D6CE340">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3E0B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7D2D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B856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715E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BFAD2E8">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74FF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0DA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DA23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686E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5F11C21">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273F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5B3B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EFCB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8E6B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r>
      <w:tr w14:paraId="0D47CAAD">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1115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150E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AA79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DBA5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r>
      <w:tr w14:paraId="738413D1">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F1A2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1FD8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9255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602E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ECD1A4">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BBEB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396D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BF0C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64DB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E305896">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F77B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E08D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E2EC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770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D9B9B6B">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B92F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ADD8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680C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D558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CAD9979">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8B14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F546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B922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A50E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113EB3D">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20D5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1AEA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C134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FA4E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E36093">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69FA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BCD1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6B6C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7B52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E7206EC">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0CA4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A12F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B2ED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42D1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CA155C">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D401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EF64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0BD8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5C49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D2DA924">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9743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A99B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2AED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3ED0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15A7928">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42E6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EEC5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568D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B144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89B3147">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1EEC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A944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5102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1280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0FF8DF">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78A4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C117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A1A1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BF44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1AF14B2">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D978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8E11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4821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ECA6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9B84FDF">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66F0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1EE0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9CE4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02D1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r>
      <w:tr w14:paraId="355C5C99">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73E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BF64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C8E3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8929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0850083">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D537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142F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11.56</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0E65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F90F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1.25</w:t>
            </w:r>
          </w:p>
        </w:tc>
      </w:tr>
      <w:tr w14:paraId="697C76B8">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4421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0C8B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CDD8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82E0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6CF810E">
        <w:tblPrEx>
          <w:tblCellMar>
            <w:top w:w="0" w:type="dxa"/>
            <w:left w:w="108" w:type="dxa"/>
            <w:bottom w:w="0" w:type="dxa"/>
            <w:right w:w="108" w:type="dxa"/>
          </w:tblCellMar>
        </w:tblPrEx>
        <w:trPr>
          <w:cantSplit/>
        </w:trPr>
        <w:tc>
          <w:tcPr>
            <w:tcW w:w="378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6B8B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99C1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1,165.69</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69F3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379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0D2E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1,165.69</w:t>
            </w:r>
          </w:p>
        </w:tc>
      </w:tr>
      <w:tr w14:paraId="615CF9DC">
        <w:tblPrEx>
          <w:tblCellMar>
            <w:top w:w="0" w:type="dxa"/>
            <w:left w:w="108" w:type="dxa"/>
            <w:bottom w:w="0" w:type="dxa"/>
            <w:right w:w="108" w:type="dxa"/>
          </w:tblCellMar>
        </w:tblPrEx>
        <w:trPr>
          <w:cantSplit/>
        </w:trPr>
        <w:tc>
          <w:tcPr>
            <w:tcW w:w="15159" w:type="dxa"/>
            <w:gridSpan w:val="4"/>
            <w:tcMar>
              <w:top w:w="15" w:type="dxa"/>
              <w:left w:w="108" w:type="dxa"/>
              <w:bottom w:w="15" w:type="dxa"/>
              <w:right w:w="108" w:type="dxa"/>
            </w:tcMar>
            <w:vAlign w:val="center"/>
          </w:tcPr>
          <w:p w14:paraId="207BB0A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注：1.本表反映部门本年度的总收支和年末结转结余情况。</w:t>
            </w:r>
          </w:p>
        </w:tc>
      </w:tr>
      <w:tr w14:paraId="3A9DB546">
        <w:tblPrEx>
          <w:tblCellMar>
            <w:top w:w="0" w:type="dxa"/>
            <w:left w:w="108" w:type="dxa"/>
            <w:bottom w:w="0" w:type="dxa"/>
            <w:right w:w="108" w:type="dxa"/>
          </w:tblCellMar>
        </w:tblPrEx>
        <w:trPr>
          <w:cantSplit/>
        </w:trPr>
        <w:tc>
          <w:tcPr>
            <w:tcW w:w="15159" w:type="dxa"/>
            <w:gridSpan w:val="4"/>
            <w:tcMar>
              <w:top w:w="15" w:type="dxa"/>
              <w:left w:w="108" w:type="dxa"/>
              <w:bottom w:w="15" w:type="dxa"/>
              <w:right w:w="108" w:type="dxa"/>
            </w:tcMar>
            <w:vAlign w:val="center"/>
          </w:tcPr>
          <w:p w14:paraId="00F47EC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052B85B8">
      <w:pPr>
        <w:sectPr>
          <w:footerReference r:id="rId7" w:type="default"/>
          <w:pgSz w:w="16383" w:h="11906" w:orient="landscape"/>
          <w:pgMar w:top="1134" w:right="720" w:bottom="1134" w:left="720" w:header="720" w:footer="720" w:gutter="0"/>
          <w:cols w:space="720" w:num="1"/>
        </w:sectPr>
      </w:pPr>
    </w:p>
    <w:p w14:paraId="6BD9130F">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7CE8CD5D">
      <w:pPr>
        <w:pStyle w:val="31"/>
        <w:widowControl/>
        <w:spacing w:before="240" w:after="24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16C22777">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7" w:name="_Toc256000060"/>
      <w:r>
        <w:rPr>
          <w:rFonts w:ascii="黑体" w:hAnsi="黑体" w:eastAsia="黑体" w:cs="黑体"/>
          <w:b w:val="0"/>
          <w:bCs w:val="0"/>
          <w:spacing w:val="0"/>
        </w:rPr>
        <w:t>二、收入决算表</w:t>
      </w:r>
      <w:bookmarkEnd w:id="7"/>
    </w:p>
    <w:p w14:paraId="5796EB9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gk02</w:t>
      </w:r>
    </w:p>
    <w:tbl>
      <w:tblPr>
        <w:tblStyle w:val="21"/>
        <w:tblW w:w="15159" w:type="dxa"/>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14:paraId="2DBF5562">
        <w:tblPrEx>
          <w:tblCellMar>
            <w:top w:w="0" w:type="dxa"/>
            <w:left w:w="108" w:type="dxa"/>
            <w:bottom w:w="0" w:type="dxa"/>
            <w:right w:w="108" w:type="dxa"/>
          </w:tblCellMar>
        </w:tblPrEx>
        <w:trPr>
          <w:cantSplit/>
          <w:tblHeader/>
        </w:trPr>
        <w:tc>
          <w:tcPr>
            <w:tcW w:w="15159" w:type="dxa"/>
            <w:gridSpan w:val="11"/>
            <w:tcMar>
              <w:top w:w="15" w:type="dxa"/>
              <w:left w:w="108" w:type="dxa"/>
              <w:bottom w:w="15" w:type="dxa"/>
              <w:right w:w="108" w:type="dxa"/>
            </w:tcMar>
            <w:vAlign w:val="center"/>
          </w:tcPr>
          <w:p w14:paraId="6A6640FD">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0427ABD1">
        <w:tblPrEx>
          <w:tblCellMar>
            <w:top w:w="0" w:type="dxa"/>
            <w:left w:w="108" w:type="dxa"/>
            <w:bottom w:w="0" w:type="dxa"/>
            <w:right w:w="108" w:type="dxa"/>
          </w:tblCellMar>
        </w:tblPrEx>
        <w:trPr>
          <w:cantSplit/>
          <w:tblHeader/>
        </w:trPr>
        <w:tc>
          <w:tcPr>
            <w:tcW w:w="1157" w:type="dxa"/>
            <w:gridSpan w:val="2"/>
            <w:tcMar>
              <w:top w:w="15" w:type="dxa"/>
              <w:left w:w="108" w:type="dxa"/>
              <w:bottom w:w="15" w:type="dxa"/>
              <w:right w:w="108" w:type="dxa"/>
            </w:tcMar>
            <w:vAlign w:val="bottom"/>
          </w:tcPr>
          <w:p w14:paraId="42B645B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78" w:type="dxa"/>
            <w:tcMar>
              <w:top w:w="15" w:type="dxa"/>
              <w:left w:w="108" w:type="dxa"/>
              <w:bottom w:w="15" w:type="dxa"/>
              <w:right w:w="108" w:type="dxa"/>
            </w:tcMar>
            <w:vAlign w:val="bottom"/>
          </w:tcPr>
          <w:p w14:paraId="17214F1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1AA6793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43FAC145">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3BF7ED1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06B1DEE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1D94B69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74F93F6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26F8049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center"/>
          </w:tcPr>
          <w:p w14:paraId="7B25443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6670C828">
        <w:tblPrEx>
          <w:tblCellMar>
            <w:top w:w="0" w:type="dxa"/>
            <w:left w:w="108" w:type="dxa"/>
            <w:bottom w:w="0" w:type="dxa"/>
            <w:right w:w="108" w:type="dxa"/>
          </w:tblCellMar>
        </w:tblPrEx>
        <w:trPr>
          <w:cantSplit/>
          <w:tblHeader/>
        </w:trPr>
        <w:tc>
          <w:tcPr>
            <w:tcW w:w="8447" w:type="dxa"/>
            <w:gridSpan w:val="7"/>
            <w:tcMar>
              <w:top w:w="15" w:type="dxa"/>
              <w:left w:w="108" w:type="dxa"/>
              <w:bottom w:w="15" w:type="dxa"/>
              <w:right w:w="108" w:type="dxa"/>
            </w:tcMar>
            <w:vAlign w:val="center"/>
          </w:tcPr>
          <w:p w14:paraId="435514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1678" w:type="dxa"/>
            <w:tcMar>
              <w:top w:w="15" w:type="dxa"/>
              <w:left w:w="108" w:type="dxa"/>
              <w:bottom w:w="15" w:type="dxa"/>
              <w:right w:w="108" w:type="dxa"/>
            </w:tcMar>
            <w:vAlign w:val="bottom"/>
          </w:tcPr>
          <w:p w14:paraId="077D9A6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33A9EC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bottom"/>
          </w:tcPr>
          <w:p w14:paraId="4909DDD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78" w:type="dxa"/>
            <w:tcMar>
              <w:top w:w="15" w:type="dxa"/>
              <w:left w:w="108" w:type="dxa"/>
              <w:bottom w:w="15" w:type="dxa"/>
              <w:right w:w="108" w:type="dxa"/>
            </w:tcMar>
            <w:vAlign w:val="center"/>
          </w:tcPr>
          <w:p w14:paraId="76E615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160ADD2">
        <w:tblPrEx>
          <w:tblCellMar>
            <w:top w:w="0" w:type="dxa"/>
            <w:left w:w="108" w:type="dxa"/>
            <w:bottom w:w="0" w:type="dxa"/>
            <w:right w:w="108" w:type="dxa"/>
          </w:tblCellMar>
        </w:tblPrEx>
        <w:trPr>
          <w:cantSplit/>
          <w:tblHeader/>
        </w:trPr>
        <w:tc>
          <w:tcPr>
            <w:tcW w:w="341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CE20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EFEC6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DB6C0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E0672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15A92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481E4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551CE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4B756C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7C71D6A6">
        <w:tblPrEx>
          <w:tblCellMar>
            <w:top w:w="0" w:type="dxa"/>
            <w:left w:w="108" w:type="dxa"/>
            <w:bottom w:w="0" w:type="dxa"/>
            <w:right w:w="108" w:type="dxa"/>
          </w:tblCellMar>
        </w:tblPrEx>
        <w:trPr>
          <w:cantSplit/>
          <w:tblHeader/>
        </w:trPr>
        <w:tc>
          <w:tcPr>
            <w:tcW w:w="1735"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8DDCF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678"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483427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78" w:type="dxa"/>
            <w:vMerge w:val="continue"/>
            <w:tcBorders>
              <w:left w:val="single" w:color="000000" w:sz="6" w:space="0"/>
              <w:right w:val="single" w:color="000000" w:sz="6" w:space="0"/>
            </w:tcBorders>
            <w:tcMar>
              <w:left w:w="108" w:type="dxa"/>
              <w:right w:w="108" w:type="dxa"/>
            </w:tcMar>
            <w:vAlign w:val="center"/>
          </w:tcPr>
          <w:p w14:paraId="184C7CAA">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0E3A9516">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09823BE7">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39796784">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1E64CBD5">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0D6B7218">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right w:val="single" w:color="000000" w:sz="6" w:space="0"/>
            </w:tcBorders>
            <w:tcMar>
              <w:left w:w="108" w:type="dxa"/>
              <w:right w:w="108" w:type="dxa"/>
            </w:tcMar>
            <w:vAlign w:val="center"/>
          </w:tcPr>
          <w:p w14:paraId="38BDB57D">
            <w:pPr>
              <w:rPr>
                <w:rFonts w:ascii="Times New Roman" w:hAnsi="Times New Roman" w:eastAsia="Times New Roman" w:cs="Times New Roman"/>
                <w:b w:val="0"/>
                <w:bCs w:val="0"/>
                <w:i w:val="0"/>
                <w:iCs w:val="0"/>
                <w:smallCaps w:val="0"/>
                <w:color w:val="000000"/>
                <w:kern w:val="0"/>
                <w:sz w:val="26"/>
                <w:szCs w:val="26"/>
              </w:rPr>
            </w:pPr>
          </w:p>
        </w:tc>
      </w:tr>
      <w:tr w14:paraId="014903CF">
        <w:tblPrEx>
          <w:tblCellMar>
            <w:top w:w="0" w:type="dxa"/>
            <w:left w:w="108" w:type="dxa"/>
            <w:bottom w:w="0" w:type="dxa"/>
            <w:right w:w="108" w:type="dxa"/>
          </w:tblCellMar>
        </w:tblPrEx>
        <w:trPr>
          <w:cantSplit/>
          <w:tblHeader/>
        </w:trPr>
        <w:tc>
          <w:tcPr>
            <w:tcW w:w="1735"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79E4B94A">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058A90A">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B78680C">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BB9F9D5">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4132ED2">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37809E1">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B169A49">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451FA5">
            <w:pPr>
              <w:rPr>
                <w:rFonts w:ascii="Times New Roman" w:hAnsi="Times New Roman" w:eastAsia="Times New Roman" w:cs="Times New Roman"/>
                <w:b w:val="0"/>
                <w:bCs w:val="0"/>
                <w:i w:val="0"/>
                <w:iCs w:val="0"/>
                <w:smallCaps w:val="0"/>
                <w:color w:val="000000"/>
                <w:kern w:val="0"/>
                <w:sz w:val="26"/>
                <w:szCs w:val="26"/>
              </w:rPr>
            </w:pPr>
          </w:p>
        </w:tc>
        <w:tc>
          <w:tcPr>
            <w:tcW w:w="167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C0CC84A">
            <w:pPr>
              <w:rPr>
                <w:rFonts w:ascii="Times New Roman" w:hAnsi="Times New Roman" w:eastAsia="Times New Roman" w:cs="Times New Roman"/>
                <w:b w:val="0"/>
                <w:bCs w:val="0"/>
                <w:i w:val="0"/>
                <w:iCs w:val="0"/>
                <w:smallCaps w:val="0"/>
                <w:color w:val="000000"/>
                <w:kern w:val="0"/>
                <w:sz w:val="26"/>
                <w:szCs w:val="26"/>
              </w:rPr>
            </w:pPr>
          </w:p>
        </w:tc>
      </w:tr>
      <w:tr w14:paraId="4B52A65C">
        <w:tblPrEx>
          <w:tblCellMar>
            <w:top w:w="0" w:type="dxa"/>
            <w:left w:w="108" w:type="dxa"/>
            <w:bottom w:w="0" w:type="dxa"/>
            <w:right w:w="108" w:type="dxa"/>
          </w:tblCellMar>
        </w:tblPrEx>
        <w:trPr>
          <w:cantSplit/>
          <w:tblHeader/>
        </w:trPr>
        <w:tc>
          <w:tcPr>
            <w:tcW w:w="57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EA70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1BBC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6EE4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8258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284E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E625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06CF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41DD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54F2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748B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0353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22CAC84">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F237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22CD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9254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736.03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3675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736.03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C269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C41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FA6C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E74E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89BB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DB01DF">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8003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E7DC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D69B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678.53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3809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678.53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9B7D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BE58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B216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B0DC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A7B3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299CECA">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E40B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2138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3C48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631.35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5202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631.35</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D86F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BE0C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8C23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C944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0CFF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391E9C">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F957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5A0B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其他政府办公厅（室）及相关机构事务支出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3842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DAF3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383C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C68F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0F1D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07A5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525A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B1953B0">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3358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8658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BCC0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14D8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27AA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BFD3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EA89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F31F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0C0E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ECCAC1C">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78B1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8A18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35FF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9FC9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F130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6CAC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9B2A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EDD0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8627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D98B139">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D8CB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F586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291D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C375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5048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655F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5F90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9D03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A42C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811FAD">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E0FE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D926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0B30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E447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F64C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F4E4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9F76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96E7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7BA1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28B2E79">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AB58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7B6B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4CEB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75A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066B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BEA3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2F40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8F5F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50B3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28EE8FA">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96A8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DFA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0892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6D34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D36E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E04E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63E7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F5E3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8423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88EFFB">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D3B64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831A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3C13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FBA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62D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C5623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BF91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579F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58C0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E602F71">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8C59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FAE9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068C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729D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8712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0C6F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FA07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27D3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3FC5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B72A451">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EEAD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69C1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DC99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53CB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26FF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C807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146D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E9A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D8CC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64661AB">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980D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BE14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CA1A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4389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76CA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5F32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5417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EB47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7076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1EA9F99">
        <w:tblPrEx>
          <w:tblCellMar>
            <w:top w:w="0" w:type="dxa"/>
            <w:left w:w="108" w:type="dxa"/>
            <w:bottom w:w="0" w:type="dxa"/>
            <w:right w:w="108" w:type="dxa"/>
          </w:tblCellMar>
        </w:tblPrEx>
        <w:trPr>
          <w:cantSplit/>
        </w:trPr>
        <w:tc>
          <w:tcPr>
            <w:tcW w:w="173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A033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2139999</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5A1E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A42E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6D32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C266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6A03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E89F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F17E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78"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08D8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BC7BD9F">
        <w:tblPrEx>
          <w:tblCellMar>
            <w:top w:w="0" w:type="dxa"/>
            <w:left w:w="108" w:type="dxa"/>
            <w:bottom w:w="0" w:type="dxa"/>
            <w:right w:w="108" w:type="dxa"/>
          </w:tblCellMar>
        </w:tblPrEx>
        <w:trPr>
          <w:cantSplit/>
        </w:trPr>
        <w:tc>
          <w:tcPr>
            <w:tcW w:w="15159" w:type="dxa"/>
            <w:gridSpan w:val="11"/>
            <w:tcMar>
              <w:top w:w="15" w:type="dxa"/>
              <w:left w:w="108" w:type="dxa"/>
              <w:bottom w:w="15" w:type="dxa"/>
              <w:right w:w="108" w:type="dxa"/>
            </w:tcMar>
            <w:vAlign w:val="center"/>
          </w:tcPr>
          <w:p w14:paraId="4D4C8B9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注：本表反映部门本年度取得的各项收入情况。</w:t>
            </w:r>
          </w:p>
        </w:tc>
      </w:tr>
    </w:tbl>
    <w:p w14:paraId="1BDFD6EB">
      <w:pPr>
        <w:sectPr>
          <w:footerReference r:id="rId8" w:type="default"/>
          <w:pgSz w:w="16383" w:h="11906" w:orient="landscape"/>
          <w:pgMar w:top="1134" w:right="720" w:bottom="1134" w:left="720" w:header="720" w:footer="720" w:gutter="0"/>
          <w:cols w:space="720" w:num="1"/>
        </w:sectPr>
      </w:pPr>
    </w:p>
    <w:p w14:paraId="5BAF3717">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3CB040E7">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8" w:name="_Toc256000061"/>
      <w:r>
        <w:rPr>
          <w:rFonts w:ascii="黑体" w:hAnsi="黑体" w:eastAsia="黑体" w:cs="黑体"/>
          <w:b w:val="0"/>
          <w:bCs w:val="0"/>
          <w:spacing w:val="0"/>
        </w:rPr>
        <w:t>三、支出决算表</w:t>
      </w:r>
      <w:bookmarkEnd w:id="8"/>
    </w:p>
    <w:p w14:paraId="6C879738">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gk03</w:t>
      </w:r>
    </w:p>
    <w:tbl>
      <w:tblPr>
        <w:tblStyle w:val="21"/>
        <w:tblW w:w="15159" w:type="dxa"/>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6428E9F0">
        <w:tblPrEx>
          <w:tblCellMar>
            <w:top w:w="0" w:type="dxa"/>
            <w:left w:w="108" w:type="dxa"/>
            <w:bottom w:w="0" w:type="dxa"/>
            <w:right w:w="108" w:type="dxa"/>
          </w:tblCellMar>
        </w:tblPrEx>
        <w:trPr>
          <w:cantSplit/>
          <w:tblHeader/>
        </w:trPr>
        <w:tc>
          <w:tcPr>
            <w:tcW w:w="15159" w:type="dxa"/>
            <w:gridSpan w:val="10"/>
            <w:tcMar>
              <w:top w:w="15" w:type="dxa"/>
              <w:left w:w="108" w:type="dxa"/>
              <w:bottom w:w="15" w:type="dxa"/>
              <w:right w:w="108" w:type="dxa"/>
            </w:tcMar>
            <w:vAlign w:val="center"/>
          </w:tcPr>
          <w:p w14:paraId="226FEF46">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7CD3B7DE">
        <w:tblPrEx>
          <w:tblCellMar>
            <w:top w:w="0" w:type="dxa"/>
            <w:left w:w="108" w:type="dxa"/>
            <w:bottom w:w="0" w:type="dxa"/>
            <w:right w:w="108" w:type="dxa"/>
          </w:tblCellMar>
        </w:tblPrEx>
        <w:trPr>
          <w:cantSplit/>
          <w:tblHeader/>
        </w:trPr>
        <w:tc>
          <w:tcPr>
            <w:tcW w:w="3783" w:type="dxa"/>
            <w:gridSpan w:val="4"/>
            <w:tcMar>
              <w:top w:w="15" w:type="dxa"/>
              <w:left w:w="108" w:type="dxa"/>
              <w:bottom w:w="15" w:type="dxa"/>
              <w:right w:w="108" w:type="dxa"/>
            </w:tcMar>
            <w:vAlign w:val="bottom"/>
          </w:tcPr>
          <w:p w14:paraId="3261DCEF">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0E55E6C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750D3E6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697F39C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4900F03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2" w:type="dxa"/>
            <w:gridSpan w:val="2"/>
            <w:tcMar>
              <w:top w:w="15" w:type="dxa"/>
              <w:left w:w="108" w:type="dxa"/>
              <w:bottom w:w="15" w:type="dxa"/>
              <w:right w:w="108" w:type="dxa"/>
            </w:tcMar>
            <w:vAlign w:val="center"/>
          </w:tcPr>
          <w:p w14:paraId="465A71E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1B8D5F43">
        <w:tblPrEx>
          <w:tblCellMar>
            <w:top w:w="0" w:type="dxa"/>
            <w:left w:w="108" w:type="dxa"/>
            <w:bottom w:w="0" w:type="dxa"/>
            <w:right w:w="108" w:type="dxa"/>
          </w:tblCellMar>
        </w:tblPrEx>
        <w:trPr>
          <w:cantSplit/>
          <w:tblHeader/>
        </w:trPr>
        <w:tc>
          <w:tcPr>
            <w:tcW w:w="9471" w:type="dxa"/>
            <w:gridSpan w:val="7"/>
            <w:tcMar>
              <w:top w:w="15" w:type="dxa"/>
              <w:left w:w="108" w:type="dxa"/>
              <w:bottom w:w="15" w:type="dxa"/>
              <w:right w:w="108" w:type="dxa"/>
            </w:tcMar>
            <w:vAlign w:val="center"/>
          </w:tcPr>
          <w:p w14:paraId="3BE5E3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1896" w:type="dxa"/>
            <w:tcMar>
              <w:top w:w="15" w:type="dxa"/>
              <w:left w:w="108" w:type="dxa"/>
              <w:bottom w:w="15" w:type="dxa"/>
              <w:right w:w="108" w:type="dxa"/>
            </w:tcMar>
            <w:vAlign w:val="bottom"/>
          </w:tcPr>
          <w:p w14:paraId="4AF92261">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792" w:type="dxa"/>
            <w:gridSpan w:val="2"/>
            <w:tcMar>
              <w:top w:w="15" w:type="dxa"/>
              <w:left w:w="108" w:type="dxa"/>
              <w:bottom w:w="15" w:type="dxa"/>
              <w:right w:w="108" w:type="dxa"/>
            </w:tcMar>
            <w:vAlign w:val="center"/>
          </w:tcPr>
          <w:p w14:paraId="0195027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5D630F3">
        <w:tblPrEx>
          <w:tblCellMar>
            <w:top w:w="0" w:type="dxa"/>
            <w:left w:w="108" w:type="dxa"/>
            <w:bottom w:w="0" w:type="dxa"/>
            <w:right w:w="108" w:type="dxa"/>
          </w:tblCellMar>
        </w:tblPrEx>
        <w:trPr>
          <w:cantSplit/>
          <w:tblHeader/>
        </w:trPr>
        <w:tc>
          <w:tcPr>
            <w:tcW w:w="378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8D4B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896" w:type="dxa"/>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3D2AA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F10E4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8EEF5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2BACBF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56815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16A8B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718152E2">
        <w:tblPrEx>
          <w:tblCellMar>
            <w:top w:w="0" w:type="dxa"/>
            <w:left w:w="108" w:type="dxa"/>
            <w:bottom w:w="0" w:type="dxa"/>
            <w:right w:w="108" w:type="dxa"/>
          </w:tblCellMar>
        </w:tblPrEx>
        <w:trPr>
          <w:cantSplit/>
          <w:tblHeader/>
        </w:trPr>
        <w:tc>
          <w:tcPr>
            <w:tcW w:w="1887"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B9604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72C14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896" w:type="dxa"/>
            <w:vMerge w:val="restart"/>
            <w:tcBorders>
              <w:left w:val="single" w:color="000000" w:sz="6" w:space="0"/>
              <w:right w:val="single" w:color="000000" w:sz="6" w:space="0"/>
            </w:tcBorders>
            <w:tcMar>
              <w:left w:w="108" w:type="dxa"/>
              <w:right w:w="108" w:type="dxa"/>
            </w:tcMar>
            <w:vAlign w:val="center"/>
          </w:tcPr>
          <w:p w14:paraId="7792BDB7">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1073F417">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615875EE">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5D644E72">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3AE61516">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52156410">
            <w:pPr>
              <w:rPr>
                <w:rFonts w:ascii="Times New Roman" w:hAnsi="Times New Roman" w:eastAsia="Times New Roman" w:cs="Times New Roman"/>
                <w:b w:val="0"/>
                <w:bCs w:val="0"/>
                <w:i w:val="0"/>
                <w:iCs w:val="0"/>
                <w:smallCaps w:val="0"/>
                <w:color w:val="000000"/>
                <w:kern w:val="0"/>
                <w:sz w:val="26"/>
                <w:szCs w:val="26"/>
              </w:rPr>
            </w:pPr>
          </w:p>
        </w:tc>
      </w:tr>
      <w:tr w14:paraId="0372754D">
        <w:tblPrEx>
          <w:tblCellMar>
            <w:top w:w="0" w:type="dxa"/>
            <w:left w:w="108" w:type="dxa"/>
            <w:bottom w:w="0" w:type="dxa"/>
            <w:right w:w="108" w:type="dxa"/>
          </w:tblCellMar>
        </w:tblPrEx>
        <w:trPr>
          <w:cantSplit/>
          <w:tblHeader/>
        </w:trPr>
        <w:tc>
          <w:tcPr>
            <w:tcW w:w="1887"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1C4B27C3">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6909527">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559C218">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F7AF3B9">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647129">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73842A2">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D55356E">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BAFEE4E">
            <w:pPr>
              <w:rPr>
                <w:rFonts w:ascii="Times New Roman" w:hAnsi="Times New Roman" w:eastAsia="Times New Roman" w:cs="Times New Roman"/>
                <w:b w:val="0"/>
                <w:bCs w:val="0"/>
                <w:i w:val="0"/>
                <w:iCs w:val="0"/>
                <w:smallCaps w:val="0"/>
                <w:color w:val="000000"/>
                <w:kern w:val="0"/>
                <w:sz w:val="26"/>
                <w:szCs w:val="26"/>
              </w:rPr>
            </w:pPr>
          </w:p>
        </w:tc>
      </w:tr>
      <w:tr w14:paraId="17DF9291">
        <w:tblPrEx>
          <w:tblCellMar>
            <w:top w:w="0" w:type="dxa"/>
            <w:left w:w="108" w:type="dxa"/>
            <w:bottom w:w="0" w:type="dxa"/>
            <w:right w:w="108" w:type="dxa"/>
          </w:tblCellMar>
        </w:tblPrEx>
        <w:trPr>
          <w:cantSplit/>
          <w:tblHeader/>
        </w:trPr>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9981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3486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629"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EC9A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A933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BEA8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7634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30FD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A2DC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7238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516A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AC4068B">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3169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D35E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153A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C2CB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AFB9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2F52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8587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77F4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DF5DB9">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0BB9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6294F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24A6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688.84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FB83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688.84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A226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F9AB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097D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9BED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E95ACB">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A4B5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7EB8E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7ED7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641.66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7184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641.66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F2DE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3F1A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F428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7507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143DA5">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A4B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6860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其他政府办公厅（室）及相关机构事务支出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F7E7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A725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F4E4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66DF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4E83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66AA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ADFEE9">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42AA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C081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F30D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5B0A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DEA2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C3BF7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CD13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57AB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3042A0">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79AE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CE52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DFB1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4DA7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547F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358C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233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38F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01648AC">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DBF9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B133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1B73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B8FD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5E76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0A7F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A620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5468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405BC4">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BB5D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0B85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A711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7B18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D5D9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4D6B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7550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CE05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D271344">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19F1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6CD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38FC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AFC5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E60B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DEE7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9F82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4EC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6FAA843">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5381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6899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A41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DDF1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4C59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68E6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D7A2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6C92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80FA5B">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A358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0497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C4CD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1320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E843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42CD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DB63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CE89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0DE117F">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564A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E262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F4EB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7029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016F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0608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19EB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F83E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FE8FE78">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614B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0E54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0F8E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8CE1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593D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0FD6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94C9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D1F4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829E282">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1708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04EA8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F7BF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A835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4835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BB5F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DC45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F599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E791912">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3A7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2139999</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D8A4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66EB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1C31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B2FE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6CEC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F653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1A86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A5D2F62">
        <w:tblPrEx>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14:paraId="3F4FC85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注：本表反映部门本年度各项支出情况。</w:t>
            </w:r>
          </w:p>
        </w:tc>
      </w:tr>
    </w:tbl>
    <w:p w14:paraId="3AF090FD">
      <w:pPr>
        <w:sectPr>
          <w:footerReference r:id="rId9" w:type="default"/>
          <w:pgSz w:w="16383" w:h="11906" w:orient="landscape"/>
          <w:pgMar w:top="1134" w:right="720" w:bottom="1134" w:left="720" w:header="720" w:footer="720" w:gutter="0"/>
          <w:cols w:space="720" w:num="1"/>
        </w:sectPr>
      </w:pPr>
    </w:p>
    <w:p w14:paraId="4765AD93">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r>
        <w:rPr>
          <w:rFonts w:ascii="宋体" w:hAnsi="宋体" w:eastAsia="宋体" w:cs="宋体"/>
          <w:spacing w:val="0"/>
          <w:kern w:val="0"/>
          <w:sz w:val="24"/>
        </w:rPr>
        <w:t> </w:t>
      </w:r>
    </w:p>
    <w:p w14:paraId="0567DB3D">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9" w:name="_Toc256000062"/>
      <w:r>
        <w:rPr>
          <w:rFonts w:ascii="黑体" w:hAnsi="黑体" w:eastAsia="黑体" w:cs="黑体"/>
          <w:b w:val="0"/>
          <w:bCs w:val="0"/>
          <w:spacing w:val="0"/>
        </w:rPr>
        <w:t>四、财政拨款收入支出决算总表</w:t>
      </w:r>
      <w:bookmarkEnd w:id="9"/>
    </w:p>
    <w:p w14:paraId="50B1575D">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1"/>
        <w:tblW w:w="15159" w:type="dxa"/>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5A6247CA">
        <w:tblPrEx>
          <w:tblCellMar>
            <w:top w:w="0" w:type="dxa"/>
            <w:left w:w="108" w:type="dxa"/>
            <w:bottom w:w="0" w:type="dxa"/>
            <w:right w:w="108" w:type="dxa"/>
          </w:tblCellMar>
        </w:tblPrEx>
        <w:trPr>
          <w:cantSplit/>
          <w:tblHeader/>
        </w:trPr>
        <w:tc>
          <w:tcPr>
            <w:tcW w:w="15159" w:type="dxa"/>
            <w:gridSpan w:val="7"/>
            <w:tcMar>
              <w:top w:w="15" w:type="dxa"/>
              <w:left w:w="108" w:type="dxa"/>
              <w:bottom w:w="15" w:type="dxa"/>
              <w:right w:w="108" w:type="dxa"/>
            </w:tcMar>
            <w:vAlign w:val="center"/>
          </w:tcPr>
          <w:p w14:paraId="6230E14A">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223B6649">
        <w:tblPrEx>
          <w:tblCellMar>
            <w:top w:w="0" w:type="dxa"/>
            <w:left w:w="108" w:type="dxa"/>
            <w:bottom w:w="0" w:type="dxa"/>
            <w:right w:w="108" w:type="dxa"/>
          </w:tblCellMar>
        </w:tblPrEx>
        <w:trPr>
          <w:cantSplit/>
          <w:tblHeader/>
        </w:trPr>
        <w:tc>
          <w:tcPr>
            <w:tcW w:w="8661" w:type="dxa"/>
            <w:gridSpan w:val="4"/>
            <w:tcMar>
              <w:top w:w="15" w:type="dxa"/>
              <w:left w:w="108" w:type="dxa"/>
              <w:bottom w:w="15" w:type="dxa"/>
              <w:right w:w="108" w:type="dxa"/>
            </w:tcMar>
            <w:vAlign w:val="bottom"/>
          </w:tcPr>
          <w:p w14:paraId="2630940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2166" w:type="dxa"/>
            <w:tcMar>
              <w:top w:w="15" w:type="dxa"/>
              <w:left w:w="108" w:type="dxa"/>
              <w:bottom w:w="15" w:type="dxa"/>
              <w:right w:w="108" w:type="dxa"/>
            </w:tcMar>
            <w:vAlign w:val="bottom"/>
          </w:tcPr>
          <w:p w14:paraId="582DE12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32" w:type="dxa"/>
            <w:gridSpan w:val="2"/>
            <w:tcMar>
              <w:top w:w="15" w:type="dxa"/>
              <w:left w:w="108" w:type="dxa"/>
              <w:bottom w:w="15" w:type="dxa"/>
              <w:right w:w="108" w:type="dxa"/>
            </w:tcMar>
            <w:vAlign w:val="center"/>
          </w:tcPr>
          <w:p w14:paraId="5519DE4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11CC70A5">
        <w:tblPrEx>
          <w:tblCellMar>
            <w:top w:w="0" w:type="dxa"/>
            <w:left w:w="108" w:type="dxa"/>
            <w:bottom w:w="0" w:type="dxa"/>
            <w:right w:w="108" w:type="dxa"/>
          </w:tblCellMar>
        </w:tblPrEx>
        <w:trPr>
          <w:cantSplit/>
          <w:tblHeader/>
        </w:trPr>
        <w:tc>
          <w:tcPr>
            <w:tcW w:w="8661" w:type="dxa"/>
            <w:gridSpan w:val="4"/>
            <w:tcMar>
              <w:top w:w="15" w:type="dxa"/>
              <w:left w:w="108" w:type="dxa"/>
              <w:bottom w:w="15" w:type="dxa"/>
              <w:right w:w="108" w:type="dxa"/>
            </w:tcMar>
            <w:vAlign w:val="center"/>
          </w:tcPr>
          <w:p w14:paraId="0BA01C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2166" w:type="dxa"/>
            <w:tcMar>
              <w:top w:w="15" w:type="dxa"/>
              <w:left w:w="108" w:type="dxa"/>
              <w:bottom w:w="15" w:type="dxa"/>
              <w:right w:w="108" w:type="dxa"/>
            </w:tcMar>
            <w:vAlign w:val="bottom"/>
          </w:tcPr>
          <w:p w14:paraId="5DCD2E1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4332" w:type="dxa"/>
            <w:gridSpan w:val="2"/>
            <w:tcMar>
              <w:top w:w="15" w:type="dxa"/>
              <w:left w:w="108" w:type="dxa"/>
              <w:bottom w:w="15" w:type="dxa"/>
              <w:right w:w="108" w:type="dxa"/>
            </w:tcMar>
            <w:vAlign w:val="center"/>
          </w:tcPr>
          <w:p w14:paraId="2C7CFC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FE74655">
        <w:tblPrEx>
          <w:tblCellMar>
            <w:top w:w="0" w:type="dxa"/>
            <w:left w:w="108" w:type="dxa"/>
            <w:bottom w:w="0" w:type="dxa"/>
            <w:right w:w="108" w:type="dxa"/>
          </w:tblCellMar>
        </w:tblPrEx>
        <w:trPr>
          <w:cantSplit/>
          <w:tblHeader/>
        </w:trPr>
        <w:tc>
          <w:tcPr>
            <w:tcW w:w="433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BB59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10829"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9F98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5EF4C007">
        <w:tblPrEx>
          <w:tblCellMar>
            <w:top w:w="0" w:type="dxa"/>
            <w:left w:w="108" w:type="dxa"/>
            <w:bottom w:w="0" w:type="dxa"/>
            <w:right w:w="108" w:type="dxa"/>
          </w:tblCellMar>
        </w:tblPrEx>
        <w:trPr>
          <w:cantSplit/>
          <w:tblHeader/>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44F2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1721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524D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6CFF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9BF5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4353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FB72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1315737D">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C405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C1B3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54E1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E809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2AFC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1FB8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5774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A47C35">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FEDE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420D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1749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63B8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6D5F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24F7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223E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4AFCE4E">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25C6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10EA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9CE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D702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F84A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D4B4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1CB5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4C5B66A">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3AD1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F0C5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4C89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BF0A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AD6E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071F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2BA0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78E5C82">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A5C8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94EC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1497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B3B6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0DC9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2A41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5A71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78EC970">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50E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C12C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8895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42D1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9927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3032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66BD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7536368">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B5D8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E024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B1F4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B698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6C8D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C450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CC1C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3E54458">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01BF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68E4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E1EF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95D7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121D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6AFC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4709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4DC054B">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87E6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D641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370D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00AE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8212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62FF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6084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B98FC26">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E65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4FCE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BF5D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99E7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F07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9E0B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7DAE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BBE0307">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DB374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9C21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03CC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6406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C00A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620E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36CC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E7AD6BC">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232F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84F4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0389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B560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CF11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8A4D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666E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29375F5">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227F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7927A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2532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4A15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5006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4E837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CBE5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8F685E7">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D8BE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E4DD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1646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62ED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E984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9A4B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0D45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62C3D78">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8E9E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6DA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C18D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D1B2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766B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414C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B9AE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791955">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40C1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3203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7765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B159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4D03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9EF4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B77F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91FF474">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4451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E99C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15AE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A4E9A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E051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EF70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AB3F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4BB459">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FB5A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B354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DEAA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25A59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4C8F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F810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D948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66744D">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357D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57DB0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91E1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90EA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BB44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3B3A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474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20EEA35">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FFC3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4AE2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99C8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B261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C608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7EE7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B4A5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0A8C4E">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EBA1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CC09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15AB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DCEC3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27EC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6D39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9C1D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2E9F37">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D281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F719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A972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3058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E2AD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0937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D28B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6677E51">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48CD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CA8B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4B6F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C9BA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B153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1DED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1763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4259B71">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7457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5FD1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B8D9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808B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49B4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66F1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7FFC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39488D5">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3608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A99A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C2A6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FF06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BD2B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B3AF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3629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549B3A3">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F40B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FEC7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3C08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7525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6F0C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8F63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DF31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35F7778">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05EE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0556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1,154.12</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079D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F5AA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7889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FD11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969C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FE7FF7">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4B3F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7406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11.56</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0BD3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20AC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1.25</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344B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1.25</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B2C2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B0FE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FA4B5AC">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F1C2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1AFC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11.56</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EFCB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972C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4772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E2FD1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CAC5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A171EB6">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3021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77FB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AE54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A16B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FC21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417F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A652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4ADCE6E">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BB0A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B339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CD35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0E12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EA64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0C3C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17F8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9C8FE99">
        <w:tblPrEx>
          <w:tblCellMar>
            <w:top w:w="0" w:type="dxa"/>
            <w:left w:w="108" w:type="dxa"/>
            <w:bottom w:w="0" w:type="dxa"/>
            <w:right w:w="108" w:type="dxa"/>
          </w:tblCellMar>
        </w:tblPrEx>
        <w:trPr>
          <w:cantSplit/>
        </w:trPr>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EE19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D45E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1,165.69</w:t>
            </w:r>
          </w:p>
        </w:tc>
        <w:tc>
          <w:tcPr>
            <w:tcW w:w="216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E70C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951E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1,165.69</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ECE5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1,165.69</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6AC2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216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B7FC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7AACE6">
        <w:tblPrEx>
          <w:tblCellMar>
            <w:top w:w="0" w:type="dxa"/>
            <w:left w:w="108" w:type="dxa"/>
            <w:bottom w:w="0" w:type="dxa"/>
            <w:right w:w="108" w:type="dxa"/>
          </w:tblCellMar>
        </w:tblPrEx>
        <w:trPr>
          <w:cantSplit/>
        </w:trPr>
        <w:tc>
          <w:tcPr>
            <w:tcW w:w="15159" w:type="dxa"/>
            <w:gridSpan w:val="7"/>
            <w:tcMar>
              <w:top w:w="15" w:type="dxa"/>
              <w:left w:w="108" w:type="dxa"/>
              <w:bottom w:w="15" w:type="dxa"/>
              <w:right w:w="108" w:type="dxa"/>
            </w:tcMar>
            <w:vAlign w:val="center"/>
          </w:tcPr>
          <w:p w14:paraId="3C6E92C5">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注：1.本表反映部门本年度一般公共预算财政拨款、政府性基金预算财政拨款和国有资本经营预算财政拨款的总收支和结转结余情况。</w:t>
            </w:r>
          </w:p>
        </w:tc>
      </w:tr>
      <w:tr w14:paraId="736F55E4">
        <w:tblPrEx>
          <w:tblCellMar>
            <w:top w:w="0" w:type="dxa"/>
            <w:left w:w="108" w:type="dxa"/>
            <w:bottom w:w="0" w:type="dxa"/>
            <w:right w:w="108" w:type="dxa"/>
          </w:tblCellMar>
        </w:tblPrEx>
        <w:trPr>
          <w:cantSplit/>
        </w:trPr>
        <w:tc>
          <w:tcPr>
            <w:tcW w:w="15159" w:type="dxa"/>
            <w:gridSpan w:val="7"/>
            <w:tcMar>
              <w:top w:w="15" w:type="dxa"/>
              <w:left w:w="108" w:type="dxa"/>
              <w:bottom w:w="15" w:type="dxa"/>
              <w:right w:w="108" w:type="dxa"/>
            </w:tcMar>
            <w:vAlign w:val="center"/>
          </w:tcPr>
          <w:p w14:paraId="066AC5C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442212FF">
      <w:pPr>
        <w:sectPr>
          <w:footerReference r:id="rId10" w:type="default"/>
          <w:pgSz w:w="16383" w:h="11906" w:orient="landscape"/>
          <w:pgMar w:top="1134" w:right="720" w:bottom="1134" w:left="720" w:header="720" w:footer="720" w:gutter="0"/>
          <w:cols w:space="720" w:num="1"/>
        </w:sectPr>
      </w:pPr>
    </w:p>
    <w:p w14:paraId="31E27544">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59E781DF">
      <w:pPr>
        <w:pStyle w:val="31"/>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3389AB70">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0" w:name="_Toc256000063"/>
      <w:r>
        <w:rPr>
          <w:rFonts w:ascii="黑体" w:hAnsi="黑体" w:eastAsia="黑体" w:cs="黑体"/>
          <w:b w:val="0"/>
          <w:bCs w:val="0"/>
          <w:spacing w:val="0"/>
        </w:rPr>
        <w:t>五、一般公共预算财政拨款支出决算表</w:t>
      </w:r>
      <w:bookmarkEnd w:id="10"/>
    </w:p>
    <w:p w14:paraId="753EAA6E">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gk05</w:t>
      </w:r>
    </w:p>
    <w:tbl>
      <w:tblPr>
        <w:tblStyle w:val="21"/>
        <w:tblW w:w="15159" w:type="dxa"/>
        <w:tblInd w:w="20" w:type="dxa"/>
        <w:tblLayout w:type="fixed"/>
        <w:tblCellMar>
          <w:top w:w="0" w:type="dxa"/>
          <w:left w:w="108" w:type="dxa"/>
          <w:bottom w:w="0" w:type="dxa"/>
          <w:right w:w="108" w:type="dxa"/>
        </w:tblCellMar>
      </w:tblPr>
      <w:tblGrid>
        <w:gridCol w:w="1740"/>
        <w:gridCol w:w="3354"/>
        <w:gridCol w:w="3355"/>
        <w:gridCol w:w="3355"/>
        <w:gridCol w:w="3355"/>
      </w:tblGrid>
      <w:tr w14:paraId="655CA2E0">
        <w:tblPrEx>
          <w:tblCellMar>
            <w:top w:w="0" w:type="dxa"/>
            <w:left w:w="108" w:type="dxa"/>
            <w:bottom w:w="0" w:type="dxa"/>
            <w:right w:w="108" w:type="dxa"/>
          </w:tblCellMar>
        </w:tblPrEx>
        <w:trPr>
          <w:cantSplit/>
          <w:tblHeader/>
        </w:trPr>
        <w:tc>
          <w:tcPr>
            <w:tcW w:w="15159" w:type="dxa"/>
            <w:gridSpan w:val="5"/>
            <w:tcMar>
              <w:top w:w="15" w:type="dxa"/>
              <w:left w:w="108" w:type="dxa"/>
              <w:bottom w:w="15" w:type="dxa"/>
              <w:right w:w="108" w:type="dxa"/>
            </w:tcMar>
            <w:vAlign w:val="center"/>
          </w:tcPr>
          <w:p w14:paraId="729F4F6B">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644CD439">
        <w:tblPrEx>
          <w:tblCellMar>
            <w:top w:w="0" w:type="dxa"/>
            <w:left w:w="108" w:type="dxa"/>
            <w:bottom w:w="0" w:type="dxa"/>
            <w:right w:w="108" w:type="dxa"/>
          </w:tblCellMar>
        </w:tblPrEx>
        <w:trPr>
          <w:cantSplit/>
          <w:tblHeader/>
        </w:trPr>
        <w:tc>
          <w:tcPr>
            <w:tcW w:w="5094" w:type="dxa"/>
            <w:gridSpan w:val="2"/>
            <w:tcMar>
              <w:top w:w="15" w:type="dxa"/>
              <w:left w:w="108" w:type="dxa"/>
              <w:bottom w:w="15" w:type="dxa"/>
              <w:right w:w="108" w:type="dxa"/>
            </w:tcMar>
            <w:vAlign w:val="bottom"/>
          </w:tcPr>
          <w:p w14:paraId="0F631346">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55" w:type="dxa"/>
            <w:tcMar>
              <w:top w:w="15" w:type="dxa"/>
              <w:left w:w="108" w:type="dxa"/>
              <w:bottom w:w="15" w:type="dxa"/>
              <w:right w:w="108" w:type="dxa"/>
            </w:tcMar>
            <w:vAlign w:val="bottom"/>
          </w:tcPr>
          <w:p w14:paraId="4B5EB9C3">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6710" w:type="dxa"/>
            <w:gridSpan w:val="2"/>
            <w:tcMar>
              <w:top w:w="15" w:type="dxa"/>
              <w:left w:w="108" w:type="dxa"/>
              <w:bottom w:w="15" w:type="dxa"/>
              <w:right w:w="108" w:type="dxa"/>
            </w:tcMar>
            <w:vAlign w:val="center"/>
          </w:tcPr>
          <w:p w14:paraId="16F2A464">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420B1C01">
        <w:tblPrEx>
          <w:tblCellMar>
            <w:top w:w="0" w:type="dxa"/>
            <w:left w:w="108" w:type="dxa"/>
            <w:bottom w:w="0" w:type="dxa"/>
            <w:right w:w="108" w:type="dxa"/>
          </w:tblCellMar>
        </w:tblPrEx>
        <w:trPr>
          <w:cantSplit/>
          <w:tblHeader/>
        </w:trPr>
        <w:tc>
          <w:tcPr>
            <w:tcW w:w="8449" w:type="dxa"/>
            <w:gridSpan w:val="3"/>
            <w:tcMar>
              <w:top w:w="15" w:type="dxa"/>
              <w:left w:w="108" w:type="dxa"/>
              <w:bottom w:w="15" w:type="dxa"/>
              <w:right w:w="108" w:type="dxa"/>
            </w:tcMar>
            <w:vAlign w:val="center"/>
          </w:tcPr>
          <w:p w14:paraId="122740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6710" w:type="dxa"/>
            <w:gridSpan w:val="2"/>
            <w:tcMar>
              <w:top w:w="15" w:type="dxa"/>
              <w:left w:w="108" w:type="dxa"/>
              <w:bottom w:w="15" w:type="dxa"/>
              <w:right w:w="108" w:type="dxa"/>
            </w:tcMar>
            <w:vAlign w:val="center"/>
          </w:tcPr>
          <w:p w14:paraId="4B9E634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439AEFF2">
        <w:tblPrEx>
          <w:tblCellMar>
            <w:top w:w="0" w:type="dxa"/>
            <w:left w:w="108" w:type="dxa"/>
            <w:bottom w:w="0" w:type="dxa"/>
            <w:right w:w="108" w:type="dxa"/>
          </w:tblCellMar>
        </w:tblPrEx>
        <w:trPr>
          <w:cantSplit/>
          <w:tblHeader/>
        </w:trPr>
        <w:tc>
          <w:tcPr>
            <w:tcW w:w="5094"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DEE0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0065"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3ACB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37C304A6">
        <w:tblPrEx>
          <w:tblCellMar>
            <w:top w:w="0" w:type="dxa"/>
            <w:left w:w="108" w:type="dxa"/>
            <w:bottom w:w="0" w:type="dxa"/>
            <w:right w:w="108" w:type="dxa"/>
          </w:tblCellMar>
        </w:tblPrEx>
        <w:trPr>
          <w:cantSplit/>
          <w:tblHeader/>
        </w:trPr>
        <w:tc>
          <w:tcPr>
            <w:tcW w:w="1740"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B804F9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335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D6C23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FE96E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68F56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335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FBB85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4381DB3D">
        <w:tblPrEx>
          <w:tblCellMar>
            <w:top w:w="0" w:type="dxa"/>
            <w:left w:w="108" w:type="dxa"/>
            <w:bottom w:w="0" w:type="dxa"/>
            <w:right w:w="108" w:type="dxa"/>
          </w:tblCellMar>
        </w:tblPrEx>
        <w:trPr>
          <w:cantSplit/>
          <w:tblHeader/>
        </w:trPr>
        <w:tc>
          <w:tcPr>
            <w:tcW w:w="17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AC89BE2">
            <w:pPr>
              <w:rPr>
                <w:rFonts w:ascii="Times New Roman" w:hAnsi="Times New Roman" w:eastAsia="Times New Roman" w:cs="Times New Roman"/>
                <w:b w:val="0"/>
                <w:bCs w:val="0"/>
                <w:i w:val="0"/>
                <w:iCs w:val="0"/>
                <w:smallCaps w:val="0"/>
                <w:color w:val="000000"/>
                <w:kern w:val="0"/>
                <w:sz w:val="26"/>
                <w:szCs w:val="26"/>
              </w:rPr>
            </w:pPr>
          </w:p>
        </w:tc>
        <w:tc>
          <w:tcPr>
            <w:tcW w:w="335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C64998A">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9FDEE43">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A530589">
            <w:pPr>
              <w:rPr>
                <w:rFonts w:ascii="Times New Roman" w:hAnsi="Times New Roman" w:eastAsia="Times New Roman" w:cs="Times New Roman"/>
                <w:b w:val="0"/>
                <w:bCs w:val="0"/>
                <w:i w:val="0"/>
                <w:iCs w:val="0"/>
                <w:smallCaps w:val="0"/>
                <w:color w:val="000000"/>
                <w:kern w:val="0"/>
                <w:sz w:val="26"/>
                <w:szCs w:val="26"/>
              </w:rPr>
            </w:pPr>
          </w:p>
        </w:tc>
        <w:tc>
          <w:tcPr>
            <w:tcW w:w="335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3910EA8">
            <w:pPr>
              <w:rPr>
                <w:rFonts w:ascii="Times New Roman" w:hAnsi="Times New Roman" w:eastAsia="Times New Roman" w:cs="Times New Roman"/>
                <w:b w:val="0"/>
                <w:bCs w:val="0"/>
                <w:i w:val="0"/>
                <w:iCs w:val="0"/>
                <w:smallCaps w:val="0"/>
                <w:color w:val="000000"/>
                <w:kern w:val="0"/>
                <w:sz w:val="26"/>
                <w:szCs w:val="26"/>
              </w:rPr>
            </w:pPr>
          </w:p>
        </w:tc>
      </w:tr>
      <w:tr w14:paraId="0A457B4D">
        <w:tblPrEx>
          <w:tblCellMar>
            <w:top w:w="0" w:type="dxa"/>
            <w:left w:w="108" w:type="dxa"/>
            <w:bottom w:w="0" w:type="dxa"/>
            <w:right w:w="108" w:type="dxa"/>
          </w:tblCellMar>
        </w:tblPrEx>
        <w:trPr>
          <w:cantSplit/>
          <w:tblHeader/>
        </w:trPr>
        <w:tc>
          <w:tcPr>
            <w:tcW w:w="5094"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0655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6989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798B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1,164.44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7A31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BD0C71">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C2B1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F03C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一般公共服务支出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52A3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4CCE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746.34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4CA2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FDAC630">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FEF9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7C6C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政府办公厅（室）及相关机构事务</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5B95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688.84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EC86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688.84</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BBD8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CBAFB04">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A531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2010301</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9585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B5AC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641.66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FDDA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641.66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C98A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765877B">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E9EE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2010399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3B11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其他政府办公厅（室）及相关机构事务支出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C1A5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D7BB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47.18</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30B1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7FBA5B9">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41AE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5EE9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C5D83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34A6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C877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AB272A6">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402A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7C21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其他一般公共服务支出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7D01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872D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57.50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E8F9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E6CFCAB">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91D1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E486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1C2E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8D98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6062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B31BE2F">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60B0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12590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CDF6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8F61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4D36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87EE1C5">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BA62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E98E0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其他社会保障和就业支出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8D91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DB0F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3.60</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AF31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BDE2A4F">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FD1C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9C62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城乡社区支出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1350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6A44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1D80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62A522D">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D7A0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2C02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225D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66FC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1ACE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B4FD58F">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DB6A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2129999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F5AC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其他城乡社区支出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E08C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19FF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400.86</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FADD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BE61272">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E16B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F760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农林水支出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00F5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B381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7DB6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59E5EC1">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7102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CDBA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4A2C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38B5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0708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39AE33F">
        <w:tblPrEx>
          <w:tblCellMar>
            <w:top w:w="0" w:type="dxa"/>
            <w:left w:w="108" w:type="dxa"/>
            <w:bottom w:w="0" w:type="dxa"/>
            <w:right w:w="108" w:type="dxa"/>
          </w:tblCellMar>
        </w:tblPrEx>
        <w:trPr>
          <w:cantSplit/>
        </w:trPr>
        <w:tc>
          <w:tcPr>
            <w:tcW w:w="1740"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3DAA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2139999</w:t>
            </w:r>
          </w:p>
        </w:tc>
        <w:tc>
          <w:tcPr>
            <w:tcW w:w="335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244A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其他农林水支出</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78A5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511C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13.63</w:t>
            </w:r>
          </w:p>
        </w:tc>
        <w:tc>
          <w:tcPr>
            <w:tcW w:w="335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36E5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C103F0D">
        <w:tblPrEx>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14:paraId="12B0818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注：1.本表反映部门本年度一般公共预算财政拨款支出情况。</w:t>
            </w:r>
          </w:p>
        </w:tc>
      </w:tr>
      <w:tr w14:paraId="73188439">
        <w:tblPrEx>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14:paraId="7052974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1C5A7D9B">
      <w:pPr>
        <w:sectPr>
          <w:footerReference r:id="rId11" w:type="default"/>
          <w:pgSz w:w="16383" w:h="11906" w:orient="landscape"/>
          <w:pgMar w:top="1134" w:right="720" w:bottom="1134" w:left="720" w:header="720" w:footer="720" w:gutter="0"/>
          <w:cols w:space="720" w:num="1"/>
        </w:sectPr>
      </w:pPr>
    </w:p>
    <w:p w14:paraId="2922C67F">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6A8E3F94">
      <w:pPr>
        <w:pStyle w:val="31"/>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4B79CF3A">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1" w:name="_Toc256000064"/>
      <w:r>
        <w:rPr>
          <w:rFonts w:ascii="黑体" w:hAnsi="黑体" w:eastAsia="黑体" w:cs="黑体"/>
          <w:b w:val="0"/>
          <w:bCs w:val="0"/>
          <w:spacing w:val="0"/>
        </w:rPr>
        <w:t>六、一般公共预算财政拨款基本支出决算表</w:t>
      </w:r>
      <w:bookmarkEnd w:id="11"/>
    </w:p>
    <w:p w14:paraId="5DCAB10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1"/>
        <w:tblW w:w="15159" w:type="dxa"/>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111F327F">
        <w:tblPrEx>
          <w:tblCellMar>
            <w:top w:w="0" w:type="dxa"/>
            <w:left w:w="108" w:type="dxa"/>
            <w:bottom w:w="0" w:type="dxa"/>
            <w:right w:w="108" w:type="dxa"/>
          </w:tblCellMar>
        </w:tblPrEx>
        <w:trPr>
          <w:cantSplit/>
          <w:tblHeader/>
        </w:trPr>
        <w:tc>
          <w:tcPr>
            <w:tcW w:w="15159" w:type="dxa"/>
            <w:gridSpan w:val="9"/>
            <w:tcMar>
              <w:top w:w="15" w:type="dxa"/>
              <w:left w:w="108" w:type="dxa"/>
              <w:bottom w:w="15" w:type="dxa"/>
              <w:right w:w="108" w:type="dxa"/>
            </w:tcMar>
            <w:vAlign w:val="center"/>
          </w:tcPr>
          <w:p w14:paraId="4A466EF5">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1E27E8B2">
        <w:tblPrEx>
          <w:tblCellMar>
            <w:top w:w="0" w:type="dxa"/>
            <w:left w:w="108" w:type="dxa"/>
            <w:bottom w:w="0" w:type="dxa"/>
            <w:right w:w="108" w:type="dxa"/>
          </w:tblCellMar>
        </w:tblPrEx>
        <w:trPr>
          <w:cantSplit/>
          <w:tblHeader/>
        </w:trPr>
        <w:tc>
          <w:tcPr>
            <w:tcW w:w="6739" w:type="dxa"/>
            <w:gridSpan w:val="4"/>
            <w:tcMar>
              <w:top w:w="15" w:type="dxa"/>
              <w:left w:w="108" w:type="dxa"/>
              <w:bottom w:w="15" w:type="dxa"/>
              <w:right w:w="108" w:type="dxa"/>
            </w:tcMar>
            <w:vAlign w:val="bottom"/>
          </w:tcPr>
          <w:p w14:paraId="1C915640">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14:paraId="2BCDD85C">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14:paraId="132E57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684" w:type="dxa"/>
            <w:tcMar>
              <w:top w:w="15" w:type="dxa"/>
              <w:left w:w="108" w:type="dxa"/>
              <w:bottom w:w="15" w:type="dxa"/>
              <w:right w:w="108" w:type="dxa"/>
            </w:tcMar>
            <w:vAlign w:val="bottom"/>
          </w:tcPr>
          <w:p w14:paraId="0E162032">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68" w:type="dxa"/>
            <w:gridSpan w:val="2"/>
            <w:tcMar>
              <w:top w:w="15" w:type="dxa"/>
              <w:left w:w="108" w:type="dxa"/>
              <w:bottom w:w="15" w:type="dxa"/>
              <w:right w:w="108" w:type="dxa"/>
            </w:tcMar>
            <w:vAlign w:val="center"/>
          </w:tcPr>
          <w:p w14:paraId="526150F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6DAF486F">
        <w:tblPrEx>
          <w:tblCellMar>
            <w:top w:w="0" w:type="dxa"/>
            <w:left w:w="108" w:type="dxa"/>
            <w:bottom w:w="0" w:type="dxa"/>
            <w:right w:w="108" w:type="dxa"/>
          </w:tblCellMar>
        </w:tblPrEx>
        <w:trPr>
          <w:cantSplit/>
          <w:tblHeader/>
        </w:trPr>
        <w:tc>
          <w:tcPr>
            <w:tcW w:w="10107" w:type="dxa"/>
            <w:gridSpan w:val="6"/>
            <w:tcMar>
              <w:top w:w="15" w:type="dxa"/>
              <w:left w:w="108" w:type="dxa"/>
              <w:bottom w:w="15" w:type="dxa"/>
              <w:right w:w="108" w:type="dxa"/>
            </w:tcMar>
            <w:vAlign w:val="center"/>
          </w:tcPr>
          <w:p w14:paraId="7677FD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1684" w:type="dxa"/>
            <w:tcMar>
              <w:top w:w="15" w:type="dxa"/>
              <w:left w:w="108" w:type="dxa"/>
              <w:bottom w:w="15" w:type="dxa"/>
              <w:right w:w="108" w:type="dxa"/>
            </w:tcMar>
            <w:vAlign w:val="bottom"/>
          </w:tcPr>
          <w:p w14:paraId="0353E9F4">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368" w:type="dxa"/>
            <w:gridSpan w:val="2"/>
            <w:tcMar>
              <w:top w:w="15" w:type="dxa"/>
              <w:left w:w="108" w:type="dxa"/>
              <w:bottom w:w="15" w:type="dxa"/>
              <w:right w:w="108" w:type="dxa"/>
            </w:tcMar>
            <w:vAlign w:val="center"/>
          </w:tcPr>
          <w:p w14:paraId="7B88277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5D50E732">
        <w:tblPrEx>
          <w:tblCellMar>
            <w:top w:w="0" w:type="dxa"/>
            <w:left w:w="108" w:type="dxa"/>
            <w:bottom w:w="0" w:type="dxa"/>
            <w:right w:w="108" w:type="dxa"/>
          </w:tblCellMar>
        </w:tblPrEx>
        <w:trPr>
          <w:cantSplit/>
          <w:tblHeader/>
        </w:trPr>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928A0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2AB820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5"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5DF56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EE526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A5274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55E37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FC8DE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3B125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43660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0ED053E7">
        <w:tblPrEx>
          <w:tblCellMar>
            <w:top w:w="0" w:type="dxa"/>
            <w:left w:w="108" w:type="dxa"/>
            <w:bottom w:w="0" w:type="dxa"/>
            <w:right w:w="108" w:type="dxa"/>
          </w:tblCellMar>
        </w:tblPrEx>
        <w:trPr>
          <w:cantSplit/>
          <w:tblHeader/>
        </w:trPr>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CF64D2">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56D7E48">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A4706DF">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663DD32">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B367D35">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3B48C03">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47E9444">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60EE243">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A765644">
            <w:pPr>
              <w:rPr>
                <w:rFonts w:ascii="Times New Roman" w:hAnsi="Times New Roman" w:eastAsia="Times New Roman" w:cs="Times New Roman"/>
                <w:b w:val="0"/>
                <w:bCs w:val="0"/>
                <w:i w:val="0"/>
                <w:iCs w:val="0"/>
                <w:smallCaps w:val="0"/>
                <w:color w:val="000000"/>
                <w:kern w:val="0"/>
                <w:sz w:val="26"/>
                <w:szCs w:val="26"/>
              </w:rPr>
            </w:pPr>
          </w:p>
        </w:tc>
      </w:tr>
      <w:tr w14:paraId="3ACF8D7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3E2C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940D4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8437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571.14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1C2A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B090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FBBA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567.47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9C6F2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2D60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99D7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20.22</w:t>
            </w:r>
          </w:p>
        </w:tc>
      </w:tr>
      <w:tr w14:paraId="23E69B59">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BD94A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BDBC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FE8D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155.95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4027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EC50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E593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34CD5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8F8B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02C8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B999C8">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0D97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07B4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84E4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104.41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ACBE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EC81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8826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3.56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C129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41627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6EB3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0.66</w:t>
            </w:r>
          </w:p>
        </w:tc>
      </w:tr>
      <w:tr w14:paraId="0A7FFFC1">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DA49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D98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2329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150.29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E148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C3F9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30BC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7B299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C7E4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11A6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035E049">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123B2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A7AB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F42C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E535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7C01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57FD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E07A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F7CB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F8D5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3E823D8">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E894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8B3E27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397E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9EA1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319A8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EAED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AC3E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0105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3A5A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971373D">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BE9F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8074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C66DC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50.88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3DA6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E02B9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82E43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10.48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9D62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FCD3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FE4A3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AA01118">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74BA0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9E35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EDD3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25.44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2E5F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A7A8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4E47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1C226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02CA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2F06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F92FBA0">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7F0D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AD4F8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E639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19.74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64722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7AED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5AEE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1E5C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65E8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49D5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72D1462">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3FBB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09C04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171F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CC52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E231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722D0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17.42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249D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F321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50B4F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5D01120">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960B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1807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626C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0.85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707F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1FD5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4375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962EE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DF92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B478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D3374CB">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11F2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A4D7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19ED6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50.74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A1C2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5AF9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5B00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9.47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71CA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15844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1D2A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657CD8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E40F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4E61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97E7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B33D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DE53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D4A22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78AE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A3DA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4730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18.60</w:t>
            </w:r>
          </w:p>
        </w:tc>
      </w:tr>
      <w:tr w14:paraId="70469E4E">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1736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4D0A0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3D46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F4F0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B710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E043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9658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997E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AF7C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55C792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0A90E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E046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EDDD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5.60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9AC4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665E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9001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04B1A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91283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8A99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EC61A4A">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0C38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16F2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9DA3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78CDA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9D5C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9B54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F49F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037D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60688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188BE4C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9C23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9AAA7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8E61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2764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4DC09F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A9511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54AA8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A210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42FB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0.96</w:t>
            </w:r>
          </w:p>
        </w:tc>
      </w:tr>
      <w:tr w14:paraId="3CE88AC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FD51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FE6B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1630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38EC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35E6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9694D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E476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FA096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DFEB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F191A92">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6D58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78975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B68A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2539B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7908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C7BB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59041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5481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8B43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D7B185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AD3D3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CA615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2E16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A44A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37EF7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E6D2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10.77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AB9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31CB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F437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CE74E0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29C9D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65C8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521E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C4D4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BDF3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4EEB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C75D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D87F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312F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F8ADA8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AE76A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6331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EDD9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AD07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85E56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42E7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16.18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2BAA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F53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080C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8F4EF5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96EC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5BB3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D890B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2DC6B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536D3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59E92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315E8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4B53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8819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C3DCB5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D272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8BDA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9167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542BD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615C2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0DFE7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E68E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8F134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28B1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10AF50A">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F5710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AD20C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06160FB">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52835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A9EF0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04F9B2">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12.16</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3F8DDE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D07B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DA645D5">
            <w:pPr>
              <w:widowControl/>
              <w:jc w:val="center"/>
              <w:rPr>
                <w:rFonts w:ascii="Times New Roman" w:hAnsi="Times New Roman" w:eastAsia="Times New Roman" w:cs="Times New Roman"/>
                <w:b w:val="0"/>
                <w:bCs w:val="0"/>
                <w:i w:val="0"/>
                <w:iCs w:val="0"/>
                <w:smallCaps w:val="0"/>
                <w:color w:val="000000"/>
                <w:kern w:val="0"/>
                <w:sz w:val="29"/>
                <w:szCs w:val="29"/>
              </w:rPr>
            </w:pPr>
            <w:r>
              <w:rPr>
                <w:rFonts w:ascii="宋体" w:hAnsi="宋体" w:eastAsia="宋体" w:cs="宋体"/>
                <w:b w:val="0"/>
                <w:bCs w:val="0"/>
                <w:i w:val="0"/>
                <w:iCs w:val="0"/>
                <w:smallCaps w:val="0"/>
                <w:color w:val="000000"/>
                <w:kern w:val="0"/>
                <w:sz w:val="21"/>
                <w:szCs w:val="29"/>
              </w:rPr>
              <w:t> </w:t>
            </w:r>
          </w:p>
        </w:tc>
      </w:tr>
      <w:tr w14:paraId="1CD47D71">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60C2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6AB98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8158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1CB3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A53C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760C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C7B55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99FB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B1976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E55BEBE">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6E58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51FD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8302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5.60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1211B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AB697D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0AE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453.92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0873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525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37BD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A7855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A8AD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6C63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DCF1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3E5BB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016B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0124D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6E53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F6146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8C86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43FAE42D">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D2140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99C4B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A260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41AA9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48A11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156A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A804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6365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90A8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248734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160AA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E8C24A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9E48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E24C5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2A5BD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EBB67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8823B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39999</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27F5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D83C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508C94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19E60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061C7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2D3B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B9546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A0D5E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FE8D5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0D91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4FD28F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411A7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21C81430">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F9013AA">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5DC293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61E7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3D243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9F95C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BCC8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F25A69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5A37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63C18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7CADEE66">
        <w:tblPrEx>
          <w:tblCellMar>
            <w:top w:w="0" w:type="dxa"/>
            <w:left w:w="108" w:type="dxa"/>
            <w:bottom w:w="0" w:type="dxa"/>
            <w:right w:w="108" w:type="dxa"/>
          </w:tblCellMar>
        </w:tblPrEx>
        <w:trPr>
          <w:cantSplit/>
        </w:trPr>
        <w:tc>
          <w:tcPr>
            <w:tcW w:w="3370"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0D99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1685"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7593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576.74</w:t>
            </w:r>
          </w:p>
        </w:tc>
        <w:tc>
          <w:tcPr>
            <w:tcW w:w="8420" w:type="dxa"/>
            <w:gridSpan w:val="5"/>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D2057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1684"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BFBF7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587.70</w:t>
            </w:r>
          </w:p>
        </w:tc>
      </w:tr>
      <w:tr w14:paraId="02FA164F">
        <w:tblPrEx>
          <w:tblCellMar>
            <w:top w:w="0" w:type="dxa"/>
            <w:left w:w="108" w:type="dxa"/>
            <w:bottom w:w="0" w:type="dxa"/>
            <w:right w:w="108" w:type="dxa"/>
          </w:tblCellMar>
        </w:tblPrEx>
        <w:trPr>
          <w:cantSplit/>
        </w:trPr>
        <w:tc>
          <w:tcPr>
            <w:tcW w:w="15159" w:type="dxa"/>
            <w:gridSpan w:val="9"/>
            <w:tcMar>
              <w:top w:w="15" w:type="dxa"/>
              <w:left w:w="108" w:type="dxa"/>
              <w:bottom w:w="15" w:type="dxa"/>
              <w:right w:w="108" w:type="dxa"/>
            </w:tcMar>
            <w:vAlign w:val="center"/>
          </w:tcPr>
          <w:p w14:paraId="261596C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注：1.本表反映部门本年度一般公共预算财政拨款基本支出明细情况。</w:t>
            </w:r>
          </w:p>
        </w:tc>
      </w:tr>
      <w:tr w14:paraId="55F04771">
        <w:tblPrEx>
          <w:tblCellMar>
            <w:top w:w="0" w:type="dxa"/>
            <w:left w:w="108" w:type="dxa"/>
            <w:bottom w:w="0" w:type="dxa"/>
            <w:right w:w="108" w:type="dxa"/>
          </w:tblCellMar>
        </w:tblPrEx>
        <w:trPr>
          <w:cantSplit/>
        </w:trPr>
        <w:tc>
          <w:tcPr>
            <w:tcW w:w="15159" w:type="dxa"/>
            <w:gridSpan w:val="9"/>
            <w:tcMar>
              <w:top w:w="15" w:type="dxa"/>
              <w:left w:w="108" w:type="dxa"/>
              <w:bottom w:w="15" w:type="dxa"/>
              <w:right w:w="108" w:type="dxa"/>
            </w:tcMar>
            <w:vAlign w:val="center"/>
          </w:tcPr>
          <w:p w14:paraId="3A9DFBB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58DA74B6">
      <w:pPr>
        <w:sectPr>
          <w:footerReference r:id="rId12" w:type="default"/>
          <w:pgSz w:w="16383" w:h="11906" w:orient="landscape"/>
          <w:pgMar w:top="1134" w:right="720" w:bottom="1134" w:left="720" w:header="720" w:footer="720" w:gutter="0"/>
          <w:cols w:space="720" w:num="1"/>
        </w:sectPr>
      </w:pPr>
    </w:p>
    <w:p w14:paraId="6094687A">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2D28CE64">
      <w:pPr>
        <w:pStyle w:val="31"/>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spacing w:val="0"/>
          <w:kern w:val="0"/>
          <w:sz w:val="24"/>
        </w:rPr>
        <w:t> </w:t>
      </w:r>
    </w:p>
    <w:p w14:paraId="27D8DCAB">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2" w:name="_Toc256000065"/>
      <w:r>
        <w:rPr>
          <w:rFonts w:ascii="黑体" w:hAnsi="黑体" w:eastAsia="黑体" w:cs="黑体"/>
          <w:b w:val="0"/>
          <w:bCs w:val="0"/>
          <w:spacing w:val="0"/>
        </w:rPr>
        <w:t>七、一般公共预算财政拨款“三公”经费支出决算表</w:t>
      </w:r>
      <w:bookmarkEnd w:id="12"/>
    </w:p>
    <w:p w14:paraId="692A1E6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w:t>
      </w:r>
    </w:p>
    <w:tbl>
      <w:tblPr>
        <w:tblStyle w:val="21"/>
        <w:tblW w:w="15159" w:type="dxa"/>
        <w:tblInd w:w="20" w:type="dxa"/>
        <w:tblLayout w:type="fixed"/>
        <w:tblCellMar>
          <w:top w:w="0" w:type="dxa"/>
          <w:left w:w="108" w:type="dxa"/>
          <w:bottom w:w="0" w:type="dxa"/>
          <w:right w:w="108" w:type="dxa"/>
        </w:tblCellMar>
      </w:tblPr>
      <w:tblGrid>
        <w:gridCol w:w="5053"/>
        <w:gridCol w:w="5053"/>
        <w:gridCol w:w="5053"/>
      </w:tblGrid>
      <w:tr w14:paraId="604CFC41">
        <w:tblPrEx>
          <w:tblCellMar>
            <w:top w:w="0" w:type="dxa"/>
            <w:left w:w="108" w:type="dxa"/>
            <w:bottom w:w="0" w:type="dxa"/>
            <w:right w:w="108" w:type="dxa"/>
          </w:tblCellMar>
        </w:tblPrEx>
        <w:trPr>
          <w:cantSplit/>
          <w:tblHeader/>
        </w:trPr>
        <w:tc>
          <w:tcPr>
            <w:tcW w:w="15159" w:type="dxa"/>
            <w:gridSpan w:val="3"/>
            <w:tcMar>
              <w:top w:w="15" w:type="dxa"/>
              <w:left w:w="108" w:type="dxa"/>
              <w:bottom w:w="15" w:type="dxa"/>
              <w:right w:w="108" w:type="dxa"/>
            </w:tcMar>
            <w:vAlign w:val="center"/>
          </w:tcPr>
          <w:p w14:paraId="5648C05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7FA55E92">
        <w:tblPrEx>
          <w:tblCellMar>
            <w:top w:w="0" w:type="dxa"/>
            <w:left w:w="108" w:type="dxa"/>
            <w:bottom w:w="0" w:type="dxa"/>
            <w:right w:w="108" w:type="dxa"/>
          </w:tblCellMar>
        </w:tblPrEx>
        <w:trPr>
          <w:cantSplit/>
          <w:tblHeader/>
        </w:trPr>
        <w:tc>
          <w:tcPr>
            <w:tcW w:w="10106" w:type="dxa"/>
            <w:gridSpan w:val="2"/>
            <w:tcMar>
              <w:top w:w="15" w:type="dxa"/>
              <w:left w:w="108" w:type="dxa"/>
              <w:bottom w:w="15" w:type="dxa"/>
              <w:right w:w="108" w:type="dxa"/>
            </w:tcMar>
            <w:vAlign w:val="bottom"/>
          </w:tcPr>
          <w:p w14:paraId="5F4CC2B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5053" w:type="dxa"/>
            <w:tcMar>
              <w:top w:w="15" w:type="dxa"/>
              <w:left w:w="108" w:type="dxa"/>
              <w:bottom w:w="15" w:type="dxa"/>
              <w:right w:w="108" w:type="dxa"/>
            </w:tcMar>
            <w:vAlign w:val="center"/>
          </w:tcPr>
          <w:p w14:paraId="624557F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42449763">
        <w:tblPrEx>
          <w:tblCellMar>
            <w:top w:w="0" w:type="dxa"/>
            <w:left w:w="108" w:type="dxa"/>
            <w:bottom w:w="0" w:type="dxa"/>
            <w:right w:w="108" w:type="dxa"/>
          </w:tblCellMar>
        </w:tblPrEx>
        <w:trPr>
          <w:cantSplit/>
          <w:tblHeader/>
        </w:trPr>
        <w:tc>
          <w:tcPr>
            <w:tcW w:w="10106" w:type="dxa"/>
            <w:gridSpan w:val="2"/>
            <w:tcMar>
              <w:top w:w="15" w:type="dxa"/>
              <w:left w:w="108" w:type="dxa"/>
              <w:bottom w:w="15" w:type="dxa"/>
              <w:right w:w="108" w:type="dxa"/>
            </w:tcMar>
            <w:vAlign w:val="center"/>
          </w:tcPr>
          <w:p w14:paraId="1E9AC1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5053" w:type="dxa"/>
            <w:tcMar>
              <w:top w:w="15" w:type="dxa"/>
              <w:left w:w="108" w:type="dxa"/>
              <w:bottom w:w="15" w:type="dxa"/>
              <w:right w:w="108" w:type="dxa"/>
            </w:tcMar>
            <w:vAlign w:val="center"/>
          </w:tcPr>
          <w:p w14:paraId="609EAFB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5A3A6EA">
        <w:tblPrEx>
          <w:tblCellMar>
            <w:top w:w="0" w:type="dxa"/>
            <w:left w:w="108" w:type="dxa"/>
            <w:bottom w:w="0" w:type="dxa"/>
            <w:right w:w="108" w:type="dxa"/>
          </w:tblCellMar>
        </w:tblPrEx>
        <w:trPr>
          <w:cantSplit/>
          <w:tblHeader/>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5AD1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1394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B11F1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528A5843">
        <w:tblPrEx>
          <w:tblCellMar>
            <w:top w:w="0" w:type="dxa"/>
            <w:left w:w="108" w:type="dxa"/>
            <w:bottom w:w="0" w:type="dxa"/>
            <w:right w:w="108" w:type="dxa"/>
          </w:tblCellMar>
        </w:tblPrEx>
        <w:trPr>
          <w:cantSplit/>
          <w:tblHeader/>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370C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AC796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D28E0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39.45</w:t>
            </w:r>
          </w:p>
        </w:tc>
      </w:tr>
      <w:tr w14:paraId="2B074901">
        <w:tblPrEx>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B8AF1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因公出国（境）费用</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C7FD2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8E96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8CE624">
        <w:tblPrEx>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80B4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B881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61B65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18.60</w:t>
            </w:r>
          </w:p>
        </w:tc>
      </w:tr>
      <w:tr w14:paraId="47B714C9">
        <w:tblPrEx>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21DF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C4D77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7DE0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18.60</w:t>
            </w:r>
          </w:p>
        </w:tc>
      </w:tr>
      <w:tr w14:paraId="54209114">
        <w:tblPrEx>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BABC1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16355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1EC39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29FFE22">
        <w:tblPrEx>
          <w:tblCellMar>
            <w:top w:w="0" w:type="dxa"/>
            <w:left w:w="108" w:type="dxa"/>
            <w:bottom w:w="0" w:type="dxa"/>
            <w:right w:w="108" w:type="dxa"/>
          </w:tblCellMar>
        </w:tblPrEx>
        <w:trPr>
          <w:cantSplit/>
        </w:trPr>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4040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39784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5053"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3FDD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20.85</w:t>
            </w:r>
          </w:p>
        </w:tc>
      </w:tr>
      <w:tr w14:paraId="0F7687CE">
        <w:tblPrEx>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14:paraId="4EEA362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注：1.本表反映部门本年度“三公”经费支出决算情况，包括当年一般公共预算财政拨款和以前年度结转资金安排的实际支出。</w:t>
            </w:r>
          </w:p>
        </w:tc>
      </w:tr>
      <w:tr w14:paraId="1AEE6411">
        <w:tblPrEx>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14:paraId="7864016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4A3FDE75">
        <w:tblPrEx>
          <w:tblCellMar>
            <w:top w:w="0" w:type="dxa"/>
            <w:left w:w="108" w:type="dxa"/>
            <w:bottom w:w="0" w:type="dxa"/>
            <w:right w:w="108" w:type="dxa"/>
          </w:tblCellMar>
        </w:tblPrEx>
        <w:trPr>
          <w:cantSplit/>
        </w:trPr>
        <w:tc>
          <w:tcPr>
            <w:tcW w:w="15159" w:type="dxa"/>
            <w:gridSpan w:val="3"/>
            <w:tcMar>
              <w:top w:w="15" w:type="dxa"/>
              <w:left w:w="108" w:type="dxa"/>
              <w:bottom w:w="15" w:type="dxa"/>
              <w:right w:w="108" w:type="dxa"/>
            </w:tcMar>
            <w:vAlign w:val="center"/>
          </w:tcPr>
          <w:p w14:paraId="3877D010">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20CA81D1">
      <w:pPr>
        <w:sectPr>
          <w:footerReference r:id="rId13" w:type="default"/>
          <w:pgSz w:w="16383" w:h="11906" w:orient="landscape"/>
          <w:pgMar w:top="1134" w:right="720" w:bottom="1134" w:left="720" w:header="720" w:footer="720" w:gutter="0"/>
          <w:cols w:space="720" w:num="1"/>
        </w:sectPr>
      </w:pPr>
    </w:p>
    <w:p w14:paraId="0D30D5AF">
      <w:pPr>
        <w:rPr>
          <w:rFonts w:ascii="Times New Roman" w:hAnsi="Times New Roman" w:eastAsia="Times New Roman" w:cs="Times New Roman"/>
          <w:vanish/>
          <w:kern w:val="0"/>
          <w:sz w:val="24"/>
        </w:rPr>
      </w:pPr>
      <w:r>
        <w:rPr>
          <w:rFonts w:ascii="Times New Roman" w:hAnsi="Times New Roman" w:eastAsia="Times New Roman" w:cs="Times New Roman"/>
          <w:kern w:val="0"/>
          <w:sz w:val="24"/>
        </w:rPr>
        <w:t> </w:t>
      </w:r>
    </w:p>
    <w:p w14:paraId="61F736E1">
      <w:pPr>
        <w:pStyle w:val="30"/>
        <w:widowControl/>
        <w:spacing w:before="240" w:after="100"/>
        <w:ind w:left="100" w:right="100" w:firstLine="0"/>
        <w:jc w:val="left"/>
        <w:rPr>
          <w:rFonts w:ascii="Times New Roman" w:hAnsi="Times New Roman" w:eastAsia="Times New Roman" w:cs="Times New Roman"/>
          <w:kern w:val="0"/>
          <w:sz w:val="24"/>
        </w:rPr>
      </w:pPr>
      <w:r>
        <w:rPr>
          <w:rFonts w:ascii="宋体" w:hAnsi="宋体" w:eastAsia="宋体" w:cs="宋体"/>
          <w:kern w:val="0"/>
          <w:sz w:val="24"/>
        </w:rPr>
        <w:t> </w:t>
      </w:r>
    </w:p>
    <w:p w14:paraId="485B6BAD">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3" w:name="_Toc256000066"/>
      <w:r>
        <w:rPr>
          <w:rFonts w:ascii="黑体" w:hAnsi="黑体" w:eastAsia="黑体" w:cs="黑体"/>
          <w:b w:val="0"/>
          <w:bCs w:val="0"/>
          <w:spacing w:val="0"/>
        </w:rPr>
        <w:t>八、政府性基金预算财政拨款收入支出决算表</w:t>
      </w:r>
      <w:bookmarkEnd w:id="13"/>
    </w:p>
    <w:p w14:paraId="502197EA">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gk08</w:t>
      </w:r>
    </w:p>
    <w:tbl>
      <w:tblPr>
        <w:tblStyle w:val="21"/>
        <w:tblW w:w="15159" w:type="dxa"/>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62A6128F">
        <w:tblPrEx>
          <w:tblCellMar>
            <w:top w:w="0" w:type="dxa"/>
            <w:left w:w="108" w:type="dxa"/>
            <w:bottom w:w="0" w:type="dxa"/>
            <w:right w:w="108" w:type="dxa"/>
          </w:tblCellMar>
        </w:tblPrEx>
        <w:trPr>
          <w:cantSplit/>
          <w:tblHeader/>
        </w:trPr>
        <w:tc>
          <w:tcPr>
            <w:tcW w:w="15159" w:type="dxa"/>
            <w:gridSpan w:val="10"/>
            <w:tcMar>
              <w:top w:w="15" w:type="dxa"/>
              <w:left w:w="108" w:type="dxa"/>
              <w:bottom w:w="15" w:type="dxa"/>
              <w:right w:w="108" w:type="dxa"/>
            </w:tcMar>
            <w:vAlign w:val="center"/>
          </w:tcPr>
          <w:p w14:paraId="4F48FEC3">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48842380">
        <w:tblPrEx>
          <w:tblCellMar>
            <w:top w:w="0" w:type="dxa"/>
            <w:left w:w="108" w:type="dxa"/>
            <w:bottom w:w="0" w:type="dxa"/>
            <w:right w:w="108" w:type="dxa"/>
          </w:tblCellMar>
        </w:tblPrEx>
        <w:trPr>
          <w:cantSplit/>
          <w:tblHeader/>
        </w:trPr>
        <w:tc>
          <w:tcPr>
            <w:tcW w:w="1258" w:type="dxa"/>
            <w:gridSpan w:val="2"/>
            <w:tcMar>
              <w:top w:w="15" w:type="dxa"/>
              <w:left w:w="108" w:type="dxa"/>
              <w:bottom w:w="15" w:type="dxa"/>
              <w:right w:w="108" w:type="dxa"/>
            </w:tcMar>
            <w:vAlign w:val="bottom"/>
          </w:tcPr>
          <w:p w14:paraId="44EDE86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629" w:type="dxa"/>
            <w:tcMar>
              <w:top w:w="15" w:type="dxa"/>
              <w:left w:w="108" w:type="dxa"/>
              <w:bottom w:w="15" w:type="dxa"/>
              <w:right w:w="108" w:type="dxa"/>
            </w:tcMar>
            <w:vAlign w:val="bottom"/>
          </w:tcPr>
          <w:p w14:paraId="5894DD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5660870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45DCE868">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35D6074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589D1CFD">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3892ADC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60A8152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center"/>
          </w:tcPr>
          <w:p w14:paraId="65023FA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5AA8E217">
        <w:tblPrEx>
          <w:tblCellMar>
            <w:top w:w="0" w:type="dxa"/>
            <w:left w:w="108" w:type="dxa"/>
            <w:bottom w:w="0" w:type="dxa"/>
            <w:right w:w="108" w:type="dxa"/>
          </w:tblCellMar>
        </w:tblPrEx>
        <w:trPr>
          <w:cantSplit/>
          <w:tblHeader/>
        </w:trPr>
        <w:tc>
          <w:tcPr>
            <w:tcW w:w="9471" w:type="dxa"/>
            <w:gridSpan w:val="7"/>
            <w:tcMar>
              <w:top w:w="15" w:type="dxa"/>
              <w:left w:w="108" w:type="dxa"/>
              <w:bottom w:w="15" w:type="dxa"/>
              <w:right w:w="108" w:type="dxa"/>
            </w:tcMar>
            <w:vAlign w:val="center"/>
          </w:tcPr>
          <w:p w14:paraId="46B205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1896" w:type="dxa"/>
            <w:tcMar>
              <w:top w:w="15" w:type="dxa"/>
              <w:left w:w="108" w:type="dxa"/>
              <w:bottom w:w="15" w:type="dxa"/>
              <w:right w:w="108" w:type="dxa"/>
            </w:tcMar>
            <w:vAlign w:val="bottom"/>
          </w:tcPr>
          <w:p w14:paraId="7100D59A">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bottom"/>
          </w:tcPr>
          <w:p w14:paraId="30E71E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1896" w:type="dxa"/>
            <w:tcMar>
              <w:top w:w="15" w:type="dxa"/>
              <w:left w:w="108" w:type="dxa"/>
              <w:bottom w:w="15" w:type="dxa"/>
              <w:right w:w="108" w:type="dxa"/>
            </w:tcMar>
            <w:vAlign w:val="center"/>
          </w:tcPr>
          <w:p w14:paraId="4ABBE2B7">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F13B961">
        <w:tblPrEx>
          <w:tblCellMar>
            <w:top w:w="0" w:type="dxa"/>
            <w:left w:w="108" w:type="dxa"/>
            <w:bottom w:w="0" w:type="dxa"/>
            <w:right w:w="108" w:type="dxa"/>
          </w:tblCellMar>
        </w:tblPrEx>
        <w:trPr>
          <w:cantSplit/>
          <w:tblHeader/>
        </w:trPr>
        <w:tc>
          <w:tcPr>
            <w:tcW w:w="3783" w:type="dxa"/>
            <w:gridSpan w:val="4"/>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174E5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6606A8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3A44A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5688"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F7CFB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1635F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2FA4BF6C">
        <w:tblPrEx>
          <w:tblCellMar>
            <w:top w:w="0" w:type="dxa"/>
            <w:left w:w="108" w:type="dxa"/>
            <w:bottom w:w="0" w:type="dxa"/>
            <w:right w:w="108" w:type="dxa"/>
          </w:tblCellMar>
        </w:tblPrEx>
        <w:trPr>
          <w:cantSplit/>
          <w:tblHeader/>
        </w:trPr>
        <w:tc>
          <w:tcPr>
            <w:tcW w:w="1887" w:type="dxa"/>
            <w:gridSpan w:val="3"/>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23EBC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5F044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896" w:type="dxa"/>
            <w:vMerge w:val="continue"/>
            <w:tcBorders>
              <w:left w:val="single" w:color="000000" w:sz="6" w:space="0"/>
              <w:right w:val="single" w:color="000000" w:sz="6" w:space="0"/>
            </w:tcBorders>
            <w:tcMar>
              <w:left w:w="108" w:type="dxa"/>
              <w:right w:w="108" w:type="dxa"/>
            </w:tcMar>
            <w:vAlign w:val="center"/>
          </w:tcPr>
          <w:p w14:paraId="15BA71DE">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right w:val="single" w:color="000000" w:sz="6" w:space="0"/>
            </w:tcBorders>
            <w:tcMar>
              <w:left w:w="108" w:type="dxa"/>
              <w:right w:w="108" w:type="dxa"/>
            </w:tcMar>
            <w:vAlign w:val="center"/>
          </w:tcPr>
          <w:p w14:paraId="6D72753C">
            <w:pPr>
              <w:rPr>
                <w:rFonts w:ascii="Times New Roman" w:hAnsi="Times New Roman" w:eastAsia="Times New Roman" w:cs="Times New Roman"/>
                <w:b w:val="0"/>
                <w:bCs w:val="0"/>
                <w:i w:val="0"/>
                <w:iCs w:val="0"/>
                <w:smallCaps w:val="0"/>
                <w:color w:val="000000"/>
                <w:kern w:val="0"/>
                <w:sz w:val="26"/>
                <w:szCs w:val="26"/>
              </w:rPr>
            </w:pP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3A189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794BD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1896"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DF352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896" w:type="dxa"/>
            <w:vMerge w:val="continue"/>
            <w:tcBorders>
              <w:left w:val="single" w:color="000000" w:sz="6" w:space="0"/>
              <w:right w:val="single" w:color="000000" w:sz="6" w:space="0"/>
            </w:tcBorders>
            <w:tcMar>
              <w:left w:w="108" w:type="dxa"/>
              <w:right w:w="108" w:type="dxa"/>
            </w:tcMar>
            <w:vAlign w:val="center"/>
          </w:tcPr>
          <w:p w14:paraId="6C406514">
            <w:pPr>
              <w:rPr>
                <w:rFonts w:ascii="Times New Roman" w:hAnsi="Times New Roman" w:eastAsia="Times New Roman" w:cs="Times New Roman"/>
                <w:b w:val="0"/>
                <w:bCs w:val="0"/>
                <w:i w:val="0"/>
                <w:iCs w:val="0"/>
                <w:smallCaps w:val="0"/>
                <w:color w:val="000000"/>
                <w:kern w:val="0"/>
                <w:sz w:val="26"/>
                <w:szCs w:val="26"/>
              </w:rPr>
            </w:pPr>
          </w:p>
        </w:tc>
      </w:tr>
      <w:tr w14:paraId="6248C618">
        <w:tblPrEx>
          <w:tblCellMar>
            <w:top w:w="0" w:type="dxa"/>
            <w:left w:w="108" w:type="dxa"/>
            <w:bottom w:w="0" w:type="dxa"/>
            <w:right w:w="108" w:type="dxa"/>
          </w:tblCellMar>
        </w:tblPrEx>
        <w:trPr>
          <w:cantSplit/>
          <w:tblHeader/>
        </w:trPr>
        <w:tc>
          <w:tcPr>
            <w:tcW w:w="1887"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388E1DA2">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3496AC">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E5DD325">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6DA6210">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49B809D">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83F33D8">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6FC96E7">
            <w:pPr>
              <w:rPr>
                <w:rFonts w:ascii="Times New Roman" w:hAnsi="Times New Roman" w:eastAsia="Times New Roman" w:cs="Times New Roman"/>
                <w:b w:val="0"/>
                <w:bCs w:val="0"/>
                <w:i w:val="0"/>
                <w:iCs w:val="0"/>
                <w:smallCaps w:val="0"/>
                <w:color w:val="000000"/>
                <w:kern w:val="0"/>
                <w:sz w:val="26"/>
                <w:szCs w:val="26"/>
              </w:rPr>
            </w:pPr>
          </w:p>
        </w:tc>
        <w:tc>
          <w:tcPr>
            <w:tcW w:w="189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8F0625E">
            <w:pPr>
              <w:rPr>
                <w:rFonts w:ascii="Times New Roman" w:hAnsi="Times New Roman" w:eastAsia="Times New Roman" w:cs="Times New Roman"/>
                <w:b w:val="0"/>
                <w:bCs w:val="0"/>
                <w:i w:val="0"/>
                <w:iCs w:val="0"/>
                <w:smallCaps w:val="0"/>
                <w:color w:val="000000"/>
                <w:kern w:val="0"/>
                <w:sz w:val="26"/>
                <w:szCs w:val="26"/>
              </w:rPr>
            </w:pPr>
          </w:p>
        </w:tc>
      </w:tr>
      <w:tr w14:paraId="053221BB">
        <w:tblPrEx>
          <w:tblCellMar>
            <w:top w:w="0" w:type="dxa"/>
            <w:left w:w="108" w:type="dxa"/>
            <w:bottom w:w="0" w:type="dxa"/>
            <w:right w:w="108" w:type="dxa"/>
          </w:tblCellMar>
        </w:tblPrEx>
        <w:trPr>
          <w:cantSplit/>
          <w:tblHeader/>
        </w:trPr>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72A136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33A7EA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629"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61EFB4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7B104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70514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AFFC9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78598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CD69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26133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8FD9E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328F0AA1">
        <w:tblPrEx>
          <w:tblCellMar>
            <w:top w:w="0" w:type="dxa"/>
            <w:left w:w="108" w:type="dxa"/>
            <w:bottom w:w="0" w:type="dxa"/>
            <w:right w:w="108" w:type="dxa"/>
          </w:tblCellMar>
        </w:tblPrEx>
        <w:trPr>
          <w:cantSplit/>
        </w:trPr>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55EFD8C">
            <w:pPr>
              <w:rPr>
                <w:rFonts w:ascii="Times New Roman" w:hAnsi="Times New Roman" w:eastAsia="Times New Roman" w:cs="Times New Roman"/>
                <w:b w:val="0"/>
                <w:bCs w:val="0"/>
                <w:i w:val="0"/>
                <w:iCs w:val="0"/>
                <w:smallCaps w:val="0"/>
                <w:color w:val="000000"/>
                <w:kern w:val="0"/>
                <w:sz w:val="26"/>
                <w:szCs w:val="26"/>
              </w:rPr>
            </w:pPr>
          </w:p>
        </w:tc>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8020787">
            <w:pPr>
              <w:rPr>
                <w:rFonts w:ascii="Times New Roman" w:hAnsi="Times New Roman" w:eastAsia="Times New Roman" w:cs="Times New Roman"/>
                <w:b w:val="0"/>
                <w:bCs w:val="0"/>
                <w:i w:val="0"/>
                <w:iCs w:val="0"/>
                <w:smallCaps w:val="0"/>
                <w:color w:val="000000"/>
                <w:kern w:val="0"/>
                <w:sz w:val="26"/>
                <w:szCs w:val="26"/>
              </w:rPr>
            </w:pPr>
          </w:p>
        </w:tc>
        <w:tc>
          <w:tcPr>
            <w:tcW w:w="62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5D13B96">
            <w:pPr>
              <w:rPr>
                <w:rFonts w:ascii="Times New Roman" w:hAnsi="Times New Roman" w:eastAsia="Times New Roman" w:cs="Times New Roman"/>
                <w:b w:val="0"/>
                <w:bCs w:val="0"/>
                <w:i w:val="0"/>
                <w:iCs w:val="0"/>
                <w:smallCaps w:val="0"/>
                <w:color w:val="000000"/>
                <w:kern w:val="0"/>
                <w:sz w:val="26"/>
                <w:szCs w:val="26"/>
              </w:rPr>
            </w:pP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89000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530BBC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531FB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EA49E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2B343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A064F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E469B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691CC63C">
        <w:tblPrEx>
          <w:tblCellMar>
            <w:top w:w="0" w:type="dxa"/>
            <w:left w:w="108" w:type="dxa"/>
            <w:bottom w:w="0" w:type="dxa"/>
            <w:right w:w="108" w:type="dxa"/>
          </w:tblCellMar>
        </w:tblPrEx>
        <w:trPr>
          <w:cantSplit/>
        </w:trPr>
        <w:tc>
          <w:tcPr>
            <w:tcW w:w="1887"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6212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67694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63BA1C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93CA6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B942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5F4A5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548EF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1896"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BD9D0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50F436BB">
        <w:tblPrEx>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14:paraId="14A17E2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02FFB94B">
        <w:tblPrEx>
          <w:tblCellMar>
            <w:top w:w="0" w:type="dxa"/>
            <w:left w:w="108" w:type="dxa"/>
            <w:bottom w:w="0" w:type="dxa"/>
            <w:right w:w="108" w:type="dxa"/>
          </w:tblCellMar>
        </w:tblPrEx>
        <w:trPr>
          <w:cantSplit/>
        </w:trPr>
        <w:tc>
          <w:tcPr>
            <w:tcW w:w="15159" w:type="dxa"/>
            <w:gridSpan w:val="10"/>
            <w:tcMar>
              <w:top w:w="15" w:type="dxa"/>
              <w:left w:w="108" w:type="dxa"/>
              <w:bottom w:w="15" w:type="dxa"/>
              <w:right w:w="108" w:type="dxa"/>
            </w:tcMar>
            <w:vAlign w:val="center"/>
          </w:tcPr>
          <w:p w14:paraId="2AD4958A">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注：本部门2025年度没有使用政府性基金预算财政拨款安排的收支。</w:t>
            </w:r>
          </w:p>
        </w:tc>
      </w:tr>
    </w:tbl>
    <w:p w14:paraId="23E6A9BA">
      <w:pPr>
        <w:sectPr>
          <w:footerReference r:id="rId14" w:type="default"/>
          <w:pgSz w:w="16383" w:h="11906" w:orient="landscape"/>
          <w:pgMar w:top="1134" w:right="720" w:bottom="1134" w:left="720" w:header="720" w:footer="720" w:gutter="0"/>
          <w:cols w:space="720" w:num="1"/>
        </w:sectPr>
      </w:pPr>
    </w:p>
    <w:p w14:paraId="3F9C0D3C">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r>
        <w:rPr>
          <w:rFonts w:ascii="宋体" w:hAnsi="宋体" w:eastAsia="宋体" w:cs="宋体"/>
          <w:spacing w:val="0"/>
          <w:kern w:val="0"/>
          <w:sz w:val="24"/>
        </w:rPr>
        <w:t> </w:t>
      </w:r>
      <w:r>
        <w:rPr>
          <w:rFonts w:ascii="宋体" w:hAnsi="宋体" w:eastAsia="宋体" w:cs="宋体"/>
          <w:kern w:val="0"/>
          <w:sz w:val="24"/>
        </w:rPr>
        <w:t>  </w:t>
      </w:r>
    </w:p>
    <w:p w14:paraId="57BD3516">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4" w:name="_Toc256000067"/>
      <w:r>
        <w:rPr>
          <w:rFonts w:ascii="黑体" w:hAnsi="黑体" w:eastAsia="黑体" w:cs="黑体"/>
          <w:b w:val="0"/>
          <w:bCs w:val="0"/>
          <w:spacing w:val="0"/>
        </w:rPr>
        <w:t>九、国有资本经营预算财政拨款支出决算表</w:t>
      </w:r>
      <w:bookmarkEnd w:id="14"/>
    </w:p>
    <w:p w14:paraId="23C5655F">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horizontal layout gk09</w:t>
      </w:r>
    </w:p>
    <w:tbl>
      <w:tblPr>
        <w:tblStyle w:val="21"/>
        <w:tblW w:w="15159" w:type="dxa"/>
        <w:tblInd w:w="20" w:type="dxa"/>
        <w:tblLayout w:type="fixed"/>
        <w:tblCellMar>
          <w:top w:w="0" w:type="dxa"/>
          <w:left w:w="108" w:type="dxa"/>
          <w:bottom w:w="0" w:type="dxa"/>
          <w:right w:w="108" w:type="dxa"/>
        </w:tblCellMar>
      </w:tblPr>
      <w:tblGrid>
        <w:gridCol w:w="3031"/>
        <w:gridCol w:w="3032"/>
        <w:gridCol w:w="3032"/>
        <w:gridCol w:w="3032"/>
        <w:gridCol w:w="3032"/>
      </w:tblGrid>
      <w:tr w14:paraId="0724D2B7">
        <w:tblPrEx>
          <w:tblCellMar>
            <w:top w:w="0" w:type="dxa"/>
            <w:left w:w="108" w:type="dxa"/>
            <w:bottom w:w="0" w:type="dxa"/>
            <w:right w:w="108" w:type="dxa"/>
          </w:tblCellMar>
        </w:tblPrEx>
        <w:trPr>
          <w:cantSplit/>
          <w:tblHeader/>
        </w:trPr>
        <w:tc>
          <w:tcPr>
            <w:tcW w:w="15159" w:type="dxa"/>
            <w:gridSpan w:val="5"/>
            <w:tcMar>
              <w:top w:w="15" w:type="dxa"/>
              <w:left w:w="108" w:type="dxa"/>
              <w:bottom w:w="15" w:type="dxa"/>
              <w:right w:w="108" w:type="dxa"/>
            </w:tcMar>
            <w:vAlign w:val="center"/>
          </w:tcPr>
          <w:p w14:paraId="4A02281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55DF94F8">
        <w:tblPrEx>
          <w:tblCellMar>
            <w:top w:w="0" w:type="dxa"/>
            <w:left w:w="108" w:type="dxa"/>
            <w:bottom w:w="0" w:type="dxa"/>
            <w:right w:w="108" w:type="dxa"/>
          </w:tblCellMar>
        </w:tblPrEx>
        <w:trPr>
          <w:cantSplit/>
          <w:tblHeader/>
        </w:trPr>
        <w:tc>
          <w:tcPr>
            <w:tcW w:w="6063" w:type="dxa"/>
            <w:gridSpan w:val="2"/>
            <w:tcMar>
              <w:top w:w="15" w:type="dxa"/>
              <w:left w:w="108" w:type="dxa"/>
              <w:bottom w:w="15" w:type="dxa"/>
              <w:right w:w="108" w:type="dxa"/>
            </w:tcMar>
            <w:vAlign w:val="bottom"/>
          </w:tcPr>
          <w:p w14:paraId="2077B4AE">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bottom"/>
          </w:tcPr>
          <w:p w14:paraId="09B7C5EB">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bottom"/>
          </w:tcPr>
          <w:p w14:paraId="1648C709">
            <w:pPr>
              <w:widowControl/>
              <w:jc w:val="left"/>
              <w:rPr>
                <w:rFonts w:ascii="Times New Roman" w:hAnsi="Times New Roman" w:eastAsia="Times New Roman" w:cs="Times New Roman"/>
                <w:b w:val="0"/>
                <w:bCs w:val="0"/>
                <w:i w:val="0"/>
                <w:iCs w:val="0"/>
                <w:smallCaps w:val="0"/>
                <w:color w:val="000000"/>
                <w:kern w:val="0"/>
                <w:sz w:val="26"/>
                <w:szCs w:val="26"/>
              </w:rPr>
            </w:pPr>
            <w:r>
              <w:rPr>
                <w:rFonts w:ascii="Times New Roman" w:hAnsi="Times New Roman" w:eastAsia="Times New Roman" w:cs="Times New Roman"/>
                <w:b w:val="0"/>
                <w:bCs w:val="0"/>
                <w:i w:val="0"/>
                <w:iCs w:val="0"/>
                <w:smallCaps w:val="0"/>
                <w:color w:val="000000"/>
                <w:kern w:val="0"/>
                <w:sz w:val="26"/>
                <w:szCs w:val="26"/>
              </w:rPr>
              <w:t> </w:t>
            </w:r>
          </w:p>
        </w:tc>
        <w:tc>
          <w:tcPr>
            <w:tcW w:w="3032" w:type="dxa"/>
            <w:tcMar>
              <w:top w:w="15" w:type="dxa"/>
              <w:left w:w="108" w:type="dxa"/>
              <w:bottom w:w="15" w:type="dxa"/>
              <w:right w:w="108" w:type="dxa"/>
            </w:tcMar>
            <w:vAlign w:val="center"/>
          </w:tcPr>
          <w:p w14:paraId="52D44B3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016BCA17">
        <w:tblPrEx>
          <w:tblCellMar>
            <w:top w:w="0" w:type="dxa"/>
            <w:left w:w="108" w:type="dxa"/>
            <w:bottom w:w="0" w:type="dxa"/>
            <w:right w:w="108" w:type="dxa"/>
          </w:tblCellMar>
        </w:tblPrEx>
        <w:trPr>
          <w:cantSplit/>
          <w:tblHeader/>
        </w:trPr>
        <w:tc>
          <w:tcPr>
            <w:tcW w:w="12127" w:type="dxa"/>
            <w:gridSpan w:val="4"/>
            <w:tcMar>
              <w:top w:w="15" w:type="dxa"/>
              <w:left w:w="108" w:type="dxa"/>
              <w:bottom w:w="15" w:type="dxa"/>
              <w:right w:w="108" w:type="dxa"/>
            </w:tcMar>
            <w:vAlign w:val="center"/>
          </w:tcPr>
          <w:p w14:paraId="399E08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编制单位：明溪县人民政府办公室</w:t>
            </w:r>
          </w:p>
        </w:tc>
        <w:tc>
          <w:tcPr>
            <w:tcW w:w="3032" w:type="dxa"/>
            <w:tcMar>
              <w:top w:w="15" w:type="dxa"/>
              <w:left w:w="108" w:type="dxa"/>
              <w:bottom w:w="15" w:type="dxa"/>
              <w:right w:w="108" w:type="dxa"/>
            </w:tcMar>
            <w:vAlign w:val="center"/>
          </w:tcPr>
          <w:p w14:paraId="4918D71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9A4F737">
        <w:tblPrEx>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A202A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9096" w:type="dxa"/>
            <w:gridSpan w:val="3"/>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1BCADA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07E33B5C">
        <w:tblPrEx>
          <w:tblCellMar>
            <w:top w:w="0" w:type="dxa"/>
            <w:left w:w="108" w:type="dxa"/>
            <w:bottom w:w="0" w:type="dxa"/>
            <w:right w:w="108" w:type="dxa"/>
          </w:tblCellMar>
        </w:tblPrEx>
        <w:trPr>
          <w:cantSplit/>
          <w:tblHeader/>
        </w:trPr>
        <w:tc>
          <w:tcPr>
            <w:tcW w:w="3031"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44C4D0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0D3198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1B1AAF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564837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3032" w:type="dxa"/>
            <w:vMerge w:val="restart"/>
            <w:tcBorders>
              <w:top w:val="single" w:color="000000" w:sz="6" w:space="0"/>
              <w:left w:val="single" w:color="000000" w:sz="6" w:space="0"/>
              <w:bottom w:val="nil"/>
              <w:right w:val="single" w:color="000000" w:sz="6" w:space="0"/>
            </w:tcBorders>
            <w:tcMar>
              <w:top w:w="15" w:type="dxa"/>
              <w:left w:w="108" w:type="dxa"/>
              <w:bottom w:w="15" w:type="dxa"/>
              <w:right w:w="108" w:type="dxa"/>
            </w:tcMar>
            <w:vAlign w:val="center"/>
          </w:tcPr>
          <w:p w14:paraId="229170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6F7BA765">
        <w:tblPrEx>
          <w:tblCellMar>
            <w:top w:w="0" w:type="dxa"/>
            <w:left w:w="108" w:type="dxa"/>
            <w:bottom w:w="0" w:type="dxa"/>
            <w:right w:w="108" w:type="dxa"/>
          </w:tblCellMar>
        </w:tblPrEx>
        <w:trPr>
          <w:cantSplit/>
          <w:tblHeader/>
        </w:trPr>
        <w:tc>
          <w:tcPr>
            <w:tcW w:w="3031" w:type="dxa"/>
            <w:vMerge w:val="continue"/>
            <w:tcBorders>
              <w:left w:val="single" w:color="000000" w:sz="6" w:space="0"/>
              <w:right w:val="single" w:color="000000" w:sz="6" w:space="0"/>
            </w:tcBorders>
            <w:tcMar>
              <w:left w:w="108" w:type="dxa"/>
              <w:right w:w="108" w:type="dxa"/>
            </w:tcMar>
            <w:vAlign w:val="center"/>
          </w:tcPr>
          <w:p w14:paraId="7A2E7B24">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14:paraId="11364E95">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14:paraId="01B9557C">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14:paraId="708084FC">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right w:val="single" w:color="000000" w:sz="6" w:space="0"/>
            </w:tcBorders>
            <w:tcMar>
              <w:left w:w="108" w:type="dxa"/>
              <w:right w:w="108" w:type="dxa"/>
            </w:tcMar>
            <w:vAlign w:val="center"/>
          </w:tcPr>
          <w:p w14:paraId="4CEB2459">
            <w:pPr>
              <w:rPr>
                <w:rFonts w:ascii="Times New Roman" w:hAnsi="Times New Roman" w:eastAsia="Times New Roman" w:cs="Times New Roman"/>
                <w:b w:val="0"/>
                <w:bCs w:val="0"/>
                <w:i w:val="0"/>
                <w:iCs w:val="0"/>
                <w:smallCaps w:val="0"/>
                <w:color w:val="000000"/>
                <w:kern w:val="0"/>
                <w:sz w:val="26"/>
                <w:szCs w:val="26"/>
              </w:rPr>
            </w:pPr>
          </w:p>
        </w:tc>
      </w:tr>
      <w:tr w14:paraId="5EECBFB4">
        <w:tblPrEx>
          <w:tblCellMar>
            <w:top w:w="0" w:type="dxa"/>
            <w:left w:w="108" w:type="dxa"/>
            <w:bottom w:w="0" w:type="dxa"/>
            <w:right w:w="108" w:type="dxa"/>
          </w:tblCellMar>
        </w:tblPrEx>
        <w:trPr>
          <w:cantSplit/>
          <w:tblHeader/>
        </w:trPr>
        <w:tc>
          <w:tcPr>
            <w:tcW w:w="303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30FC6CD">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488DCB9">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8FCEFE5">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7ED31A8">
            <w:pPr>
              <w:rPr>
                <w:rFonts w:ascii="Times New Roman" w:hAnsi="Times New Roman" w:eastAsia="Times New Roman" w:cs="Times New Roman"/>
                <w:b w:val="0"/>
                <w:bCs w:val="0"/>
                <w:i w:val="0"/>
                <w:iCs w:val="0"/>
                <w:smallCaps w:val="0"/>
                <w:color w:val="000000"/>
                <w:kern w:val="0"/>
                <w:sz w:val="26"/>
                <w:szCs w:val="26"/>
              </w:rPr>
            </w:pPr>
          </w:p>
        </w:tc>
        <w:tc>
          <w:tcPr>
            <w:tcW w:w="303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CC08BF5">
            <w:pPr>
              <w:rPr>
                <w:rFonts w:ascii="Times New Roman" w:hAnsi="Times New Roman" w:eastAsia="Times New Roman" w:cs="Times New Roman"/>
                <w:b w:val="0"/>
                <w:bCs w:val="0"/>
                <w:i w:val="0"/>
                <w:iCs w:val="0"/>
                <w:smallCaps w:val="0"/>
                <w:color w:val="000000"/>
                <w:kern w:val="0"/>
                <w:sz w:val="26"/>
                <w:szCs w:val="26"/>
              </w:rPr>
            </w:pPr>
          </w:p>
        </w:tc>
      </w:tr>
      <w:tr w14:paraId="0A06E801">
        <w:tblPrEx>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5438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6C292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00257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067AC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232C961C">
        <w:tblPrEx>
          <w:tblCellMar>
            <w:top w:w="0" w:type="dxa"/>
            <w:left w:w="108" w:type="dxa"/>
            <w:bottom w:w="0" w:type="dxa"/>
            <w:right w:w="108" w:type="dxa"/>
          </w:tblCellMar>
        </w:tblPrEx>
        <w:trPr>
          <w:cantSplit/>
          <w:tblHeader/>
        </w:trPr>
        <w:tc>
          <w:tcPr>
            <w:tcW w:w="6063" w:type="dxa"/>
            <w:gridSpan w:val="2"/>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2F50E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7C163C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DDC8D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48137F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3BCCA95C">
        <w:tblPrEx>
          <w:tblCellMar>
            <w:top w:w="0" w:type="dxa"/>
            <w:left w:w="108" w:type="dxa"/>
            <w:bottom w:w="0" w:type="dxa"/>
            <w:right w:w="108" w:type="dxa"/>
          </w:tblCellMar>
        </w:tblPrEx>
        <w:trPr>
          <w:cantSplit/>
        </w:trPr>
        <w:tc>
          <w:tcPr>
            <w:tcW w:w="3031"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C6BF4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3EF5AB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2D7B52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5E9FED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c>
          <w:tcPr>
            <w:tcW w:w="3032" w:type="dxa"/>
            <w:tcBorders>
              <w:top w:val="single" w:color="000000" w:sz="6" w:space="0"/>
              <w:left w:val="single" w:color="000000" w:sz="6" w:space="0"/>
              <w:bottom w:val="single" w:color="000000" w:sz="6" w:space="0"/>
              <w:right w:val="single" w:color="000000" w:sz="6" w:space="0"/>
            </w:tcBorders>
            <w:tcMar>
              <w:top w:w="15" w:type="dxa"/>
              <w:left w:w="108" w:type="dxa"/>
              <w:bottom w:w="15" w:type="dxa"/>
              <w:right w:w="108" w:type="dxa"/>
            </w:tcMar>
            <w:vAlign w:val="center"/>
          </w:tcPr>
          <w:p w14:paraId="0C2877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w:t>
            </w:r>
          </w:p>
        </w:tc>
      </w:tr>
      <w:tr w14:paraId="02B60597">
        <w:tblPrEx>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14:paraId="6B924AD9">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r w14:paraId="60045F7E">
        <w:tblPrEx>
          <w:tblCellMar>
            <w:top w:w="0" w:type="dxa"/>
            <w:left w:w="108" w:type="dxa"/>
            <w:bottom w:w="0" w:type="dxa"/>
            <w:right w:w="108" w:type="dxa"/>
          </w:tblCellMar>
        </w:tblPrEx>
        <w:trPr>
          <w:cantSplit/>
        </w:trPr>
        <w:tc>
          <w:tcPr>
            <w:tcW w:w="15159" w:type="dxa"/>
            <w:gridSpan w:val="5"/>
            <w:tcMar>
              <w:top w:w="15" w:type="dxa"/>
              <w:left w:w="108" w:type="dxa"/>
              <w:bottom w:w="15" w:type="dxa"/>
              <w:right w:w="108" w:type="dxa"/>
            </w:tcMar>
            <w:vAlign w:val="center"/>
          </w:tcPr>
          <w:p w14:paraId="65CECB2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注：本部门2025年度没有使用国有资本经营预算财政拨款安排的支出。</w:t>
            </w:r>
          </w:p>
        </w:tc>
      </w:tr>
    </w:tbl>
    <w:p w14:paraId="1678AA24">
      <w:pPr>
        <w:sectPr>
          <w:footerReference r:id="rId15" w:type="default"/>
          <w:pgSz w:w="16383" w:h="11906" w:orient="landscape"/>
          <w:pgMar w:top="1134" w:right="720" w:bottom="1134" w:left="720" w:header="720" w:footer="720" w:gutter="0"/>
          <w:cols w:space="720" w:num="1"/>
        </w:sectPr>
      </w:pPr>
    </w:p>
    <w:p w14:paraId="24796606">
      <w:pPr>
        <w:widowControl/>
        <w:jc w:val="left"/>
        <w:rPr>
          <w:rFonts w:ascii="Times New Roman" w:hAnsi="Times New Roman" w:eastAsia="Times New Roman" w:cs="Times New Roman"/>
          <w:kern w:val="0"/>
          <w:sz w:val="24"/>
        </w:rPr>
      </w:pPr>
      <w:r>
        <w:rPr>
          <w:rFonts w:ascii="Times New Roman" w:hAnsi="Times New Roman" w:eastAsia="Times New Roman" w:cs="Times New Roman"/>
          <w:kern w:val="0"/>
          <w:sz w:val="24"/>
        </w:rPr>
        <w:t> </w:t>
      </w:r>
    </w:p>
    <w:p w14:paraId="511284A6">
      <w:pPr>
        <w:pStyle w:val="30"/>
        <w:widowControl/>
        <w:spacing w:before="100" w:after="100"/>
        <w:ind w:left="100" w:right="100" w:firstLine="0"/>
        <w:jc w:val="left"/>
        <w:rPr>
          <w:rFonts w:ascii="Times New Roman" w:hAnsi="Times New Roman" w:eastAsia="Times New Roman" w:cs="Times New Roman"/>
          <w:b/>
          <w:bCs/>
          <w:kern w:val="0"/>
          <w:sz w:val="36"/>
          <w:szCs w:val="36"/>
        </w:rPr>
      </w:pPr>
      <w:r>
        <w:rPr>
          <w:rFonts w:ascii="宋体" w:hAnsi="宋体" w:eastAsia="宋体" w:cs="宋体"/>
          <w:spacing w:val="0"/>
          <w:kern w:val="0"/>
          <w:sz w:val="36"/>
          <w:szCs w:val="36"/>
        </w:rPr>
        <w:t> </w:t>
      </w:r>
      <w:bookmarkStart w:id="15" w:name="_Toc256000068"/>
      <w:r>
        <w:rPr>
          <w:rFonts w:ascii="黑体" w:hAnsi="黑体" w:eastAsia="黑体" w:cs="黑体"/>
          <w:b w:val="0"/>
          <w:bCs w:val="0"/>
          <w:spacing w:val="0"/>
          <w:sz w:val="56"/>
          <w:szCs w:val="56"/>
        </w:rPr>
        <w:t>第三部分</w:t>
      </w:r>
      <w:r>
        <w:rPr>
          <w:rFonts w:hint="eastAsia" w:ascii="黑体" w:hAnsi="黑体" w:eastAsia="黑体" w:cs="黑体"/>
          <w:b w:val="0"/>
          <w:bCs w:val="0"/>
          <w:spacing w:val="0"/>
          <w:sz w:val="56"/>
          <w:szCs w:val="56"/>
          <w:lang w:val="en-US" w:eastAsia="zh-CN"/>
        </w:rPr>
        <w:t xml:space="preserve"> </w:t>
      </w:r>
      <w:r>
        <w:rPr>
          <w:rFonts w:ascii="黑体" w:hAnsi="黑体" w:eastAsia="黑体" w:cs="黑体"/>
          <w:b w:val="0"/>
          <w:bCs w:val="0"/>
          <w:spacing w:val="0"/>
          <w:sz w:val="56"/>
          <w:szCs w:val="56"/>
        </w:rPr>
        <w:t>2025年度部门决算情况说明</w:t>
      </w:r>
      <w:bookmarkEnd w:id="15"/>
    </w:p>
    <w:p w14:paraId="377283B5">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1E86401F">
      <w:pPr>
        <w:widowControl/>
        <w:spacing w:before="240" w:after="240"/>
        <w:jc w:val="left"/>
        <w:rPr>
          <w:rFonts w:ascii="Times New Roman" w:hAnsi="Times New Roman" w:eastAsia="Times New Roman" w:cs="Times New Roman"/>
          <w:kern w:val="0"/>
          <w:sz w:val="24"/>
        </w:rPr>
      </w:pPr>
    </w:p>
    <w:p w14:paraId="7D2C8D8F">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6" w:name="_Toc256000069"/>
      <w:r>
        <w:rPr>
          <w:rFonts w:ascii="黑体" w:hAnsi="黑体" w:eastAsia="黑体" w:cs="黑体"/>
          <w:b w:val="0"/>
          <w:bCs w:val="0"/>
          <w:spacing w:val="0"/>
        </w:rPr>
        <w:t>一、收入支出决算总体情况说明</w:t>
      </w:r>
      <w:bookmarkEnd w:id="16"/>
      <w:r>
        <w:rPr>
          <w:rFonts w:ascii="黑体" w:hAnsi="黑体" w:eastAsia="黑体" w:cs="黑体"/>
          <w:b w:val="0"/>
          <w:bCs w:val="0"/>
          <w:spacing w:val="0"/>
        </w:rPr>
        <w:t> </w:t>
      </w:r>
    </w:p>
    <w:p w14:paraId="4D297EA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06B02AF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2025年度本部门收入总计1165.69万元，支出总计1165.69万元，与上年决算数相比，各增加47.73万元，增长4.27%。主要是</w:t>
      </w:r>
      <w:r>
        <w:rPr>
          <w:rFonts w:hint="eastAsia" w:ascii="FangSong_GB2312" w:hAnsi="FangSong_GB2312" w:eastAsia="FangSong_GB2312" w:cs="FangSong_GB2312"/>
          <w:spacing w:val="0"/>
          <w:kern w:val="0"/>
          <w:sz w:val="32"/>
          <w:szCs w:val="32"/>
          <w:lang w:eastAsia="zh-CN"/>
        </w:rPr>
        <w:t>：</w:t>
      </w:r>
      <w:r>
        <w:rPr>
          <w:rFonts w:hint="eastAsia" w:ascii="FangSong_GB2312" w:hAnsi="FangSong_GB2312" w:eastAsia="FangSong_GB2312" w:cs="FangSong_GB2312"/>
          <w:spacing w:val="0"/>
          <w:kern w:val="0"/>
          <w:sz w:val="32"/>
          <w:szCs w:val="32"/>
        </w:rPr>
        <w:t>2025</w:t>
      </w:r>
      <w:r>
        <w:rPr>
          <w:rFonts w:hint="eastAsia" w:ascii="FangSong_GB2312" w:hAnsi="FangSong_GB2312" w:eastAsia="FangSong_GB2312" w:cs="FangSong_GB2312"/>
          <w:spacing w:val="0"/>
          <w:kern w:val="0"/>
          <w:sz w:val="32"/>
          <w:szCs w:val="32"/>
          <w:lang w:eastAsia="zh-CN"/>
        </w:rPr>
        <w:t>年</w:t>
      </w:r>
      <w:r>
        <w:rPr>
          <w:rFonts w:hint="eastAsia" w:ascii="FangSong_GB2312" w:hAnsi="FangSong_GB2312" w:eastAsia="FangSong_GB2312" w:cs="FangSong_GB2312"/>
          <w:spacing w:val="0"/>
          <w:kern w:val="0"/>
          <w:sz w:val="32"/>
          <w:szCs w:val="32"/>
        </w:rPr>
        <w:t>支付明溪县大应用中心后端支持平台（一期）采购项目等尾款30.23万元。</w:t>
      </w:r>
    </w:p>
    <w:p w14:paraId="70803254">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4DAFAE13">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2025年度收入1154.12万元，比上年决算数增加36.17万元，增长3.24%，具体情况如下：</w:t>
      </w:r>
    </w:p>
    <w:p w14:paraId="496FEDF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1.一般公共预算财政拨款收入1154.12万元。</w:t>
      </w:r>
    </w:p>
    <w:p w14:paraId="4491727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2.政府性基金预算财政拨款收入0万元。</w:t>
      </w:r>
    </w:p>
    <w:p w14:paraId="4FCF45E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14:paraId="6DA93385">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14:paraId="4F5DF93B">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5.事业收入0万元。</w:t>
      </w:r>
    </w:p>
    <w:p w14:paraId="5D05CA1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14:paraId="4C5BA9B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14:paraId="7B79D8C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8.其他收入0万元。</w:t>
      </w:r>
    </w:p>
    <w:p w14:paraId="6398586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7CD42C1E">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2025年度支出1164.44万元，比上年决算数增加58.05万元，增长5.25%，具体情况如下：</w:t>
      </w:r>
    </w:p>
    <w:p w14:paraId="1EE70CD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1.基本支出1164.44万元。其中，人员支出576.74万元，公用支出587.70万元。</w:t>
      </w:r>
    </w:p>
    <w:p w14:paraId="079F6E07">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2.项目支出0万元。</w:t>
      </w:r>
    </w:p>
    <w:p w14:paraId="2615AC2E">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14:paraId="63C0A20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14:paraId="6F32441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14:paraId="71ECD924">
      <w:pPr>
        <w:pStyle w:val="7"/>
        <w:keepNext w:val="0"/>
        <w:keepLines w:val="0"/>
        <w:spacing w:before="100" w:after="100" w:line="240" w:lineRule="auto"/>
        <w:ind w:left="100" w:right="100" w:firstLine="640" w:firstLineChars="0"/>
        <w:rPr>
          <w:rFonts w:ascii="Times New Roman" w:hAnsi="Times New Roman" w:eastAsia="Times New Roman" w:cs="Times New Roman"/>
          <w:b/>
          <w:bCs/>
          <w:kern w:val="0"/>
          <w:sz w:val="28"/>
          <w:szCs w:val="28"/>
        </w:rPr>
      </w:pPr>
      <w:bookmarkStart w:id="17" w:name="_Toc256000070"/>
      <w:r>
        <w:rPr>
          <w:rFonts w:ascii="黑体" w:hAnsi="黑体" w:eastAsia="黑体" w:cs="黑体"/>
          <w:b w:val="0"/>
          <w:bCs w:val="0"/>
          <w:spacing w:val="0"/>
        </w:rPr>
        <w:t>二、财政拨款收入支出决算总体情况说明</w:t>
      </w:r>
      <w:bookmarkEnd w:id="17"/>
      <w:r>
        <w:rPr>
          <w:rFonts w:ascii="黑体" w:hAnsi="黑体" w:eastAsia="黑体" w:cs="黑体"/>
          <w:b w:val="0"/>
          <w:bCs w:val="0"/>
          <w:spacing w:val="0"/>
        </w:rPr>
        <w:t> </w:t>
      </w:r>
    </w:p>
    <w:p w14:paraId="2FF49D7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2025年度财政拨款收入总计1165.69万元，支出总计 1165.69万元，与上年决算数相比，各增加47.73万元，增长4.27%，主要是：</w:t>
      </w:r>
      <w:r>
        <w:rPr>
          <w:rFonts w:hint="eastAsia" w:ascii="FangSong_GB2312" w:hAnsi="FangSong_GB2312" w:eastAsia="FangSong_GB2312" w:cs="FangSong_GB2312"/>
          <w:spacing w:val="0"/>
          <w:kern w:val="0"/>
          <w:sz w:val="32"/>
          <w:szCs w:val="32"/>
        </w:rPr>
        <w:t>2025</w:t>
      </w:r>
      <w:r>
        <w:rPr>
          <w:rFonts w:hint="eastAsia" w:ascii="FangSong_GB2312" w:hAnsi="FangSong_GB2312" w:eastAsia="FangSong_GB2312" w:cs="FangSong_GB2312"/>
          <w:spacing w:val="0"/>
          <w:kern w:val="0"/>
          <w:sz w:val="32"/>
          <w:szCs w:val="32"/>
          <w:lang w:eastAsia="zh-CN"/>
        </w:rPr>
        <w:t>年</w:t>
      </w:r>
      <w:r>
        <w:rPr>
          <w:rFonts w:hint="eastAsia" w:ascii="FangSong_GB2312" w:hAnsi="FangSong_GB2312" w:eastAsia="FangSong_GB2312" w:cs="FangSong_GB2312"/>
          <w:spacing w:val="0"/>
          <w:kern w:val="0"/>
          <w:sz w:val="32"/>
          <w:szCs w:val="32"/>
        </w:rPr>
        <w:t>支付明溪县大应用中心后端支持平台（一期）采购项目等尾款30.23万元。</w:t>
      </w:r>
    </w:p>
    <w:p w14:paraId="6929EE0D">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8" w:name="_Toc256000071"/>
      <w:r>
        <w:rPr>
          <w:rFonts w:ascii="黑体" w:hAnsi="黑体" w:eastAsia="黑体" w:cs="黑体"/>
          <w:b w:val="0"/>
          <w:bCs w:val="0"/>
          <w:spacing w:val="0"/>
        </w:rPr>
        <w:t>三、一般公共预算财政拨款支出决算情况说明</w:t>
      </w:r>
      <w:bookmarkEnd w:id="18"/>
    </w:p>
    <w:p w14:paraId="3BA8F91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2025年度一般公共预算财政拨款支出1164.44万元，比上年决算数增加58.05万元，增长5.25%，具体情况如下(按项级科目分类统计)：</w:t>
      </w:r>
    </w:p>
    <w:p w14:paraId="604780E9">
      <w:pPr>
        <w:pStyle w:val="30"/>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  （一）2010301 行政运行 641.66万元，较上年决算数增加281.30万元，增长78.06%。主要原因是</w:t>
      </w:r>
      <w:r>
        <w:rPr>
          <w:rFonts w:hint="eastAsia" w:ascii="FangSong_GB2312" w:hAnsi="FangSong_GB2312" w:eastAsia="FangSong_GB2312" w:cs="FangSong_GB2312"/>
          <w:spacing w:val="0"/>
          <w:kern w:val="0"/>
          <w:sz w:val="32"/>
          <w:szCs w:val="32"/>
          <w:lang w:val="en-US" w:eastAsia="zh-CN"/>
        </w:rPr>
        <w:t>2025年决算科目调整，公务车购置、养老保险、职业年金、医疗保险等经费调到本科目支出。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  （二）2010399 其他政府办公厅（室）及相关机构事务支出 47.18万元，较上年决算数增加12.57万元，增长36.32%。主要原因是</w:t>
      </w:r>
      <w:r>
        <w:rPr>
          <w:rFonts w:hint="eastAsia" w:ascii="FangSong_GB2312" w:hAnsi="FangSong_GB2312" w:eastAsia="FangSong_GB2312" w:cs="FangSong_GB2312"/>
          <w:spacing w:val="0"/>
          <w:kern w:val="0"/>
          <w:sz w:val="32"/>
          <w:szCs w:val="32"/>
          <w:lang w:val="en-US" w:eastAsia="zh-CN"/>
        </w:rPr>
        <w:t>2025年决算科目调整，</w:t>
      </w:r>
      <w:r>
        <w:rPr>
          <w:rFonts w:hint="eastAsia" w:ascii="FangSong_GB2312" w:hAnsi="FangSong_GB2312" w:eastAsia="FangSong_GB2312" w:cs="FangSong_GB2312"/>
          <w:color w:val="auto"/>
          <w:spacing w:val="0"/>
          <w:kern w:val="0"/>
          <w:sz w:val="32"/>
          <w:szCs w:val="32"/>
          <w:lang w:eastAsia="zh-CN"/>
        </w:rPr>
        <w:t>接待经费调到本科目支出。</w:t>
      </w:r>
      <w:r>
        <w:rPr>
          <w:rFonts w:ascii="FangSong_GB2312" w:hAnsi="FangSong_GB2312" w:eastAsia="FangSong_GB2312" w:cs="FangSong_GB2312"/>
          <w:color w:val="auto"/>
          <w:spacing w:val="0"/>
          <w:kern w:val="0"/>
          <w:sz w:val="32"/>
          <w:szCs w:val="32"/>
        </w:rPr>
        <w:br w:type="textWrapping"/>
      </w:r>
      <w:r>
        <w:rPr>
          <w:rFonts w:ascii="FangSong_GB2312" w:hAnsi="FangSong_GB2312" w:eastAsia="FangSong_GB2312" w:cs="FangSong_GB2312"/>
          <w:spacing w:val="0"/>
          <w:kern w:val="0"/>
          <w:sz w:val="32"/>
          <w:szCs w:val="32"/>
        </w:rPr>
        <w:t>  （三）2019999 其他一般公共服务支出 57.50万元，较上年决算数减少13.06万元，下降18.51%。主要原因是</w:t>
      </w:r>
      <w:r>
        <w:rPr>
          <w:rFonts w:hint="eastAsia" w:ascii="FangSong_GB2312" w:hAnsi="FangSong_GB2312" w:eastAsia="FangSong_GB2312" w:cs="FangSong_GB2312"/>
          <w:spacing w:val="0"/>
          <w:kern w:val="0"/>
          <w:sz w:val="32"/>
          <w:szCs w:val="32"/>
          <w:lang w:val="en-US" w:eastAsia="zh-CN"/>
        </w:rPr>
        <w:t>2025年决算科目调整，</w:t>
      </w:r>
      <w:r>
        <w:rPr>
          <w:rFonts w:hint="eastAsia" w:ascii="FangSong_GB2312" w:hAnsi="FangSong_GB2312" w:eastAsia="FangSong_GB2312" w:cs="FangSong_GB2312"/>
          <w:spacing w:val="0"/>
          <w:kern w:val="0"/>
          <w:sz w:val="32"/>
          <w:szCs w:val="32"/>
          <w:lang w:eastAsia="zh-CN"/>
        </w:rPr>
        <w:t>公务车购置费调整到</w:t>
      </w:r>
      <w:r>
        <w:rPr>
          <w:rFonts w:hint="eastAsia" w:ascii="FangSong_GB2312" w:hAnsi="FangSong_GB2312" w:eastAsia="FangSong_GB2312" w:cs="FangSong_GB2312"/>
          <w:spacing w:val="0"/>
          <w:kern w:val="0"/>
          <w:sz w:val="32"/>
          <w:szCs w:val="32"/>
          <w:lang w:val="en-US" w:eastAsia="zh-CN"/>
        </w:rPr>
        <w:t>2010301行政运行支出。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  （四）2089999 其他社会保障和就业支出 3.60万元，较上年决算数减少134.75万元，下降97.40%。主要原因是</w:t>
      </w:r>
      <w:r>
        <w:rPr>
          <w:rFonts w:hint="eastAsia" w:ascii="FangSong_GB2312" w:hAnsi="FangSong_GB2312" w:eastAsia="FangSong_GB2312" w:cs="FangSong_GB2312"/>
          <w:spacing w:val="0"/>
          <w:kern w:val="0"/>
          <w:sz w:val="32"/>
          <w:szCs w:val="32"/>
          <w:lang w:val="en-US" w:eastAsia="zh-CN"/>
        </w:rPr>
        <w:t>2025年决算科目调整，养老保险、职业年金、医疗保险等经费调到</w:t>
      </w:r>
      <w:r>
        <w:rPr>
          <w:rFonts w:ascii="FangSong_GB2312" w:hAnsi="FangSong_GB2312" w:eastAsia="FangSong_GB2312" w:cs="FangSong_GB2312"/>
          <w:spacing w:val="0"/>
          <w:kern w:val="0"/>
          <w:sz w:val="32"/>
          <w:szCs w:val="32"/>
        </w:rPr>
        <w:t>2010301行政运行</w:t>
      </w:r>
      <w:r>
        <w:rPr>
          <w:rFonts w:hint="eastAsia" w:ascii="FangSong_GB2312" w:hAnsi="FangSong_GB2312" w:eastAsia="FangSong_GB2312" w:cs="FangSong_GB2312"/>
          <w:spacing w:val="0"/>
          <w:kern w:val="0"/>
          <w:sz w:val="32"/>
          <w:szCs w:val="32"/>
          <w:lang w:val="en-US" w:eastAsia="zh-CN"/>
        </w:rPr>
        <w:t>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  （五）2129999 其他城乡社区支出 400.86万元，较上年决算数减少101.64万元，下降20.23%。主要原因是</w:t>
      </w:r>
      <w:r>
        <w:rPr>
          <w:rFonts w:hint="eastAsia" w:ascii="FangSong_GB2312" w:hAnsi="FangSong_GB2312" w:eastAsia="FangSong_GB2312" w:cs="FangSong_GB2312"/>
          <w:spacing w:val="0"/>
          <w:kern w:val="0"/>
          <w:sz w:val="32"/>
          <w:szCs w:val="32"/>
          <w:lang w:val="en-US" w:eastAsia="zh-CN"/>
        </w:rPr>
        <w:t>2025年决算科目调整，</w:t>
      </w:r>
      <w:r>
        <w:rPr>
          <w:rFonts w:hint="eastAsia" w:ascii="FangSong_GB2312" w:hAnsi="FangSong_GB2312" w:eastAsia="FangSong_GB2312" w:cs="FangSong_GB2312"/>
          <w:spacing w:val="0"/>
          <w:kern w:val="0"/>
          <w:sz w:val="32"/>
          <w:szCs w:val="32"/>
          <w:lang w:eastAsia="zh-CN"/>
        </w:rPr>
        <w:t>公务员和事业单位基础绩效奖等调整到</w:t>
      </w:r>
      <w:r>
        <w:rPr>
          <w:rFonts w:hint="eastAsia" w:ascii="FangSong_GB2312" w:hAnsi="FangSong_GB2312" w:eastAsia="FangSong_GB2312" w:cs="FangSong_GB2312"/>
          <w:spacing w:val="0"/>
          <w:kern w:val="0"/>
          <w:sz w:val="32"/>
          <w:szCs w:val="32"/>
          <w:lang w:val="en-US" w:eastAsia="zh-CN"/>
        </w:rPr>
        <w:t>2010301行政运行支出。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  （六）2139999 其他农林水支出 13.63万元，较上年决算数增加13.63万元。主要原因是</w:t>
      </w:r>
      <w:r>
        <w:rPr>
          <w:rFonts w:hint="eastAsia" w:ascii="FangSong_GB2312" w:hAnsi="FangSong_GB2312" w:eastAsia="FangSong_GB2312" w:cs="FangSong_GB2312"/>
          <w:spacing w:val="0"/>
          <w:kern w:val="0"/>
          <w:sz w:val="32"/>
          <w:szCs w:val="32"/>
          <w:lang w:val="en-US" w:eastAsia="zh-CN"/>
        </w:rPr>
        <w:t>2025年决算科目调整，追加人员经费调整到本科目支出。</w:t>
      </w:r>
    </w:p>
    <w:p w14:paraId="4ADDC7EE">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19" w:name="_Toc256000072"/>
      <w:r>
        <w:rPr>
          <w:rFonts w:ascii="黑体" w:hAnsi="黑体" w:eastAsia="黑体" w:cs="黑体"/>
          <w:b w:val="0"/>
          <w:bCs w:val="0"/>
          <w:spacing w:val="0"/>
        </w:rPr>
        <w:t>四、政府性基金预算财政拨款支出决算情况说明</w:t>
      </w:r>
      <w:bookmarkEnd w:id="19"/>
    </w:p>
    <w:p w14:paraId="04A900C6">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本部门2025年度没有使用政府性基金预算财政拨款安排的支出。</w:t>
      </w:r>
    </w:p>
    <w:p w14:paraId="156943DB">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0" w:name="_Toc256000073"/>
      <w:r>
        <w:rPr>
          <w:rFonts w:ascii="黑体" w:hAnsi="黑体" w:eastAsia="黑体" w:cs="黑体"/>
          <w:b w:val="0"/>
          <w:bCs w:val="0"/>
          <w:spacing w:val="0"/>
        </w:rPr>
        <w:t>五、国有资本经营预算财政拨款支出决算情况说明</w:t>
      </w:r>
      <w:bookmarkEnd w:id="20"/>
    </w:p>
    <w:p w14:paraId="2BE59409">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本部门2025年度没有使用国有资本经营预算财政拨款安排的支出。</w:t>
      </w:r>
    </w:p>
    <w:p w14:paraId="64138ED5">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1" w:name="_Toc256000074"/>
      <w:r>
        <w:rPr>
          <w:rFonts w:ascii="黑体" w:hAnsi="黑体" w:eastAsia="黑体" w:cs="黑体"/>
          <w:b w:val="0"/>
          <w:bCs w:val="0"/>
          <w:spacing w:val="0"/>
        </w:rPr>
        <w:t>六、一般公共预算财政拨款基本支出决算情况说明</w:t>
      </w:r>
      <w:bookmarkEnd w:id="21"/>
    </w:p>
    <w:p w14:paraId="6B5671F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2025年度一般公共预算财政拨款基本支出1164.44万元，其中：</w:t>
      </w:r>
    </w:p>
    <w:p w14:paraId="45E9CD6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（一）人员经费576.74万元，主要包括：</w:t>
      </w:r>
      <w:r>
        <w:rPr>
          <w:rFonts w:ascii="FangSong_GB2312" w:hAnsi="FangSong_GB2312" w:eastAsia="FangSong_GB2312" w:cs="FangSong_GB2312"/>
          <w:kern w:val="0"/>
          <w:sz w:val="32"/>
          <w:szCs w:val="32"/>
        </w:rPr>
        <w:t>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93E538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（二）公用经费587.70万元，主要包括：</w:t>
      </w:r>
      <w:r>
        <w:rPr>
          <w:rFonts w:ascii="FangSong_GB2312" w:hAnsi="FangSong_GB2312" w:eastAsia="FangSong_GB2312" w:cs="FangSong_GB2312"/>
          <w:kern w:val="0"/>
          <w:sz w:val="32"/>
          <w:szCs w:val="32"/>
        </w:rPr>
        <w:t>办公费、印刷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60A81F5">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bookmarkStart w:id="22" w:name="_Toc256000075"/>
      <w:r>
        <w:rPr>
          <w:rFonts w:ascii="黑体" w:hAnsi="黑体" w:eastAsia="黑体" w:cs="黑体"/>
          <w:b w:val="0"/>
          <w:bCs w:val="0"/>
          <w:spacing w:val="0"/>
        </w:rPr>
        <w:t>七、一般公共预算财政拨款“三公”经费支出决算情况说明</w:t>
      </w:r>
      <w:bookmarkEnd w:id="22"/>
    </w:p>
    <w:p w14:paraId="149AD61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2025年度一般公共预算财政拨款“三公”经费支出39.45万元，完成全年预算的100.00%；较上年减少2.00万元，下降4.83%。主要原因是</w:t>
      </w:r>
      <w:r>
        <w:rPr>
          <w:rFonts w:hint="eastAsia" w:ascii="FangSong_GB2312" w:hAnsi="FangSong_GB2312" w:eastAsia="FangSong_GB2312" w:cs="FangSong_GB2312"/>
          <w:spacing w:val="0"/>
          <w:kern w:val="0"/>
          <w:sz w:val="32"/>
          <w:szCs w:val="32"/>
          <w:lang w:val="en-US" w:eastAsia="zh-CN"/>
        </w:rPr>
        <w:t>2025年未安排人员出国</w:t>
      </w:r>
      <w:r>
        <w:rPr>
          <w:rFonts w:ascii="FangSong_GB2312" w:hAnsi="FangSong_GB2312" w:eastAsia="FangSong_GB2312" w:cs="FangSong_GB2312"/>
          <w:kern w:val="0"/>
          <w:sz w:val="32"/>
          <w:szCs w:val="32"/>
        </w:rPr>
        <w:t>。</w:t>
      </w:r>
      <w:r>
        <w:rPr>
          <w:rFonts w:ascii="FangSong_GB2312" w:hAnsi="FangSong_GB2312" w:eastAsia="FangSong_GB2312" w:cs="FangSong_GB2312"/>
          <w:spacing w:val="0"/>
          <w:kern w:val="0"/>
          <w:sz w:val="32"/>
          <w:szCs w:val="32"/>
        </w:rPr>
        <w:t>具体情况如下：</w:t>
      </w:r>
    </w:p>
    <w:p w14:paraId="072DAA7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（一）因公出国（境）费用支出 0万元，与全年预算数持平，较上年减少 3.91万元，全年安排本部门组织的出国团组0个，参加其他部门出国团组个；全年因公出国（境）累计0 人次。主要是</w:t>
      </w:r>
      <w:r>
        <w:rPr>
          <w:rFonts w:hint="eastAsia" w:ascii="FangSong_GB2312" w:hAnsi="FangSong_GB2312" w:eastAsia="FangSong_GB2312" w:cs="FangSong_GB2312"/>
          <w:spacing w:val="0"/>
          <w:kern w:val="0"/>
          <w:sz w:val="32"/>
          <w:szCs w:val="32"/>
          <w:lang w:val="en-US" w:eastAsia="zh-CN"/>
        </w:rPr>
        <w:t>2025年未安排人员出国</w:t>
      </w:r>
      <w:r>
        <w:rPr>
          <w:rFonts w:ascii="FangSong_GB2312" w:hAnsi="FangSong_GB2312" w:eastAsia="FangSong_GB2312" w:cs="FangSong_GB2312"/>
          <w:spacing w:val="0"/>
          <w:kern w:val="0"/>
          <w:sz w:val="32"/>
          <w:szCs w:val="32"/>
        </w:rPr>
        <w:t>。</w:t>
      </w:r>
    </w:p>
    <w:p w14:paraId="28A0247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（二）公务用车购置及运行费支出18.60万元，完成全年预算的100.00%；较上年</w:t>
      </w:r>
      <w:r>
        <w:rPr>
          <w:rFonts w:ascii="FangSong_GB2312" w:hAnsi="FangSong_GB2312" w:eastAsia="FangSong_GB2312" w:cs="FangSong_GB2312"/>
          <w:kern w:val="0"/>
          <w:sz w:val="32"/>
          <w:szCs w:val="32"/>
        </w:rPr>
        <w:t>减少1.45万元，下降7.25%。其中：</w:t>
      </w:r>
    </w:p>
    <w:p w14:paraId="2E60415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公务用车购置费支出18.60万元，完成全年预算的100.00%；较上年减少1.45万元，下降7.25%。2025年公务用车购置1辆，主要是</w:t>
      </w:r>
      <w:r>
        <w:rPr>
          <w:rFonts w:hint="eastAsia" w:ascii="FangSong_GB2312" w:hAnsi="FangSong_GB2312" w:eastAsia="FangSong_GB2312" w:cs="FangSong_GB2312"/>
          <w:spacing w:val="0"/>
          <w:kern w:val="0"/>
          <w:sz w:val="32"/>
          <w:szCs w:val="32"/>
          <w:lang w:eastAsia="zh-CN"/>
        </w:rPr>
        <w:t>采购车辆车型配置与上年度购置车辆存在差异，车辆购置价格有所下降</w:t>
      </w:r>
      <w:r>
        <w:rPr>
          <w:rFonts w:ascii="FangSong_GB2312" w:hAnsi="FangSong_GB2312" w:eastAsia="FangSong_GB2312" w:cs="FangSong_GB2312"/>
          <w:spacing w:val="0"/>
          <w:kern w:val="0"/>
          <w:sz w:val="32"/>
          <w:szCs w:val="32"/>
        </w:rPr>
        <w:t>。</w:t>
      </w:r>
    </w:p>
    <w:p w14:paraId="7CE86A3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公务用车运行费支出0万元，与全年预算数持平，与上年决算数持平。截至2025年12月31日，本部门公务用车保有量为</w:t>
      </w:r>
      <w:r>
        <w:rPr>
          <w:rFonts w:hint="eastAsia" w:ascii="FangSong_GB2312" w:hAnsi="FangSong_GB2312" w:eastAsia="FangSong_GB2312" w:cs="FangSong_GB2312"/>
          <w:spacing w:val="0"/>
          <w:kern w:val="0"/>
          <w:sz w:val="32"/>
          <w:szCs w:val="32"/>
          <w:lang w:val="en-US" w:eastAsia="zh-CN"/>
        </w:rPr>
        <w:t>6</w:t>
      </w:r>
      <w:r>
        <w:rPr>
          <w:rFonts w:ascii="FangSong_GB2312" w:hAnsi="FangSong_GB2312" w:eastAsia="FangSong_GB2312" w:cs="FangSong_GB2312"/>
          <w:spacing w:val="0"/>
          <w:kern w:val="0"/>
          <w:sz w:val="32"/>
          <w:szCs w:val="32"/>
        </w:rPr>
        <w:t>辆。</w:t>
      </w:r>
    </w:p>
    <w:p w14:paraId="7D5B2D6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（三）公务接待费支出20.85万元，完成全年预算的 100.00%；较上年增加3.37万元，增长19.27%。主要是</w:t>
      </w:r>
      <w:r>
        <w:rPr>
          <w:rFonts w:hint="eastAsia" w:ascii="FangSong_GB2312" w:hAnsi="FangSong_GB2312" w:eastAsia="FangSong_GB2312" w:cs="FangSong_GB2312"/>
          <w:spacing w:val="0"/>
          <w:kern w:val="0"/>
          <w:sz w:val="32"/>
          <w:szCs w:val="32"/>
          <w:lang w:eastAsia="zh-CN"/>
        </w:rPr>
        <w:t>接待人数和批次增加</w:t>
      </w:r>
      <w:r>
        <w:rPr>
          <w:rFonts w:ascii="FangSong_GB2312" w:hAnsi="FangSong_GB2312" w:eastAsia="FangSong_GB2312" w:cs="FangSong_GB2312"/>
          <w:spacing w:val="0"/>
          <w:kern w:val="0"/>
          <w:sz w:val="32"/>
          <w:szCs w:val="32"/>
        </w:rPr>
        <w:t>。累计接待156.00批次、1428.00人次。</w:t>
      </w:r>
    </w:p>
    <w:p w14:paraId="51FA4D55">
      <w:pPr>
        <w:pStyle w:val="7"/>
        <w:keepNext w:val="0"/>
        <w:keepLines w:val="0"/>
        <w:pageBreakBefore w:val="0"/>
        <w:kinsoku/>
        <w:wordWrap/>
        <w:overflowPunct/>
        <w:topLinePunct w:val="0"/>
        <w:autoSpaceDE/>
        <w:autoSpaceDN/>
        <w:bidi w:val="0"/>
        <w:adjustRightInd/>
        <w:snapToGrid/>
        <w:spacing w:before="100" w:after="100" w:line="560" w:lineRule="exact"/>
        <w:ind w:left="100" w:right="100" w:firstLine="640" w:firstLineChars="0"/>
        <w:textAlignment w:val="auto"/>
        <w:rPr>
          <w:rFonts w:ascii="Times New Roman" w:hAnsi="Times New Roman" w:eastAsia="Times New Roman" w:cs="Times New Roman"/>
          <w:b/>
          <w:bCs/>
          <w:kern w:val="0"/>
          <w:sz w:val="28"/>
          <w:szCs w:val="28"/>
        </w:rPr>
      </w:pPr>
      <w:bookmarkStart w:id="23" w:name="_Toc256000076"/>
      <w:r>
        <w:rPr>
          <w:rFonts w:ascii="黑体" w:hAnsi="黑体" w:eastAsia="黑体" w:cs="黑体"/>
          <w:b w:val="0"/>
          <w:bCs w:val="0"/>
          <w:spacing w:val="0"/>
        </w:rPr>
        <w:t>八、预算绩效情况说明</w:t>
      </w:r>
      <w:bookmarkEnd w:id="23"/>
    </w:p>
    <w:p w14:paraId="23BF63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FangSong_GB2312" w:hAnsi="FangSong_GB2312" w:eastAsia="FangSong_GB2312" w:cs="FangSong_GB2312"/>
          <w:spacing w:val="0"/>
          <w:kern w:val="0"/>
          <w:sz w:val="32"/>
          <w:szCs w:val="32"/>
          <w:lang w:val="en-US" w:eastAsia="zh-CN" w:bidi="ar-SA"/>
        </w:rPr>
      </w:pPr>
      <w:bookmarkStart w:id="24" w:name="_Toc256000077"/>
      <w:r>
        <w:rPr>
          <w:rFonts w:hint="eastAsia" w:ascii="FangSong_GB2312" w:hAnsi="FangSong_GB2312" w:eastAsia="FangSong_GB2312" w:cs="FangSong_GB2312"/>
          <w:spacing w:val="0"/>
          <w:kern w:val="0"/>
          <w:sz w:val="32"/>
          <w:szCs w:val="32"/>
          <w:lang w:val="en-US" w:eastAsia="zh-CN" w:bidi="ar-SA"/>
        </w:rPr>
        <w:t>根据预算绩效管理要求，本部门组织对</w:t>
      </w:r>
      <w:r>
        <w:rPr>
          <w:rFonts w:ascii="FangSong_GB2312" w:hAnsi="FangSong_GB2312" w:eastAsia="FangSong_GB2312" w:cs="FangSong_GB2312"/>
          <w:spacing w:val="0"/>
          <w:kern w:val="0"/>
          <w:sz w:val="32"/>
          <w:szCs w:val="32"/>
          <w:lang w:val="en-US" w:eastAsia="zh-CN" w:bidi="ar-SA"/>
        </w:rPr>
        <w:t>202</w:t>
      </w:r>
      <w:r>
        <w:rPr>
          <w:rFonts w:hint="eastAsia" w:ascii="FangSong_GB2312" w:hAnsi="FangSong_GB2312" w:eastAsia="FangSong_GB2312" w:cs="FangSong_GB2312"/>
          <w:spacing w:val="0"/>
          <w:kern w:val="0"/>
          <w:sz w:val="32"/>
          <w:szCs w:val="32"/>
          <w:lang w:val="en-US" w:eastAsia="zh-CN" w:bidi="ar-SA"/>
        </w:rPr>
        <w:t>5</w:t>
      </w:r>
      <w:r>
        <w:rPr>
          <w:rFonts w:ascii="FangSong_GB2312" w:hAnsi="FangSong_GB2312" w:eastAsia="FangSong_GB2312" w:cs="FangSong_GB2312"/>
          <w:spacing w:val="0"/>
          <w:kern w:val="0"/>
          <w:sz w:val="32"/>
          <w:szCs w:val="32"/>
          <w:lang w:val="en-US" w:eastAsia="zh-CN" w:bidi="ar-SA"/>
        </w:rPr>
        <w:t>年度0个项目实施单位自评，涉及财政拨款资金共计0.00万元。（《项目支出绩效自评表》详见附）</w:t>
      </w:r>
      <w:r>
        <w:rPr>
          <w:rFonts w:ascii="FangSong_GB2312" w:hAnsi="FangSong_GB2312" w:eastAsia="FangSong_GB2312" w:cs="FangSong_GB2312"/>
          <w:spacing w:val="0"/>
          <w:kern w:val="0"/>
          <w:sz w:val="32"/>
          <w:szCs w:val="32"/>
          <w:lang w:val="en-US" w:eastAsia="zh-CN" w:bidi="ar-SA"/>
        </w:rPr>
        <w:br w:type="textWrapping"/>
      </w:r>
      <w:r>
        <w:rPr>
          <w:rFonts w:hint="eastAsia" w:ascii="FangSong_GB2312" w:hAnsi="FangSong_GB2312" w:eastAsia="FangSong_GB2312" w:cs="FangSong_GB2312"/>
          <w:spacing w:val="0"/>
          <w:kern w:val="0"/>
          <w:sz w:val="32"/>
          <w:szCs w:val="32"/>
          <w:lang w:val="en-US" w:eastAsia="zh-CN" w:bidi="ar-SA"/>
        </w:rPr>
        <w:t xml:space="preserve">     对</w:t>
      </w:r>
      <w:r>
        <w:rPr>
          <w:rFonts w:ascii="FangSong_GB2312" w:hAnsi="FangSong_GB2312" w:eastAsia="FangSong_GB2312" w:cs="FangSong_GB2312"/>
          <w:spacing w:val="0"/>
          <w:kern w:val="0"/>
          <w:sz w:val="32"/>
          <w:szCs w:val="32"/>
          <w:lang w:val="en-US" w:eastAsia="zh-CN" w:bidi="ar-SA"/>
        </w:rPr>
        <w:t>0个项目实施部门评价，涉及财政拨款资金共计0.00万元，评价结果等次为“优”“良”“中”“差”的项目分别是0个、0个、0个、0个。(《项目支出绩效评价报告》详见附件)</w:t>
      </w:r>
    </w:p>
    <w:p w14:paraId="1CE6C4D6">
      <w:pPr>
        <w:pStyle w:val="7"/>
        <w:keepNext w:val="0"/>
        <w:keepLines w:val="0"/>
        <w:spacing w:before="100" w:after="100" w:line="560" w:lineRule="atLeast"/>
        <w:ind w:left="100" w:right="100" w:firstLine="640" w:firstLineChars="0"/>
        <w:rPr>
          <w:rFonts w:ascii="Times New Roman" w:hAnsi="Times New Roman" w:eastAsia="Times New Roman" w:cs="Times New Roman"/>
          <w:b/>
          <w:bCs/>
          <w:kern w:val="0"/>
          <w:sz w:val="28"/>
          <w:szCs w:val="28"/>
        </w:rPr>
      </w:pPr>
      <w:r>
        <w:rPr>
          <w:rFonts w:ascii="黑体" w:hAnsi="黑体" w:eastAsia="黑体" w:cs="黑体"/>
          <w:b w:val="0"/>
          <w:bCs w:val="0"/>
          <w:spacing w:val="0"/>
        </w:rPr>
        <w:t>九、其他重要事项说明</w:t>
      </w:r>
      <w:bookmarkEnd w:id="24"/>
    </w:p>
    <w:p w14:paraId="5AC7B7C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（一）机关运行经费 </w:t>
      </w:r>
    </w:p>
    <w:p w14:paraId="3DC1BDAB">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2025年度机关运行经费支出587.70万元，比上年决算数增加13.10万元，增长2.28%，主要原因是:</w:t>
      </w:r>
      <w:r>
        <w:rPr>
          <w:rFonts w:hint="eastAsia" w:ascii="FangSong_GB2312" w:hAnsi="FangSong_GB2312" w:eastAsia="FangSong_GB2312" w:cs="FangSong_GB2312"/>
          <w:spacing w:val="0"/>
          <w:kern w:val="0"/>
          <w:sz w:val="32"/>
          <w:szCs w:val="32"/>
        </w:rPr>
        <w:t>2025</w:t>
      </w:r>
      <w:r>
        <w:rPr>
          <w:rFonts w:hint="eastAsia" w:ascii="FangSong_GB2312" w:hAnsi="FangSong_GB2312" w:eastAsia="FangSong_GB2312" w:cs="FangSong_GB2312"/>
          <w:spacing w:val="0"/>
          <w:kern w:val="0"/>
          <w:sz w:val="32"/>
          <w:szCs w:val="32"/>
          <w:lang w:eastAsia="zh-CN"/>
        </w:rPr>
        <w:t>年</w:t>
      </w:r>
      <w:r>
        <w:rPr>
          <w:rFonts w:hint="eastAsia" w:ascii="FangSong_GB2312" w:hAnsi="FangSong_GB2312" w:eastAsia="FangSong_GB2312" w:cs="FangSong_GB2312"/>
          <w:spacing w:val="0"/>
          <w:kern w:val="0"/>
          <w:sz w:val="32"/>
          <w:szCs w:val="32"/>
        </w:rPr>
        <w:t>支付明溪县大应用中心后端支持平台（一期）采购项目等尾款30.23万元。</w:t>
      </w:r>
    </w:p>
    <w:p w14:paraId="6F9ECB9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（二）政府采购情况</w:t>
      </w:r>
    </w:p>
    <w:p w14:paraId="42E3178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部门2025年度政府采购支出总额17.89万元，其中：政府采购货物支出17.89万元、政府采购工程支出0万元、政府采购服务支出0万元。授予中小企业合同金额17.89万元，占政府采购支出总额的100.00%，其中：授予小微企业合同金额0.80万元，占授予中小企业合同金额的4.48%；货物采购授予中小企业合同金额占货物支出金额的</w:t>
      </w:r>
      <w:r>
        <w:rPr>
          <w:rFonts w:hint="eastAsia" w:ascii="FangSong_GB2312" w:hAnsi="FangSong_GB2312" w:eastAsia="FangSong_GB2312" w:cs="FangSong_GB2312"/>
          <w:spacing w:val="0"/>
          <w:kern w:val="0"/>
          <w:sz w:val="32"/>
          <w:szCs w:val="32"/>
          <w:lang w:val="en-US" w:eastAsia="zh-CN"/>
        </w:rPr>
        <w:t>100</w:t>
      </w:r>
      <w:r>
        <w:rPr>
          <w:rFonts w:ascii="FangSong_GB2312" w:hAnsi="FangSong_GB2312" w:eastAsia="FangSong_GB2312" w:cs="FangSong_GB2312"/>
          <w:spacing w:val="0"/>
          <w:kern w:val="0"/>
          <w:sz w:val="32"/>
          <w:szCs w:val="32"/>
        </w:rPr>
        <w:t>%，工程采购授予中小企业合同金额占工程支出金额的</w:t>
      </w:r>
      <w:r>
        <w:rPr>
          <w:rFonts w:hint="eastAsia" w:ascii="FangSong_GB2312" w:hAnsi="FangSong_GB2312" w:eastAsia="FangSong_GB2312" w:cs="FangSong_GB2312"/>
          <w:spacing w:val="0"/>
          <w:kern w:val="0"/>
          <w:sz w:val="32"/>
          <w:szCs w:val="32"/>
          <w:lang w:val="en-US" w:eastAsia="zh-CN"/>
        </w:rPr>
        <w:t>0.00</w:t>
      </w:r>
      <w:r>
        <w:rPr>
          <w:rFonts w:ascii="FangSong_GB2312" w:hAnsi="FangSong_GB2312" w:eastAsia="FangSong_GB2312" w:cs="FangSong_GB2312"/>
          <w:spacing w:val="0"/>
          <w:kern w:val="0"/>
          <w:sz w:val="32"/>
          <w:szCs w:val="32"/>
        </w:rPr>
        <w:t>%，服务采购授予中小企业合同金额占服务支出金额的</w:t>
      </w:r>
      <w:r>
        <w:rPr>
          <w:rFonts w:hint="eastAsia" w:ascii="FangSong_GB2312" w:hAnsi="FangSong_GB2312" w:eastAsia="FangSong_GB2312" w:cs="FangSong_GB2312"/>
          <w:spacing w:val="0"/>
          <w:kern w:val="0"/>
          <w:sz w:val="32"/>
          <w:szCs w:val="32"/>
          <w:lang w:val="en-US" w:eastAsia="zh-CN"/>
        </w:rPr>
        <w:t>0.00</w:t>
      </w:r>
      <w:r>
        <w:rPr>
          <w:rFonts w:ascii="FangSong_GB2312" w:hAnsi="FangSong_GB2312" w:eastAsia="FangSong_GB2312" w:cs="FangSong_GB2312"/>
          <w:spacing w:val="0"/>
          <w:kern w:val="0"/>
          <w:sz w:val="32"/>
          <w:szCs w:val="32"/>
        </w:rPr>
        <w:t>%。</w:t>
      </w:r>
    </w:p>
    <w:p w14:paraId="5ECFE93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（三）国有资产占用使用情况 </w:t>
      </w:r>
    </w:p>
    <w:p w14:paraId="5A2FDE7B">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r>
        <w:rPr>
          <w:rFonts w:ascii="FangSong_GB2312" w:hAnsi="FangSong_GB2312" w:eastAsia="FangSong_GB2312" w:cs="FangSong_GB2312"/>
          <w:spacing w:val="0"/>
          <w:kern w:val="0"/>
          <w:sz w:val="32"/>
          <w:szCs w:val="32"/>
        </w:rPr>
        <w:t>截至2025年12月31日，本部门共有车辆6 辆，其中：副部（省）级以上领导用车0辆、主要负责人用车0辆、机要通信用车0辆、应急保障用车0辆、执法执勤用车0辆、特种专业技术用车0辆、离退休干部服务用车0辆、其他用车6辆，其他用车主要是</w:t>
      </w:r>
      <w:r>
        <w:rPr>
          <w:rFonts w:hint="eastAsia" w:ascii="FangSong_GB2312" w:hAnsi="FangSong_GB2312" w:eastAsia="FangSong_GB2312" w:cs="FangSong_GB2312"/>
          <w:spacing w:val="0"/>
          <w:kern w:val="0"/>
          <w:sz w:val="32"/>
          <w:szCs w:val="32"/>
        </w:rPr>
        <w:t>公务用车</w:t>
      </w:r>
      <w:r>
        <w:rPr>
          <w:rFonts w:ascii="FangSong_GB2312" w:hAnsi="FangSong_GB2312" w:eastAsia="FangSong_GB2312" w:cs="FangSong_GB2312"/>
          <w:spacing w:val="0"/>
          <w:kern w:val="0"/>
          <w:sz w:val="32"/>
          <w:szCs w:val="32"/>
        </w:rPr>
        <w:t>；单价100万元（含）以上设备（不含车辆）</w:t>
      </w:r>
      <w:r>
        <w:rPr>
          <w:rFonts w:hint="eastAsia" w:ascii="FangSong_GB2312" w:hAnsi="FangSong_GB2312" w:eastAsia="FangSong_GB2312" w:cs="FangSong_GB2312"/>
          <w:spacing w:val="0"/>
          <w:kern w:val="0"/>
          <w:sz w:val="32"/>
          <w:szCs w:val="32"/>
          <w:lang w:val="en-US" w:eastAsia="zh-CN"/>
        </w:rPr>
        <w:t>0台</w:t>
      </w:r>
      <w:r>
        <w:rPr>
          <w:rFonts w:ascii="FangSong_GB2312" w:hAnsi="FangSong_GB2312" w:eastAsia="FangSong_GB2312" w:cs="FangSong_GB2312"/>
          <w:spacing w:val="0"/>
          <w:kern w:val="0"/>
          <w:sz w:val="32"/>
          <w:szCs w:val="32"/>
        </w:rPr>
        <w:t>（套）。 </w:t>
      </w:r>
      <w:bookmarkStart w:id="25" w:name="_Toc256000079"/>
      <w:r>
        <w:rPr>
          <w:rFonts w:hint="eastAsia" w:ascii="FangSong_GB2312" w:hAnsi="FangSong_GB2312" w:eastAsia="FangSong_GB2312" w:cs="FangSong_GB2312"/>
          <w:spacing w:val="0"/>
          <w:kern w:val="0"/>
          <w:sz w:val="32"/>
          <w:szCs w:val="32"/>
          <w:lang w:val="en-US" w:eastAsia="zh-CN"/>
        </w:rPr>
        <w:t xml:space="preserve">                                                                                       </w:t>
      </w:r>
    </w:p>
    <w:p w14:paraId="47D44B83">
      <w:pPr>
        <w:pStyle w:val="30"/>
        <w:widowControl/>
        <w:spacing w:before="100" w:after="100" w:line="560" w:lineRule="atLeast"/>
        <w:ind w:left="100" w:right="100" w:firstLine="640"/>
        <w:jc w:val="left"/>
        <w:rPr>
          <w:rFonts w:hint="eastAsia" w:ascii="FangSong_GB2312" w:hAnsi="FangSong_GB2312" w:eastAsia="FangSong_GB2312" w:cs="FangSong_GB2312"/>
          <w:spacing w:val="0"/>
          <w:kern w:val="0"/>
          <w:sz w:val="32"/>
          <w:szCs w:val="32"/>
          <w:lang w:val="en-US" w:eastAsia="zh-CN"/>
        </w:rPr>
      </w:pPr>
    </w:p>
    <w:p w14:paraId="37252DD0">
      <w:pPr>
        <w:pStyle w:val="30"/>
        <w:widowControl/>
        <w:spacing w:before="100" w:after="100" w:line="560" w:lineRule="atLeast"/>
        <w:ind w:right="100" w:firstLine="2240" w:firstLineChars="400"/>
        <w:jc w:val="left"/>
        <w:rPr>
          <w:rFonts w:ascii="Times New Roman" w:hAnsi="Times New Roman" w:eastAsia="Times New Roman" w:cs="Times New Roman"/>
          <w:b/>
          <w:bCs/>
          <w:kern w:val="0"/>
          <w:sz w:val="36"/>
          <w:szCs w:val="36"/>
        </w:rPr>
      </w:pPr>
      <w:r>
        <w:rPr>
          <w:rFonts w:ascii="黑体" w:hAnsi="黑体" w:eastAsia="黑体" w:cs="黑体"/>
          <w:b w:val="0"/>
          <w:bCs w:val="0"/>
          <w:spacing w:val="0"/>
          <w:sz w:val="56"/>
          <w:szCs w:val="56"/>
        </w:rPr>
        <w:t>第四部分</w:t>
      </w:r>
      <w:r>
        <w:rPr>
          <w:rFonts w:hint="eastAsia" w:ascii="黑体" w:hAnsi="黑体" w:eastAsia="黑体" w:cs="黑体"/>
          <w:b w:val="0"/>
          <w:bCs w:val="0"/>
          <w:spacing w:val="0"/>
          <w:sz w:val="56"/>
          <w:szCs w:val="56"/>
          <w:lang w:val="en-US" w:eastAsia="zh-CN"/>
        </w:rPr>
        <w:t xml:space="preserve"> </w:t>
      </w:r>
      <w:r>
        <w:rPr>
          <w:rFonts w:ascii="黑体" w:hAnsi="黑体" w:eastAsia="黑体" w:cs="黑体"/>
          <w:b w:val="0"/>
          <w:bCs w:val="0"/>
          <w:spacing w:val="0"/>
          <w:sz w:val="56"/>
          <w:szCs w:val="56"/>
        </w:rPr>
        <w:t>名词解释</w:t>
      </w:r>
      <w:bookmarkEnd w:id="25"/>
    </w:p>
    <w:p w14:paraId="787D34B9">
      <w:pPr>
        <w:pStyle w:val="30"/>
        <w:widowControl/>
        <w:spacing w:before="100" w:after="100"/>
        <w:ind w:left="100" w:right="100" w:firstLine="0"/>
        <w:jc w:val="center"/>
        <w:rPr>
          <w:rFonts w:ascii="Times New Roman" w:hAnsi="Times New Roman" w:eastAsia="Times New Roman" w:cs="Times New Roman"/>
          <w:kern w:val="0"/>
          <w:sz w:val="24"/>
        </w:rPr>
      </w:pPr>
    </w:p>
    <w:p w14:paraId="079C11BB">
      <w:pPr>
        <w:pStyle w:val="30"/>
        <w:widowControl/>
        <w:spacing w:before="100" w:after="100" w:line="560" w:lineRule="atLeast"/>
        <w:ind w:right="100" w:firstLine="643" w:firstLineChars="20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指单位从本级财政部门取得的财政预算资金，包括一般公共预算财政拨款、政府性基金预算财政拨款和国有资本经营预算财政拨款。</w:t>
      </w:r>
    </w:p>
    <w:p w14:paraId="0FBB2DC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14:paraId="6DE71086">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14:paraId="6A6FD86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指除上述“财政拨款收入”“事业收入”</w:t>
      </w:r>
      <w:r>
        <w:rPr>
          <w:rFonts w:ascii="FangSong_GB2312" w:hAnsi="FangSong_GB2312" w:eastAsia="FangSong_GB2312" w:cs="FangSong_GB2312"/>
          <w:kern w:val="0"/>
          <w:szCs w:val="21"/>
        </w:rPr>
        <w:t> </w:t>
      </w:r>
      <w:r>
        <w:rPr>
          <w:rFonts w:ascii="FangSong_GB2312" w:hAnsi="FangSong_GB2312" w:eastAsia="FangSong_GB2312" w:cs="FangSong_GB2312"/>
          <w:kern w:val="0"/>
          <w:sz w:val="32"/>
          <w:szCs w:val="32"/>
        </w:rPr>
        <w:t>“上级补助收入”“附属单位上缴收入”“经营收入”等以外取得的各项收入。主要是事业单位固定资产出租收入等。</w:t>
      </w:r>
    </w:p>
    <w:p w14:paraId="1CE54325">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五、使用非财政拨款结余（含专用结余）</w:t>
      </w:r>
      <w:r>
        <w:rPr>
          <w:rFonts w:ascii="楷体_GB2312" w:hAnsi="楷体_GB2312" w:eastAsia="楷体_GB2312" w:cs="楷体_GB2312"/>
          <w:b/>
          <w:bCs/>
          <w:kern w:val="0"/>
          <w:sz w:val="24"/>
        </w:rPr>
        <w:t>：</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14:paraId="2C73A816">
      <w:pPr>
        <w:pStyle w:val="30"/>
        <w:widowControl/>
        <w:spacing w:before="24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14:paraId="3EF59D37">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14:paraId="554D4E3D">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14:paraId="321DAB0B">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14:paraId="5AA66D11">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14:paraId="2555F364">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14:paraId="175466D5">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十二、“三公”经费：</w:t>
      </w:r>
      <w:r>
        <w:rPr>
          <w:rFonts w:ascii="FangSong_GB2312" w:hAnsi="FangSong_GB2312" w:eastAsia="FangSong_GB2312" w:cs="FangSong_GB2312"/>
          <w:kern w:val="0"/>
          <w:sz w:val="32"/>
          <w:szCs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r>
        <w:rPr>
          <w:rFonts w:ascii="仿宋" w:hAnsi="仿宋" w:eastAsia="仿宋" w:cs="仿宋"/>
          <w:kern w:val="0"/>
          <w:sz w:val="32"/>
          <w:szCs w:val="32"/>
        </w:rPr>
        <w:t> </w:t>
      </w:r>
    </w:p>
    <w:p w14:paraId="62BCF0D4">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4A832708">
      <w:pPr>
        <w:pStyle w:val="30"/>
        <w:widowControl/>
        <w:spacing w:before="240" w:after="240"/>
        <w:ind w:firstLine="643"/>
        <w:jc w:val="left"/>
        <w:rPr>
          <w:rFonts w:ascii="Times New Roman" w:hAnsi="Times New Roman" w:eastAsia="Times New Roman" w:cs="Times New Roman"/>
          <w:kern w:val="0"/>
          <w:sz w:val="24"/>
        </w:rPr>
      </w:pPr>
    </w:p>
    <w:p w14:paraId="56AA501A">
      <w:pPr>
        <w:pStyle w:val="30"/>
        <w:widowControl/>
        <w:spacing w:before="100" w:after="100"/>
        <w:ind w:left="100" w:right="100" w:firstLine="640"/>
        <w:jc w:val="left"/>
        <w:rPr>
          <w:rFonts w:ascii="Times New Roman" w:hAnsi="Times New Roman" w:eastAsia="Times New Roman" w:cs="Times New Roman"/>
          <w:kern w:val="0"/>
          <w:sz w:val="24"/>
        </w:rPr>
      </w:pPr>
      <w:r>
        <w:rPr>
          <w:rFonts w:ascii="仿宋" w:hAnsi="仿宋" w:eastAsia="仿宋" w:cs="仿宋"/>
          <w:spacing w:val="0"/>
          <w:kern w:val="0"/>
          <w:sz w:val="32"/>
          <w:szCs w:val="32"/>
        </w:rPr>
        <w:t> </w:t>
      </w:r>
    </w:p>
    <w:p w14:paraId="097FCF14">
      <w:pPr>
        <w:sectPr>
          <w:footerReference r:id="rId16" w:type="default"/>
          <w:pgSz w:w="11906" w:h="16838"/>
          <w:pgMar w:top="1440" w:right="720" w:bottom="1440" w:left="720" w:header="720" w:footer="720" w:gutter="0"/>
          <w:cols w:space="720" w:num="1"/>
        </w:sectPr>
      </w:pPr>
    </w:p>
    <w:p w14:paraId="025DC9F1">
      <w:pPr>
        <w:widowControl/>
        <w:spacing w:before="240" w:after="240"/>
        <w:jc w:val="left"/>
        <w:rPr>
          <w:rFonts w:ascii="Times New Roman" w:hAnsi="Times New Roman" w:eastAsia="Times New Roman" w:cs="Times New Roman"/>
          <w:vanish/>
          <w:kern w:val="0"/>
          <w:sz w:val="24"/>
        </w:rPr>
      </w:pPr>
      <w:r>
        <w:rPr>
          <w:rFonts w:ascii="Times New Roman" w:hAnsi="Times New Roman" w:eastAsia="Times New Roman" w:cs="Times New Roman"/>
          <w:vanish/>
          <w:kern w:val="0"/>
          <w:sz w:val="24"/>
        </w:rPr>
        <w:t>word page break</w:t>
      </w:r>
    </w:p>
    <w:p w14:paraId="625B3669">
      <w:pPr>
        <w:pStyle w:val="30"/>
        <w:widowControl/>
        <w:spacing w:before="100" w:after="100"/>
        <w:ind w:left="100" w:right="100" w:firstLine="640"/>
        <w:jc w:val="left"/>
        <w:rPr>
          <w:rFonts w:ascii="Times New Roman" w:hAnsi="Times New Roman" w:eastAsia="Times New Roman" w:cs="Times New Roman"/>
          <w:kern w:val="0"/>
          <w:sz w:val="24"/>
        </w:rPr>
      </w:pPr>
    </w:p>
    <w:p w14:paraId="24CA6734">
      <w:pPr>
        <w:pStyle w:val="5"/>
        <w:keepNext w:val="0"/>
        <w:keepLines w:val="0"/>
        <w:spacing w:before="100" w:after="100" w:line="240" w:lineRule="auto"/>
        <w:ind w:left="100" w:right="100" w:firstLine="0" w:firstLineChars="0"/>
        <w:jc w:val="center"/>
        <w:rPr>
          <w:rFonts w:ascii="Times New Roman" w:hAnsi="Times New Roman" w:eastAsia="Times New Roman" w:cs="Times New Roman"/>
          <w:b/>
          <w:bCs/>
          <w:kern w:val="0"/>
          <w:sz w:val="36"/>
          <w:szCs w:val="36"/>
        </w:rPr>
      </w:pPr>
      <w:bookmarkStart w:id="26" w:name="_Toc256000080"/>
      <w:r>
        <w:rPr>
          <w:rFonts w:ascii="黑体" w:hAnsi="黑体" w:eastAsia="黑体" w:cs="黑体"/>
          <w:b w:val="0"/>
          <w:bCs w:val="0"/>
          <w:spacing w:val="0"/>
          <w:sz w:val="56"/>
          <w:szCs w:val="56"/>
        </w:rPr>
        <w:t>第五部分</w:t>
      </w:r>
      <w:r>
        <w:rPr>
          <w:rFonts w:hint="eastAsia" w:ascii="黑体" w:hAnsi="黑体" w:eastAsia="黑体" w:cs="黑体"/>
          <w:b w:val="0"/>
          <w:bCs w:val="0"/>
          <w:spacing w:val="0"/>
          <w:sz w:val="56"/>
          <w:szCs w:val="56"/>
          <w:lang w:val="en-US" w:eastAsia="zh-CN"/>
        </w:rPr>
        <w:t xml:space="preserve"> </w:t>
      </w:r>
      <w:r>
        <w:rPr>
          <w:rFonts w:ascii="黑体" w:hAnsi="黑体" w:eastAsia="黑体" w:cs="黑体"/>
          <w:b w:val="0"/>
          <w:bCs w:val="0"/>
          <w:spacing w:val="0"/>
          <w:sz w:val="56"/>
          <w:szCs w:val="56"/>
        </w:rPr>
        <w:t>附件</w:t>
      </w:r>
      <w:bookmarkEnd w:id="26"/>
    </w:p>
    <w:p w14:paraId="6BC027D8">
      <w:pPr>
        <w:pStyle w:val="30"/>
        <w:widowControl/>
        <w:spacing w:before="100" w:after="100"/>
        <w:ind w:left="100" w:right="100" w:firstLine="0"/>
        <w:jc w:val="center"/>
        <w:rPr>
          <w:rFonts w:ascii="Times New Roman" w:hAnsi="Times New Roman" w:eastAsia="Times New Roman" w:cs="Times New Roman"/>
          <w:kern w:val="0"/>
          <w:sz w:val="24"/>
        </w:rPr>
      </w:pPr>
    </w:p>
    <w:p w14:paraId="6E83D89A">
      <w:pPr>
        <w:rPr>
          <w:rFonts w:ascii="Times New Roman" w:hAnsi="Times New Roman" w:eastAsia="宋体" w:cs="Times New Roman"/>
          <w:kern w:val="2"/>
          <w:sz w:val="21"/>
          <w:szCs w:val="24"/>
          <w:lang w:val="en-US" w:eastAsia="zh-CN" w:bidi="ar-SA"/>
        </w:rPr>
      </w:pPr>
    </w:p>
    <w:p w14:paraId="71CFAD75">
      <w:pPr>
        <w:pStyle w:val="32"/>
        <w:keepNext w:val="0"/>
        <w:keepLines w:val="0"/>
        <w:pageBreakBefore w:val="0"/>
        <w:widowControl/>
        <w:kinsoku/>
        <w:wordWrap/>
        <w:overflowPunct/>
        <w:topLinePunct w:val="0"/>
        <w:autoSpaceDE/>
        <w:autoSpaceDN/>
        <w:bidi w:val="0"/>
        <w:adjustRightInd/>
        <w:snapToGrid/>
        <w:spacing w:before="240" w:after="240" w:line="560" w:lineRule="exact"/>
        <w:ind w:firstLine="640"/>
        <w:jc w:val="left"/>
        <w:textAlignment w:val="auto"/>
        <w:rPr>
          <w:rFonts w:ascii="Times New Roman" w:hAnsi="Times New Roman" w:eastAsia="Times New Roman" w:cs="Times New Roman"/>
          <w:kern w:val="0"/>
          <w:sz w:val="24"/>
        </w:rPr>
      </w:pPr>
      <w:r>
        <w:rPr>
          <w:rFonts w:hint="eastAsia" w:cs="Times New Roman"/>
          <w:kern w:val="2"/>
          <w:sz w:val="21"/>
          <w:szCs w:val="24"/>
          <w:lang w:val="en-US" w:eastAsia="zh-CN" w:bidi="ar-SA"/>
        </w:rPr>
        <w:tab/>
      </w:r>
      <w:r>
        <w:rPr>
          <w:rFonts w:ascii="黑体" w:hAnsi="黑体" w:eastAsia="黑体" w:cs="黑体"/>
          <w:kern w:val="0"/>
          <w:sz w:val="32"/>
          <w:szCs w:val="32"/>
        </w:rPr>
        <w:t>一、《项目支出绩效自评表》</w:t>
      </w:r>
    </w:p>
    <w:p w14:paraId="32A76746">
      <w:pPr>
        <w:pStyle w:val="31"/>
        <w:keepNext w:val="0"/>
        <w:keepLines w:val="0"/>
        <w:pageBreakBefore w:val="0"/>
        <w:widowControl/>
        <w:kinsoku/>
        <w:wordWrap/>
        <w:overflowPunct/>
        <w:topLinePunct w:val="0"/>
        <w:autoSpaceDE/>
        <w:autoSpaceDN/>
        <w:bidi w:val="0"/>
        <w:adjustRightInd/>
        <w:snapToGrid/>
        <w:spacing w:before="100" w:after="100" w:line="560" w:lineRule="exact"/>
        <w:ind w:right="100" w:firstLine="640" w:firstLineChars="200"/>
        <w:jc w:val="left"/>
        <w:textAlignment w:val="auto"/>
        <w:rPr>
          <w:rFonts w:hint="eastAsia" w:ascii="FangSong_GB2312" w:hAnsi="FangSong_GB2312" w:eastAsia="FangSong_GB2312" w:cs="FangSong_GB2312"/>
          <w:kern w:val="0"/>
          <w:sz w:val="32"/>
          <w:szCs w:val="32"/>
          <w:lang w:val="en-US" w:eastAsia="zh-CN"/>
        </w:rPr>
      </w:pPr>
      <w:r>
        <w:rPr>
          <w:rFonts w:hint="eastAsia" w:ascii="FangSong_GB2312" w:hAnsi="FangSong_GB2312" w:eastAsia="FangSong_GB2312" w:cs="FangSong_GB2312"/>
          <w:kern w:val="0"/>
          <w:sz w:val="32"/>
          <w:szCs w:val="32"/>
          <w:lang w:val="en-US" w:eastAsia="zh-CN"/>
        </w:rPr>
        <w:t>本部门2025年无相关部门项目自评，无《项目支出绩效自评表》。</w:t>
      </w:r>
    </w:p>
    <w:p w14:paraId="5463EF35">
      <w:pPr>
        <w:pStyle w:val="32"/>
        <w:keepNext w:val="0"/>
        <w:keepLines w:val="0"/>
        <w:pageBreakBefore w:val="0"/>
        <w:widowControl/>
        <w:kinsoku/>
        <w:wordWrap/>
        <w:overflowPunct/>
        <w:topLinePunct w:val="0"/>
        <w:autoSpaceDE/>
        <w:autoSpaceDN/>
        <w:bidi w:val="0"/>
        <w:adjustRightInd/>
        <w:snapToGrid/>
        <w:spacing w:before="240" w:after="240" w:line="560" w:lineRule="exact"/>
        <w:ind w:firstLine="640"/>
        <w:jc w:val="left"/>
        <w:textAlignment w:val="auto"/>
        <w:rPr>
          <w:rFonts w:ascii="Times New Roman" w:hAnsi="Times New Roman" w:eastAsia="Times New Roman" w:cs="Times New Roman"/>
          <w:kern w:val="0"/>
          <w:sz w:val="24"/>
        </w:rPr>
      </w:pPr>
      <w:r>
        <w:rPr>
          <w:rFonts w:hint="eastAsia" w:ascii="FangSong_GB2312" w:hAnsi="FangSong_GB2312" w:eastAsia="FangSong_GB2312" w:cs="FangSong_GB2312"/>
          <w:kern w:val="0"/>
          <w:sz w:val="32"/>
          <w:szCs w:val="32"/>
          <w:lang w:val="en-US" w:eastAsia="zh-CN" w:bidi="ar-SA"/>
        </w:rPr>
        <w:tab/>
      </w:r>
      <w:r>
        <w:rPr>
          <w:rFonts w:ascii="黑体" w:hAnsi="黑体" w:eastAsia="黑体" w:cs="黑体"/>
          <w:kern w:val="0"/>
          <w:sz w:val="32"/>
          <w:szCs w:val="32"/>
        </w:rPr>
        <w:t>二、《项目支出绩效评价报告》</w:t>
      </w:r>
    </w:p>
    <w:p w14:paraId="67107CF6">
      <w:pPr>
        <w:keepNext w:val="0"/>
        <w:keepLines w:val="0"/>
        <w:pageBreakBefore w:val="0"/>
        <w:tabs>
          <w:tab w:val="left" w:pos="1806"/>
        </w:tabs>
        <w:kinsoku/>
        <w:wordWrap/>
        <w:overflowPunct/>
        <w:topLinePunct w:val="0"/>
        <w:autoSpaceDE/>
        <w:autoSpaceDN/>
        <w:bidi w:val="0"/>
        <w:adjustRightInd/>
        <w:snapToGrid/>
        <w:spacing w:line="560" w:lineRule="exact"/>
        <w:ind w:firstLine="640" w:firstLineChars="200"/>
        <w:jc w:val="left"/>
        <w:textAlignment w:val="auto"/>
        <w:rPr>
          <w:rFonts w:hint="eastAsia" w:ascii="FangSong_GB2312" w:hAnsi="FangSong_GB2312" w:eastAsia="FangSong_GB2312" w:cs="FangSong_GB2312"/>
          <w:kern w:val="0"/>
          <w:sz w:val="32"/>
          <w:szCs w:val="32"/>
          <w:lang w:val="en-US" w:eastAsia="zh-CN" w:bidi="ar-SA"/>
        </w:rPr>
      </w:pPr>
      <w:r>
        <w:rPr>
          <w:rFonts w:hint="eastAsia" w:ascii="FangSong_GB2312" w:hAnsi="FangSong_GB2312" w:eastAsia="FangSong_GB2312" w:cs="FangSong_GB2312"/>
          <w:kern w:val="0"/>
          <w:sz w:val="32"/>
          <w:szCs w:val="32"/>
          <w:lang w:val="en-US" w:eastAsia="zh-CN" w:bidi="ar-SA"/>
        </w:rPr>
        <w:t>本部门2025年无相关部门评价项目，无《项目支出绩效评价报告》</w:t>
      </w:r>
      <w:r>
        <w:rPr>
          <w:rFonts w:hint="eastAsia" w:ascii="FangSong_GB2312" w:hAnsi="FangSong_GB2312" w:eastAsia="FangSong_GB2312" w:cs="FangSong_GB2312"/>
          <w:kern w:val="0"/>
          <w:sz w:val="32"/>
          <w:szCs w:val="32"/>
          <w:lang w:val="en-US" w:eastAsia="zh-CN"/>
        </w:rPr>
        <w:t>。</w:t>
      </w:r>
    </w:p>
    <w:p w14:paraId="19FC484D">
      <w:pPr>
        <w:pStyle w:val="3"/>
        <w:ind w:left="0" w:leftChars="0" w:firstLine="640" w:firstLineChars="200"/>
        <w:rPr>
          <w:rFonts w:ascii="黑体" w:hAnsi="黑体" w:eastAsia="黑体" w:cs="黑体"/>
          <w:kern w:val="0"/>
          <w:sz w:val="32"/>
          <w:szCs w:val="32"/>
        </w:rPr>
      </w:pPr>
    </w:p>
    <w:p w14:paraId="489870D6">
      <w:pPr>
        <w:pStyle w:val="3"/>
        <w:numPr>
          <w:ilvl w:val="0"/>
          <w:numId w:val="1"/>
        </w:numPr>
        <w:ind w:left="0" w:leftChars="0" w:firstLine="960" w:firstLineChars="300"/>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部门整体支出绩效自评表</w:t>
      </w:r>
    </w:p>
    <w:tbl>
      <w:tblPr>
        <w:tblStyle w:val="21"/>
        <w:tblpPr w:leftFromText="180" w:rightFromText="180" w:vertAnchor="text" w:horzAnchor="page" w:tblpX="1754" w:tblpY="884"/>
        <w:tblOverlap w:val="never"/>
        <w:tblW w:w="142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72"/>
        <w:gridCol w:w="933"/>
        <w:gridCol w:w="960"/>
        <w:gridCol w:w="1527"/>
        <w:gridCol w:w="1488"/>
        <w:gridCol w:w="1057"/>
        <w:gridCol w:w="1519"/>
        <w:gridCol w:w="1386"/>
        <w:gridCol w:w="611"/>
        <w:gridCol w:w="613"/>
        <w:gridCol w:w="1852"/>
        <w:gridCol w:w="804"/>
        <w:gridCol w:w="818"/>
      </w:tblGrid>
      <w:tr w14:paraId="6DCB4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02" w:hRule="atLeast"/>
        </w:trPr>
        <w:tc>
          <w:tcPr>
            <w:tcW w:w="12618" w:type="dxa"/>
            <w:gridSpan w:val="11"/>
            <w:shd w:val="clear" w:color="auto" w:fill="auto"/>
            <w:vAlign w:val="center"/>
          </w:tcPr>
          <w:p w14:paraId="56AF4CB9">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部门整体绩效自评表</w:t>
            </w:r>
          </w:p>
        </w:tc>
        <w:tc>
          <w:tcPr>
            <w:tcW w:w="804" w:type="dxa"/>
            <w:shd w:val="clear" w:color="auto" w:fill="auto"/>
            <w:vAlign w:val="center"/>
          </w:tcPr>
          <w:p w14:paraId="70FE4EFC">
            <w:pPr>
              <w:rPr>
                <w:rFonts w:hint="eastAsia" w:ascii="宋体" w:hAnsi="宋体" w:eastAsia="宋体" w:cs="宋体"/>
                <w:i w:val="0"/>
                <w:color w:val="000000"/>
                <w:sz w:val="22"/>
                <w:szCs w:val="22"/>
                <w:u w:val="none"/>
              </w:rPr>
            </w:pPr>
          </w:p>
        </w:tc>
        <w:tc>
          <w:tcPr>
            <w:tcW w:w="818" w:type="dxa"/>
            <w:shd w:val="clear" w:color="auto" w:fill="auto"/>
            <w:vAlign w:val="center"/>
          </w:tcPr>
          <w:p w14:paraId="1931A746">
            <w:pPr>
              <w:rPr>
                <w:rFonts w:hint="eastAsia" w:ascii="宋体" w:hAnsi="宋体" w:eastAsia="宋体" w:cs="宋体"/>
                <w:i w:val="0"/>
                <w:color w:val="000000"/>
                <w:sz w:val="22"/>
                <w:szCs w:val="22"/>
                <w:u w:val="none"/>
              </w:rPr>
            </w:pPr>
          </w:p>
        </w:tc>
      </w:tr>
      <w:tr w14:paraId="08694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6" w:hRule="atLeast"/>
        </w:trPr>
        <w:tc>
          <w:tcPr>
            <w:tcW w:w="12618" w:type="dxa"/>
            <w:gridSpan w:val="11"/>
            <w:shd w:val="clear" w:color="auto" w:fill="auto"/>
            <w:vAlign w:val="center"/>
          </w:tcPr>
          <w:p w14:paraId="2B7F1C2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w:t>
            </w:r>
          </w:p>
        </w:tc>
        <w:tc>
          <w:tcPr>
            <w:tcW w:w="804" w:type="dxa"/>
            <w:shd w:val="clear" w:color="auto" w:fill="auto"/>
            <w:vAlign w:val="center"/>
          </w:tcPr>
          <w:p w14:paraId="07E980D9">
            <w:pPr>
              <w:rPr>
                <w:rFonts w:hint="eastAsia" w:ascii="宋体" w:hAnsi="宋体" w:eastAsia="宋体" w:cs="宋体"/>
                <w:i w:val="0"/>
                <w:color w:val="000000"/>
                <w:sz w:val="22"/>
                <w:szCs w:val="22"/>
                <w:u w:val="none"/>
              </w:rPr>
            </w:pPr>
          </w:p>
        </w:tc>
        <w:tc>
          <w:tcPr>
            <w:tcW w:w="818" w:type="dxa"/>
            <w:shd w:val="clear" w:color="auto" w:fill="auto"/>
            <w:vAlign w:val="center"/>
          </w:tcPr>
          <w:p w14:paraId="746A1D3E">
            <w:pPr>
              <w:rPr>
                <w:rFonts w:hint="eastAsia" w:ascii="宋体" w:hAnsi="宋体" w:eastAsia="宋体" w:cs="宋体"/>
                <w:i w:val="0"/>
                <w:color w:val="000000"/>
                <w:sz w:val="22"/>
                <w:szCs w:val="22"/>
                <w:u w:val="none"/>
              </w:rPr>
            </w:pPr>
          </w:p>
        </w:tc>
      </w:tr>
      <w:tr w14:paraId="720BD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CE8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专项名称</w:t>
            </w:r>
          </w:p>
        </w:tc>
        <w:tc>
          <w:tcPr>
            <w:tcW w:w="100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77694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103部门整体</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D9EE">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5450">
            <w:pPr>
              <w:rPr>
                <w:rFonts w:hint="eastAsia" w:ascii="宋体" w:hAnsi="宋体" w:eastAsia="宋体" w:cs="宋体"/>
                <w:i w:val="0"/>
                <w:color w:val="000000"/>
                <w:sz w:val="22"/>
                <w:szCs w:val="22"/>
                <w:u w:val="none"/>
              </w:rPr>
            </w:pPr>
          </w:p>
        </w:tc>
      </w:tr>
      <w:tr w14:paraId="79EC6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25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258B0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部门（单位）名称</w:t>
            </w:r>
          </w:p>
        </w:tc>
        <w:tc>
          <w:tcPr>
            <w:tcW w:w="4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0BC8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明溪县人民政府办公室</w:t>
            </w:r>
          </w:p>
        </w:tc>
        <w:tc>
          <w:tcPr>
            <w:tcW w:w="2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74A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部门预算编码</w:t>
            </w:r>
          </w:p>
        </w:tc>
        <w:tc>
          <w:tcPr>
            <w:tcW w:w="30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C61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103</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6291">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FB8B">
            <w:pPr>
              <w:rPr>
                <w:rFonts w:hint="eastAsia" w:ascii="宋体" w:hAnsi="宋体" w:eastAsia="宋体" w:cs="宋体"/>
                <w:i w:val="0"/>
                <w:color w:val="000000"/>
                <w:sz w:val="22"/>
                <w:szCs w:val="22"/>
                <w:u w:val="none"/>
              </w:rPr>
            </w:pPr>
          </w:p>
        </w:tc>
      </w:tr>
      <w:tr w14:paraId="6D50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85ADF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财政资金安排和使用情况</w:t>
            </w:r>
          </w:p>
        </w:tc>
        <w:tc>
          <w:tcPr>
            <w:tcW w:w="189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D1B03">
            <w:pPr>
              <w:jc w:val="center"/>
              <w:rPr>
                <w:rFonts w:hint="eastAsia" w:ascii="宋体" w:hAnsi="宋体" w:eastAsia="宋体" w:cs="宋体"/>
                <w:i w:val="0"/>
                <w:color w:val="000000"/>
                <w:sz w:val="24"/>
                <w:szCs w:val="24"/>
                <w:u w:val="none"/>
              </w:rPr>
            </w:pPr>
          </w:p>
        </w:tc>
        <w:tc>
          <w:tcPr>
            <w:tcW w:w="40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DF24E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预算安排</w:t>
            </w:r>
          </w:p>
        </w:tc>
        <w:tc>
          <w:tcPr>
            <w:tcW w:w="29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DE8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拨付情况</w:t>
            </w:r>
          </w:p>
        </w:tc>
        <w:tc>
          <w:tcPr>
            <w:tcW w:w="30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02680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结余情况</w:t>
            </w:r>
          </w:p>
        </w:tc>
        <w:tc>
          <w:tcPr>
            <w:tcW w:w="8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E7E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384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14:paraId="381C8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84"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58F37">
            <w:pPr>
              <w:jc w:val="center"/>
              <w:rPr>
                <w:rFonts w:hint="eastAsia" w:ascii="宋体" w:hAnsi="宋体" w:eastAsia="宋体" w:cs="宋体"/>
                <w:i w:val="0"/>
                <w:color w:val="000000"/>
                <w:sz w:val="24"/>
                <w:szCs w:val="24"/>
                <w:u w:val="none"/>
              </w:rPr>
            </w:pPr>
          </w:p>
        </w:tc>
        <w:tc>
          <w:tcPr>
            <w:tcW w:w="189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4FA67">
            <w:pPr>
              <w:jc w:val="center"/>
              <w:rPr>
                <w:rFonts w:hint="eastAsia" w:ascii="宋体" w:hAnsi="宋体" w:eastAsia="宋体" w:cs="宋体"/>
                <w:i w:val="0"/>
                <w:color w:val="000000"/>
                <w:sz w:val="24"/>
                <w:szCs w:val="24"/>
                <w:u w:val="none"/>
              </w:rPr>
            </w:pP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FEAB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年初部门预算安排金额（含历年结余结转）①</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F28E">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年中调整金额②</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16E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 ③ = ①+②</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064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年度拨付金额 ④</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5E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支出实现率(%) ⑤=④/③</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AD15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本年度结余金额⑥=③-④</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4B0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资金结余率(%) ⑦=⑥/③</w:t>
            </w:r>
          </w:p>
        </w:tc>
        <w:tc>
          <w:tcPr>
            <w:tcW w:w="8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89F2">
            <w:pPr>
              <w:jc w:val="center"/>
              <w:rPr>
                <w:rFonts w:hint="eastAsia" w:ascii="宋体" w:hAnsi="宋体" w:eastAsia="宋体" w:cs="宋体"/>
                <w:i w:val="0"/>
                <w:color w:val="000000"/>
                <w:sz w:val="22"/>
                <w:szCs w:val="22"/>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157B4">
            <w:pPr>
              <w:jc w:val="center"/>
              <w:rPr>
                <w:rFonts w:hint="eastAsia" w:ascii="宋体" w:hAnsi="宋体" w:eastAsia="宋体" w:cs="宋体"/>
                <w:i w:val="0"/>
                <w:color w:val="000000"/>
                <w:sz w:val="22"/>
                <w:szCs w:val="22"/>
                <w:u w:val="none"/>
              </w:rPr>
            </w:pPr>
          </w:p>
        </w:tc>
      </w:tr>
      <w:tr w14:paraId="50AE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0"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0467E">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99F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10C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702.99</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22F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475.94</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EFC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1178.93</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DF2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1154.12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58F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97.90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9612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24.81</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CF2F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E9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D9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r>
      <w:tr w14:paraId="1FCA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0"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D0E15">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7D63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财政资金小计</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71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702.99</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A2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475.94</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F8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1178.93</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BFFF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1154.12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E7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97.90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449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24.81</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5D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D37B">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9BA9B">
            <w:pPr>
              <w:rPr>
                <w:rFonts w:hint="eastAsia" w:ascii="宋体" w:hAnsi="宋体" w:eastAsia="宋体" w:cs="宋体"/>
                <w:i w:val="0"/>
                <w:color w:val="000000"/>
                <w:sz w:val="22"/>
                <w:szCs w:val="22"/>
                <w:u w:val="none"/>
              </w:rPr>
            </w:pPr>
          </w:p>
        </w:tc>
      </w:tr>
      <w:tr w14:paraId="3938F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B957D">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968D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①中央财政资金</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DE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A52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26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2C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D50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0CD6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C9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9F22">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3D2E2">
            <w:pPr>
              <w:rPr>
                <w:rFonts w:hint="eastAsia" w:ascii="宋体" w:hAnsi="宋体" w:eastAsia="宋体" w:cs="宋体"/>
                <w:i w:val="0"/>
                <w:color w:val="000000"/>
                <w:sz w:val="22"/>
                <w:szCs w:val="22"/>
                <w:u w:val="none"/>
              </w:rPr>
            </w:pPr>
          </w:p>
        </w:tc>
      </w:tr>
      <w:tr w14:paraId="1A812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3B11A">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01DB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②省级财政资金</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5AD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9C4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F3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12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D2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A0AB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2B7A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175EC">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5314">
            <w:pPr>
              <w:rPr>
                <w:rFonts w:hint="eastAsia" w:ascii="宋体" w:hAnsi="宋体" w:eastAsia="宋体" w:cs="宋体"/>
                <w:i w:val="0"/>
                <w:color w:val="000000"/>
                <w:sz w:val="22"/>
                <w:szCs w:val="22"/>
                <w:u w:val="none"/>
              </w:rPr>
            </w:pPr>
          </w:p>
        </w:tc>
      </w:tr>
      <w:tr w14:paraId="7EF69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0"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2B4C8">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1C6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③地方财政资金</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41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702.99</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B8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475.94</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A5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1178.93</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408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1154.12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0BB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97.90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806F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24.81</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B3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06FA">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4F34">
            <w:pPr>
              <w:rPr>
                <w:rFonts w:hint="eastAsia" w:ascii="宋体" w:hAnsi="宋体" w:eastAsia="宋体" w:cs="宋体"/>
                <w:i w:val="0"/>
                <w:color w:val="000000"/>
                <w:sz w:val="22"/>
                <w:szCs w:val="22"/>
                <w:u w:val="none"/>
              </w:rPr>
            </w:pPr>
          </w:p>
        </w:tc>
      </w:tr>
      <w:tr w14:paraId="62967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53072">
            <w:pPr>
              <w:jc w:val="center"/>
              <w:rPr>
                <w:rFonts w:hint="eastAsia" w:ascii="宋体" w:hAnsi="宋体" w:eastAsia="宋体" w:cs="宋体"/>
                <w:i w:val="0"/>
                <w:color w:val="000000"/>
                <w:sz w:val="24"/>
                <w:szCs w:val="24"/>
                <w:u w:val="none"/>
              </w:rPr>
            </w:pPr>
          </w:p>
        </w:tc>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38E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其他资金小计</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4A5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4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5B9A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0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3A2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4F0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9247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2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260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419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0.00</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FF56">
            <w:pPr>
              <w:rPr>
                <w:rFonts w:hint="eastAsia" w:ascii="宋体" w:hAnsi="宋体" w:eastAsia="宋体" w:cs="宋体"/>
                <w:i w:val="0"/>
                <w:color w:val="000000"/>
                <w:sz w:val="22"/>
                <w:szCs w:val="22"/>
                <w:u w:val="none"/>
              </w:rPr>
            </w:pP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3599F">
            <w:pPr>
              <w:rPr>
                <w:rFonts w:hint="eastAsia" w:ascii="宋体" w:hAnsi="宋体" w:eastAsia="宋体" w:cs="宋体"/>
                <w:i w:val="0"/>
                <w:color w:val="000000"/>
                <w:sz w:val="22"/>
                <w:szCs w:val="22"/>
                <w:u w:val="none"/>
              </w:rPr>
            </w:pPr>
          </w:p>
        </w:tc>
      </w:tr>
      <w:tr w14:paraId="32FA5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49331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年度总体目标</w:t>
            </w:r>
          </w:p>
        </w:tc>
        <w:tc>
          <w:tcPr>
            <w:tcW w:w="74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CFF3A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预期目标</w:t>
            </w:r>
          </w:p>
        </w:tc>
        <w:tc>
          <w:tcPr>
            <w:tcW w:w="6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F1046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目标实际完成情况</w:t>
            </w:r>
          </w:p>
        </w:tc>
      </w:tr>
      <w:tr w14:paraId="45F3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43"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88FF4">
            <w:pPr>
              <w:jc w:val="center"/>
              <w:rPr>
                <w:rFonts w:hint="eastAsia" w:ascii="宋体" w:hAnsi="宋体" w:eastAsia="宋体" w:cs="宋体"/>
                <w:i w:val="0"/>
                <w:color w:val="000000"/>
                <w:sz w:val="24"/>
                <w:szCs w:val="24"/>
                <w:u w:val="none"/>
              </w:rPr>
            </w:pPr>
          </w:p>
        </w:tc>
        <w:tc>
          <w:tcPr>
            <w:tcW w:w="74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EEA4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严格落实预算管理要求，规范开展公文处理、调研信息、督查督办、综合协调、公务接待、外事、</w:t>
            </w:r>
            <w:bookmarkStart w:id="27" w:name="_GoBack"/>
            <w:bookmarkEnd w:id="27"/>
            <w:r>
              <w:rPr>
                <w:rFonts w:hint="eastAsia" w:ascii="宋体" w:hAnsi="宋体" w:eastAsia="宋体" w:cs="宋体"/>
                <w:i w:val="0"/>
                <w:color w:val="000000"/>
                <w:kern w:val="0"/>
                <w:sz w:val="24"/>
                <w:szCs w:val="24"/>
                <w:u w:val="none"/>
                <w:lang w:val="en-US" w:eastAsia="zh-CN" w:bidi="ar"/>
              </w:rPr>
              <w:t>金融服务及机关效能建设等工作，保障政务运行高效有序，完成县委、县政府交办的各项工作任务。</w:t>
            </w:r>
          </w:p>
        </w:tc>
        <w:tc>
          <w:tcPr>
            <w:tcW w:w="608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A89B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2025年度总体支出1154.12</w:t>
            </w:r>
            <w:r>
              <w:rPr>
                <w:rFonts w:hint="eastAsia" w:ascii="宋体" w:hAnsi="宋体" w:cs="宋体"/>
                <w:i w:val="0"/>
                <w:color w:val="000000"/>
                <w:kern w:val="0"/>
                <w:sz w:val="24"/>
                <w:szCs w:val="24"/>
                <w:u w:val="none"/>
                <w:lang w:val="en-US" w:eastAsia="zh-CN" w:bidi="ar"/>
              </w:rPr>
              <w:t>万</w:t>
            </w:r>
            <w:r>
              <w:rPr>
                <w:rFonts w:hint="eastAsia" w:ascii="宋体" w:hAnsi="宋体" w:eastAsia="宋体" w:cs="宋体"/>
                <w:i w:val="0"/>
                <w:color w:val="000000"/>
                <w:kern w:val="0"/>
                <w:sz w:val="24"/>
                <w:szCs w:val="24"/>
                <w:u w:val="none"/>
                <w:lang w:val="en-US" w:eastAsia="zh-CN" w:bidi="ar"/>
              </w:rPr>
              <w:t>元，其中：人员经费支出576.74万元；公用经费支出577.38万元。2025年，明溪县人民政府办公室在县委、县政府的领导下，坚持以习近平新时代中国特色社会主义思想为指导，深入学习贯彻党的二十届四中全会精神，立足“三服务”核心职能，充分发挥统筹协调、参谋辅政、督查落实、服务保障关键作用，全力保障县政府各项决策部署落地落细、各项工作高效有序运转，较好完成县委、县政府交办的各项工作任务。</w:t>
            </w:r>
          </w:p>
        </w:tc>
      </w:tr>
      <w:tr w14:paraId="42C8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9" w:hRule="atLeast"/>
        </w:trPr>
        <w:tc>
          <w:tcPr>
            <w:tcW w:w="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4F5B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指标</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FA9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905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二级指标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60D1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三级指标</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D9D89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年度指标值</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821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实际完成值</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1B4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指标分值</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35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自评得分</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A68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偏差原因分析及改进措施</w:t>
            </w:r>
          </w:p>
        </w:tc>
      </w:tr>
      <w:tr w14:paraId="1AEF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3BF0B">
            <w:pPr>
              <w:rPr>
                <w:rFonts w:hint="eastAsia" w:ascii="宋体" w:hAnsi="宋体" w:eastAsia="宋体" w:cs="宋体"/>
                <w:i w:val="0"/>
                <w:color w:val="000000"/>
                <w:sz w:val="24"/>
                <w:szCs w:val="24"/>
                <w:u w:val="none"/>
              </w:rPr>
            </w:pP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C34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一般性支出情况</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750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一般性支出情况</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678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“三公”经费控制率</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3C68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93A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C7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67B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34804C">
            <w:pPr>
              <w:jc w:val="center"/>
              <w:rPr>
                <w:rFonts w:hint="eastAsia" w:ascii="宋体" w:hAnsi="宋体" w:eastAsia="宋体" w:cs="宋体"/>
                <w:i w:val="0"/>
                <w:color w:val="000000"/>
                <w:sz w:val="24"/>
                <w:szCs w:val="24"/>
                <w:u w:val="none"/>
              </w:rPr>
            </w:pPr>
          </w:p>
        </w:tc>
      </w:tr>
      <w:tr w14:paraId="38ACA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2E0CD">
            <w:pPr>
              <w:rPr>
                <w:rFonts w:hint="eastAsia" w:ascii="宋体" w:hAnsi="宋体" w:eastAsia="宋体" w:cs="宋体"/>
                <w:i w:val="0"/>
                <w:color w:val="000000"/>
                <w:sz w:val="24"/>
                <w:szCs w:val="24"/>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679B">
            <w:pPr>
              <w:rPr>
                <w:rFonts w:hint="eastAsia" w:ascii="宋体" w:hAnsi="宋体" w:eastAsia="宋体" w:cs="宋体"/>
                <w:i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F9F7C">
            <w:pPr>
              <w:rPr>
                <w:rFonts w:hint="eastAsia" w:ascii="宋体" w:hAnsi="宋体" w:eastAsia="宋体" w:cs="宋体"/>
                <w:i w:val="0"/>
                <w:color w:val="000000"/>
                <w:sz w:val="22"/>
                <w:szCs w:val="22"/>
                <w:u w:val="none"/>
              </w:rPr>
            </w:pP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2E6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“三公”经费违规使用次数</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D37A8">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≤0次</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B1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D7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CD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B6263">
            <w:pPr>
              <w:jc w:val="center"/>
              <w:rPr>
                <w:rFonts w:hint="eastAsia" w:ascii="宋体" w:hAnsi="宋体" w:eastAsia="宋体" w:cs="宋体"/>
                <w:i w:val="0"/>
                <w:color w:val="000000"/>
                <w:sz w:val="24"/>
                <w:szCs w:val="24"/>
                <w:u w:val="none"/>
              </w:rPr>
            </w:pPr>
          </w:p>
        </w:tc>
      </w:tr>
      <w:tr w14:paraId="44C8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5573F">
            <w:pPr>
              <w:rPr>
                <w:rFonts w:hint="eastAsia" w:ascii="宋体" w:hAnsi="宋体" w:eastAsia="宋体" w:cs="宋体"/>
                <w:i w:val="0"/>
                <w:color w:val="000000"/>
                <w:sz w:val="24"/>
                <w:szCs w:val="24"/>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992F60">
            <w:pPr>
              <w:rPr>
                <w:rFonts w:hint="eastAsia" w:ascii="宋体" w:hAnsi="宋体" w:eastAsia="宋体" w:cs="宋体"/>
                <w:i w:val="0"/>
                <w:color w:val="000000"/>
                <w:sz w:val="22"/>
                <w:szCs w:val="22"/>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B114E">
            <w:pPr>
              <w:rPr>
                <w:rFonts w:hint="eastAsia" w:ascii="宋体" w:hAnsi="宋体" w:eastAsia="宋体" w:cs="宋体"/>
                <w:i w:val="0"/>
                <w:color w:val="000000"/>
                <w:sz w:val="22"/>
                <w:szCs w:val="22"/>
                <w:u w:val="none"/>
              </w:rPr>
            </w:pP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DDB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会议费、差旅费超标准使用次数</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C94C1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≤0次</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817C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60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25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DCBDD0">
            <w:pPr>
              <w:jc w:val="center"/>
              <w:rPr>
                <w:rFonts w:hint="eastAsia" w:ascii="宋体" w:hAnsi="宋体" w:eastAsia="宋体" w:cs="宋体"/>
                <w:i w:val="0"/>
                <w:color w:val="000000"/>
                <w:sz w:val="24"/>
                <w:szCs w:val="24"/>
                <w:u w:val="none"/>
              </w:rPr>
            </w:pPr>
          </w:p>
        </w:tc>
      </w:tr>
      <w:tr w14:paraId="2738A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994C3">
            <w:pPr>
              <w:rPr>
                <w:rFonts w:hint="eastAsia" w:ascii="宋体" w:hAnsi="宋体" w:eastAsia="宋体" w:cs="宋体"/>
                <w:i w:val="0"/>
                <w:color w:val="000000"/>
                <w:sz w:val="24"/>
                <w:szCs w:val="24"/>
                <w:u w:val="none"/>
              </w:rPr>
            </w:pPr>
          </w:p>
        </w:tc>
        <w:tc>
          <w:tcPr>
            <w:tcW w:w="9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6C1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7D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5DE7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工作保障覆盖率</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658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31A0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C2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A78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29746F">
            <w:pPr>
              <w:jc w:val="center"/>
              <w:rPr>
                <w:rFonts w:hint="eastAsia" w:ascii="宋体" w:hAnsi="宋体" w:eastAsia="宋体" w:cs="宋体"/>
                <w:i w:val="0"/>
                <w:color w:val="000000"/>
                <w:sz w:val="24"/>
                <w:szCs w:val="24"/>
                <w:u w:val="none"/>
              </w:rPr>
            </w:pPr>
          </w:p>
        </w:tc>
      </w:tr>
      <w:tr w14:paraId="009A2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6FC2E">
            <w:pPr>
              <w:rPr>
                <w:rFonts w:hint="eastAsia" w:ascii="宋体" w:hAnsi="宋体" w:eastAsia="宋体" w:cs="宋体"/>
                <w:i w:val="0"/>
                <w:color w:val="000000"/>
                <w:sz w:val="24"/>
                <w:szCs w:val="24"/>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BAFFF">
            <w:pPr>
              <w:rPr>
                <w:rFonts w:hint="eastAsia" w:ascii="宋体" w:hAnsi="宋体" w:eastAsia="宋体" w:cs="宋体"/>
                <w:i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0E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F19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保障工作质量</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9C60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779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E4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AB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AB24D8">
            <w:pPr>
              <w:jc w:val="center"/>
              <w:rPr>
                <w:rFonts w:hint="eastAsia" w:ascii="宋体" w:hAnsi="宋体" w:eastAsia="宋体" w:cs="宋体"/>
                <w:i w:val="0"/>
                <w:color w:val="000000"/>
                <w:sz w:val="24"/>
                <w:szCs w:val="24"/>
                <w:u w:val="none"/>
              </w:rPr>
            </w:pPr>
          </w:p>
        </w:tc>
      </w:tr>
      <w:tr w14:paraId="6BFF0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D87C">
            <w:pPr>
              <w:rPr>
                <w:rFonts w:hint="eastAsia" w:ascii="宋体" w:hAnsi="宋体" w:eastAsia="宋体" w:cs="宋体"/>
                <w:i w:val="0"/>
                <w:color w:val="000000"/>
                <w:sz w:val="24"/>
                <w:szCs w:val="24"/>
                <w:u w:val="none"/>
              </w:rPr>
            </w:pPr>
          </w:p>
        </w:tc>
        <w:tc>
          <w:tcPr>
            <w:tcW w:w="9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93462">
            <w:pPr>
              <w:rPr>
                <w:rFonts w:hint="eastAsia" w:ascii="宋体" w:hAnsi="宋体" w:eastAsia="宋体" w:cs="宋体"/>
                <w:i w:val="0"/>
                <w:color w:val="000000"/>
                <w:sz w:val="22"/>
                <w:szCs w:val="22"/>
                <w:u w:val="none"/>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982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96B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资金支出及时</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8A08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9D0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70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294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B3663C">
            <w:pPr>
              <w:jc w:val="center"/>
              <w:rPr>
                <w:rFonts w:hint="eastAsia" w:ascii="宋体" w:hAnsi="宋体" w:eastAsia="宋体" w:cs="宋体"/>
                <w:i w:val="0"/>
                <w:color w:val="000000"/>
                <w:sz w:val="24"/>
                <w:szCs w:val="24"/>
                <w:u w:val="none"/>
              </w:rPr>
            </w:pPr>
          </w:p>
        </w:tc>
      </w:tr>
      <w:tr w14:paraId="4C717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7"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02C67">
            <w:pPr>
              <w:rPr>
                <w:rFonts w:hint="eastAsia" w:ascii="宋体" w:hAnsi="宋体" w:eastAsia="宋体" w:cs="宋体"/>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C7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20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经济成本指标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6D58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成本控制率</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2276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4A1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97.9</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02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056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3283B">
            <w:pPr>
              <w:jc w:val="center"/>
              <w:rPr>
                <w:rFonts w:hint="eastAsia" w:ascii="宋体" w:hAnsi="宋体" w:eastAsia="宋体" w:cs="宋体"/>
                <w:i w:val="0"/>
                <w:color w:val="000000"/>
                <w:sz w:val="24"/>
                <w:szCs w:val="24"/>
                <w:u w:val="none"/>
              </w:rPr>
            </w:pPr>
          </w:p>
        </w:tc>
      </w:tr>
      <w:tr w14:paraId="03ED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2"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7BE22">
            <w:pPr>
              <w:rPr>
                <w:rFonts w:hint="eastAsia" w:ascii="宋体" w:hAnsi="宋体" w:eastAsia="宋体" w:cs="宋体"/>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E7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A54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B38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单位正常运转</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DA311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832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6977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0A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30</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AC643D">
            <w:pPr>
              <w:jc w:val="center"/>
              <w:rPr>
                <w:rFonts w:hint="eastAsia" w:ascii="宋体" w:hAnsi="宋体" w:eastAsia="宋体" w:cs="宋体"/>
                <w:i w:val="0"/>
                <w:color w:val="000000"/>
                <w:sz w:val="24"/>
                <w:szCs w:val="24"/>
                <w:u w:val="none"/>
              </w:rPr>
            </w:pPr>
          </w:p>
        </w:tc>
      </w:tr>
      <w:tr w14:paraId="076C8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6" w:hRule="atLeast"/>
        </w:trPr>
        <w:tc>
          <w:tcPr>
            <w:tcW w:w="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229859">
            <w:pPr>
              <w:rPr>
                <w:rFonts w:hint="eastAsia" w:ascii="宋体" w:hAnsi="宋体" w:eastAsia="宋体" w:cs="宋体"/>
                <w:i w:val="0"/>
                <w:color w:val="000000"/>
                <w:sz w:val="24"/>
                <w:szCs w:val="24"/>
                <w:u w:val="none"/>
              </w:rPr>
            </w:pP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7AD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F7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30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2239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投诉量</w:t>
            </w:r>
          </w:p>
        </w:tc>
        <w:tc>
          <w:tcPr>
            <w:tcW w:w="2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6353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≤0次</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13B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0</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A7B7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B6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4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FD00F">
            <w:pPr>
              <w:jc w:val="center"/>
              <w:rPr>
                <w:rFonts w:hint="eastAsia" w:ascii="宋体" w:hAnsi="宋体" w:eastAsia="宋体" w:cs="宋体"/>
                <w:i w:val="0"/>
                <w:color w:val="000000"/>
                <w:sz w:val="24"/>
                <w:szCs w:val="24"/>
                <w:u w:val="none"/>
              </w:rPr>
            </w:pPr>
          </w:p>
        </w:tc>
      </w:tr>
      <w:tr w14:paraId="7C43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26" w:hRule="atLeast"/>
        </w:trPr>
        <w:tc>
          <w:tcPr>
            <w:tcW w:w="954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C7296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总分值、评价总分 (S)</w:t>
            </w:r>
          </w:p>
        </w:tc>
        <w:tc>
          <w:tcPr>
            <w:tcW w:w="46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A12F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100</w:t>
            </w:r>
          </w:p>
        </w:tc>
      </w:tr>
      <w:tr w14:paraId="18FD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6"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478A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评价等级 </w:t>
            </w:r>
          </w:p>
        </w:tc>
        <w:tc>
          <w:tcPr>
            <w:tcW w:w="126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DC77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优（S≧90）</w:t>
            </w:r>
          </w:p>
        </w:tc>
      </w:tr>
    </w:tbl>
    <w:p w14:paraId="2FD41EA4">
      <w:pPr>
        <w:pStyle w:val="2"/>
        <w:rPr>
          <w:rFonts w:hint="eastAsia"/>
          <w:lang w:eastAsia="zh-CN"/>
        </w:rPr>
      </w:pPr>
    </w:p>
    <w:bookmarkEnd w:id="1"/>
    <w:p w14:paraId="0D251056">
      <w:pPr>
        <w:widowControl/>
        <w:spacing w:before="240" w:after="240"/>
        <w:jc w:val="left"/>
        <w:rPr>
          <w:rFonts w:ascii="Times New Roman" w:hAnsi="Times New Roman" w:eastAsia="Times New Roman" w:cs="Times New Roman"/>
          <w:vanish/>
          <w:kern w:val="0"/>
          <w:sz w:val="24"/>
        </w:rPr>
      </w:pPr>
    </w:p>
    <w:sectPr>
      <w:footerReference r:id="rId17" w:type="default"/>
      <w:pgSz w:w="16838" w:h="11906" w:orient="landscape"/>
      <w:pgMar w:top="1083" w:right="1984" w:bottom="1083" w:left="1984" w:header="0" w:footer="720"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F165">
    <w:pPr>
      <w:pStyle w:val="14"/>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FCEA690">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19C9">
    <w:pPr>
      <w:jc w:val="center"/>
    </w:pPr>
    <w:r>
      <w:rPr>
        <w:sz w:val="21"/>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509D2CD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16</w:t>
                </w:r>
                <w:r>
                  <w:rPr>
                    <w:rFonts w:ascii="宋体" w:hAnsi="宋体" w:eastAsia="宋体" w:cs="宋体"/>
                    <w:sz w:val="18"/>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E109D">
    <w:pPr>
      <w:jc w:val="center"/>
    </w:pPr>
    <w:r>
      <w:rPr>
        <w:sz w:val="21"/>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218E967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17</w:t>
                </w:r>
                <w:r>
                  <w:rPr>
                    <w:rFonts w:ascii="宋体" w:hAnsi="宋体" w:eastAsia="宋体" w:cs="宋体"/>
                    <w:sz w:val="18"/>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7C3D3">
    <w:pPr>
      <w:jc w:val="center"/>
    </w:pPr>
    <w:r>
      <w:rPr>
        <w:sz w:val="21"/>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0A7742F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18</w:t>
                </w:r>
                <w:r>
                  <w:rPr>
                    <w:rFonts w:ascii="宋体" w:hAnsi="宋体" w:eastAsia="宋体" w:cs="宋体"/>
                    <w:sz w:val="18"/>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9EA53">
    <w:pPr>
      <w:jc w:val="center"/>
    </w:pPr>
    <w:r>
      <w:rPr>
        <w:sz w:val="21"/>
      </w:rPr>
      <w:pict>
        <v:shape id="_x0000_s4109" o:spid="_x0000_s4109"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76823BFE">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52DEC">
    <w:pPr>
      <w:jc w:val="center"/>
    </w:pPr>
    <w:r>
      <w:rPr>
        <w:sz w:val="21"/>
      </w:rPr>
      <w:pict>
        <v:shape id="_x0000_s4110" o:spid="_x0000_s4110" o:spt="202" type="#_x0000_t202" style="position:absolute;left:0pt;margin-top:0pt;height:144pt;width:144pt;mso-position-horizontal:center;mso-position-horizontal-relative:margin;mso-wrap-style:none;z-index:251672576;mso-width-relative:page;mso-height-relative:page;" filled="f" stroked="f" coordsize="21600,21600">
          <v:path/>
          <v:fill on="f" focussize="0,0"/>
          <v:stroke on="f"/>
          <v:imagedata o:title=""/>
          <o:lock v:ext="edit" aspectratio="f"/>
          <v:textbox inset="0mm,0mm,0mm,0mm" style="mso-fit-shape-to-text:t;">
            <w:txbxContent>
              <w:p w14:paraId="6DD66D8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28</w:t>
                </w:r>
                <w:r>
                  <w:rPr>
                    <w:rFonts w:ascii="宋体" w:hAnsi="宋体" w:eastAsia="宋体" w:cs="宋体"/>
                    <w:sz w:val="18"/>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6F4F6">
    <w:pPr>
      <w:pStyle w:val="14"/>
    </w:pPr>
    <w:r>
      <w:rPr>
        <w:sz w:val="18"/>
      </w:rPr>
      <w:pict>
        <v:shape id="_x0000_s4111" o:spid="_x0000_s4111" o:spt="202" type="#_x0000_t202" style="position:absolute;left:0pt;margin-top:0pt;height:144pt;width:144pt;mso-position-horizontal:center;mso-position-horizontal-relative:margin;mso-wrap-style:none;z-index:251673600;mso-width-relative:page;mso-height-relative:page;" filled="f" stroked="f" coordsize="21600,21600">
          <v:path/>
          <v:fill on="f" focussize="0,0"/>
          <v:stroke on="f"/>
          <v:imagedata o:title=""/>
          <o:lock v:ext="edit" aspectratio="f"/>
          <v:textbox inset="0mm,0mm,0mm,0mm" style="mso-fit-shape-to-text:t;">
            <w:txbxContent>
              <w:p w14:paraId="0364A0BF">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30</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D9F50">
    <w:pPr>
      <w:pStyle w:val="14"/>
    </w:pPr>
    <w:r>
      <w:rPr>
        <w:sz w:val="18"/>
      </w:rP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C94FE29">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9F7EE">
    <w:pPr>
      <w:jc w:val="center"/>
    </w:pPr>
    <w:r>
      <w:rPr>
        <w:sz w:val="21"/>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95FFAB2">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E699C">
    <w:pPr>
      <w:jc w:val="center"/>
    </w:pPr>
    <w:r>
      <w:rPr>
        <w:sz w:val="21"/>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6394C1D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w:t>
                </w:r>
                <w:r>
                  <w:rPr>
                    <w:rFonts w:ascii="宋体" w:hAnsi="宋体" w:eastAsia="宋体" w:cs="宋体"/>
                    <w:sz w:val="18"/>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98790">
    <w:pPr>
      <w:jc w:val="center"/>
    </w:pPr>
    <w:r>
      <w:rPr>
        <w:sz w:val="21"/>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7C6CAD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5</w:t>
                </w:r>
                <w:r>
                  <w:rPr>
                    <w:rFonts w:ascii="宋体" w:hAnsi="宋体" w:eastAsia="宋体" w:cs="宋体"/>
                    <w:sz w:val="18"/>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B5F21">
    <w:pPr>
      <w:jc w:val="center"/>
    </w:pPr>
    <w:r>
      <w:rPr>
        <w:sz w:val="21"/>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32B000A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7</w:t>
                </w:r>
                <w:r>
                  <w:rPr>
                    <w:rFonts w:ascii="宋体" w:hAnsi="宋体" w:eastAsia="宋体" w:cs="宋体"/>
                    <w:sz w:val="18"/>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CFD0C">
    <w:pPr>
      <w:jc w:val="center"/>
    </w:pPr>
    <w:r>
      <w:rPr>
        <w:sz w:val="21"/>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33FDE23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9</w:t>
                </w:r>
                <w:r>
                  <w:rPr>
                    <w:rFonts w:ascii="宋体" w:hAnsi="宋体" w:eastAsia="宋体" w:cs="宋体"/>
                    <w:sz w:val="18"/>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DC9B8">
    <w:pPr>
      <w:jc w:val="center"/>
    </w:pPr>
    <w:r>
      <w:rPr>
        <w:sz w:val="21"/>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55BE9F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12</w:t>
                </w:r>
                <w:r>
                  <w:rPr>
                    <w:rFonts w:ascii="宋体" w:hAnsi="宋体" w:eastAsia="宋体" w:cs="宋体"/>
                    <w:sz w:val="18"/>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A6AF0">
    <w:pPr>
      <w:jc w:val="center"/>
    </w:pPr>
    <w:r>
      <w:rPr>
        <w:sz w:val="21"/>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45894A49">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13</w:t>
                </w:r>
                <w:r>
                  <w:rPr>
                    <w:rFonts w:ascii="宋体" w:hAnsi="宋体" w:eastAsia="宋体" w:cs="宋体"/>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1FF354"/>
    <w:multiLevelType w:val="singleLevel"/>
    <w:tmpl w:val="261FF35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000000"/>
    <w:rsid w:val="01F00D90"/>
    <w:rsid w:val="024E5BBA"/>
    <w:rsid w:val="04F41EBC"/>
    <w:rsid w:val="052C17D6"/>
    <w:rsid w:val="085B045D"/>
    <w:rsid w:val="088D1DB0"/>
    <w:rsid w:val="0AA45363"/>
    <w:rsid w:val="0B7319F0"/>
    <w:rsid w:val="0EA61FF5"/>
    <w:rsid w:val="0FC46FB5"/>
    <w:rsid w:val="0FF9396E"/>
    <w:rsid w:val="10A93F48"/>
    <w:rsid w:val="11F257C5"/>
    <w:rsid w:val="129C4E99"/>
    <w:rsid w:val="146C3A4D"/>
    <w:rsid w:val="15FB4401"/>
    <w:rsid w:val="163E00AE"/>
    <w:rsid w:val="1864336A"/>
    <w:rsid w:val="18D2506D"/>
    <w:rsid w:val="195B1B4A"/>
    <w:rsid w:val="1D476DBF"/>
    <w:rsid w:val="1EF8786D"/>
    <w:rsid w:val="215A6116"/>
    <w:rsid w:val="23126D0F"/>
    <w:rsid w:val="23B37EC4"/>
    <w:rsid w:val="25CD4216"/>
    <w:rsid w:val="276A73A5"/>
    <w:rsid w:val="2A0D1CF7"/>
    <w:rsid w:val="2AA415AF"/>
    <w:rsid w:val="2BFA12D9"/>
    <w:rsid w:val="2D5319AE"/>
    <w:rsid w:val="2DE007A3"/>
    <w:rsid w:val="2F7250EA"/>
    <w:rsid w:val="304B474C"/>
    <w:rsid w:val="31D135A4"/>
    <w:rsid w:val="33247555"/>
    <w:rsid w:val="339E5620"/>
    <w:rsid w:val="35E25E35"/>
    <w:rsid w:val="361830D3"/>
    <w:rsid w:val="37B815CE"/>
    <w:rsid w:val="39536A7F"/>
    <w:rsid w:val="39BD5D62"/>
    <w:rsid w:val="39EA5971"/>
    <w:rsid w:val="3AB52B62"/>
    <w:rsid w:val="3EE66E7B"/>
    <w:rsid w:val="40280362"/>
    <w:rsid w:val="41944A4F"/>
    <w:rsid w:val="419866D7"/>
    <w:rsid w:val="44705FCB"/>
    <w:rsid w:val="465550B3"/>
    <w:rsid w:val="46AC507E"/>
    <w:rsid w:val="4A294541"/>
    <w:rsid w:val="4CFF1971"/>
    <w:rsid w:val="4F710732"/>
    <w:rsid w:val="4FDC0A7B"/>
    <w:rsid w:val="4FEA079A"/>
    <w:rsid w:val="51612CA3"/>
    <w:rsid w:val="561648DC"/>
    <w:rsid w:val="567770BA"/>
    <w:rsid w:val="56E339E8"/>
    <w:rsid w:val="57FA3A00"/>
    <w:rsid w:val="59D7723D"/>
    <w:rsid w:val="5BE94DF2"/>
    <w:rsid w:val="63CC3610"/>
    <w:rsid w:val="66F93316"/>
    <w:rsid w:val="67E80F35"/>
    <w:rsid w:val="694178CE"/>
    <w:rsid w:val="6A33221C"/>
    <w:rsid w:val="6B5715F8"/>
    <w:rsid w:val="6CCC27E5"/>
    <w:rsid w:val="72D25541"/>
    <w:rsid w:val="72F84B41"/>
    <w:rsid w:val="73B75C0F"/>
    <w:rsid w:val="75426982"/>
    <w:rsid w:val="75CC169B"/>
    <w:rsid w:val="7632674D"/>
    <w:rsid w:val="7662422F"/>
    <w:rsid w:val="77192E44"/>
    <w:rsid w:val="78472F08"/>
    <w:rsid w:val="7B9B36AF"/>
    <w:rsid w:val="7F2F1F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仿宋"/>
      <w:bCs/>
      <w:kern w:val="44"/>
      <w:sz w:val="32"/>
      <w:szCs w:val="44"/>
    </w:rPr>
  </w:style>
  <w:style w:type="paragraph" w:styleId="5">
    <w:name w:val="heading 2"/>
    <w:basedOn w:val="6"/>
    <w:next w:val="6"/>
    <w:qFormat/>
    <w:uiPriority w:val="0"/>
    <w:pPr>
      <w:keepNext/>
      <w:keepLines/>
      <w:spacing w:before="260" w:after="260" w:line="416" w:lineRule="auto"/>
      <w:outlineLvl w:val="1"/>
    </w:pPr>
    <w:rPr>
      <w:rFonts w:ascii="Arial" w:hAnsi="Arial" w:eastAsia="仿宋"/>
      <w:bCs/>
      <w:sz w:val="32"/>
      <w:szCs w:val="32"/>
    </w:rPr>
  </w:style>
  <w:style w:type="paragraph" w:styleId="7">
    <w:name w:val="heading 3"/>
    <w:basedOn w:val="6"/>
    <w:next w:val="6"/>
    <w:link w:val="25"/>
    <w:qFormat/>
    <w:uiPriority w:val="0"/>
    <w:pPr>
      <w:keepNext/>
      <w:keepLines/>
      <w:spacing w:before="260" w:after="260" w:line="416" w:lineRule="auto"/>
      <w:outlineLvl w:val="2"/>
    </w:pPr>
    <w:rPr>
      <w:rFonts w:eastAsia="仿宋"/>
      <w:bCs/>
      <w:sz w:val="32"/>
      <w:szCs w:val="32"/>
    </w:rPr>
  </w:style>
  <w:style w:type="paragraph" w:styleId="8">
    <w:name w:val="heading 4"/>
    <w:basedOn w:val="6"/>
    <w:next w:val="6"/>
    <w:link w:val="26"/>
    <w:qFormat/>
    <w:uiPriority w:val="0"/>
    <w:pPr>
      <w:keepNext/>
      <w:keepLines/>
      <w:spacing w:before="280" w:after="290" w:line="376" w:lineRule="auto"/>
      <w:outlineLvl w:val="3"/>
    </w:pPr>
    <w:rPr>
      <w:rFonts w:ascii="Cambria" w:hAnsi="Cambria" w:eastAsia="仿宋"/>
      <w:bCs/>
      <w:sz w:val="32"/>
      <w:szCs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ind w:left="897"/>
    </w:pPr>
    <w:rPr>
      <w:sz w:val="30"/>
      <w:szCs w:val="30"/>
    </w:rPr>
  </w:style>
  <w:style w:type="paragraph" w:styleId="3">
    <w:name w:val="Body Text First Indent"/>
    <w:basedOn w:val="2"/>
    <w:next w:val="2"/>
    <w:qFormat/>
    <w:uiPriority w:val="0"/>
    <w:pPr>
      <w:ind w:firstLine="420" w:firstLineChars="100"/>
    </w:pPr>
  </w:style>
  <w:style w:type="paragraph" w:styleId="6">
    <w:name w:val="No Spacing"/>
    <w:link w:val="27"/>
    <w:qFormat/>
    <w:uiPriority w:val="0"/>
    <w:pPr>
      <w:ind w:firstLine="200" w:firstLineChars="200"/>
    </w:pPr>
    <w:rPr>
      <w:rFonts w:ascii="Times New Roman" w:hAnsi="Times New Roman" w:eastAsia="仿宋_GB2312" w:cs="Times New Roman"/>
      <w:sz w:val="30"/>
      <w:szCs w:val="22"/>
      <w:lang w:val="en-US" w:eastAsia="zh-CN" w:bidi="ar-SA"/>
    </w:rPr>
  </w:style>
  <w:style w:type="paragraph" w:styleId="9">
    <w:name w:val="toc 7"/>
    <w:basedOn w:val="1"/>
    <w:next w:val="1"/>
    <w:qFormat/>
    <w:uiPriority w:val="0"/>
    <w:pPr>
      <w:ind w:left="1260"/>
      <w:jc w:val="left"/>
    </w:pPr>
    <w:rPr>
      <w:sz w:val="20"/>
      <w:szCs w:val="20"/>
    </w:rPr>
  </w:style>
  <w:style w:type="paragraph" w:styleId="10">
    <w:name w:val="Document Map"/>
    <w:basedOn w:val="1"/>
    <w:qFormat/>
    <w:uiPriority w:val="0"/>
    <w:pPr>
      <w:shd w:val="clear" w:color="auto" w:fill="000080"/>
    </w:pPr>
  </w:style>
  <w:style w:type="paragraph" w:styleId="11">
    <w:name w:val="toc 5"/>
    <w:basedOn w:val="1"/>
    <w:next w:val="1"/>
    <w:qFormat/>
    <w:uiPriority w:val="0"/>
    <w:pPr>
      <w:ind w:left="840"/>
      <w:jc w:val="left"/>
    </w:pPr>
    <w:rPr>
      <w:sz w:val="20"/>
      <w:szCs w:val="20"/>
    </w:rPr>
  </w:style>
  <w:style w:type="paragraph" w:styleId="12">
    <w:name w:val="toc 3"/>
    <w:next w:val="7"/>
    <w:qFormat/>
    <w:uiPriority w:val="0"/>
    <w:pPr>
      <w:adjustRightInd w:val="0"/>
      <w:snapToGrid w:val="0"/>
      <w:spacing w:line="360" w:lineRule="auto"/>
      <w:ind w:firstLine="400" w:firstLineChars="400"/>
      <w:jc w:val="left"/>
    </w:pPr>
    <w:rPr>
      <w:rFonts w:ascii="Times New Roman" w:hAnsi="Times New Roman" w:eastAsia="仿宋" w:cs="Times New Roman"/>
      <w:sz w:val="32"/>
      <w:szCs w:val="20"/>
      <w:lang w:val="en-US" w:eastAsia="en-US" w:bidi="ar-SA"/>
    </w:rPr>
  </w:style>
  <w:style w:type="paragraph" w:styleId="13">
    <w:name w:val="toc 8"/>
    <w:basedOn w:val="1"/>
    <w:next w:val="1"/>
    <w:qFormat/>
    <w:uiPriority w:val="0"/>
    <w:pPr>
      <w:ind w:left="1470"/>
      <w:jc w:val="left"/>
    </w:pPr>
    <w:rPr>
      <w:sz w:val="20"/>
      <w:szCs w:val="20"/>
    </w:rPr>
  </w:style>
  <w:style w:type="paragraph" w:styleId="14">
    <w:name w:val="footer"/>
    <w:basedOn w:val="1"/>
    <w:link w:val="28"/>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next w:val="6"/>
    <w:qFormat/>
    <w:uiPriority w:val="0"/>
    <w:pPr>
      <w:adjustRightInd w:val="0"/>
      <w:snapToGrid w:val="0"/>
      <w:spacing w:line="360" w:lineRule="auto"/>
      <w:jc w:val="left"/>
    </w:pPr>
    <w:rPr>
      <w:rFonts w:ascii="Times New Roman" w:hAnsi="Times New Roman" w:eastAsia="仿宋" w:cs="Times New Roman"/>
      <w:bCs/>
      <w:sz w:val="32"/>
      <w:szCs w:val="20"/>
      <w:lang w:val="en-US" w:eastAsia="en-US" w:bidi="ar-SA"/>
    </w:rPr>
  </w:style>
  <w:style w:type="paragraph" w:styleId="17">
    <w:name w:val="toc 4"/>
    <w:basedOn w:val="1"/>
    <w:next w:val="1"/>
    <w:qFormat/>
    <w:uiPriority w:val="0"/>
    <w:pPr>
      <w:ind w:left="630"/>
      <w:jc w:val="left"/>
    </w:pPr>
    <w:rPr>
      <w:sz w:val="20"/>
      <w:szCs w:val="20"/>
    </w:rPr>
  </w:style>
  <w:style w:type="paragraph" w:styleId="18">
    <w:name w:val="toc 6"/>
    <w:basedOn w:val="1"/>
    <w:next w:val="1"/>
    <w:qFormat/>
    <w:uiPriority w:val="0"/>
    <w:pPr>
      <w:ind w:left="1050"/>
      <w:jc w:val="left"/>
    </w:pPr>
    <w:rPr>
      <w:sz w:val="20"/>
      <w:szCs w:val="20"/>
    </w:rPr>
  </w:style>
  <w:style w:type="paragraph" w:styleId="19">
    <w:name w:val="toc 2"/>
    <w:next w:val="6"/>
    <w:qFormat/>
    <w:uiPriority w:val="0"/>
    <w:pPr>
      <w:adjustRightInd w:val="0"/>
      <w:snapToGrid w:val="0"/>
      <w:spacing w:line="360" w:lineRule="auto"/>
      <w:ind w:firstLine="200" w:firstLineChars="200"/>
      <w:jc w:val="left"/>
    </w:pPr>
    <w:rPr>
      <w:rFonts w:ascii="Times New Roman" w:hAnsi="Times New Roman" w:eastAsia="仿宋" w:cs="Times New Roman"/>
      <w:b/>
      <w:iCs/>
      <w:sz w:val="32"/>
      <w:szCs w:val="20"/>
      <w:lang w:val="en-US" w:eastAsia="en-US" w:bidi="ar-SA"/>
    </w:rPr>
  </w:style>
  <w:style w:type="paragraph" w:styleId="20">
    <w:name w:val="toc 9"/>
    <w:basedOn w:val="1"/>
    <w:next w:val="1"/>
    <w:qFormat/>
    <w:uiPriority w:val="0"/>
    <w:pPr>
      <w:ind w:left="1680"/>
      <w:jc w:val="left"/>
    </w:pPr>
    <w:rPr>
      <w:sz w:val="20"/>
      <w:szCs w:val="20"/>
    </w:rPr>
  </w:style>
  <w:style w:type="character" w:styleId="23">
    <w:name w:val="page number"/>
    <w:basedOn w:val="22"/>
    <w:qFormat/>
    <w:uiPriority w:val="0"/>
  </w:style>
  <w:style w:type="character" w:styleId="24">
    <w:name w:val="Hyperlink"/>
    <w:qFormat/>
    <w:uiPriority w:val="0"/>
    <w:rPr>
      <w:rFonts w:ascii="宋体" w:hAnsi="宋体" w:eastAsia="仿宋" w:cs="Times New Roman"/>
      <w:kern w:val="2"/>
      <w:sz w:val="32"/>
      <w:szCs w:val="32"/>
      <w:lang w:val="en-US" w:eastAsia="zh-CN" w:bidi="ar-SA"/>
    </w:rPr>
  </w:style>
  <w:style w:type="character" w:customStyle="1" w:styleId="25">
    <w:name w:val="标题 3 字符"/>
    <w:basedOn w:val="22"/>
    <w:link w:val="7"/>
    <w:qFormat/>
    <w:uiPriority w:val="0"/>
    <w:rPr>
      <w:rFonts w:eastAsia="仿宋"/>
      <w:bCs/>
      <w:kern w:val="2"/>
      <w:sz w:val="32"/>
      <w:szCs w:val="32"/>
    </w:rPr>
  </w:style>
  <w:style w:type="character" w:customStyle="1" w:styleId="26">
    <w:name w:val="标题 4 字符"/>
    <w:basedOn w:val="22"/>
    <w:link w:val="8"/>
    <w:qFormat/>
    <w:uiPriority w:val="0"/>
    <w:rPr>
      <w:rFonts w:ascii="Cambria" w:hAnsi="Cambria" w:eastAsia="仿宋"/>
      <w:bCs/>
      <w:kern w:val="2"/>
      <w:sz w:val="32"/>
      <w:szCs w:val="28"/>
    </w:rPr>
  </w:style>
  <w:style w:type="character" w:customStyle="1" w:styleId="27">
    <w:name w:val="无间隔 字符"/>
    <w:link w:val="6"/>
    <w:qFormat/>
    <w:locked/>
    <w:uiPriority w:val="0"/>
    <w:rPr>
      <w:rFonts w:eastAsia="仿宋_GB2312"/>
      <w:sz w:val="30"/>
      <w:szCs w:val="22"/>
      <w:lang w:bidi="ar-SA"/>
    </w:rPr>
  </w:style>
  <w:style w:type="character" w:customStyle="1" w:styleId="28">
    <w:name w:val="页脚 字符"/>
    <w:basedOn w:val="22"/>
    <w:link w:val="14"/>
    <w:qFormat/>
    <w:uiPriority w:val="0"/>
    <w:rPr>
      <w:kern w:val="2"/>
      <w:sz w:val="18"/>
      <w:szCs w:val="18"/>
    </w:rPr>
  </w:style>
  <w:style w:type="paragraph" w:styleId="29">
    <w:name w:val="List Paragraph"/>
    <w:basedOn w:val="1"/>
    <w:qFormat/>
    <w:uiPriority w:val="0"/>
    <w:pPr>
      <w:ind w:firstLine="420" w:firstLineChars="200"/>
    </w:pPr>
  </w:style>
  <w:style w:type="paragraph" w:customStyle="1" w:styleId="30">
    <w:name w:val="MsoNormal"/>
    <w:basedOn w:val="1"/>
    <w:qFormat/>
    <w:uiPriority w:val="0"/>
  </w:style>
  <w:style w:type="paragraph" w:customStyle="1" w:styleId="31">
    <w:name w:val="p"/>
    <w:basedOn w:val="1"/>
    <w:qFormat/>
    <w:uiPriority w:val="0"/>
  </w:style>
  <w:style w:type="paragraph" w:customStyle="1" w:styleId="32">
    <w:name w:val="15"/>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4098" textRotate="1"/>
    <customShpInfo spid="_x0000_s4097"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09" textRotate="1"/>
    <customShpInfo spid="_x0000_s4110" textRotate="1"/>
    <customShpInfo spid="_x0000_s4111" textRotate="1"/>
  </customShpExts>
</s:customData>
</file>

<file path=customXml/item2.xml><?xml version="1.0" encoding="utf-8"?>
<b:Sources xmlns:w="http://schemas.openxmlformats.org/wordprocessingml/2006/main" xmlns:w14="http://schemas.microsoft.com/office/word/2010/wordml" xmlns:w15="http://schemas.microsoft.com/office/word/2012/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10336</Words>
  <Characters>12422</Characters>
  <Lines>1</Lines>
  <Paragraphs>1</Paragraphs>
  <TotalTime>26</TotalTime>
  <ScaleCrop>false</ScaleCrop>
  <LinksUpToDate>false</LinksUpToDate>
  <CharactersWithSpaces>13324</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颖</cp:lastModifiedBy>
  <cp:lastPrinted>2026-08-18T03:37:00Z</cp:lastPrinted>
  <dcterms:modified xsi:type="dcterms:W3CDTF">2026-08-20T03:30:19Z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432A2B29825044B2829BE3A0156B93DD_13</vt:lpwstr>
  </property>
  <property fmtid="{D5CDD505-2E9C-101B-9397-08002B2CF9AE}" pid="3" name="KSOProductBuildVer">
    <vt:lpwstr>2052-12.1.0.26936</vt:lpwstr>
  </property>
  <property fmtid="{D5CDD505-2E9C-101B-9397-08002B2CF9AE}" pid="4" name="KSOTemplateDocerSaveRecord">
    <vt:lpwstr>eyJoZGlkIjoiZDcyOWNmZmU5YmNjNGE4ZjgzZTQ3Y2ZhNmNmZjVmZTciLCJ1c2VySWQiOiI1Nzg2ODAzMDcifQ==</vt:lpwstr>
  </property>
</Properties>
</file>