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明溪县2022年农作物病虫害绿色防控与统防统治融合示范工作方案</w:t>
      </w:r>
    </w:p>
    <w:p>
      <w:pPr>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为大力推进农作物重大病虫害绿色防控与专业化统防统治融合以及草地贪夜蛾防控工作，推动农药使用量零增长减量化专项行动的落实，实现农药减量控害，保障农产品生产和生态环境安全，根据《福建省财政厅 福建省农业农村厅关于下达中央财政农业生产救灾资金的通知》（闽财农指</w:t>
      </w:r>
      <w:r>
        <w:rPr>
          <w:rFonts w:hint="eastAsia" w:ascii="仿宋_GB2312" w:hAnsi="仿宋_GB2312" w:eastAsia="仿宋_GB2312" w:cs="仿宋_GB2312"/>
          <w:color w:val="000000"/>
          <w:sz w:val="32"/>
          <w:szCs w:val="32"/>
        </w:rPr>
        <w:t>〔</w:t>
      </w:r>
      <w:r>
        <w:rPr>
          <w:rFonts w:hint="eastAsia" w:ascii="仿宋_GB2312" w:eastAsia="仿宋_GB2312"/>
          <w:color w:val="000000"/>
          <w:sz w:val="32"/>
          <w:szCs w:val="32"/>
        </w:rPr>
        <w:t>2020</w:t>
      </w:r>
      <w:r>
        <w:rPr>
          <w:rFonts w:hint="eastAsia" w:ascii="仿宋_GB2312" w:hAnsi="仿宋_GB2312" w:eastAsia="仿宋_GB2312" w:cs="仿宋_GB2312"/>
          <w:color w:val="000000"/>
          <w:sz w:val="32"/>
          <w:szCs w:val="32"/>
        </w:rPr>
        <w:t>〕</w:t>
      </w:r>
      <w:r>
        <w:rPr>
          <w:rFonts w:hint="eastAsia" w:ascii="仿宋_GB2312" w:eastAsia="仿宋_GB2312"/>
          <w:color w:val="000000"/>
          <w:sz w:val="32"/>
          <w:szCs w:val="32"/>
        </w:rPr>
        <w:t>13号）要求，资金重点用于农作物重大病虫害绿色防控与统防统治融合示范推广与草地贪夜蛾防控工作。</w:t>
      </w:r>
    </w:p>
    <w:p>
      <w:pPr>
        <w:spacing w:line="560" w:lineRule="exact"/>
        <w:ind w:firstLine="627" w:firstLineChars="196"/>
        <w:jc w:val="left"/>
        <w:outlineLvl w:val="0"/>
        <w:rPr>
          <w:rFonts w:hint="eastAsia" w:ascii="黑体" w:hAnsi="黑体" w:eastAsia="黑体" w:cs="黑体"/>
          <w:bCs/>
          <w:sz w:val="32"/>
          <w:szCs w:val="32"/>
        </w:rPr>
      </w:pPr>
      <w:r>
        <w:rPr>
          <w:rFonts w:hint="eastAsia" w:ascii="黑体" w:hAnsi="黑体" w:eastAsia="黑体" w:cs="黑体"/>
          <w:bCs/>
          <w:sz w:val="32"/>
          <w:szCs w:val="32"/>
        </w:rPr>
        <w:t>一、指导思想</w:t>
      </w:r>
    </w:p>
    <w:p>
      <w:pPr>
        <w:spacing w:line="560" w:lineRule="exact"/>
        <w:ind w:firstLine="627" w:firstLineChars="196"/>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公共植保、绿色植保、科学植保”理念，以病虫防治为主要形式，以农作物病虫害全程绿色防控为重点内容，创建2个专业化统防统治与绿色防控融合推进示范基地，以病虫害预测预报为依据，以农业防治为基础，以生态、物理防治为手段，科学规范使用农药；以“提高防效、降低成本、减少用药、保障生产”为目标，在全县范围内大力发展农作物病虫害绿色防控技术，实现病虫综合治理、农药减量控害。</w:t>
      </w:r>
    </w:p>
    <w:p>
      <w:pPr>
        <w:spacing w:line="560" w:lineRule="exact"/>
        <w:ind w:firstLine="627" w:firstLineChars="196"/>
        <w:jc w:val="left"/>
        <w:outlineLvl w:val="0"/>
        <w:rPr>
          <w:rFonts w:hint="eastAsia" w:ascii="黑体" w:hAnsi="黑体" w:eastAsia="黑体" w:cs="黑体"/>
          <w:bCs/>
          <w:sz w:val="32"/>
          <w:szCs w:val="32"/>
        </w:rPr>
      </w:pPr>
      <w:r>
        <w:rPr>
          <w:rFonts w:hint="eastAsia" w:ascii="黑体" w:hAnsi="黑体" w:eastAsia="黑体" w:cs="黑体"/>
          <w:bCs/>
          <w:sz w:val="32"/>
          <w:szCs w:val="32"/>
        </w:rPr>
        <w:t>二、目标任务</w:t>
      </w:r>
    </w:p>
    <w:p>
      <w:pPr>
        <w:spacing w:line="560" w:lineRule="exact"/>
        <w:ind w:firstLine="627" w:firstLineChars="196"/>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区绿色防控主推技术到位率95%以上，病虫综合防治效果85%以上，病虫危害损失率控制在5%以内，化学农药使用量减少20%以上，农产品农药残留不超标。全县绿色防控技术覆盖率达30%以上，充分发挥示范片技术集成展示作用，推动农药零增长减量化专项行动的落实，实现农药减量控害。</w:t>
      </w:r>
    </w:p>
    <w:p>
      <w:pPr>
        <w:spacing w:line="560" w:lineRule="exact"/>
        <w:ind w:firstLine="643" w:firstLineChars="200"/>
        <w:jc w:val="left"/>
        <w:outlineLvl w:val="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（一）建立茶叶病虫害绿色防控与统防统治融合示范区1个</w:t>
      </w:r>
    </w:p>
    <w:p>
      <w:pPr>
        <w:spacing w:line="560" w:lineRule="exact"/>
        <w:ind w:firstLine="640"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各乡（镇）遴选田块集中连片的种植大户、专业合作社、家庭农场、农业企业等为主要实施主体，核心示范区面积不少于500亩；辐射面积不少于4000亩次。</w:t>
      </w:r>
    </w:p>
    <w:p>
      <w:pPr>
        <w:numPr>
          <w:ilvl w:val="0"/>
          <w:numId w:val="1"/>
        </w:numPr>
        <w:spacing w:line="560" w:lineRule="exact"/>
        <w:ind w:left="0" w:firstLine="643" w:firstLineChars="200"/>
        <w:jc w:val="left"/>
        <w:outlineLvl w:val="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建立果树病虫绿色防控与统防统治融合核心示范区1个</w:t>
      </w:r>
    </w:p>
    <w:p>
      <w:pPr>
        <w:spacing w:line="560" w:lineRule="exact"/>
        <w:ind w:firstLine="640"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遴选作物的核心示范区面积不少于300亩，辐射面积不少于4000亩次。</w:t>
      </w:r>
    </w:p>
    <w:p>
      <w:pPr>
        <w:adjustRightInd w:val="0"/>
        <w:snapToGrid w:val="0"/>
        <w:spacing w:line="560" w:lineRule="exact"/>
        <w:rPr>
          <w:rFonts w:hint="eastAsia" w:ascii="仿宋_GB2312" w:eastAsia="仿宋_GB2312"/>
          <w:sz w:val="32"/>
          <w:szCs w:val="32"/>
        </w:rPr>
      </w:pPr>
      <w:r>
        <w:rPr>
          <w:rFonts w:hint="eastAsia" w:ascii="仿宋_GB2312" w:hAnsi="仿宋_GB2312" w:eastAsia="仿宋_GB2312" w:cs="仿宋_GB2312"/>
          <w:b/>
          <w:sz w:val="32"/>
          <w:szCs w:val="32"/>
        </w:rPr>
        <w:t xml:space="preserve">    </w:t>
      </w:r>
      <w:r>
        <w:rPr>
          <w:rFonts w:hint="eastAsia" w:ascii="楷体_GB2312" w:hAnsi="楷体_GB2312" w:eastAsia="楷体_GB2312" w:cs="楷体_GB2312"/>
          <w:b/>
          <w:sz w:val="32"/>
          <w:szCs w:val="32"/>
        </w:rPr>
        <w:t>（三）建立</w:t>
      </w:r>
      <w:r>
        <w:rPr>
          <w:rFonts w:hint="eastAsia" w:ascii="楷体_GB2312" w:hAnsi="楷体_GB2312" w:eastAsia="楷体_GB2312" w:cs="楷体_GB2312"/>
          <w:b/>
          <w:bCs/>
          <w:sz w:val="32"/>
          <w:szCs w:val="32"/>
        </w:rPr>
        <w:t>草地贪夜蛾监测体系</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加强监测预警与应急防治，全县草地贪夜蛾重大病虫害防治处置率达90%以上，防治效果达到80%以上，危害损失率控制在5%以内。</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设立固定监测点：全县设立固定监测点40个，其中夏阳、盖洋各建立监测点数量6个；沙溪、城郊（城关、雪峰）、瀚仙（雪峰农场）、胡坊各建立监测点数量5个；夏坊、枫溪各建立监测点数量4个。监测点负责人为玉米种植大户，各乡（镇）农技站要督促监测点负责人及时向县植保站报送监测数据，以便县站向“全国草地贪夜蛾发生防治信息调度平台”汇总上报。</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2.开展科学防控：每个监测点防控面积10亩次以上，全县防控面积400亩次。提倡使用杀虫灯诱杀，配合化学施药。</w:t>
      </w:r>
    </w:p>
    <w:p>
      <w:pPr>
        <w:spacing w:line="560" w:lineRule="exact"/>
        <w:ind w:firstLine="627" w:firstLineChars="196"/>
        <w:jc w:val="left"/>
        <w:outlineLvl w:val="0"/>
        <w:rPr>
          <w:rFonts w:hint="eastAsia" w:ascii="黑体" w:hAnsi="黑体" w:eastAsia="黑体" w:cs="黑体"/>
          <w:bCs/>
          <w:sz w:val="32"/>
          <w:szCs w:val="32"/>
        </w:rPr>
      </w:pPr>
      <w:r>
        <w:rPr>
          <w:rFonts w:hint="eastAsia" w:ascii="黑体" w:hAnsi="黑体" w:eastAsia="黑体" w:cs="黑体"/>
          <w:bCs/>
          <w:sz w:val="32"/>
          <w:szCs w:val="32"/>
        </w:rPr>
        <w:t>三、项目资金使用及补助政策</w:t>
      </w:r>
    </w:p>
    <w:p>
      <w:pPr>
        <w:spacing w:line="560" w:lineRule="exact"/>
        <w:ind w:firstLine="630" w:firstLineChars="196"/>
        <w:jc w:val="left"/>
        <w:outlineLvl w:val="0"/>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（一）补助对象</w:t>
      </w:r>
    </w:p>
    <w:p>
      <w:pPr>
        <w:spacing w:line="560" w:lineRule="exact"/>
        <w:ind w:firstLine="627" w:firstLineChars="196"/>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1.茶叶、果树病虫害绿色防控核心示范区，由各乡（镇）农技站组织符合条件的农业经营主体向明溪县农业农村局申报。</w:t>
      </w:r>
    </w:p>
    <w:p>
      <w:pPr>
        <w:spacing w:line="560" w:lineRule="exact"/>
        <w:ind w:firstLine="627" w:firstLineChars="196"/>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2.监测点由各乡（镇）农技站根据当地玉米种植户种植情况遴选推荐。</w:t>
      </w:r>
    </w:p>
    <w:p>
      <w:pPr>
        <w:spacing w:line="560" w:lineRule="exact"/>
        <w:ind w:firstLine="630" w:firstLineChars="196"/>
        <w:jc w:val="left"/>
        <w:outlineLvl w:val="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（二）补助标准</w:t>
      </w:r>
    </w:p>
    <w:p>
      <w:pPr>
        <w:spacing w:line="560" w:lineRule="exact"/>
        <w:ind w:firstLine="640"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绿色防控示范：安排资金15万元，用于对示范片所需的物化产品进行补助，物化产品由县农业农村局统一招标采购。主要补助绿色防控示范片所需物资材料，包括杀虫灯、诱蝇球、昆虫性诱、黄板、套袋、生物农药或高效、低毒、低残留农药等。其中杀虫灯按每20亩配1台标准采购，诱蝇球按每株配1个标准采购， 农药按每亩使用量标准配备采购。</w:t>
      </w:r>
    </w:p>
    <w:p>
      <w:pPr>
        <w:spacing w:line="560" w:lineRule="exact"/>
        <w:ind w:firstLine="640"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草地贪夜蛾</w:t>
      </w:r>
      <w:r>
        <w:rPr>
          <w:rFonts w:hint="eastAsia" w:ascii="仿宋_GB2312" w:hAnsi="仿宋_GB2312" w:eastAsia="仿宋_GB2312" w:cs="仿宋_GB2312"/>
          <w:sz w:val="32"/>
          <w:szCs w:val="32"/>
        </w:rPr>
        <w:t>监测：安排资金4万元，用于监测点监测费用，每个监测点补助1000元。</w:t>
      </w:r>
    </w:p>
    <w:p>
      <w:pPr>
        <w:spacing w:line="560" w:lineRule="exact"/>
        <w:ind w:firstLine="640"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3.日常工作经费：安排资金1万元，用于技术指导、示范牌、培训、宣传。</w:t>
      </w:r>
    </w:p>
    <w:p>
      <w:pPr>
        <w:spacing w:line="560" w:lineRule="exact"/>
        <w:ind w:firstLine="627" w:firstLineChars="196"/>
        <w:jc w:val="left"/>
        <w:outlineLvl w:val="0"/>
        <w:rPr>
          <w:rFonts w:hint="eastAsia" w:ascii="黑体" w:hAnsi="黑体" w:eastAsia="黑体" w:cs="黑体"/>
          <w:bCs/>
          <w:sz w:val="32"/>
          <w:szCs w:val="32"/>
        </w:rPr>
      </w:pPr>
      <w:r>
        <w:rPr>
          <w:rFonts w:hint="eastAsia" w:ascii="黑体" w:hAnsi="黑体" w:eastAsia="黑体" w:cs="黑体"/>
          <w:bCs/>
          <w:sz w:val="32"/>
          <w:szCs w:val="32"/>
        </w:rPr>
        <w:t>四、工作措施</w:t>
      </w:r>
    </w:p>
    <w:p>
      <w:pPr>
        <w:spacing w:line="560" w:lineRule="exact"/>
        <w:ind w:firstLine="630" w:firstLineChars="196"/>
        <w:jc w:val="left"/>
        <w:outlineLvl w:val="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（一）加强组织领导</w:t>
      </w:r>
    </w:p>
    <w:p>
      <w:pPr>
        <w:spacing w:line="560" w:lineRule="exact"/>
        <w:ind w:firstLine="627" w:firstLineChars="196"/>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本项目工作落到实处，县农业局成立农作物病虫专业化防治领导小组和技术指导组。领导小组由局长曾荣华担任组长，吴瑞金副组长，成员由肖连明、饶荣莲、陈凤招组成；技术指导组由县植保植检站人员、有关乡（镇）农技站站长组成，具体负责组织实施 、技术指导、统筹协调等各项工作的开展。</w:t>
      </w:r>
    </w:p>
    <w:p>
      <w:pPr>
        <w:spacing w:line="560" w:lineRule="exact"/>
        <w:ind w:firstLine="630" w:firstLineChars="196"/>
        <w:jc w:val="left"/>
        <w:outlineLvl w:val="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（二）强化资金管理</w:t>
      </w:r>
    </w:p>
    <w:p>
      <w:pPr>
        <w:spacing w:line="560" w:lineRule="exact"/>
        <w:ind w:firstLine="627" w:firstLineChars="196"/>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项目落实和资金监管，确保补贴资金专款专用。主要用于购买绿色防控物化品与用工费；统防统治药剂、药械采购、虫情测报灯、杀虫灯、智能化监测设备、害虫性诱剂、诱捕器、频振控诱设备采购、系统维护与更新、应急防控农药等物资采购；政府购买社会化服务；病虫会商会议、信息发布；示范区建设、病虫害调查、技术培训和宣传等工作。</w:t>
      </w:r>
    </w:p>
    <w:p>
      <w:pPr>
        <w:spacing w:line="560" w:lineRule="exact"/>
        <w:ind w:firstLine="630" w:firstLineChars="196"/>
        <w:jc w:val="left"/>
        <w:outlineLvl w:val="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（三）强化宣传培训</w:t>
      </w:r>
    </w:p>
    <w:p>
      <w:pPr>
        <w:spacing w:line="560" w:lineRule="exact"/>
        <w:ind w:firstLine="627" w:firstLineChars="196"/>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示范区统一设立标示牌，在病虫发生的关键季节，组织相关农民专业合作社、种植大户等进行现场观摩，展示绿色防控防治效果。</w:t>
      </w:r>
    </w:p>
    <w:p>
      <w:pPr>
        <w:spacing w:line="560" w:lineRule="exact"/>
        <w:ind w:firstLine="627" w:firstLineChars="196"/>
        <w:jc w:val="left"/>
        <w:outlineLvl w:val="0"/>
        <w:rPr>
          <w:rFonts w:hint="eastAsia" w:ascii="仿宋_GB2312" w:hAnsi="仿宋_GB2312" w:eastAsia="仿宋_GB2312" w:cs="仿宋_GB2312"/>
          <w:sz w:val="32"/>
          <w:szCs w:val="32"/>
        </w:rPr>
      </w:pPr>
    </w:p>
    <w:p>
      <w:pPr>
        <w:spacing w:line="560" w:lineRule="exact"/>
        <w:ind w:right="-309" w:rightChars="-147"/>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附件：1.明溪县2022年农作物病虫害绿色防控与统防统融 </w:t>
      </w:r>
    </w:p>
    <w:p>
      <w:pPr>
        <w:spacing w:line="560" w:lineRule="exact"/>
        <w:ind w:right="-309" w:rightChars="-147"/>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合示范区申请表      </w:t>
      </w:r>
    </w:p>
    <w:p>
      <w:pPr>
        <w:autoSpaceDE w:val="0"/>
        <w:autoSpaceDN w:val="0"/>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rPr>
        <w:t xml:space="preserve">       2.</w:t>
      </w:r>
      <w:r>
        <w:rPr>
          <w:rFonts w:hint="eastAsia" w:ascii="仿宋_GB2312" w:eastAsia="仿宋_GB2312"/>
          <w:sz w:val="32"/>
          <w:szCs w:val="32"/>
        </w:rPr>
        <w:t>草地贪夜蛾</w:t>
      </w:r>
      <w:r>
        <w:rPr>
          <w:rFonts w:hint="eastAsia" w:ascii="仿宋_GB2312" w:hAnsi="仿宋_GB2312" w:eastAsia="仿宋_GB2312" w:cs="仿宋_GB2312"/>
          <w:sz w:val="32"/>
          <w:szCs w:val="32"/>
        </w:rPr>
        <w:t>监测</w:t>
      </w:r>
      <w:r>
        <w:rPr>
          <w:rFonts w:hint="eastAsia" w:ascii="仿宋_GB2312" w:hAnsi="仿宋_GB2312" w:eastAsia="仿宋_GB2312" w:cs="仿宋_GB2312"/>
          <w:color w:val="000000"/>
          <w:sz w:val="32"/>
          <w:szCs w:val="32"/>
          <w:lang w:val="zh-CN"/>
        </w:rPr>
        <w:t>点推荐表</w:t>
      </w:r>
    </w:p>
    <w:p>
      <w:pPr>
        <w:jc w:val="left"/>
        <w:rPr>
          <w:rFonts w:hint="eastAsia" w:ascii="黑体" w:eastAsia="黑体"/>
          <w:sz w:val="28"/>
          <w:szCs w:val="28"/>
        </w:rPr>
      </w:pPr>
    </w:p>
    <w:p>
      <w:pPr>
        <w:jc w:val="left"/>
        <w:rPr>
          <w:rFonts w:hint="eastAsia" w:ascii="黑体" w:eastAsia="黑体"/>
          <w:sz w:val="28"/>
          <w:szCs w:val="28"/>
        </w:rPr>
      </w:pPr>
    </w:p>
    <w:p>
      <w:pPr>
        <w:jc w:val="left"/>
        <w:rPr>
          <w:rFonts w:hint="eastAsia" w:ascii="黑体" w:eastAsia="黑体"/>
          <w:sz w:val="28"/>
          <w:szCs w:val="28"/>
        </w:rPr>
      </w:pPr>
    </w:p>
    <w:p>
      <w:pPr>
        <w:jc w:val="left"/>
        <w:rPr>
          <w:rFonts w:hint="eastAsia" w:ascii="黑体" w:eastAsia="黑体"/>
          <w:sz w:val="28"/>
          <w:szCs w:val="28"/>
        </w:rPr>
      </w:pPr>
    </w:p>
    <w:p>
      <w:pPr>
        <w:jc w:val="left"/>
        <w:rPr>
          <w:rFonts w:hint="eastAsia" w:ascii="黑体" w:eastAsia="黑体"/>
          <w:sz w:val="28"/>
          <w:szCs w:val="28"/>
        </w:rPr>
      </w:pPr>
    </w:p>
    <w:p>
      <w:pPr>
        <w:jc w:val="left"/>
        <w:rPr>
          <w:rFonts w:hint="eastAsia" w:ascii="黑体" w:eastAsia="黑体"/>
          <w:sz w:val="28"/>
          <w:szCs w:val="28"/>
        </w:rPr>
      </w:pPr>
      <w:r>
        <w:rPr>
          <w:rFonts w:hint="eastAsia" w:ascii="黑体" w:eastAsia="黑体"/>
          <w:sz w:val="28"/>
          <w:szCs w:val="28"/>
        </w:rPr>
        <w:t>附件1</w:t>
      </w:r>
    </w:p>
    <w:p>
      <w:pPr>
        <w:spacing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明溪县2022年农作物病虫害绿色防控与</w:t>
      </w:r>
    </w:p>
    <w:p>
      <w:pPr>
        <w:spacing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统防统治融合示范区申请表</w:t>
      </w:r>
    </w:p>
    <w:p>
      <w:pPr>
        <w:spacing w:line="480" w:lineRule="exact"/>
        <w:jc w:val="center"/>
        <w:rPr>
          <w:rFonts w:hint="eastAsia" w:ascii="宋体" w:hAnsi="宋体" w:cs="宋体"/>
          <w:b/>
          <w:bCs/>
          <w:sz w:val="36"/>
          <w:szCs w:val="3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170"/>
        <w:gridCol w:w="1802"/>
        <w:gridCol w:w="1802"/>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993" w:type="dxa"/>
            <w:noWrap w:val="0"/>
            <w:vAlign w:val="center"/>
          </w:tcPr>
          <w:p>
            <w:pPr>
              <w:spacing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实施主体</w:t>
            </w:r>
          </w:p>
          <w:p>
            <w:pPr>
              <w:spacing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名称</w:t>
            </w:r>
          </w:p>
        </w:tc>
        <w:tc>
          <w:tcPr>
            <w:tcW w:w="2972" w:type="dxa"/>
            <w:gridSpan w:val="2"/>
            <w:noWrap w:val="0"/>
            <w:vAlign w:val="center"/>
          </w:tcPr>
          <w:p>
            <w:pPr>
              <w:spacing w:line="440" w:lineRule="exact"/>
              <w:rPr>
                <w:rFonts w:hint="eastAsia" w:ascii="仿宋_GB2312" w:hAnsi="仿宋_GB2312" w:eastAsia="仿宋_GB2312" w:cs="仿宋_GB2312"/>
                <w:sz w:val="30"/>
                <w:szCs w:val="30"/>
              </w:rPr>
            </w:pPr>
          </w:p>
        </w:tc>
        <w:tc>
          <w:tcPr>
            <w:tcW w:w="1802" w:type="dxa"/>
            <w:noWrap w:val="0"/>
            <w:vAlign w:val="center"/>
          </w:tcPr>
          <w:p>
            <w:pPr>
              <w:spacing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实施主体</w:t>
            </w:r>
          </w:p>
          <w:p>
            <w:pPr>
              <w:spacing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所在地点</w:t>
            </w:r>
          </w:p>
        </w:tc>
        <w:tc>
          <w:tcPr>
            <w:tcW w:w="2555" w:type="dxa"/>
            <w:noWrap w:val="0"/>
            <w:vAlign w:val="center"/>
          </w:tcPr>
          <w:p>
            <w:pPr>
              <w:spacing w:line="440" w:lineRule="exact"/>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3" w:type="dxa"/>
            <w:noWrap w:val="0"/>
            <w:vAlign w:val="center"/>
          </w:tcPr>
          <w:p>
            <w:pPr>
              <w:spacing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主栽作物</w:t>
            </w:r>
          </w:p>
        </w:tc>
        <w:tc>
          <w:tcPr>
            <w:tcW w:w="2972" w:type="dxa"/>
            <w:gridSpan w:val="2"/>
            <w:noWrap w:val="0"/>
            <w:vAlign w:val="center"/>
          </w:tcPr>
          <w:p>
            <w:pPr>
              <w:spacing w:line="440" w:lineRule="exact"/>
              <w:jc w:val="center"/>
              <w:rPr>
                <w:rFonts w:hint="eastAsia" w:ascii="仿宋_GB2312" w:hAnsi="仿宋_GB2312" w:eastAsia="仿宋_GB2312" w:cs="仿宋_GB2312"/>
                <w:sz w:val="30"/>
                <w:szCs w:val="30"/>
              </w:rPr>
            </w:pPr>
          </w:p>
        </w:tc>
        <w:tc>
          <w:tcPr>
            <w:tcW w:w="1802" w:type="dxa"/>
            <w:noWrap w:val="0"/>
            <w:vAlign w:val="center"/>
          </w:tcPr>
          <w:p>
            <w:pPr>
              <w:spacing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种植面积（亩）</w:t>
            </w:r>
          </w:p>
        </w:tc>
        <w:tc>
          <w:tcPr>
            <w:tcW w:w="2555" w:type="dxa"/>
            <w:noWrap w:val="0"/>
            <w:vAlign w:val="top"/>
          </w:tcPr>
          <w:p>
            <w:pPr>
              <w:spacing w:line="440" w:lineRule="exact"/>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93" w:type="dxa"/>
            <w:noWrap w:val="0"/>
            <w:vAlign w:val="center"/>
          </w:tcPr>
          <w:p>
            <w:pPr>
              <w:spacing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负责人姓名</w:t>
            </w:r>
          </w:p>
        </w:tc>
        <w:tc>
          <w:tcPr>
            <w:tcW w:w="2972" w:type="dxa"/>
            <w:gridSpan w:val="2"/>
            <w:noWrap w:val="0"/>
            <w:vAlign w:val="center"/>
          </w:tcPr>
          <w:p>
            <w:pPr>
              <w:spacing w:line="440" w:lineRule="exact"/>
              <w:jc w:val="center"/>
              <w:rPr>
                <w:rFonts w:hint="eastAsia" w:ascii="仿宋_GB2312" w:hAnsi="仿宋_GB2312" w:eastAsia="仿宋_GB2312" w:cs="仿宋_GB2312"/>
                <w:sz w:val="30"/>
                <w:szCs w:val="30"/>
              </w:rPr>
            </w:pPr>
          </w:p>
        </w:tc>
        <w:tc>
          <w:tcPr>
            <w:tcW w:w="1802" w:type="dxa"/>
            <w:noWrap w:val="0"/>
            <w:vAlign w:val="center"/>
          </w:tcPr>
          <w:p>
            <w:pPr>
              <w:spacing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身份证号码</w:t>
            </w:r>
          </w:p>
        </w:tc>
        <w:tc>
          <w:tcPr>
            <w:tcW w:w="2555" w:type="dxa"/>
            <w:noWrap w:val="0"/>
            <w:vAlign w:val="top"/>
          </w:tcPr>
          <w:p>
            <w:pPr>
              <w:spacing w:line="440" w:lineRule="exact"/>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93" w:type="dxa"/>
            <w:noWrap w:val="0"/>
            <w:vAlign w:val="center"/>
          </w:tcPr>
          <w:p>
            <w:pPr>
              <w:spacing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住 址</w:t>
            </w:r>
          </w:p>
        </w:tc>
        <w:tc>
          <w:tcPr>
            <w:tcW w:w="2972" w:type="dxa"/>
            <w:gridSpan w:val="2"/>
            <w:noWrap w:val="0"/>
            <w:vAlign w:val="center"/>
          </w:tcPr>
          <w:p>
            <w:pPr>
              <w:spacing w:line="440" w:lineRule="exact"/>
              <w:jc w:val="center"/>
              <w:rPr>
                <w:rFonts w:hint="eastAsia" w:ascii="仿宋_GB2312" w:hAnsi="仿宋_GB2312" w:eastAsia="仿宋_GB2312" w:cs="仿宋_GB2312"/>
                <w:sz w:val="30"/>
                <w:szCs w:val="30"/>
              </w:rPr>
            </w:pPr>
          </w:p>
        </w:tc>
        <w:tc>
          <w:tcPr>
            <w:tcW w:w="1802" w:type="dxa"/>
            <w:noWrap w:val="0"/>
            <w:vAlign w:val="center"/>
          </w:tcPr>
          <w:p>
            <w:pPr>
              <w:spacing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c>
          <w:tcPr>
            <w:tcW w:w="2555" w:type="dxa"/>
            <w:noWrap w:val="0"/>
            <w:vAlign w:val="top"/>
          </w:tcPr>
          <w:p>
            <w:pPr>
              <w:spacing w:line="440" w:lineRule="exact"/>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322" w:type="dxa"/>
            <w:gridSpan w:val="5"/>
            <w:noWrap w:val="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9322" w:type="dxa"/>
            <w:gridSpan w:val="5"/>
            <w:noWrap w:val="0"/>
            <w:vAlign w:val="top"/>
          </w:tcPr>
          <w:p>
            <w:pP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63" w:type="dxa"/>
            <w:gridSpan w:val="2"/>
            <w:tcBorders>
              <w:bottom w:val="single" w:color="auto" w:sz="4" w:space="0"/>
            </w:tcBorders>
            <w:noWrap w:val="0"/>
            <w:vAlign w:val="center"/>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乡镇农技站</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意见：</w:t>
            </w:r>
          </w:p>
        </w:tc>
        <w:tc>
          <w:tcPr>
            <w:tcW w:w="6159" w:type="dxa"/>
            <w:gridSpan w:val="3"/>
            <w:tcBorders>
              <w:bottom w:val="single" w:color="auto" w:sz="4" w:space="0"/>
            </w:tcBorders>
            <w:noWrap w:val="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企业盖章</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负责人签名：</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tc>
      </w:tr>
    </w:tbl>
    <w:p>
      <w:pPr>
        <w:spacing w:line="400" w:lineRule="exact"/>
        <w:ind w:left="139" w:leftChars="66"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本表一式二份，由申报单位如实填写。 </w:t>
      </w:r>
    </w:p>
    <w:p>
      <w:pPr>
        <w:spacing w:line="400" w:lineRule="exact"/>
        <w:ind w:left="139" w:leftChars="66" w:firstLine="160" w:firstLineChars="50"/>
        <w:rPr>
          <w:rFonts w:ascii="仿宋_GB2312" w:hAnsi="仿宋_GB2312" w:eastAsia="仿宋_GB2312" w:cs="仿宋_GB2312"/>
          <w:color w:val="000000"/>
          <w:sz w:val="32"/>
          <w:szCs w:val="32"/>
          <w:lang w:val="zh-CN"/>
        </w:rPr>
        <w:sectPr>
          <w:pgSz w:w="11906" w:h="16838"/>
          <w:pgMar w:top="2098" w:right="1474" w:bottom="1984" w:left="1587" w:header="851" w:footer="935" w:gutter="0"/>
          <w:pgNumType w:fmt="numberInDash"/>
          <w:cols w:space="720" w:num="1"/>
          <w:titlePg/>
          <w:docGrid w:type="lines" w:linePitch="312" w:charSpace="0"/>
        </w:sectPr>
      </w:pPr>
    </w:p>
    <w:p>
      <w:pPr>
        <w:jc w:val="left"/>
        <w:rPr>
          <w:rFonts w:hint="eastAsia" w:ascii="黑体" w:eastAsia="黑体"/>
          <w:sz w:val="32"/>
          <w:szCs w:val="32"/>
        </w:rPr>
      </w:pPr>
      <w:r>
        <w:rPr>
          <w:rFonts w:hint="eastAsia" w:ascii="黑体" w:eastAsia="黑体"/>
          <w:sz w:val="32"/>
          <w:szCs w:val="32"/>
        </w:rPr>
        <w:t>附件2</w:t>
      </w:r>
    </w:p>
    <w:p>
      <w:pPr>
        <w:autoSpaceDE w:val="0"/>
        <w:autoSpaceDN w:val="0"/>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草地贪夜蛾监测点推荐表</w:t>
      </w:r>
    </w:p>
    <w:p>
      <w:pPr>
        <w:autoSpaceDE w:val="0"/>
        <w:autoSpaceDN w:val="0"/>
        <w:spacing w:line="360" w:lineRule="auto"/>
        <w:rPr>
          <w:rFonts w:ascii="仿宋_GB2312" w:hAnsi="仿宋_GB2312" w:eastAsia="仿宋_GB2312" w:cs="仿宋_GB2312"/>
          <w:color w:val="000000"/>
          <w:sz w:val="32"/>
          <w:szCs w:val="32"/>
          <w:u w:val="thick"/>
          <w:lang w:val="zh-CN"/>
        </w:rPr>
      </w:pPr>
      <w:r>
        <w:rPr>
          <w:rFonts w:ascii="仿宋_GB2312" w:hAnsi="仿宋_GB2312" w:eastAsia="仿宋_GB2312" w:cs="仿宋_GB2312"/>
          <w:color w:val="000000"/>
          <w:sz w:val="32"/>
          <w:szCs w:val="32"/>
          <w:u w:val="thick"/>
          <w:lang w:val="zh-CN"/>
        </w:rPr>
        <w:t xml:space="preserve">      </w:t>
      </w:r>
      <w:r>
        <w:rPr>
          <w:rFonts w:hint="eastAsia" w:ascii="仿宋_GB2312" w:hAnsi="仿宋_GB2312" w:eastAsia="仿宋_GB2312" w:cs="仿宋_GB2312"/>
          <w:color w:val="000000"/>
          <w:sz w:val="32"/>
          <w:szCs w:val="32"/>
          <w:lang w:val="zh-CN"/>
        </w:rPr>
        <w:t>农业技术推广站</w:t>
      </w:r>
      <w:r>
        <w:rPr>
          <w:rFonts w:ascii="仿宋_GB2312" w:hAnsi="仿宋_GB2312" w:eastAsia="仿宋_GB2312" w:cs="仿宋_GB2312"/>
          <w:color w:val="000000"/>
          <w:sz w:val="32"/>
          <w:szCs w:val="32"/>
          <w:lang w:val="zh-CN"/>
        </w:rPr>
        <w:tab/>
      </w:r>
      <w:r>
        <w:rPr>
          <w:rFonts w:ascii="仿宋_GB2312" w:hAnsi="仿宋_GB2312" w:eastAsia="仿宋_GB2312" w:cs="仿宋_GB2312"/>
          <w:color w:val="000000"/>
          <w:sz w:val="32"/>
          <w:szCs w:val="32"/>
          <w:lang w:val="zh-CN"/>
        </w:rPr>
        <w:tab/>
      </w:r>
      <w:r>
        <w:rPr>
          <w:rFonts w:ascii="仿宋_GB2312" w:hAnsi="仿宋_GB2312" w:eastAsia="仿宋_GB2312" w:cs="仿宋_GB2312"/>
          <w:color w:val="000000"/>
          <w:sz w:val="32"/>
          <w:szCs w:val="32"/>
          <w:lang w:val="zh-CN"/>
        </w:rPr>
        <w:tab/>
      </w:r>
      <w:r>
        <w:rPr>
          <w:rFonts w:ascii="仿宋_GB2312" w:hAnsi="仿宋_GB2312" w:eastAsia="仿宋_GB2312" w:cs="仿宋_GB2312"/>
          <w:color w:val="000000"/>
          <w:sz w:val="32"/>
          <w:szCs w:val="32"/>
          <w:lang w:val="zh-CN"/>
        </w:rPr>
        <w:tab/>
      </w:r>
      <w:r>
        <w:rPr>
          <w:rFonts w:ascii="仿宋_GB2312" w:hAnsi="仿宋_GB2312" w:eastAsia="仿宋_GB2312" w:cs="仿宋_GB2312"/>
          <w:color w:val="000000"/>
          <w:sz w:val="32"/>
          <w:szCs w:val="32"/>
          <w:lang w:val="zh-CN"/>
        </w:rPr>
        <w:tab/>
      </w:r>
      <w:r>
        <w:rPr>
          <w:rFonts w:ascii="仿宋_GB2312" w:hAnsi="仿宋_GB2312" w:eastAsia="仿宋_GB2312" w:cs="仿宋_GB2312"/>
          <w:color w:val="000000"/>
          <w:sz w:val="32"/>
          <w:szCs w:val="32"/>
          <w:lang w:val="zh-CN"/>
        </w:rPr>
        <w:tab/>
      </w:r>
      <w:r>
        <w:rPr>
          <w:rFonts w:hint="eastAsia" w:ascii="仿宋_GB2312" w:hAnsi="仿宋_GB2312" w:eastAsia="仿宋_GB2312" w:cs="仿宋_GB2312"/>
          <w:color w:val="000000"/>
          <w:sz w:val="32"/>
          <w:szCs w:val="32"/>
          <w:lang w:val="zh-CN"/>
        </w:rPr>
        <w:t xml:space="preserve">                       填报时间：</w:t>
      </w:r>
      <w:r>
        <w:rPr>
          <w:rFonts w:ascii="仿宋_GB2312" w:hAnsi="仿宋_GB2312" w:eastAsia="仿宋_GB2312" w:cs="仿宋_GB2312"/>
          <w:color w:val="000000"/>
          <w:sz w:val="32"/>
          <w:szCs w:val="32"/>
          <w:u w:val="thick"/>
          <w:lang w:val="zh-CN"/>
        </w:rPr>
        <w:t xml:space="preserve">         </w:t>
      </w:r>
    </w:p>
    <w:tbl>
      <w:tblPr>
        <w:tblStyle w:val="2"/>
        <w:tblW w:w="5006" w:type="pct"/>
        <w:jc w:val="center"/>
        <w:tblLayout w:type="autofit"/>
        <w:tblCellMar>
          <w:top w:w="0" w:type="dxa"/>
          <w:left w:w="0" w:type="dxa"/>
          <w:bottom w:w="0" w:type="dxa"/>
          <w:right w:w="0" w:type="dxa"/>
        </w:tblCellMar>
      </w:tblPr>
      <w:tblGrid>
        <w:gridCol w:w="1278"/>
        <w:gridCol w:w="1428"/>
        <w:gridCol w:w="1800"/>
        <w:gridCol w:w="1440"/>
        <w:gridCol w:w="2159"/>
        <w:gridCol w:w="5146"/>
      </w:tblGrid>
      <w:tr>
        <w:tblPrEx>
          <w:tblCellMar>
            <w:top w:w="0" w:type="dxa"/>
            <w:left w:w="0" w:type="dxa"/>
            <w:bottom w:w="0" w:type="dxa"/>
            <w:right w:w="0" w:type="dxa"/>
          </w:tblCellMar>
        </w:tblPrEx>
        <w:trPr>
          <w:jc w:val="center"/>
        </w:trPr>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监测点</w:t>
            </w:r>
          </w:p>
        </w:tc>
        <w:tc>
          <w:tcPr>
            <w:tcW w:w="14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监测人</w:t>
            </w:r>
          </w:p>
        </w:tc>
        <w:tc>
          <w:tcPr>
            <w:tcW w:w="180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联系电话</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监测作物</w:t>
            </w:r>
          </w:p>
        </w:tc>
        <w:tc>
          <w:tcPr>
            <w:tcW w:w="2159"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监测面积（亩）</w:t>
            </w:r>
          </w:p>
        </w:tc>
        <w:tc>
          <w:tcPr>
            <w:tcW w:w="5146"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监测地点（详细到村）</w:t>
            </w:r>
          </w:p>
        </w:tc>
      </w:tr>
      <w:tr>
        <w:tblPrEx>
          <w:tblCellMar>
            <w:top w:w="0" w:type="dxa"/>
            <w:left w:w="0" w:type="dxa"/>
            <w:bottom w:w="0" w:type="dxa"/>
            <w:right w:w="0" w:type="dxa"/>
          </w:tblCellMar>
        </w:tblPrEx>
        <w:trPr>
          <w:jc w:val="center"/>
        </w:trPr>
        <w:tc>
          <w:tcPr>
            <w:tcW w:w="1278" w:type="dxa"/>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p>
        </w:tc>
        <w:tc>
          <w:tcPr>
            <w:tcW w:w="1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32"/>
                <w:szCs w:val="32"/>
              </w:rPr>
            </w:pPr>
          </w:p>
        </w:tc>
        <w:tc>
          <w:tcPr>
            <w:tcW w:w="1800" w:type="dxa"/>
            <w:tcBorders>
              <w:top w:val="nil"/>
              <w:left w:val="nil"/>
              <w:bottom w:val="single" w:color="auto" w:sz="4" w:space="0"/>
              <w:right w:val="single" w:color="auto" w:sz="4" w:space="0"/>
            </w:tcBorders>
            <w:noWrap w:val="0"/>
            <w:vAlign w:val="center"/>
          </w:tcPr>
          <w:p>
            <w:pPr>
              <w:jc w:val="center"/>
              <w:rPr>
                <w:rFonts w:ascii="仿宋_GB2312" w:hAnsi="仿宋_GB2312" w:eastAsia="仿宋_GB2312" w:cs="仿宋_GB2312"/>
                <w:color w:val="000000"/>
                <w:sz w:val="32"/>
                <w:szCs w:val="32"/>
              </w:rPr>
            </w:pPr>
          </w:p>
        </w:tc>
        <w:tc>
          <w:tcPr>
            <w:tcW w:w="1440" w:type="dxa"/>
            <w:tcBorders>
              <w:top w:val="nil"/>
              <w:left w:val="nil"/>
              <w:bottom w:val="single" w:color="auto" w:sz="4" w:space="0"/>
              <w:right w:val="single" w:color="auto" w:sz="4" w:space="0"/>
            </w:tcBorders>
            <w:noWrap w:val="0"/>
            <w:vAlign w:val="center"/>
          </w:tcPr>
          <w:p>
            <w:pPr>
              <w:jc w:val="center"/>
              <w:rPr>
                <w:rFonts w:ascii="仿宋_GB2312" w:hAnsi="仿宋_GB2312" w:eastAsia="仿宋_GB2312" w:cs="仿宋_GB2312"/>
                <w:color w:val="000000"/>
                <w:sz w:val="32"/>
                <w:szCs w:val="32"/>
              </w:rPr>
            </w:pPr>
          </w:p>
        </w:tc>
        <w:tc>
          <w:tcPr>
            <w:tcW w:w="2159" w:type="dxa"/>
            <w:tcBorders>
              <w:top w:val="nil"/>
              <w:left w:val="nil"/>
              <w:bottom w:val="single" w:color="auto" w:sz="4" w:space="0"/>
              <w:right w:val="single" w:color="auto" w:sz="4" w:space="0"/>
            </w:tcBorders>
            <w:noWrap w:val="0"/>
            <w:vAlign w:val="center"/>
          </w:tcPr>
          <w:p>
            <w:pPr>
              <w:jc w:val="center"/>
              <w:rPr>
                <w:rFonts w:ascii="仿宋_GB2312" w:hAnsi="仿宋_GB2312" w:eastAsia="仿宋_GB2312" w:cs="仿宋_GB2312"/>
                <w:color w:val="000000"/>
                <w:sz w:val="32"/>
                <w:szCs w:val="32"/>
              </w:rPr>
            </w:pPr>
          </w:p>
        </w:tc>
        <w:tc>
          <w:tcPr>
            <w:tcW w:w="5146" w:type="dxa"/>
            <w:tcBorders>
              <w:top w:val="nil"/>
              <w:left w:val="nil"/>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jc w:val="center"/>
        </w:trPr>
        <w:tc>
          <w:tcPr>
            <w:tcW w:w="1278" w:type="dxa"/>
            <w:tcBorders>
              <w:top w:val="nil"/>
              <w:left w:val="single" w:color="auto" w:sz="4" w:space="0"/>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p>
        </w:tc>
        <w:tc>
          <w:tcPr>
            <w:tcW w:w="1428" w:type="dxa"/>
            <w:tcBorders>
              <w:top w:val="nil"/>
              <w:left w:val="single" w:color="auto" w:sz="4" w:space="0"/>
              <w:bottom w:val="single" w:color="auto" w:sz="4" w:space="0"/>
              <w:right w:val="single" w:color="auto" w:sz="4" w:space="0"/>
            </w:tcBorders>
            <w:noWrap/>
            <w:tcMar>
              <w:top w:w="15" w:type="dxa"/>
              <w:left w:w="15" w:type="dxa"/>
              <w:right w:w="15" w:type="dxa"/>
            </w:tcMar>
            <w:vAlign w:val="bottom"/>
          </w:tcPr>
          <w:p>
            <w:pPr>
              <w:jc w:val="center"/>
              <w:rPr>
                <w:rFonts w:ascii="仿宋_GB2312" w:hAnsi="仿宋_GB2312" w:eastAsia="仿宋_GB2312" w:cs="仿宋_GB2312"/>
                <w:color w:val="000000"/>
                <w:sz w:val="32"/>
                <w:szCs w:val="32"/>
              </w:rPr>
            </w:pPr>
          </w:p>
        </w:tc>
        <w:tc>
          <w:tcPr>
            <w:tcW w:w="1800" w:type="dxa"/>
            <w:tcBorders>
              <w:top w:val="nil"/>
              <w:left w:val="nil"/>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p>
        </w:tc>
        <w:tc>
          <w:tcPr>
            <w:tcW w:w="1440" w:type="dxa"/>
            <w:tcBorders>
              <w:top w:val="nil"/>
              <w:left w:val="nil"/>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p>
        </w:tc>
        <w:tc>
          <w:tcPr>
            <w:tcW w:w="2159" w:type="dxa"/>
            <w:tcBorders>
              <w:top w:val="nil"/>
              <w:left w:val="nil"/>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p>
        </w:tc>
        <w:tc>
          <w:tcPr>
            <w:tcW w:w="5146" w:type="dxa"/>
            <w:tcBorders>
              <w:top w:val="nil"/>
              <w:left w:val="nil"/>
              <w:bottom w:val="single" w:color="auto" w:sz="4" w:space="0"/>
              <w:right w:val="single" w:color="auto" w:sz="4" w:space="0"/>
            </w:tcBorders>
            <w:noWrap/>
            <w:tcMar>
              <w:top w:w="15" w:type="dxa"/>
              <w:left w:w="15" w:type="dxa"/>
              <w:right w:w="15" w:type="dxa"/>
            </w:tcMar>
            <w:vAlign w:val="bottom"/>
          </w:tcPr>
          <w:p>
            <w:pPr>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jc w:val="center"/>
        </w:trPr>
        <w:tc>
          <w:tcPr>
            <w:tcW w:w="1278" w:type="dxa"/>
            <w:tcBorders>
              <w:top w:val="nil"/>
              <w:left w:val="single" w:color="auto" w:sz="4" w:space="0"/>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p>
        </w:tc>
        <w:tc>
          <w:tcPr>
            <w:tcW w:w="1428" w:type="dxa"/>
            <w:tcBorders>
              <w:top w:val="nil"/>
              <w:left w:val="single" w:color="auto" w:sz="4" w:space="0"/>
              <w:bottom w:val="single" w:color="auto" w:sz="4" w:space="0"/>
              <w:right w:val="single" w:color="auto" w:sz="4" w:space="0"/>
            </w:tcBorders>
            <w:noWrap/>
            <w:tcMar>
              <w:top w:w="15" w:type="dxa"/>
              <w:left w:w="15" w:type="dxa"/>
              <w:right w:w="15" w:type="dxa"/>
            </w:tcMar>
            <w:vAlign w:val="bottom"/>
          </w:tcPr>
          <w:p>
            <w:pPr>
              <w:jc w:val="center"/>
              <w:rPr>
                <w:rFonts w:ascii="仿宋_GB2312" w:hAnsi="仿宋_GB2312" w:eastAsia="仿宋_GB2312" w:cs="仿宋_GB2312"/>
                <w:color w:val="000000"/>
                <w:sz w:val="32"/>
                <w:szCs w:val="32"/>
              </w:rPr>
            </w:pPr>
          </w:p>
        </w:tc>
        <w:tc>
          <w:tcPr>
            <w:tcW w:w="1800" w:type="dxa"/>
            <w:tcBorders>
              <w:top w:val="nil"/>
              <w:left w:val="nil"/>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p>
        </w:tc>
        <w:tc>
          <w:tcPr>
            <w:tcW w:w="1440" w:type="dxa"/>
            <w:tcBorders>
              <w:top w:val="nil"/>
              <w:left w:val="nil"/>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p>
        </w:tc>
        <w:tc>
          <w:tcPr>
            <w:tcW w:w="2159" w:type="dxa"/>
            <w:tcBorders>
              <w:top w:val="nil"/>
              <w:left w:val="nil"/>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p>
        </w:tc>
        <w:tc>
          <w:tcPr>
            <w:tcW w:w="5146" w:type="dxa"/>
            <w:tcBorders>
              <w:top w:val="nil"/>
              <w:left w:val="nil"/>
              <w:bottom w:val="single" w:color="auto" w:sz="4" w:space="0"/>
              <w:right w:val="single" w:color="auto" w:sz="4" w:space="0"/>
            </w:tcBorders>
            <w:noWrap/>
            <w:tcMar>
              <w:top w:w="15" w:type="dxa"/>
              <w:left w:w="15" w:type="dxa"/>
              <w:right w:w="15" w:type="dxa"/>
            </w:tcMar>
            <w:vAlign w:val="bottom"/>
          </w:tcPr>
          <w:p>
            <w:pPr>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jc w:val="center"/>
        </w:trPr>
        <w:tc>
          <w:tcPr>
            <w:tcW w:w="1278" w:type="dxa"/>
            <w:tcBorders>
              <w:top w:val="nil"/>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p>
        </w:tc>
        <w:tc>
          <w:tcPr>
            <w:tcW w:w="1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32"/>
                <w:szCs w:val="32"/>
              </w:rPr>
            </w:pPr>
          </w:p>
        </w:tc>
        <w:tc>
          <w:tcPr>
            <w:tcW w:w="1800" w:type="dxa"/>
            <w:tcBorders>
              <w:top w:val="nil"/>
              <w:left w:val="nil"/>
              <w:bottom w:val="single" w:color="auto" w:sz="4" w:space="0"/>
              <w:right w:val="single" w:color="auto" w:sz="4" w:space="0"/>
            </w:tcBorders>
            <w:noWrap w:val="0"/>
            <w:vAlign w:val="center"/>
          </w:tcPr>
          <w:p>
            <w:pPr>
              <w:jc w:val="center"/>
              <w:rPr>
                <w:rFonts w:ascii="仿宋_GB2312" w:hAnsi="仿宋_GB2312" w:eastAsia="仿宋_GB2312" w:cs="仿宋_GB2312"/>
                <w:color w:val="000000"/>
                <w:sz w:val="32"/>
                <w:szCs w:val="32"/>
              </w:rPr>
            </w:pPr>
          </w:p>
        </w:tc>
        <w:tc>
          <w:tcPr>
            <w:tcW w:w="1440" w:type="dxa"/>
            <w:tcBorders>
              <w:top w:val="nil"/>
              <w:left w:val="nil"/>
              <w:bottom w:val="single" w:color="auto" w:sz="4" w:space="0"/>
              <w:right w:val="single" w:color="auto" w:sz="4" w:space="0"/>
            </w:tcBorders>
            <w:noWrap w:val="0"/>
            <w:vAlign w:val="center"/>
          </w:tcPr>
          <w:p>
            <w:pPr>
              <w:jc w:val="center"/>
              <w:rPr>
                <w:rFonts w:ascii="仿宋_GB2312" w:hAnsi="仿宋_GB2312" w:eastAsia="仿宋_GB2312" w:cs="仿宋_GB2312"/>
                <w:color w:val="000000"/>
                <w:sz w:val="32"/>
                <w:szCs w:val="32"/>
              </w:rPr>
            </w:pPr>
          </w:p>
        </w:tc>
        <w:tc>
          <w:tcPr>
            <w:tcW w:w="2159" w:type="dxa"/>
            <w:tcBorders>
              <w:top w:val="nil"/>
              <w:left w:val="nil"/>
              <w:bottom w:val="single" w:color="auto" w:sz="4" w:space="0"/>
              <w:right w:val="single" w:color="auto" w:sz="4" w:space="0"/>
            </w:tcBorders>
            <w:noWrap w:val="0"/>
            <w:vAlign w:val="center"/>
          </w:tcPr>
          <w:p>
            <w:pPr>
              <w:jc w:val="center"/>
              <w:rPr>
                <w:rFonts w:ascii="仿宋_GB2312" w:hAnsi="仿宋_GB2312" w:eastAsia="仿宋_GB2312" w:cs="仿宋_GB2312"/>
                <w:color w:val="000000"/>
                <w:sz w:val="32"/>
                <w:szCs w:val="32"/>
              </w:rPr>
            </w:pPr>
          </w:p>
        </w:tc>
        <w:tc>
          <w:tcPr>
            <w:tcW w:w="5146" w:type="dxa"/>
            <w:tcBorders>
              <w:top w:val="nil"/>
              <w:left w:val="nil"/>
              <w:bottom w:val="single" w:color="auto"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jc w:val="center"/>
        </w:trPr>
        <w:tc>
          <w:tcPr>
            <w:tcW w:w="1278" w:type="dxa"/>
            <w:tcBorders>
              <w:top w:val="nil"/>
              <w:left w:val="single" w:color="auto" w:sz="4" w:space="0"/>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p>
        </w:tc>
        <w:tc>
          <w:tcPr>
            <w:tcW w:w="1428" w:type="dxa"/>
            <w:tcBorders>
              <w:top w:val="nil"/>
              <w:left w:val="single" w:color="auto" w:sz="4" w:space="0"/>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p>
        </w:tc>
        <w:tc>
          <w:tcPr>
            <w:tcW w:w="1800" w:type="dxa"/>
            <w:tcBorders>
              <w:top w:val="nil"/>
              <w:left w:val="nil"/>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p>
        </w:tc>
        <w:tc>
          <w:tcPr>
            <w:tcW w:w="1440" w:type="dxa"/>
            <w:tcBorders>
              <w:top w:val="nil"/>
              <w:left w:val="nil"/>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p>
        </w:tc>
        <w:tc>
          <w:tcPr>
            <w:tcW w:w="2159" w:type="dxa"/>
            <w:tcBorders>
              <w:top w:val="nil"/>
              <w:left w:val="nil"/>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p>
        </w:tc>
        <w:tc>
          <w:tcPr>
            <w:tcW w:w="5146" w:type="dxa"/>
            <w:tcBorders>
              <w:top w:val="nil"/>
              <w:left w:val="nil"/>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jc w:val="center"/>
        </w:trPr>
        <w:tc>
          <w:tcPr>
            <w:tcW w:w="1278" w:type="dxa"/>
            <w:tcBorders>
              <w:top w:val="nil"/>
              <w:left w:val="single" w:color="auto" w:sz="4" w:space="0"/>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p>
        </w:tc>
        <w:tc>
          <w:tcPr>
            <w:tcW w:w="1428" w:type="dxa"/>
            <w:tcBorders>
              <w:top w:val="nil"/>
              <w:left w:val="single" w:color="auto" w:sz="4" w:space="0"/>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p>
        </w:tc>
        <w:tc>
          <w:tcPr>
            <w:tcW w:w="1800" w:type="dxa"/>
            <w:tcBorders>
              <w:top w:val="nil"/>
              <w:left w:val="nil"/>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p>
        </w:tc>
        <w:tc>
          <w:tcPr>
            <w:tcW w:w="1440" w:type="dxa"/>
            <w:tcBorders>
              <w:top w:val="nil"/>
              <w:left w:val="nil"/>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p>
        </w:tc>
        <w:tc>
          <w:tcPr>
            <w:tcW w:w="2159" w:type="dxa"/>
            <w:tcBorders>
              <w:top w:val="nil"/>
              <w:left w:val="nil"/>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p>
        </w:tc>
        <w:tc>
          <w:tcPr>
            <w:tcW w:w="5146" w:type="dxa"/>
            <w:tcBorders>
              <w:top w:val="nil"/>
              <w:left w:val="nil"/>
              <w:bottom w:val="single" w:color="auto" w:sz="4" w:space="0"/>
              <w:right w:val="single" w:color="auto" w:sz="4" w:space="0"/>
            </w:tcBorders>
            <w:noWrap/>
            <w:vAlign w:val="bottom"/>
          </w:tcPr>
          <w:p>
            <w:pPr>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jc w:val="center"/>
        </w:trPr>
        <w:tc>
          <w:tcPr>
            <w:tcW w:w="1278" w:type="dxa"/>
            <w:tcBorders>
              <w:top w:val="nil"/>
              <w:left w:val="single" w:color="auto" w:sz="4" w:space="0"/>
              <w:bottom w:val="single" w:color="auto" w:sz="4" w:space="0"/>
              <w:right w:val="single" w:color="auto" w:sz="4" w:space="0"/>
            </w:tcBorders>
            <w:noWrap/>
            <w:vAlign w:val="bottom"/>
          </w:tcPr>
          <w:p>
            <w:pPr>
              <w:jc w:val="center"/>
              <w:rPr>
                <w:rFonts w:ascii="仿宋_GB2312" w:eastAsia="仿宋_GB2312"/>
                <w:color w:val="000000"/>
                <w:sz w:val="30"/>
                <w:szCs w:val="30"/>
              </w:rPr>
            </w:pPr>
            <w:r>
              <w:rPr>
                <w:rFonts w:hint="eastAsia" w:ascii="仿宋_GB2312" w:eastAsia="仿宋_GB2312"/>
                <w:color w:val="000000"/>
                <w:sz w:val="30"/>
                <w:szCs w:val="30"/>
              </w:rPr>
              <w:t>.</w:t>
            </w:r>
          </w:p>
        </w:tc>
        <w:tc>
          <w:tcPr>
            <w:tcW w:w="1428" w:type="dxa"/>
            <w:tcBorders>
              <w:top w:val="nil"/>
              <w:left w:val="single" w:color="auto" w:sz="4" w:space="0"/>
              <w:bottom w:val="single" w:color="auto" w:sz="4" w:space="0"/>
              <w:right w:val="single" w:color="auto" w:sz="4" w:space="0"/>
            </w:tcBorders>
            <w:noWrap/>
            <w:tcMar>
              <w:top w:w="15" w:type="dxa"/>
              <w:left w:w="15" w:type="dxa"/>
              <w:right w:w="15" w:type="dxa"/>
            </w:tcMar>
            <w:vAlign w:val="bottom"/>
          </w:tcPr>
          <w:p>
            <w:pPr>
              <w:jc w:val="center"/>
              <w:rPr>
                <w:rFonts w:ascii="仿宋_GB2312" w:eastAsia="仿宋_GB2312"/>
                <w:color w:val="000000"/>
                <w:sz w:val="30"/>
                <w:szCs w:val="30"/>
              </w:rPr>
            </w:pPr>
          </w:p>
        </w:tc>
        <w:tc>
          <w:tcPr>
            <w:tcW w:w="1800" w:type="dxa"/>
            <w:tcBorders>
              <w:top w:val="nil"/>
              <w:left w:val="nil"/>
              <w:bottom w:val="single" w:color="auto" w:sz="4" w:space="0"/>
              <w:right w:val="single" w:color="auto" w:sz="4" w:space="0"/>
            </w:tcBorders>
            <w:noWrap/>
            <w:vAlign w:val="bottom"/>
          </w:tcPr>
          <w:p>
            <w:pPr>
              <w:jc w:val="center"/>
              <w:rPr>
                <w:rFonts w:ascii="仿宋_GB2312" w:eastAsia="仿宋_GB2312"/>
                <w:color w:val="000000"/>
                <w:sz w:val="30"/>
                <w:szCs w:val="30"/>
              </w:rPr>
            </w:pPr>
          </w:p>
        </w:tc>
        <w:tc>
          <w:tcPr>
            <w:tcW w:w="1440" w:type="dxa"/>
            <w:tcBorders>
              <w:top w:val="nil"/>
              <w:left w:val="nil"/>
              <w:bottom w:val="single" w:color="auto" w:sz="4" w:space="0"/>
              <w:right w:val="single" w:color="auto" w:sz="4" w:space="0"/>
            </w:tcBorders>
            <w:noWrap/>
            <w:vAlign w:val="bottom"/>
          </w:tcPr>
          <w:p>
            <w:pPr>
              <w:jc w:val="center"/>
              <w:rPr>
                <w:rFonts w:ascii="仿宋_GB2312" w:eastAsia="仿宋_GB2312"/>
                <w:color w:val="000000"/>
                <w:sz w:val="30"/>
                <w:szCs w:val="30"/>
              </w:rPr>
            </w:pPr>
          </w:p>
        </w:tc>
        <w:tc>
          <w:tcPr>
            <w:tcW w:w="2159" w:type="dxa"/>
            <w:tcBorders>
              <w:top w:val="nil"/>
              <w:left w:val="nil"/>
              <w:bottom w:val="single" w:color="auto" w:sz="4" w:space="0"/>
              <w:right w:val="single" w:color="auto" w:sz="4" w:space="0"/>
            </w:tcBorders>
            <w:noWrap/>
            <w:vAlign w:val="bottom"/>
          </w:tcPr>
          <w:p>
            <w:pPr>
              <w:jc w:val="center"/>
              <w:rPr>
                <w:rFonts w:ascii="仿宋_GB2312" w:eastAsia="仿宋_GB2312"/>
                <w:color w:val="000000"/>
                <w:sz w:val="30"/>
                <w:szCs w:val="30"/>
              </w:rPr>
            </w:pPr>
          </w:p>
        </w:tc>
        <w:tc>
          <w:tcPr>
            <w:tcW w:w="5146" w:type="dxa"/>
            <w:tcBorders>
              <w:top w:val="nil"/>
              <w:left w:val="nil"/>
              <w:bottom w:val="single" w:color="auto" w:sz="4" w:space="0"/>
              <w:right w:val="single" w:color="auto" w:sz="4" w:space="0"/>
            </w:tcBorders>
            <w:noWrap/>
            <w:tcMar>
              <w:top w:w="15" w:type="dxa"/>
              <w:left w:w="15" w:type="dxa"/>
              <w:right w:w="15" w:type="dxa"/>
            </w:tcMar>
            <w:vAlign w:val="bottom"/>
          </w:tcPr>
          <w:p>
            <w:pPr>
              <w:jc w:val="center"/>
              <w:rPr>
                <w:rFonts w:ascii="仿宋_GB2312" w:eastAsia="仿宋_GB2312"/>
                <w:color w:val="000000"/>
                <w:sz w:val="30"/>
                <w:szCs w:val="30"/>
              </w:rPr>
            </w:pPr>
          </w:p>
        </w:tc>
      </w:tr>
    </w:tbl>
    <w:p>
      <w:pPr>
        <w:spacing w:line="400" w:lineRule="exact"/>
        <w:ind w:left="139" w:leftChars="66" w:firstLine="160" w:firstLineChars="50"/>
        <w:rPr>
          <w:rFonts w:ascii="仿宋_GB2312" w:hAnsi="仿宋_GB2312" w:eastAsia="仿宋_GB2312" w:cs="仿宋_GB2312"/>
          <w:color w:val="000000"/>
          <w:sz w:val="32"/>
          <w:szCs w:val="32"/>
          <w:lang w:val="zh-CN"/>
        </w:rPr>
        <w:sectPr>
          <w:pgSz w:w="16838" w:h="11906" w:orient="landscape"/>
          <w:pgMar w:top="1587" w:right="2098" w:bottom="1474" w:left="1984" w:header="851" w:footer="935" w:gutter="0"/>
          <w:pgNumType w:fmt="numberInDash"/>
          <w:cols w:space="720" w:num="1"/>
          <w:titlePg/>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F9409C"/>
    <w:multiLevelType w:val="singleLevel"/>
    <w:tmpl w:val="38F9409C"/>
    <w:lvl w:ilvl="0" w:tentative="0">
      <w:start w:val="2"/>
      <w:numFmt w:val="chineseCounting"/>
      <w:suff w:val="nothing"/>
      <w:lvlText w:val="（%1）"/>
      <w:lvlJc w:val="left"/>
      <w:pPr>
        <w:ind w:left="64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ZjU2MDkxNTk5ODUxN2FhNGZmY2I4MjMzZmZiZTcifQ=="/>
  </w:docVars>
  <w:rsids>
    <w:rsidRoot w:val="08DE0DA9"/>
    <w:rsid w:val="08DE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2022-05-10T03:12:00Z</dcterms:created>
  <dc:creator>陈钊达</dc:creator>
  <cp:lastModifiedBy>陈钊达</cp:lastModifiedBy>
  <dcterms:modified xsi:type="dcterms:W3CDTF">2022-05-10T03:14:30Z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4E554EF3F2F742BAA61E5BA40C91AE25</vt:lpwstr>
  </property>
</Properties>
</file>