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宋体" w:eastAsia="方正小标宋简体" w:cs="宋体"/>
          <w:bCs/>
          <w:kern w:val="0"/>
          <w:sz w:val="44"/>
          <w:szCs w:val="32"/>
        </w:rPr>
      </w:pPr>
    </w:p>
    <w:p>
      <w:pPr>
        <w:spacing w:line="520" w:lineRule="exact"/>
        <w:jc w:val="center"/>
        <w:rPr>
          <w:rFonts w:hint="eastAsia" w:ascii="方正小标宋简体" w:hAnsi="宋体" w:eastAsia="方正小标宋简体" w:cs="宋体"/>
          <w:bCs/>
          <w:kern w:val="0"/>
          <w:sz w:val="44"/>
          <w:szCs w:val="32"/>
        </w:rPr>
      </w:pPr>
    </w:p>
    <w:p>
      <w:pPr>
        <w:spacing w:line="520" w:lineRule="exact"/>
        <w:jc w:val="center"/>
        <w:rPr>
          <w:rFonts w:hint="eastAsia" w:ascii="方正小标宋简体" w:hAnsi="宋体" w:eastAsia="方正小标宋简体" w:cs="宋体"/>
          <w:bCs/>
          <w:kern w:val="0"/>
          <w:sz w:val="44"/>
          <w:szCs w:val="32"/>
        </w:rPr>
      </w:pPr>
    </w:p>
    <w:p>
      <w:pPr>
        <w:spacing w:line="520" w:lineRule="exact"/>
        <w:jc w:val="center"/>
        <w:rPr>
          <w:rFonts w:hint="eastAsia" w:ascii="方正小标宋简体" w:hAnsi="宋体" w:eastAsia="方正小标宋简体" w:cs="宋体"/>
          <w:bCs/>
          <w:kern w:val="0"/>
          <w:sz w:val="44"/>
          <w:szCs w:val="32"/>
        </w:rPr>
      </w:pPr>
    </w:p>
    <w:p>
      <w:pPr>
        <w:spacing w:line="520" w:lineRule="exact"/>
        <w:jc w:val="center"/>
        <w:rPr>
          <w:rFonts w:hint="eastAsia" w:ascii="方正小标宋简体" w:hAnsi="宋体" w:eastAsia="方正小标宋简体" w:cs="宋体"/>
          <w:bCs/>
          <w:kern w:val="0"/>
          <w:sz w:val="44"/>
          <w:szCs w:val="32"/>
        </w:rPr>
      </w:pPr>
    </w:p>
    <w:p>
      <w:pPr>
        <w:spacing w:line="520" w:lineRule="exact"/>
        <w:jc w:val="center"/>
        <w:rPr>
          <w:rFonts w:hint="eastAsia" w:ascii="方正小标宋简体" w:hAnsi="宋体" w:eastAsia="方正小标宋简体" w:cs="宋体"/>
          <w:bCs/>
          <w:kern w:val="0"/>
          <w:sz w:val="44"/>
          <w:szCs w:val="32"/>
        </w:rPr>
      </w:pPr>
    </w:p>
    <w:p>
      <w:pPr>
        <w:spacing w:line="520" w:lineRule="exact"/>
        <w:rPr>
          <w:rFonts w:hint="eastAsia" w:ascii="方正小标宋简体" w:hAnsi="宋体" w:eastAsia="方正小标宋简体" w:cs="宋体"/>
          <w:bCs/>
          <w:kern w:val="0"/>
          <w:sz w:val="44"/>
          <w:szCs w:val="32"/>
        </w:rPr>
      </w:pPr>
    </w:p>
    <w:p>
      <w:pPr>
        <w:spacing w:line="52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明建</w:t>
      </w:r>
      <w:r>
        <w:rPr>
          <w:rFonts w:hint="eastAsia"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148</w:t>
      </w:r>
      <w:r>
        <w:rPr>
          <w:rFonts w:hint="eastAsia" w:ascii="仿宋" w:hAnsi="仿宋" w:eastAsia="仿宋"/>
          <w:color w:val="000000" w:themeColor="text1"/>
          <w:sz w:val="32"/>
          <w:szCs w:val="32"/>
          <w14:textFill>
            <w14:solidFill>
              <w14:schemeClr w14:val="tx1"/>
            </w14:solidFill>
          </w14:textFill>
        </w:rPr>
        <w:t>号</w:t>
      </w:r>
    </w:p>
    <w:p>
      <w:pPr>
        <w:spacing w:line="540" w:lineRule="exact"/>
        <w:rPr>
          <w:rFonts w:hint="eastAsia" w:ascii="方正小标宋简体" w:hAnsi="宋体" w:eastAsia="方正小标宋简体" w:cs="宋体"/>
          <w:bCs/>
          <w:color w:val="000000" w:themeColor="text1"/>
          <w:kern w:val="0"/>
          <w:sz w:val="44"/>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宋体"/>
          <w:bCs/>
          <w:color w:val="000000" w:themeColor="text1"/>
          <w:kern w:val="0"/>
          <w:sz w:val="44"/>
          <w:szCs w:val="32"/>
          <w14:textFill>
            <w14:solidFill>
              <w14:schemeClr w14:val="tx1"/>
            </w14:solidFill>
          </w14:textFill>
        </w:rPr>
      </w:pPr>
      <w:r>
        <w:rPr>
          <w:rFonts w:hint="eastAsia" w:ascii="方正小标宋简体" w:hAnsi="方正小标宋简体" w:eastAsia="方正小标宋简体" w:cs="宋体"/>
          <w:bCs/>
          <w:color w:val="000000" w:themeColor="text1"/>
          <w:kern w:val="0"/>
          <w:sz w:val="44"/>
          <w:szCs w:val="32"/>
          <w14:textFill>
            <w14:solidFill>
              <w14:schemeClr w14:val="tx1"/>
            </w14:solidFill>
          </w14:textFill>
        </w:rPr>
        <w:t>明溪县住房和城乡建设局</w:t>
      </w:r>
    </w:p>
    <w:p>
      <w:pPr>
        <w:keepNext w:val="0"/>
        <w:keepLines w:val="0"/>
        <w:pageBreakBefore w:val="0"/>
        <w:widowControl w:val="0"/>
        <w:kinsoku/>
        <w:wordWrap/>
        <w:overflowPunct/>
        <w:topLinePunct w:val="0"/>
        <w:autoSpaceDE/>
        <w:autoSpaceDN/>
        <w:bidi w:val="0"/>
        <w:snapToGrid/>
        <w:spacing w:line="500" w:lineRule="exact"/>
        <w:jc w:val="center"/>
        <w:textAlignment w:val="auto"/>
        <w:outlineLvl w:val="9"/>
        <w:rPr>
          <w:rFonts w:hint="eastAsia" w:ascii="方正小标宋简体" w:hAnsi="宋体" w:eastAsia="方正小标宋简体" w:cs="宋体"/>
          <w:sz w:val="40"/>
          <w:szCs w:val="40"/>
          <w:lang w:eastAsia="zh-CN"/>
        </w:rPr>
      </w:pPr>
      <w:r>
        <w:rPr>
          <w:rFonts w:hint="eastAsia" w:ascii="方正小标宋简体" w:hAnsi="宋体" w:eastAsia="方正小标宋简体" w:cs="宋体"/>
          <w:sz w:val="40"/>
          <w:szCs w:val="40"/>
          <w:lang w:eastAsia="zh-CN"/>
        </w:rPr>
        <w:t>关于印发</w:t>
      </w:r>
      <w:r>
        <w:rPr>
          <w:rFonts w:hint="eastAsia" w:ascii="方正小标宋简体" w:hAnsi="宋体" w:eastAsia="方正小标宋简体" w:cs="宋体"/>
          <w:sz w:val="40"/>
          <w:szCs w:val="40"/>
        </w:rPr>
        <w:t>农村贫困户住房安全保障</w:t>
      </w:r>
      <w:r>
        <w:rPr>
          <w:rFonts w:hint="eastAsia" w:ascii="方正小标宋简体" w:hAnsi="宋体" w:eastAsia="方正小标宋简体" w:cs="宋体"/>
          <w:sz w:val="40"/>
          <w:szCs w:val="40"/>
          <w:lang w:eastAsia="zh-CN"/>
        </w:rPr>
        <w:t>方面漠视群众利益问题专项整治方案的通知</w:t>
      </w:r>
    </w:p>
    <w:p>
      <w:pPr>
        <w:spacing w:line="500" w:lineRule="exact"/>
        <w:jc w:val="both"/>
        <w:rPr>
          <w:rFonts w:hint="eastAsia" w:ascii="仿宋_GB2312" w:hAnsi="仿宋_GB2312" w:eastAsia="仿宋_GB2312" w:cs="仿宋_GB2312"/>
          <w:color w:val="auto"/>
          <w:sz w:val="32"/>
          <w:szCs w:val="32"/>
          <w:lang w:eastAsia="zh-CN"/>
        </w:rPr>
      </w:pPr>
    </w:p>
    <w:p>
      <w:pPr>
        <w:spacing w:line="500" w:lineRule="exact"/>
        <w:jc w:val="both"/>
        <w:rPr>
          <w:rFonts w:hint="eastAsia" w:ascii="方正小标宋简体" w:hAnsi="方正小标宋简体" w:eastAsia="方正小标宋简体"/>
          <w:color w:val="000000" w:themeColor="text1"/>
          <w:sz w:val="44"/>
          <w:lang w:eastAsia="zh-CN"/>
          <w14:textFill>
            <w14:solidFill>
              <w14:schemeClr w14:val="tx1"/>
            </w14:solidFill>
          </w14:textFill>
        </w:rPr>
      </w:pPr>
      <w:r>
        <w:rPr>
          <w:rFonts w:hint="eastAsia" w:ascii="仿宋_GB2312" w:hAnsi="仿宋_GB2312" w:eastAsia="仿宋_GB2312" w:cs="仿宋_GB2312"/>
          <w:color w:val="auto"/>
          <w:sz w:val="32"/>
          <w:szCs w:val="32"/>
          <w:lang w:eastAsia="zh-CN"/>
        </w:rPr>
        <w:t>各乡镇人民政府、县直有关单位：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为贯彻中央纪委、国家监委和省、市</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纪委监委关于在“不忘初心、牢记使命”主题教育中专项整治</w:t>
      </w:r>
      <w:r>
        <w:rPr>
          <w:rFonts w:hint="eastAsia" w:ascii="仿宋_GB2312" w:hAnsi="仿宋_GB2312" w:eastAsia="仿宋_GB2312" w:cs="仿宋_GB2312"/>
          <w:color w:val="auto"/>
          <w:sz w:val="32"/>
          <w:szCs w:val="32"/>
          <w:lang w:eastAsia="zh-CN"/>
        </w:rPr>
        <w:t>漠视</w:t>
      </w:r>
      <w:r>
        <w:rPr>
          <w:rFonts w:hint="eastAsia" w:ascii="仿宋_GB2312" w:hAnsi="仿宋_GB2312" w:eastAsia="仿宋_GB2312" w:cs="仿宋_GB2312"/>
          <w:color w:val="auto"/>
          <w:sz w:val="32"/>
          <w:szCs w:val="32"/>
        </w:rPr>
        <w:t>农村困难群众危旧住房安全隐患</w:t>
      </w: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rPr>
        <w:t>结合我</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实际，制定本工作方案。</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一、指导思想</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全面贯彻落实中央、省、市精准扶贫政策</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中央纪委、国家监委和省、市</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纪委监委关于在“不忘初心、牢记使命”主题教育</w:t>
      </w:r>
      <w:r>
        <w:rPr>
          <w:rFonts w:hint="eastAsia" w:ascii="仿宋_GB2312" w:hAnsi="仿宋_GB2312" w:eastAsia="仿宋_GB2312" w:cs="仿宋_GB2312"/>
          <w:color w:val="auto"/>
          <w:sz w:val="32"/>
          <w:szCs w:val="32"/>
          <w:lang w:eastAsia="zh-CN"/>
        </w:rPr>
        <w:t>工作要求</w:t>
      </w:r>
      <w:r>
        <w:rPr>
          <w:rFonts w:hint="eastAsia" w:ascii="仿宋_GB2312" w:hAnsi="仿宋_GB2312" w:eastAsia="仿宋_GB2312" w:cs="仿宋_GB2312"/>
          <w:color w:val="auto"/>
          <w:sz w:val="32"/>
          <w:szCs w:val="32"/>
        </w:rPr>
        <w:t>，按照“两不愁、三保障”的要求，以解决农村困难群众的基本居住安全为目标，消除危害农村困难群众生命财产安全的危旧住房安全隐患，进一步改善农村困难群众生活条件，确保完成脱贫攻坚住房安全保障目标任务。</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二、检查范围</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对全县建档立卡贫困户住房安全保障情况开展全面检查。</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三、实施步骤</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rPr>
        <w:t>（一）排查摸底。</w:t>
      </w:r>
      <w:r>
        <w:rPr>
          <w:rFonts w:hint="eastAsia" w:ascii="仿宋_GB2312" w:hAnsi="仿宋_GB2312" w:eastAsia="仿宋_GB2312" w:cs="仿宋_GB2312"/>
          <w:color w:val="auto"/>
          <w:sz w:val="32"/>
          <w:szCs w:val="32"/>
        </w:rPr>
        <w:t>各乡镇政府要广泛发动镇村力量</w:t>
      </w:r>
      <w:r>
        <w:rPr>
          <w:rFonts w:hint="eastAsia" w:ascii="仿宋_GB2312" w:hAnsi="仿宋_GB2312" w:eastAsia="仿宋_GB2312" w:cs="仿宋_GB2312"/>
          <w:color w:val="auto"/>
          <w:sz w:val="32"/>
          <w:szCs w:val="32"/>
          <w:lang w:eastAsia="zh-CN"/>
        </w:rPr>
        <w:t>，组织乡镇相关人员</w:t>
      </w:r>
      <w:r>
        <w:rPr>
          <w:rFonts w:hint="eastAsia" w:ascii="仿宋_GB2312" w:hAnsi="仿宋_GB2312" w:eastAsia="仿宋_GB2312" w:cs="仿宋_GB2312"/>
          <w:color w:val="auto"/>
          <w:sz w:val="32"/>
          <w:szCs w:val="32"/>
        </w:rPr>
        <w:t>对贫困户的疑似危房情况进行梳理，提交县住建局或第三方机构进行住房安全检查。对纳入危房改造对象的住房是否履行竣工验收程序、纳入易地搬迁户是否还居住在原来危房等问题开展自查自纠，发现问题要立即进行整改。</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rPr>
        <w:t>（二）安全评定。</w:t>
      </w:r>
      <w:r>
        <w:rPr>
          <w:rFonts w:hint="eastAsia" w:ascii="仿宋_GB2312" w:hAnsi="仿宋_GB2312" w:eastAsia="仿宋_GB2312" w:cs="仿宋_GB2312"/>
          <w:color w:val="auto"/>
          <w:sz w:val="32"/>
          <w:szCs w:val="32"/>
        </w:rPr>
        <w:t>县住建局要依据县扶贫办提供的建档立卡贫困户对象名单和乡镇政府上报的疑似危房情况组织开展房屋危险性评定并出具评定结果，具体评定工作可采取政府购买服务方式委托有资格的第三方机构或聘用建筑结构工程师组成评定小组进行，对经评定属于C级或D级危房的，按照一户一策的要求，提出整改意见。</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rPr>
        <w:t>（三）整改落实。</w:t>
      </w:r>
      <w:r>
        <w:rPr>
          <w:rFonts w:hint="eastAsia" w:ascii="仿宋_GB2312" w:hAnsi="仿宋_GB2312" w:eastAsia="仿宋_GB2312" w:cs="仿宋_GB2312"/>
          <w:color w:val="auto"/>
          <w:sz w:val="32"/>
          <w:szCs w:val="32"/>
        </w:rPr>
        <w:t>对经评定属于C级或D级危房的（含列入造福工程易地扶贫搬迁和农村危房改造的住房因近年来又遭受自然灾害破坏的或因遗漏未列入改造的危房等），各乡镇政府要依据第三方机构或评定小组提出的整改意见，逐一列出清单，落实整改责任、整改计划和整改任务，跟踪落实整改到位。</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四、工作措施</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rPr>
        <w:t>（一）加强组织领导。</w:t>
      </w:r>
      <w:r>
        <w:rPr>
          <w:rFonts w:hint="eastAsia" w:ascii="仿宋_GB2312" w:hAnsi="仿宋_GB2312" w:eastAsia="仿宋_GB2312" w:cs="仿宋_GB2312"/>
          <w:color w:val="auto"/>
          <w:sz w:val="32"/>
          <w:szCs w:val="32"/>
        </w:rPr>
        <w:t>各乡镇人民政府、县直有关单位</w:t>
      </w:r>
      <w:r>
        <w:rPr>
          <w:rFonts w:eastAsia="仿宋_GB2312"/>
          <w:bCs/>
          <w:color w:val="000000"/>
          <w:sz w:val="32"/>
          <w:szCs w:val="32"/>
        </w:rPr>
        <w:t>切实提高政治站位，增强责任感和紧迫感，强化统筹协调，聚焦重点难点问题，解决好突出问题，持续巩固提升脱贫质量</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rPr>
        <w:t>）规范档案资料。</w:t>
      </w:r>
      <w:r>
        <w:rPr>
          <w:rFonts w:hint="eastAsia" w:ascii="仿宋_GB2312" w:hAnsi="仿宋_GB2312" w:eastAsia="仿宋_GB2312" w:cs="仿宋_GB2312"/>
          <w:color w:val="auto"/>
          <w:sz w:val="32"/>
          <w:szCs w:val="32"/>
        </w:rPr>
        <w:t>贫困户住房安全保障工作的资料收集、档案管理是脱贫攻坚工作考核的重要依据之一，各乡镇人民政府和县直有关部门，要建立和健全贫困户住房安全保障工作的档案管理制度，分别按各项目的档案规范要求做好一户一档、档案系统清晰、文件资料齐全的档案管理工作。</w:t>
      </w:r>
    </w:p>
    <w:p>
      <w:pPr>
        <w:keepNext w:val="0"/>
        <w:keepLines w:val="0"/>
        <w:pageBreakBefore w:val="0"/>
        <w:kinsoku/>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eastAsia="zh-CN"/>
        </w:rPr>
        <w:t>三</w:t>
      </w:r>
      <w:r>
        <w:rPr>
          <w:rFonts w:hint="eastAsia" w:ascii="楷体" w:hAnsi="楷体" w:eastAsia="楷体" w:cs="楷体"/>
          <w:b w:val="0"/>
          <w:bCs w:val="0"/>
          <w:color w:val="auto"/>
          <w:sz w:val="32"/>
          <w:szCs w:val="32"/>
        </w:rPr>
        <w:t>）严格考核督查。</w:t>
      </w:r>
      <w:r>
        <w:rPr>
          <w:rFonts w:hint="eastAsia" w:ascii="仿宋_GB2312" w:hAnsi="仿宋_GB2312" w:eastAsia="仿宋_GB2312" w:cs="仿宋_GB2312"/>
          <w:color w:val="auto"/>
          <w:sz w:val="32"/>
          <w:szCs w:val="32"/>
          <w:lang w:eastAsia="zh-CN"/>
        </w:rPr>
        <w:t>县纪委驻市场监督管理局纪检组会同县住建局、农业农村局（扶贫办）等有关部门</w:t>
      </w:r>
      <w:r>
        <w:rPr>
          <w:rFonts w:hint="eastAsia" w:ascii="仿宋_GB2312" w:hAnsi="仿宋_GB2312" w:eastAsia="仿宋_GB2312" w:cs="仿宋_GB2312"/>
          <w:color w:val="auto"/>
          <w:sz w:val="32"/>
          <w:szCs w:val="32"/>
        </w:rPr>
        <w:t>，对各乡镇政府的整改落实情况进行专项检查督导，对进度滞后的将启动约谈和问责机制。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 w:hAnsi="楷体" w:eastAsia="楷体" w:cs="楷体"/>
          <w:b w:val="0"/>
          <w:bCs w:val="0"/>
          <w:color w:val="auto"/>
          <w:sz w:val="32"/>
          <w:szCs w:val="32"/>
          <w:lang w:eastAsia="zh-CN"/>
        </w:rPr>
        <w:t>（四）设立举报电话。</w:t>
      </w:r>
      <w:r>
        <w:rPr>
          <w:rFonts w:hint="eastAsia" w:ascii="仿宋_GB2312" w:hAnsi="仿宋_GB2312" w:eastAsia="仿宋_GB2312" w:cs="仿宋_GB2312"/>
          <w:color w:val="auto"/>
          <w:sz w:val="32"/>
          <w:szCs w:val="32"/>
          <w:lang w:val="en-US" w:eastAsia="zh-CN"/>
        </w:rPr>
        <w:t>开展农村危房改造公开接访活动，采取公开接访和电话、网络接访的方式，主动回应基层干部群众反映强烈的侵害群众利益问题问题线索，接受群众监督。举报电话：0598-2813704。</w:t>
      </w:r>
    </w:p>
    <w:p>
      <w:pPr>
        <w:keepNext w:val="0"/>
        <w:keepLines w:val="0"/>
        <w:pageBreakBefore w:val="0"/>
        <w:kinsoku/>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附表：1、明溪县贫困户房屋状况排查表</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firstLine="1600" w:firstLineChars="5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2、漠视侵害群众利益问题专项整治工作进度表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firstLine="640" w:firstLineChars="200"/>
        <w:jc w:val="both"/>
        <w:textAlignment w:val="auto"/>
        <w:outlineLvl w:val="9"/>
        <w:rPr>
          <w:rFonts w:hint="default" w:ascii="仿宋_GB2312" w:hAnsi="仿宋_GB2312" w:eastAsia="仿宋_GB2312" w:cs="仿宋_GB2312"/>
          <w:color w:val="auto"/>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kinsoku/>
        <w:overflowPunct/>
        <w:topLinePunct w:val="0"/>
        <w:autoSpaceDE/>
        <w:autoSpaceDN/>
        <w:bidi w:val="0"/>
        <w:adjustRightInd/>
        <w:snapToGrid/>
        <w:spacing w:line="460" w:lineRule="exact"/>
        <w:jc w:val="both"/>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460" w:lineRule="exact"/>
        <w:jc w:val="both"/>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460" w:lineRule="exact"/>
        <w:jc w:val="both"/>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napToGrid/>
        <w:spacing w:line="460" w:lineRule="exact"/>
        <w:ind w:firstLine="4480" w:firstLineChars="14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明溪县住房和城乡建设局</w:t>
      </w:r>
    </w:p>
    <w:p>
      <w:pPr>
        <w:keepNext w:val="0"/>
        <w:keepLines w:val="0"/>
        <w:pageBreakBefore w:val="0"/>
        <w:kinsoku/>
        <w:wordWrap w:val="0"/>
        <w:overflowPunct/>
        <w:topLinePunct w:val="0"/>
        <w:autoSpaceDE/>
        <w:autoSpaceDN/>
        <w:bidi w:val="0"/>
        <w:adjustRightInd/>
        <w:snapToGrid/>
        <w:spacing w:line="460" w:lineRule="exact"/>
        <w:ind w:firstLine="5120" w:firstLineChars="160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2019年9月27日</w:t>
      </w:r>
      <w:r>
        <w:rPr>
          <w:rFonts w:hint="eastAsia" w:ascii="仿宋" w:hAnsi="仿宋" w:eastAsia="仿宋" w:cs="仿宋"/>
          <w:color w:val="FF0000"/>
          <w:sz w:val="32"/>
          <w:szCs w:val="32"/>
          <w:lang w:val="en-US" w:eastAsia="zh-CN"/>
        </w:rPr>
        <w:t xml:space="preserve"> </w:t>
      </w:r>
    </w:p>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 w:hAnsi="仿宋" w:eastAsia="仿宋" w:cs="仿宋"/>
          <w:color w:val="FF0000"/>
          <w:sz w:val="32"/>
          <w:szCs w:val="32"/>
          <w:lang w:val="en-US" w:eastAsia="zh-CN"/>
        </w:rPr>
      </w:pPr>
    </w:p>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 w:hAnsi="仿宋" w:eastAsia="仿宋" w:cs="仿宋"/>
          <w:color w:val="FF0000"/>
          <w:sz w:val="32"/>
          <w:szCs w:val="32"/>
          <w:lang w:val="en-US" w:eastAsia="zh-CN"/>
        </w:rPr>
      </w:pPr>
    </w:p>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 w:hAnsi="仿宋" w:eastAsia="仿宋" w:cs="仿宋"/>
          <w:color w:val="FF0000"/>
          <w:sz w:val="32"/>
          <w:szCs w:val="32"/>
          <w:lang w:val="en-US" w:eastAsia="zh-CN"/>
        </w:rPr>
      </w:pPr>
    </w:p>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 w:hAnsi="仿宋" w:eastAsia="仿宋" w:cs="仿宋"/>
          <w:color w:val="FF0000"/>
          <w:sz w:val="32"/>
          <w:szCs w:val="32"/>
          <w:lang w:val="en-US" w:eastAsia="zh-CN"/>
        </w:rPr>
      </w:pPr>
    </w:p>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 w:hAnsi="仿宋" w:eastAsia="仿宋" w:cs="仿宋"/>
          <w:color w:val="FF0000"/>
          <w:sz w:val="32"/>
          <w:szCs w:val="32"/>
          <w:lang w:val="en-US" w:eastAsia="zh-CN"/>
        </w:rPr>
      </w:pPr>
    </w:p>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 w:hAnsi="仿宋" w:eastAsia="仿宋" w:cs="仿宋"/>
          <w:color w:val="FF0000"/>
          <w:sz w:val="32"/>
          <w:szCs w:val="32"/>
          <w:lang w:val="en-US" w:eastAsia="zh-CN"/>
        </w:rPr>
      </w:pPr>
    </w:p>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 w:hAnsi="仿宋" w:eastAsia="仿宋" w:cs="仿宋"/>
          <w:color w:val="FF0000"/>
          <w:sz w:val="32"/>
          <w:szCs w:val="32"/>
          <w:lang w:val="en-US" w:eastAsia="zh-CN"/>
        </w:rPr>
      </w:pPr>
    </w:p>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 w:hAnsi="仿宋" w:eastAsia="仿宋" w:cs="仿宋"/>
          <w:color w:val="FF0000"/>
          <w:sz w:val="32"/>
          <w:szCs w:val="32"/>
          <w:lang w:val="en-US" w:eastAsia="zh-CN"/>
        </w:rPr>
      </w:pPr>
    </w:p>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 w:hAnsi="仿宋" w:eastAsia="仿宋" w:cs="仿宋"/>
          <w:color w:val="FF0000"/>
          <w:sz w:val="32"/>
          <w:szCs w:val="32"/>
          <w:lang w:val="en-US" w:eastAsia="zh-CN"/>
        </w:rPr>
      </w:pPr>
    </w:p>
    <w:tbl>
      <w:tblPr>
        <w:tblStyle w:val="2"/>
        <w:tblpPr w:leftFromText="180" w:rightFromText="180" w:vertAnchor="text" w:horzAnchor="page" w:tblpX="1795" w:tblpY="359"/>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8522" w:type="dxa"/>
            <w:tcBorders>
              <w:top w:val="single" w:color="000000" w:sz="4" w:space="0"/>
              <w:left w:val="nil"/>
              <w:bottom w:val="single" w:color="000000" w:sz="4" w:space="0"/>
              <w:right w:val="nil"/>
            </w:tcBorders>
            <w:noWrap w:val="0"/>
            <w:vAlign w:val="top"/>
          </w:tcPr>
          <w:p>
            <w:pPr>
              <w:widowControl/>
              <w:spacing w:line="480" w:lineRule="exact"/>
              <w:rPr>
                <w:rFonts w:ascii="仿宋_GB2312" w:hAnsi="宋体" w:eastAsia="仿宋_GB2312" w:cs="宋体"/>
                <w:color w:val="000000"/>
                <w:kern w:val="0"/>
                <w:sz w:val="30"/>
                <w:szCs w:val="30"/>
              </w:rPr>
            </w:pP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 xml:space="preserve">明溪县住房和城乡建设局办公室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201</w:t>
            </w:r>
            <w:r>
              <w:rPr>
                <w:rFonts w:hint="eastAsia" w:ascii="仿宋" w:hAnsi="仿宋" w:eastAsia="仿宋" w:cs="宋体"/>
                <w:color w:val="000000"/>
                <w:kern w:val="0"/>
                <w:sz w:val="28"/>
                <w:szCs w:val="28"/>
                <w:lang w:val="en-US" w:eastAsia="zh-CN"/>
              </w:rPr>
              <w:t>9</w:t>
            </w:r>
            <w:r>
              <w:rPr>
                <w:rFonts w:hint="eastAsia" w:ascii="仿宋" w:hAnsi="仿宋" w:eastAsia="仿宋" w:cs="宋体"/>
                <w:color w:val="000000"/>
                <w:kern w:val="0"/>
                <w:sz w:val="28"/>
                <w:szCs w:val="28"/>
              </w:rPr>
              <w:t>年</w:t>
            </w:r>
            <w:r>
              <w:rPr>
                <w:rFonts w:hint="eastAsia" w:ascii="仿宋" w:hAnsi="仿宋" w:eastAsia="仿宋" w:cs="宋体"/>
                <w:color w:val="000000"/>
                <w:kern w:val="0"/>
                <w:sz w:val="28"/>
                <w:szCs w:val="28"/>
                <w:lang w:val="en-US" w:eastAsia="zh-CN"/>
              </w:rPr>
              <w:t>9</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lang w:val="en-US" w:eastAsia="zh-CN"/>
              </w:rPr>
              <w:t>27</w:t>
            </w:r>
            <w:r>
              <w:rPr>
                <w:rFonts w:hint="eastAsia" w:ascii="仿宋" w:hAnsi="仿宋" w:eastAsia="仿宋" w:cs="宋体"/>
                <w:color w:val="000000"/>
                <w:kern w:val="0"/>
                <w:sz w:val="28"/>
                <w:szCs w:val="28"/>
              </w:rPr>
              <w:t>日印发</w:t>
            </w:r>
          </w:p>
        </w:tc>
      </w:tr>
    </w:tbl>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 w:hAnsi="仿宋" w:eastAsia="仿宋" w:cs="仿宋"/>
          <w:color w:val="FF0000"/>
          <w:sz w:val="32"/>
          <w:szCs w:val="32"/>
          <w:lang w:val="en-US" w:eastAsia="zh-CN"/>
        </w:rPr>
      </w:pPr>
    </w:p>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 w:hAnsi="仿宋" w:eastAsia="仿宋" w:cs="仿宋"/>
          <w:color w:val="FF0000"/>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W w:w="13988" w:type="dxa"/>
        <w:tblInd w:w="0" w:type="dxa"/>
        <w:shd w:val="clear"/>
        <w:tblLayout w:type="fixed"/>
        <w:tblCellMar>
          <w:top w:w="0" w:type="dxa"/>
          <w:left w:w="0" w:type="dxa"/>
          <w:bottom w:w="0" w:type="dxa"/>
          <w:right w:w="0" w:type="dxa"/>
        </w:tblCellMar>
      </w:tblPr>
      <w:tblGrid>
        <w:gridCol w:w="339"/>
        <w:gridCol w:w="637"/>
        <w:gridCol w:w="638"/>
        <w:gridCol w:w="2290"/>
        <w:gridCol w:w="721"/>
        <w:gridCol w:w="298"/>
        <w:gridCol w:w="1688"/>
        <w:gridCol w:w="1290"/>
        <w:gridCol w:w="1520"/>
        <w:gridCol w:w="705"/>
        <w:gridCol w:w="951"/>
        <w:gridCol w:w="1120"/>
        <w:gridCol w:w="272"/>
        <w:gridCol w:w="271"/>
        <w:gridCol w:w="271"/>
        <w:gridCol w:w="271"/>
        <w:gridCol w:w="706"/>
      </w:tblGrid>
      <w:tr>
        <w:tblPrEx>
          <w:shd w:val="clear"/>
          <w:tblLayout w:type="fixed"/>
          <w:tblCellMar>
            <w:top w:w="0" w:type="dxa"/>
            <w:left w:w="0" w:type="dxa"/>
            <w:bottom w:w="0" w:type="dxa"/>
            <w:right w:w="0" w:type="dxa"/>
          </w:tblCellMar>
        </w:tblPrEx>
        <w:trPr>
          <w:trHeight w:val="510" w:hRule="atLeast"/>
        </w:trPr>
        <w:tc>
          <w:tcPr>
            <w:tcW w:w="13988" w:type="dxa"/>
            <w:gridSpan w:val="17"/>
            <w:vMerge w:val="restart"/>
            <w:tcBorders>
              <w:top w:val="nil"/>
              <w:left w:val="nil"/>
              <w:bottom w:val="single" w:color="000000" w:sz="4" w:space="0"/>
              <w:right w:val="nil"/>
            </w:tcBorders>
            <w:shd w:val="clear"/>
            <w:tcMar>
              <w:top w:w="15" w:type="dxa"/>
              <w:left w:w="15" w:type="dxa"/>
              <w:right w:w="15" w:type="dxa"/>
            </w:tcMar>
            <w:vAlign w:val="center"/>
          </w:tcPr>
          <w:p>
            <w:pPr>
              <w:keepNext w:val="0"/>
              <w:keepLines w:val="0"/>
              <w:widowControl/>
              <w:suppressLineNumbers w:val="0"/>
              <w:jc w:val="both"/>
              <w:textAlignment w:val="center"/>
              <w:rPr>
                <w:rFonts w:hint="default" w:ascii="仿宋_GB2312" w:hAnsi="宋体" w:eastAsia="仿宋_GB2312" w:cs="仿宋_GB2312"/>
                <w:b/>
                <w:i w:val="0"/>
                <w:color w:val="000000"/>
                <w:kern w:val="0"/>
                <w:sz w:val="28"/>
                <w:szCs w:val="28"/>
                <w:u w:val="none"/>
                <w:bdr w:val="none" w:color="auto" w:sz="0" w:space="0"/>
                <w:lang w:val="en-US" w:eastAsia="zh-CN" w:bidi="ar"/>
              </w:rPr>
            </w:pPr>
            <w:r>
              <w:rPr>
                <w:rFonts w:hint="eastAsia" w:ascii="仿宋_GB2312" w:hAnsi="宋体" w:eastAsia="仿宋_GB2312" w:cs="仿宋_GB2312"/>
                <w:b/>
                <w:i w:val="0"/>
                <w:color w:val="000000"/>
                <w:kern w:val="0"/>
                <w:sz w:val="28"/>
                <w:szCs w:val="28"/>
                <w:u w:val="none"/>
                <w:bdr w:val="none" w:color="auto" w:sz="0" w:space="0"/>
                <w:lang w:val="en-US" w:eastAsia="zh-CN" w:bidi="ar"/>
              </w:rPr>
              <w:t>附件1</w:t>
            </w:r>
          </w:p>
          <w:p>
            <w:pPr>
              <w:keepNext w:val="0"/>
              <w:keepLines w:val="0"/>
              <w:widowControl/>
              <w:suppressLineNumbers w:val="0"/>
              <w:jc w:val="center"/>
              <w:textAlignment w:val="center"/>
              <w:rPr>
                <w:rFonts w:hint="eastAsia" w:ascii="仿宋_GB2312" w:hAnsi="宋体" w:eastAsia="仿宋_GB2312" w:cs="仿宋_GB2312"/>
                <w:b/>
                <w:i w:val="0"/>
                <w:color w:val="000000"/>
                <w:kern w:val="0"/>
                <w:sz w:val="40"/>
                <w:szCs w:val="40"/>
                <w:u w:val="none"/>
                <w:bdr w:val="none" w:color="auto" w:sz="0" w:space="0"/>
                <w:lang w:val="en-US" w:eastAsia="zh-CN" w:bidi="ar"/>
              </w:rPr>
            </w:pPr>
          </w:p>
          <w:p>
            <w:pPr>
              <w:keepNext w:val="0"/>
              <w:keepLines w:val="0"/>
              <w:widowControl/>
              <w:suppressLineNumbers w:val="0"/>
              <w:jc w:val="center"/>
              <w:textAlignment w:val="center"/>
              <w:rPr>
                <w:rFonts w:ascii="仿宋_GB2312" w:hAnsi="宋体" w:eastAsia="仿宋_GB2312" w:cs="仿宋_GB2312"/>
                <w:b/>
                <w:i w:val="0"/>
                <w:color w:val="000000"/>
                <w:sz w:val="40"/>
                <w:szCs w:val="40"/>
                <w:u w:val="none"/>
              </w:rPr>
            </w:pPr>
            <w:r>
              <w:rPr>
                <w:rFonts w:hint="eastAsia" w:ascii="仿宋_GB2312" w:hAnsi="宋体" w:eastAsia="仿宋_GB2312" w:cs="仿宋_GB2312"/>
                <w:b/>
                <w:i w:val="0"/>
                <w:color w:val="000000"/>
                <w:kern w:val="0"/>
                <w:sz w:val="40"/>
                <w:szCs w:val="40"/>
                <w:u w:val="none"/>
                <w:bdr w:val="none" w:color="auto" w:sz="0" w:space="0"/>
                <w:lang w:val="en-US" w:eastAsia="zh-CN" w:bidi="ar"/>
              </w:rPr>
              <w:t>明溪县贫困户房屋状况排查表</w:t>
            </w:r>
            <w:r>
              <w:rPr>
                <w:rFonts w:hint="eastAsia" w:ascii="仿宋_GB2312" w:hAnsi="宋体" w:eastAsia="仿宋_GB2312" w:cs="仿宋_GB2312"/>
                <w:b/>
                <w:i w:val="0"/>
                <w:color w:val="000000"/>
                <w:kern w:val="0"/>
                <w:sz w:val="40"/>
                <w:szCs w:val="40"/>
                <w:u w:val="none"/>
                <w:bdr w:val="none" w:color="auto" w:sz="0" w:space="0"/>
                <w:lang w:val="en-US" w:eastAsia="zh-CN" w:bidi="ar"/>
              </w:rPr>
              <w:br w:type="textWrapping"/>
            </w:r>
            <w:r>
              <w:rPr>
                <w:rFonts w:hint="eastAsia" w:ascii="仿宋_GB2312" w:hAnsi="宋体" w:eastAsia="仿宋_GB2312" w:cs="仿宋_GB2312"/>
                <w:b/>
                <w:i w:val="0"/>
                <w:color w:val="000000"/>
                <w:kern w:val="0"/>
                <w:sz w:val="40"/>
                <w:szCs w:val="40"/>
                <w:u w:val="none"/>
                <w:bdr w:val="none" w:color="auto" w:sz="0" w:space="0"/>
                <w:lang w:val="en-US" w:eastAsia="zh-CN" w:bidi="ar"/>
              </w:rPr>
              <w:t xml:space="preserve">                                                                                      </w:t>
            </w:r>
          </w:p>
        </w:tc>
      </w:tr>
      <w:tr>
        <w:tblPrEx>
          <w:tblLayout w:type="fixed"/>
          <w:tblCellMar>
            <w:top w:w="0" w:type="dxa"/>
            <w:left w:w="0" w:type="dxa"/>
            <w:bottom w:w="0" w:type="dxa"/>
            <w:right w:w="0" w:type="dxa"/>
          </w:tblCellMar>
        </w:tblPrEx>
        <w:trPr>
          <w:trHeight w:val="510" w:hRule="atLeast"/>
        </w:trPr>
        <w:tc>
          <w:tcPr>
            <w:tcW w:w="13988" w:type="dxa"/>
            <w:gridSpan w:val="17"/>
            <w:vMerge w:val="continue"/>
            <w:tcBorders>
              <w:top w:val="single" w:color="000000" w:sz="4" w:space="0"/>
              <w:left w:val="nil"/>
              <w:bottom w:val="single" w:color="000000" w:sz="4" w:space="0"/>
              <w:right w:val="nil"/>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40"/>
                <w:szCs w:val="40"/>
                <w:u w:val="none"/>
              </w:rPr>
            </w:pPr>
          </w:p>
        </w:tc>
      </w:tr>
      <w:tr>
        <w:tblPrEx>
          <w:tblLayout w:type="fixed"/>
          <w:tblCellMar>
            <w:top w:w="0" w:type="dxa"/>
            <w:left w:w="0" w:type="dxa"/>
            <w:bottom w:w="0" w:type="dxa"/>
            <w:right w:w="0" w:type="dxa"/>
          </w:tblCellMar>
        </w:tblPrEx>
        <w:trPr>
          <w:trHeight w:val="942" w:hRule="atLeast"/>
        </w:trPr>
        <w:tc>
          <w:tcPr>
            <w:tcW w:w="33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序号</w:t>
            </w:r>
          </w:p>
        </w:tc>
        <w:tc>
          <w:tcPr>
            <w:tcW w:w="637"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乡镇</w:t>
            </w:r>
          </w:p>
        </w:tc>
        <w:tc>
          <w:tcPr>
            <w:tcW w:w="63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行政村</w:t>
            </w:r>
          </w:p>
        </w:tc>
        <w:tc>
          <w:tcPr>
            <w:tcW w:w="2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住宅</w:t>
            </w:r>
          </w:p>
        </w:tc>
        <w:tc>
          <w:tcPr>
            <w:tcW w:w="72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户主姓名</w:t>
            </w:r>
          </w:p>
        </w:tc>
        <w:tc>
          <w:tcPr>
            <w:tcW w:w="29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家庭人口</w:t>
            </w:r>
          </w:p>
        </w:tc>
        <w:tc>
          <w:tcPr>
            <w:tcW w:w="168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身份证号</w:t>
            </w:r>
          </w:p>
        </w:tc>
        <w:tc>
          <w:tcPr>
            <w:tcW w:w="12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贫困户类别</w:t>
            </w:r>
            <w:r>
              <w:rPr>
                <w:rFonts w:hint="eastAsia" w:ascii="仿宋_GB2312" w:hAnsi="宋体" w:eastAsia="仿宋_GB2312" w:cs="仿宋_GB2312"/>
                <w:b/>
                <w:i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b/>
                <w:i w:val="0"/>
                <w:color w:val="000000"/>
                <w:kern w:val="0"/>
                <w:sz w:val="24"/>
                <w:szCs w:val="24"/>
                <w:u w:val="none"/>
                <w:bdr w:val="none" w:color="auto" w:sz="0" w:space="0"/>
                <w:lang w:val="en-US" w:eastAsia="zh-CN" w:bidi="ar"/>
              </w:rPr>
              <w:t>（国定、省定建档立卡户、五保户、低保户、贫困残疾人家庭）</w:t>
            </w:r>
          </w:p>
        </w:tc>
        <w:tc>
          <w:tcPr>
            <w:tcW w:w="152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是否已享受相关政策</w:t>
            </w:r>
            <w:r>
              <w:rPr>
                <w:rFonts w:hint="eastAsia" w:ascii="仿宋_GB2312" w:hAnsi="宋体" w:eastAsia="仿宋_GB2312" w:cs="仿宋_GB2312"/>
                <w:b/>
                <w:i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b/>
                <w:i w:val="0"/>
                <w:color w:val="000000"/>
                <w:kern w:val="0"/>
                <w:sz w:val="24"/>
                <w:szCs w:val="24"/>
                <w:u w:val="none"/>
                <w:bdr w:val="none" w:color="auto" w:sz="0" w:space="0"/>
                <w:lang w:val="en-US" w:eastAsia="zh-CN" w:bidi="ar"/>
              </w:rPr>
              <w:t>（XX年度造福工程易地搬迁、农村危房改造、残疾人“安居工程”）</w:t>
            </w:r>
          </w:p>
        </w:tc>
        <w:tc>
          <w:tcPr>
            <w:tcW w:w="70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改造方式</w:t>
            </w:r>
            <w:r>
              <w:rPr>
                <w:rFonts w:hint="eastAsia" w:ascii="仿宋_GB2312" w:hAnsi="宋体" w:eastAsia="仿宋_GB2312" w:cs="仿宋_GB2312"/>
                <w:b/>
                <w:i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b/>
                <w:i w:val="0"/>
                <w:color w:val="000000"/>
                <w:kern w:val="0"/>
                <w:sz w:val="24"/>
                <w:szCs w:val="24"/>
                <w:u w:val="none"/>
                <w:bdr w:val="none" w:color="auto" w:sz="0" w:space="0"/>
                <w:lang w:val="en-US" w:eastAsia="zh-CN" w:bidi="ar"/>
              </w:rPr>
              <w:t>（新建、修缮加固）</w:t>
            </w:r>
          </w:p>
        </w:tc>
        <w:tc>
          <w:tcPr>
            <w:tcW w:w="95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现居住房屋权属情况（自有、集体安置、租赁）</w:t>
            </w:r>
          </w:p>
        </w:tc>
        <w:tc>
          <w:tcPr>
            <w:tcW w:w="112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现居住房屋类型及层数</w:t>
            </w:r>
          </w:p>
        </w:tc>
        <w:tc>
          <w:tcPr>
            <w:tcW w:w="1085" w:type="dxa"/>
            <w:gridSpan w:val="4"/>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现居住房</w:t>
            </w:r>
            <w:r>
              <w:rPr>
                <w:rFonts w:hint="eastAsia" w:ascii="仿宋_GB2312" w:hAnsi="宋体" w:eastAsia="仿宋_GB2312" w:cs="仿宋_GB2312"/>
                <w:b/>
                <w:i w:val="0"/>
                <w:color w:val="000000"/>
                <w:kern w:val="0"/>
                <w:sz w:val="24"/>
                <w:szCs w:val="24"/>
                <w:u w:val="none"/>
                <w:bdr w:val="none" w:color="auto" w:sz="0" w:space="0"/>
                <w:lang w:val="en-US" w:eastAsia="zh-CN" w:bidi="ar"/>
              </w:rPr>
              <w:br w:type="textWrapping"/>
            </w:r>
            <w:r>
              <w:rPr>
                <w:rFonts w:hint="eastAsia" w:ascii="仿宋_GB2312" w:hAnsi="宋体" w:eastAsia="仿宋_GB2312" w:cs="仿宋_GB2312"/>
                <w:b/>
                <w:i w:val="0"/>
                <w:color w:val="000000"/>
                <w:kern w:val="0"/>
                <w:sz w:val="24"/>
                <w:szCs w:val="24"/>
                <w:u w:val="none"/>
                <w:bdr w:val="none" w:color="auto" w:sz="0" w:space="0"/>
                <w:lang w:val="en-US" w:eastAsia="zh-CN" w:bidi="ar"/>
              </w:rPr>
              <w:t>排查认定情况</w:t>
            </w:r>
          </w:p>
        </w:tc>
        <w:tc>
          <w:tcPr>
            <w:tcW w:w="70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备注</w:t>
            </w:r>
          </w:p>
        </w:tc>
      </w:tr>
      <w:tr>
        <w:tblPrEx>
          <w:tblLayout w:type="fixed"/>
          <w:tblCellMar>
            <w:top w:w="0" w:type="dxa"/>
            <w:left w:w="0" w:type="dxa"/>
            <w:bottom w:w="0" w:type="dxa"/>
            <w:right w:w="0" w:type="dxa"/>
          </w:tblCellMar>
        </w:tblPrEx>
        <w:trPr>
          <w:trHeight w:val="660" w:hRule="atLeast"/>
        </w:trPr>
        <w:tc>
          <w:tcPr>
            <w:tcW w:w="33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63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9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68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5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12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A级</w:t>
            </w: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B级</w:t>
            </w: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C级</w:t>
            </w: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4"/>
                <w:szCs w:val="24"/>
                <w:u w:val="none"/>
              </w:rPr>
            </w:pPr>
            <w:r>
              <w:rPr>
                <w:rFonts w:hint="eastAsia" w:ascii="仿宋_GB2312" w:hAnsi="宋体" w:eastAsia="仿宋_GB2312" w:cs="仿宋_GB2312"/>
                <w:b/>
                <w:i w:val="0"/>
                <w:color w:val="000000"/>
                <w:kern w:val="0"/>
                <w:sz w:val="24"/>
                <w:szCs w:val="24"/>
                <w:u w:val="none"/>
                <w:bdr w:val="none" w:color="auto" w:sz="0" w:space="0"/>
                <w:lang w:val="en-US" w:eastAsia="zh-CN" w:bidi="ar"/>
              </w:rPr>
              <w:t>D级</w:t>
            </w:r>
          </w:p>
        </w:tc>
        <w:tc>
          <w:tcPr>
            <w:tcW w:w="70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lang w:val="en-US" w:eastAsia="zh-CN"/>
              </w:rPr>
            </w:pPr>
            <w:r>
              <w:rPr>
                <w:rFonts w:hint="eastAsia" w:ascii="仿宋_GB2312" w:hAnsi="宋体" w:eastAsia="仿宋_GB2312" w:cs="仿宋_GB2312"/>
                <w:b/>
                <w:i w:val="0"/>
                <w:color w:val="000000"/>
                <w:sz w:val="24"/>
                <w:szCs w:val="24"/>
                <w:u w:val="none"/>
                <w:lang w:val="en-US" w:eastAsia="zh-CN"/>
              </w:rPr>
              <w:t>1</w:t>
            </w:r>
          </w:p>
        </w:tc>
        <w:tc>
          <w:tcPr>
            <w:tcW w:w="6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_GB2312" w:hAnsi="宋体" w:eastAsia="仿宋_GB2312" w:cs="仿宋_GB2312"/>
                <w:b/>
                <w:i w:val="0"/>
                <w:color w:val="000000"/>
                <w:sz w:val="24"/>
                <w:szCs w:val="24"/>
                <w:u w:val="none"/>
                <w:lang w:val="en-US" w:eastAsia="zh-CN"/>
              </w:rPr>
            </w:pPr>
          </w:p>
        </w:tc>
        <w:tc>
          <w:tcPr>
            <w:tcW w:w="6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_GB2312" w:hAnsi="宋体" w:eastAsia="仿宋_GB2312" w:cs="仿宋_GB2312"/>
                <w:b/>
                <w:i w:val="0"/>
                <w:color w:val="000000"/>
                <w:sz w:val="24"/>
                <w:szCs w:val="24"/>
                <w:u w:val="none"/>
                <w:lang w:val="en-US" w:eastAsia="zh-CN"/>
              </w:rPr>
            </w:pPr>
          </w:p>
        </w:tc>
        <w:tc>
          <w:tcPr>
            <w:tcW w:w="2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_GB2312" w:hAnsi="宋体" w:eastAsia="仿宋_GB2312" w:cs="仿宋_GB2312"/>
                <w:b/>
                <w:i w:val="0"/>
                <w:color w:val="000000"/>
                <w:sz w:val="24"/>
                <w:szCs w:val="24"/>
                <w:u w:val="none"/>
                <w:lang w:val="en-US" w:eastAsia="zh-CN"/>
              </w:rPr>
            </w:pPr>
          </w:p>
        </w:tc>
        <w:tc>
          <w:tcPr>
            <w:tcW w:w="7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仿宋_GB2312" w:hAnsi="宋体" w:eastAsia="仿宋_GB2312" w:cs="仿宋_GB2312"/>
                <w:b/>
                <w:i w:val="0"/>
                <w:color w:val="000000"/>
                <w:sz w:val="24"/>
                <w:szCs w:val="24"/>
                <w:u w:val="none"/>
                <w:lang w:val="en-US" w:eastAsia="zh-CN"/>
              </w:rPr>
            </w:pPr>
          </w:p>
        </w:tc>
        <w:tc>
          <w:tcPr>
            <w:tcW w:w="2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6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7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6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7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6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7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r>
      <w:tr>
        <w:tblPrEx>
          <w:tblLayout w:type="fixed"/>
          <w:tblCellMar>
            <w:top w:w="0" w:type="dxa"/>
            <w:left w:w="0" w:type="dxa"/>
            <w:bottom w:w="0" w:type="dxa"/>
            <w:right w:w="0" w:type="dxa"/>
          </w:tblCellMar>
        </w:tblPrEx>
        <w:trPr>
          <w:trHeight w:val="660" w:hRule="atLeast"/>
        </w:trPr>
        <w:tc>
          <w:tcPr>
            <w:tcW w:w="33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63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63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72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9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68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5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11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c>
          <w:tcPr>
            <w:tcW w:w="272"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bdr w:val="none" w:color="auto" w:sz="0" w:space="0"/>
                <w:lang w:val="en-US" w:eastAsia="zh-CN" w:bidi="ar"/>
              </w:rPr>
            </w:pPr>
          </w:p>
        </w:tc>
        <w:tc>
          <w:tcPr>
            <w:tcW w:w="70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b/>
                <w:i w:val="0"/>
                <w:color w:val="000000"/>
                <w:sz w:val="24"/>
                <w:szCs w:val="24"/>
                <w:u w:val="none"/>
              </w:rPr>
            </w:pPr>
          </w:p>
        </w:tc>
      </w:tr>
    </w:tbl>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 w:hAnsi="仿宋" w:eastAsia="仿宋" w:cs="仿宋"/>
          <w:color w:val="FF0000"/>
          <w:sz w:val="32"/>
          <w:szCs w:val="32"/>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widowControl/>
        <w:suppressLineNumbers w:val="0"/>
        <w:jc w:val="both"/>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附件2:</w:t>
      </w:r>
    </w:p>
    <w:p>
      <w:pPr>
        <w:keepNext w:val="0"/>
        <w:keepLines w:val="0"/>
        <w:widowControl/>
        <w:suppressLineNumbers w:val="0"/>
        <w:jc w:val="center"/>
        <w:textAlignment w:val="center"/>
        <w:rPr>
          <w:rFonts w:hint="eastAsia" w:ascii="仿宋_GB2312" w:hAnsi="宋体" w:eastAsia="仿宋_GB2312" w:cs="仿宋_GB2312"/>
          <w:b/>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b/>
          <w:i w:val="0"/>
          <w:color w:val="000000"/>
          <w:kern w:val="0"/>
          <w:sz w:val="40"/>
          <w:szCs w:val="40"/>
          <w:u w:val="none"/>
          <w:lang w:val="en-US" w:eastAsia="zh-CN" w:bidi="ar"/>
        </w:rPr>
      </w:pPr>
      <w:r>
        <w:rPr>
          <w:rFonts w:hint="eastAsia" w:ascii="仿宋_GB2312" w:hAnsi="宋体" w:eastAsia="仿宋_GB2312" w:cs="仿宋_GB2312"/>
          <w:b/>
          <w:i w:val="0"/>
          <w:color w:val="000000"/>
          <w:kern w:val="0"/>
          <w:sz w:val="40"/>
          <w:szCs w:val="40"/>
          <w:u w:val="none"/>
          <w:lang w:val="en-US" w:eastAsia="zh-CN" w:bidi="ar"/>
        </w:rPr>
        <w:t>贫困户住房安全保障方面漠视侵害群众利益问题专项整治工作进度表</w:t>
      </w:r>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24"/>
        <w:gridCol w:w="1831"/>
        <w:gridCol w:w="2219"/>
        <w:gridCol w:w="202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24" w:type="dxa"/>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乡镇、村</w:t>
            </w:r>
          </w:p>
        </w:tc>
        <w:tc>
          <w:tcPr>
            <w:tcW w:w="1831" w:type="dxa"/>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户主姓名</w:t>
            </w:r>
            <w:bookmarkStart w:id="0" w:name="_GoBack"/>
            <w:bookmarkEnd w:id="0"/>
          </w:p>
        </w:tc>
        <w:tc>
          <w:tcPr>
            <w:tcW w:w="2219" w:type="dxa"/>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存在的住房安全问题</w:t>
            </w:r>
          </w:p>
        </w:tc>
        <w:tc>
          <w:tcPr>
            <w:tcW w:w="2025" w:type="dxa"/>
            <w:vAlign w:val="top"/>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责任领导</w:t>
            </w:r>
          </w:p>
        </w:tc>
        <w:tc>
          <w:tcPr>
            <w:tcW w:w="2025" w:type="dxa"/>
            <w:vAlign w:val="top"/>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责任人</w:t>
            </w:r>
          </w:p>
        </w:tc>
        <w:tc>
          <w:tcPr>
            <w:tcW w:w="2025" w:type="dxa"/>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整治措施</w:t>
            </w:r>
          </w:p>
        </w:tc>
        <w:tc>
          <w:tcPr>
            <w:tcW w:w="2025" w:type="dxa"/>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4" w:type="dxa"/>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1831" w:type="dxa"/>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2219" w:type="dxa"/>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val="0"/>
              <w:overflowPunct/>
              <w:topLinePunct w:val="0"/>
              <w:autoSpaceDE/>
              <w:autoSpaceDN/>
              <w:bidi w:val="0"/>
              <w:adjustRightInd/>
              <w:snapToGrid/>
              <w:spacing w:line="460" w:lineRule="exact"/>
              <w:jc w:val="center"/>
              <w:textAlignment w:val="auto"/>
              <w:rPr>
                <w:rFonts w:hint="default"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4"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1831"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2219"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024"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1831"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2219"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c>
          <w:tcPr>
            <w:tcW w:w="2025" w:type="dxa"/>
          </w:tcPr>
          <w:p>
            <w:pPr>
              <w:keepNext w:val="0"/>
              <w:keepLines w:val="0"/>
              <w:pageBreakBefore w:val="0"/>
              <w:kinsoku/>
              <w:wordWrap w:val="0"/>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color w:val="auto"/>
                <w:sz w:val="32"/>
                <w:szCs w:val="32"/>
                <w:vertAlign w:val="baseline"/>
                <w:lang w:val="en-US" w:eastAsia="zh-CN"/>
              </w:rPr>
            </w:pPr>
          </w:p>
        </w:tc>
      </w:tr>
    </w:tbl>
    <w:p>
      <w:pPr>
        <w:keepNext w:val="0"/>
        <w:keepLines w:val="0"/>
        <w:pageBreakBefore w:val="0"/>
        <w:kinsoku/>
        <w:wordWrap w:val="0"/>
        <w:overflowPunct/>
        <w:topLinePunct w:val="0"/>
        <w:autoSpaceDE/>
        <w:autoSpaceDN/>
        <w:bidi w:val="0"/>
        <w:adjustRightInd/>
        <w:snapToGrid/>
        <w:spacing w:line="460" w:lineRule="exact"/>
        <w:ind w:firstLine="4160" w:firstLineChars="1300"/>
        <w:jc w:val="both"/>
        <w:textAlignment w:val="auto"/>
        <w:rPr>
          <w:rFonts w:hint="eastAsia" w:ascii="仿宋_GB2312" w:hAnsi="仿宋_GB2312" w:eastAsia="仿宋_GB2312" w:cs="仿宋_GB2312"/>
          <w:color w:val="auto"/>
          <w:sz w:val="32"/>
          <w:szCs w:val="32"/>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kinsoku/>
        <w:wordWrap w:val="0"/>
        <w:overflowPunct/>
        <w:topLinePunct w:val="0"/>
        <w:autoSpaceDE/>
        <w:autoSpaceDN/>
        <w:bidi w:val="0"/>
        <w:adjustRightInd/>
        <w:snapToGrid/>
        <w:spacing w:line="240" w:lineRule="auto"/>
        <w:jc w:val="both"/>
        <w:textAlignment w:val="auto"/>
        <w:rPr>
          <w:rFonts w:hint="eastAsia" w:ascii="仿宋" w:hAnsi="仿宋" w:eastAsia="仿宋" w:cs="仿宋"/>
          <w:color w:val="FF0000"/>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096436"/>
    <w:rsid w:val="02A45DF6"/>
    <w:rsid w:val="0B8A5B21"/>
    <w:rsid w:val="0C8B23A4"/>
    <w:rsid w:val="21CF5F8D"/>
    <w:rsid w:val="26993257"/>
    <w:rsid w:val="2813482A"/>
    <w:rsid w:val="2E3B4EC5"/>
    <w:rsid w:val="3BF17510"/>
    <w:rsid w:val="40096436"/>
    <w:rsid w:val="45953495"/>
    <w:rsid w:val="4CBB3520"/>
    <w:rsid w:val="5678425C"/>
    <w:rsid w:val="5AAE2E98"/>
    <w:rsid w:val="66CD6488"/>
    <w:rsid w:val="6D535020"/>
    <w:rsid w:val="7C6C2CF6"/>
    <w:rsid w:val="7F4B6C6D"/>
    <w:rsid w:val="7FA43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2018-09-11T00:27:00Z</dcterms:created>
  <dc:creator>Administrator</dc:creator>
  <cp:lastModifiedBy>AABa</cp:lastModifiedBy>
  <cp:lastPrinted>2019-09-29T04:56:00Z</cp:lastPrinted>
  <dcterms:modified xsi:type="dcterms:W3CDTF">2019-10-11T03:40:28Z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