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left="1760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明溪县尘肺病重点行业工伤保险扩面</w:t>
      </w:r>
    </w:p>
    <w:p>
      <w:pPr>
        <w:spacing w:line="560" w:lineRule="exact"/>
        <w:ind w:left="1760" w:hanging="1760" w:hangingChars="4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专项行动领导小组成员名单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王传荣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县人力资源和社会保障局党组书记、局长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  斌  县人力资源和社会保障局副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张运峰  县卫生健康局副局长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黄丽梅  县社会保险中心主任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w w:val="8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章方面  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>县人力资源和社会保障局社会保险股股长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w w:val="7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伍海鸿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w w:val="75"/>
          <w:sz w:val="32"/>
          <w:szCs w:val="32"/>
        </w:rPr>
        <w:t>县人力资源和社会保障局劳动关系和监察股股长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汤炜杰  县卫生健康局疾控股股长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领导小组下设办公室，办公室设在县人力资源和社会保障局，具体负责尘肺病重点行业工伤保险扩面专项行动领导小组日常工作，办公室主任由黄丽梅同志兼任。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4B9E"/>
    <w:rsid w:val="463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2020-05-14T08:03:00Z</dcterms:created>
  <dc:creator>20170410</dc:creator>
  <cp:lastModifiedBy>20170410</cp:lastModifiedBy>
  <dcterms:modified xsi:type="dcterms:W3CDTF">2020-05-14T08:04:42Z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