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明溪县</w:t>
      </w:r>
      <w:r>
        <w:rPr>
          <w:rFonts w:hint="eastAsia" w:ascii="方正小标宋简体" w:hAnsi="方正小标宋简体" w:eastAsia="方正小标宋简体" w:cs="方正小标宋简体"/>
          <w:sz w:val="40"/>
          <w:szCs w:val="40"/>
        </w:rPr>
        <w:t>建筑用砂扫黑除恶专项治理实施方案</w:t>
      </w:r>
    </w:p>
    <w:p>
      <w:pPr>
        <w:adjustRightInd w:val="0"/>
        <w:spacing w:line="560" w:lineRule="exact"/>
        <w:ind w:firstLine="620" w:firstLineChars="200"/>
        <w:rPr>
          <w:rFonts w:hint="eastAsia"/>
        </w:rPr>
      </w:pPr>
    </w:p>
    <w:p>
      <w:pPr>
        <w:adjustRightInd w:val="0"/>
        <w:spacing w:line="560" w:lineRule="exact"/>
        <w:ind w:firstLine="620" w:firstLineChars="200"/>
        <w:rPr>
          <w:rFonts w:hint="eastAsia"/>
        </w:rPr>
      </w:pPr>
      <w:r>
        <w:rPr>
          <w:rFonts w:hint="eastAsia"/>
        </w:rPr>
        <w:t>为深入贯彻落实党的十九大精神和习近平总书记关于扫黑除恶的重要指示，按照中央、省、市有关扫黑除恶专项斗争部署要求，结合省住建厅办公室《2019年扫黑除恶专项斗争工作要点》</w:t>
      </w:r>
      <w:r>
        <w:rPr>
          <w:rFonts w:hint="eastAsia"/>
          <w:lang w:eastAsia="zh-CN"/>
        </w:rPr>
        <w:t>、</w:t>
      </w:r>
      <w:r>
        <w:rPr>
          <w:rFonts w:hint="eastAsia" w:ascii="仿宋_GB2312"/>
          <w:color w:val="000000"/>
          <w:kern w:val="0"/>
          <w:sz w:val="32"/>
          <w:szCs w:val="32"/>
          <w:lang w:eastAsia="zh-CN"/>
        </w:rPr>
        <w:t>三明市住建局办公室《关于印发建筑用砂扫黑除恶专项治理实施方案的通知》</w:t>
      </w:r>
      <w:r>
        <w:rPr>
          <w:rFonts w:hint="eastAsia"/>
          <w:lang w:eastAsia="zh-CN"/>
        </w:rPr>
        <w:t>及</w:t>
      </w:r>
      <w:r>
        <w:rPr>
          <w:rFonts w:hint="eastAsia"/>
        </w:rPr>
        <w:t>我县建筑用砂领域工作实际，制定本方案。</w:t>
      </w:r>
    </w:p>
    <w:p>
      <w:pPr>
        <w:adjustRightInd w:val="0"/>
        <w:spacing w:line="560" w:lineRule="exact"/>
        <w:ind w:firstLine="620" w:firstLineChars="200"/>
        <w:rPr>
          <w:rFonts w:hint="eastAsia" w:ascii="黑体" w:hAnsi="黑体" w:eastAsia="黑体" w:cs="黑体"/>
        </w:rPr>
      </w:pPr>
      <w:r>
        <w:rPr>
          <w:rFonts w:hint="eastAsia" w:ascii="黑体" w:hAnsi="黑体" w:eastAsia="黑体" w:cs="黑体"/>
        </w:rPr>
        <w:t>一、工作目标</w:t>
      </w:r>
    </w:p>
    <w:p>
      <w:pPr>
        <w:adjustRightInd w:val="0"/>
        <w:spacing w:line="560" w:lineRule="exact"/>
        <w:ind w:firstLine="620" w:firstLineChars="200"/>
        <w:rPr>
          <w:rFonts w:hint="eastAsia"/>
        </w:rPr>
      </w:pPr>
      <w:r>
        <w:rPr>
          <w:rFonts w:hint="eastAsia"/>
        </w:rPr>
        <w:t>通过一年专项治理工作，查处登记砂生产厂家或供应商信息不真实、弄虚作假等行为的典型案例，形成行业震慑作用，严惩建筑用砂领域黑恶势力犯罪分子及其“保护伞”。建立健全建筑用砂管理制度，规范建筑用砂使用市场秩序，为我县工程质量安全建设创造良好的市场环境。</w:t>
      </w:r>
    </w:p>
    <w:p>
      <w:pPr>
        <w:adjustRightInd w:val="0"/>
        <w:spacing w:line="560" w:lineRule="exact"/>
        <w:ind w:firstLine="620" w:firstLineChars="200"/>
        <w:rPr>
          <w:rFonts w:hint="eastAsia" w:ascii="黑体" w:hAnsi="黑体" w:eastAsia="黑体" w:cs="黑体"/>
        </w:rPr>
      </w:pPr>
      <w:r>
        <w:rPr>
          <w:rFonts w:hint="eastAsia" w:ascii="黑体" w:hAnsi="黑体" w:eastAsia="黑体" w:cs="黑体"/>
        </w:rPr>
        <w:t>二、工作重点</w:t>
      </w:r>
    </w:p>
    <w:p>
      <w:pPr>
        <w:adjustRightInd w:val="0"/>
        <w:spacing w:line="560" w:lineRule="exact"/>
        <w:ind w:firstLine="620" w:firstLineChars="200"/>
        <w:rPr>
          <w:rFonts w:hint="eastAsia"/>
        </w:rPr>
      </w:pPr>
      <w:r>
        <w:rPr>
          <w:rFonts w:hint="eastAsia"/>
        </w:rPr>
        <w:t>根据建筑用砂领域实际，将以下两个方面列为扫黑除恶工作重点：</w:t>
      </w:r>
    </w:p>
    <w:p>
      <w:pPr>
        <w:adjustRightInd w:val="0"/>
        <w:spacing w:line="560" w:lineRule="exact"/>
        <w:ind w:firstLine="620" w:firstLineChars="200"/>
        <w:rPr>
          <w:rFonts w:hint="eastAsia"/>
        </w:rPr>
      </w:pPr>
      <w:r>
        <w:rPr>
          <w:rFonts w:hint="eastAsia" w:ascii="黑体" w:hAnsi="黑体" w:eastAsia="黑体" w:cs="黑体"/>
        </w:rPr>
        <w:t>（一）预拌混凝土用砂方面。</w:t>
      </w:r>
      <w:r>
        <w:rPr>
          <w:rFonts w:hint="eastAsia"/>
        </w:rPr>
        <w:t>重点检查预拌混凝土企业用砂采购管理、进场检测和使用台账登记等情况，严厉查处登记砂生产厂家或供应商信息不真实、弄虚作假等行为，并开展溯源倒查，重点查看涉黑涉恶线索。</w:t>
      </w:r>
    </w:p>
    <w:p>
      <w:pPr>
        <w:adjustRightInd w:val="0"/>
        <w:spacing w:line="560" w:lineRule="exact"/>
        <w:ind w:firstLine="620" w:firstLineChars="200"/>
        <w:rPr>
          <w:rFonts w:hint="eastAsia"/>
        </w:rPr>
      </w:pPr>
      <w:r>
        <w:rPr>
          <w:rFonts w:hint="eastAsia" w:ascii="黑体" w:hAnsi="黑体" w:eastAsia="黑体" w:cs="黑体"/>
        </w:rPr>
        <w:t>（二）施工现场用砂方面。</w:t>
      </w:r>
      <w:r>
        <w:rPr>
          <w:rFonts w:hint="eastAsia"/>
        </w:rPr>
        <w:t>建立施工现场用砂管理机制，重点检查工程建设项目施工现场用砂的采购管理、进场验收和使用台账登记等情况，严厉查处登记砂生产厂家或供应商信息不真实、弄虚作假等行为，并开展溯源倒查，重点查看涉黑涉恶线索。</w:t>
      </w:r>
    </w:p>
    <w:p>
      <w:pPr>
        <w:adjustRightInd w:val="0"/>
        <w:spacing w:line="560" w:lineRule="exact"/>
        <w:ind w:firstLine="620" w:firstLineChars="200"/>
        <w:rPr>
          <w:rFonts w:hint="eastAsia" w:ascii="黑体" w:hAnsi="黑体" w:eastAsia="黑体" w:cs="黑体"/>
        </w:rPr>
      </w:pPr>
      <w:r>
        <w:rPr>
          <w:rFonts w:hint="eastAsia" w:ascii="黑体" w:hAnsi="黑体" w:eastAsia="黑体" w:cs="黑体"/>
        </w:rPr>
        <w:t>三、工作步骤</w:t>
      </w:r>
    </w:p>
    <w:p>
      <w:pPr>
        <w:adjustRightInd w:val="0"/>
        <w:spacing w:line="560" w:lineRule="exact"/>
        <w:ind w:firstLine="620" w:firstLineChars="200"/>
        <w:rPr>
          <w:rFonts w:hint="eastAsia" w:ascii="黑体" w:hAnsi="黑体" w:eastAsia="黑体" w:cs="黑体"/>
        </w:rPr>
      </w:pPr>
      <w:r>
        <w:rPr>
          <w:rFonts w:hint="eastAsia" w:ascii="黑体" w:hAnsi="黑体" w:eastAsia="黑体" w:cs="黑体"/>
        </w:rPr>
        <w:t>（一）动员部署阶段（2019年4月）</w:t>
      </w:r>
    </w:p>
    <w:p>
      <w:pPr>
        <w:adjustRightInd w:val="0"/>
        <w:spacing w:line="560" w:lineRule="exact"/>
        <w:ind w:firstLine="620" w:firstLineChars="200"/>
        <w:rPr>
          <w:rFonts w:hint="eastAsia"/>
        </w:rPr>
      </w:pPr>
      <w:r>
        <w:rPr>
          <w:rFonts w:hint="eastAsia"/>
        </w:rPr>
        <w:t>动员部署开展专项治理，成立建筑用砂领域扫黑除恶专项治理工作小组，由汤先锋局长任组长、罗九根、张楷强、汤国平任副组长，成员包括局政策法规股、建管站、城建站、房屋交易管理中心、村建站、质安站、园林站等股站负责人，领导小组下设办公室，挂在局安办，负责综合协调日常工作，同时加大宣传力度，营造扫黑除恶浓厚氛围。</w:t>
      </w:r>
    </w:p>
    <w:p>
      <w:pPr>
        <w:adjustRightInd w:val="0"/>
        <w:spacing w:line="560" w:lineRule="exact"/>
        <w:ind w:firstLine="620" w:firstLineChars="200"/>
        <w:rPr>
          <w:rFonts w:hint="eastAsia" w:ascii="黑体" w:hAnsi="黑体" w:eastAsia="黑体" w:cs="黑体"/>
        </w:rPr>
      </w:pPr>
      <w:r>
        <w:rPr>
          <w:rFonts w:hint="eastAsia" w:ascii="黑体" w:hAnsi="黑体" w:eastAsia="黑体" w:cs="黑体"/>
        </w:rPr>
        <w:t>（二）开展全面排查治理阶段（2019年5月-2020年4月）</w:t>
      </w:r>
    </w:p>
    <w:p>
      <w:pPr>
        <w:adjustRightInd w:val="0"/>
        <w:spacing w:line="560" w:lineRule="exact"/>
        <w:ind w:firstLine="620" w:firstLineChars="200"/>
        <w:rPr>
          <w:rFonts w:hint="eastAsia"/>
          <w:color w:val="FF0000"/>
        </w:rPr>
      </w:pPr>
      <w:r>
        <w:rPr>
          <w:rFonts w:hint="eastAsia"/>
        </w:rPr>
        <w:t>针对易滋生黑恶势力建筑用砂薄弱监管环节，深入调查摸底，排查治理。一是围绕日常监督检查发现的问题、群众信访和举报件中基层反映的问题，开展梳理排查、溯源倒查，建立涉黑涉恶问题线索清单。二是加强预拌商品砼用砂进厂信息登记管理，每月组织预拌砼用砂监督抽查并进行通报，执行预拌混凝土信用评价和“黑名单”管理制度。三是把施工现场用砂纳入房屋建筑和市政基础设施工程主要建筑材料质量管理范围，加强施工现场用砂进场验收和使用登记管理。四是结合预拌混凝土专项检查和全县工程质量安全检查，开展预拌混凝土用砂和施工现场用砂扫黑除恶线索排查。五是结合每季度建筑工程质量安全生产形势分析会，对建筑用砂扫黑除恶工作同部署、同总结。</w:t>
      </w:r>
    </w:p>
    <w:p>
      <w:pPr>
        <w:adjustRightInd w:val="0"/>
        <w:spacing w:line="560" w:lineRule="exact"/>
        <w:ind w:firstLine="620" w:firstLineChars="200"/>
        <w:rPr>
          <w:rFonts w:hint="eastAsia" w:ascii="黑体" w:hAnsi="黑体" w:eastAsia="黑体" w:cs="黑体"/>
        </w:rPr>
      </w:pPr>
      <w:r>
        <w:rPr>
          <w:rFonts w:hint="eastAsia" w:ascii="黑体" w:hAnsi="黑体" w:eastAsia="黑体" w:cs="黑体"/>
        </w:rPr>
        <w:t>（三）建立长效机制阶段（2020年4月前）</w:t>
      </w:r>
    </w:p>
    <w:p>
      <w:pPr>
        <w:adjustRightInd w:val="0"/>
        <w:spacing w:line="560" w:lineRule="exact"/>
        <w:ind w:firstLine="620" w:firstLineChars="200"/>
        <w:rPr>
          <w:rFonts w:hint="eastAsia"/>
        </w:rPr>
      </w:pPr>
      <w:r>
        <w:rPr>
          <w:rFonts w:hint="eastAsia"/>
        </w:rPr>
        <w:t>坚持边扫边治边建原则，制定相应的预防和打击措施，建立信息共享沟通机制，建立健全联合执法工作机制，优化现有执法模式，强化联合执法。</w:t>
      </w:r>
    </w:p>
    <w:p>
      <w:pPr>
        <w:adjustRightInd w:val="0"/>
        <w:spacing w:line="560" w:lineRule="exact"/>
        <w:ind w:firstLine="620" w:firstLineChars="200"/>
        <w:rPr>
          <w:rFonts w:hint="eastAsia" w:ascii="黑体" w:hAnsi="黑体" w:eastAsia="黑体" w:cs="黑体"/>
        </w:rPr>
      </w:pPr>
      <w:r>
        <w:rPr>
          <w:rFonts w:hint="eastAsia" w:ascii="黑体" w:hAnsi="黑体" w:eastAsia="黑体" w:cs="黑体"/>
        </w:rPr>
        <w:t>四、工作要求</w:t>
      </w:r>
    </w:p>
    <w:p>
      <w:pPr>
        <w:adjustRightInd w:val="0"/>
        <w:spacing w:line="560" w:lineRule="exact"/>
        <w:ind w:firstLine="620" w:firstLineChars="200"/>
        <w:rPr>
          <w:rFonts w:hint="eastAsia"/>
        </w:rPr>
      </w:pPr>
      <w:r>
        <w:rPr>
          <w:rFonts w:hint="eastAsia" w:ascii="楷体_GB2312" w:hAnsi="楷体_GB2312" w:eastAsia="楷体_GB2312" w:cs="楷体_GB2312"/>
        </w:rPr>
        <w:t>（一）统一思想，提高认识。</w:t>
      </w:r>
      <w:r>
        <w:rPr>
          <w:rFonts w:hint="eastAsia"/>
        </w:rPr>
        <w:t>各有关单位要提升政治站位，增强责任感和紧迫感，加强建筑用砂专项治理扫黑除恶专项斗争工作的督导检查，把建筑用砂扫黑除恶工作作为当前一项重大政治任务抓紧抓实抓出实效，坚决打赢扫黑除恶专项斗争攻坚战。</w:t>
      </w:r>
    </w:p>
    <w:p>
      <w:pPr>
        <w:adjustRightInd w:val="0"/>
        <w:spacing w:line="560" w:lineRule="exact"/>
        <w:ind w:firstLine="620" w:firstLineChars="200"/>
        <w:rPr>
          <w:rFonts w:hint="eastAsia"/>
        </w:rPr>
      </w:pPr>
      <w:r>
        <w:rPr>
          <w:rFonts w:hint="eastAsia" w:ascii="楷体_GB2312" w:hAnsi="楷体_GB2312" w:eastAsia="楷体_GB2312" w:cs="楷体_GB2312"/>
        </w:rPr>
        <w:t>（二）细化措施，抓好落实。</w:t>
      </w:r>
      <w:r>
        <w:rPr>
          <w:rFonts w:hint="eastAsia"/>
        </w:rPr>
        <w:t>各相关单位要结合本方案和我县实际，抓住建筑用砂薄弱监管环节细化工作措施，认真组织实施，并结合建筑工程质量安全生产形势分析会定期部署、总结。</w:t>
      </w:r>
    </w:p>
    <w:p>
      <w:pPr>
        <w:adjustRightInd w:val="0"/>
        <w:spacing w:line="560" w:lineRule="exact"/>
        <w:ind w:firstLine="620" w:firstLineChars="200"/>
        <w:rPr>
          <w:rFonts w:hint="eastAsia"/>
        </w:rPr>
      </w:pPr>
      <w:r>
        <w:rPr>
          <w:rFonts w:hint="eastAsia" w:ascii="楷体_GB2312" w:hAnsi="楷体_GB2312" w:eastAsia="楷体_GB2312" w:cs="楷体_GB2312"/>
        </w:rPr>
        <w:t>（三）总结经验，建立机制。</w:t>
      </w:r>
      <w:r>
        <w:rPr>
          <w:rFonts w:hint="eastAsia"/>
        </w:rPr>
        <w:t>及时建立台账、总结典型案例和新鲜经验，加强示范带动，建立长效工作机制，强化联合执法。</w:t>
      </w:r>
    </w:p>
    <w:p>
      <w:pPr>
        <w:adjustRightInd w:val="0"/>
        <w:spacing w:line="560" w:lineRule="exact"/>
        <w:rPr>
          <w:rFonts w:hint="eastAsia"/>
        </w:rPr>
      </w:pPr>
    </w:p>
    <w:p>
      <w:pPr>
        <w:adjustRightInd w:val="0"/>
        <w:spacing w:line="560" w:lineRule="exact"/>
        <w:rPr>
          <w:rFonts w:hint="eastAsia"/>
        </w:rPr>
      </w:pPr>
    </w:p>
    <w:p>
      <w:pPr>
        <w:adjustRightInd w:val="0"/>
        <w:spacing w:line="560" w:lineRule="exact"/>
        <w:rPr>
          <w:rFonts w:hint="eastAsia"/>
        </w:rPr>
      </w:pPr>
      <w:r>
        <w:rPr>
          <w:rFonts w:hint="eastAsia"/>
        </w:rPr>
        <w:t>附件：1．建筑用砂领域扫黑除恶问题线索月汇总清单</w:t>
      </w:r>
    </w:p>
    <w:p>
      <w:pPr>
        <w:adjustRightInd w:val="0"/>
        <w:spacing w:line="560" w:lineRule="exact"/>
        <w:rPr>
          <w:rFonts w:hint="eastAsia"/>
        </w:rPr>
      </w:pPr>
      <w:r>
        <w:rPr>
          <w:rFonts w:hint="eastAsia"/>
        </w:rPr>
        <w:t>　　　　  2．建筑用砂领域扫黑除恶问题线索个案清单</w:t>
      </w:r>
    </w:p>
    <w:p>
      <w:pPr>
        <w:adjustRightInd w:val="0"/>
        <w:spacing w:line="560" w:lineRule="exact"/>
        <w:rPr>
          <w:rFonts w:hint="eastAsia"/>
        </w:rPr>
      </w:pPr>
      <w:r>
        <w:rPr>
          <w:rFonts w:hint="eastAsia"/>
        </w:rPr>
        <w:t>　　　　  3．施工现场用砂清单及溯源公示一览表</w:t>
      </w:r>
      <w:r>
        <w:rPr>
          <w:rFonts w:hint="eastAsia"/>
        </w:rPr>
        <w:br w:type="page"/>
      </w:r>
      <w:r>
        <w:rPr>
          <w:rFonts w:hint="eastAsia" w:ascii="黑体" w:hAnsi="黑体" w:eastAsia="黑体" w:cs="黑体"/>
        </w:rPr>
        <w:t>附件1</w:t>
      </w:r>
    </w:p>
    <w:p>
      <w:pPr>
        <w:adjustRightInd w:val="0"/>
        <w:spacing w:line="59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建筑用砂领域扫黑除恶问题线索</w:t>
      </w:r>
    </w:p>
    <w:p>
      <w:pPr>
        <w:adjustRightInd w:val="0"/>
        <w:spacing w:line="59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XX月汇总清单</w:t>
      </w:r>
    </w:p>
    <w:p>
      <w:pPr>
        <w:adjustRightInd w:val="0"/>
        <w:rPr>
          <w:rFonts w:hint="eastAsia"/>
        </w:rPr>
      </w:pPr>
    </w:p>
    <w:p>
      <w:pPr>
        <w:adjustRightInd w:val="0"/>
        <w:rPr>
          <w:rFonts w:hint="eastAsia"/>
        </w:rPr>
      </w:pPr>
      <w:r>
        <w:rPr>
          <w:rFonts w:hint="eastAsia"/>
        </w:rPr>
        <w:t>填报单位（盖章）：</w:t>
      </w:r>
    </w:p>
    <w:tbl>
      <w:tblPr>
        <w:tblStyle w:val="5"/>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2329"/>
        <w:gridCol w:w="1541"/>
        <w:gridCol w:w="1185"/>
        <w:gridCol w:w="1569"/>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926" w:type="dxa"/>
            <w:noWrap w:val="0"/>
            <w:vAlign w:val="center"/>
          </w:tcPr>
          <w:p>
            <w:pPr>
              <w:pStyle w:val="4"/>
              <w:widowControl/>
              <w:spacing w:before="0" w:beforeAutospacing="0" w:after="0" w:afterAutospacing="0"/>
              <w:jc w:val="center"/>
              <w:rPr>
                <w:rFonts w:ascii="Times New Roman" w:hAnsi="Times New Roman" w:eastAsia="仿宋_GB2312"/>
                <w:sz w:val="28"/>
                <w:szCs w:val="28"/>
              </w:rPr>
            </w:pPr>
            <w:r>
              <w:rPr>
                <w:rFonts w:ascii="Times New Roman" w:hAnsi="Times New Roman" w:eastAsia="仿宋_GB2312"/>
                <w:sz w:val="28"/>
                <w:szCs w:val="28"/>
              </w:rPr>
              <w:t>序号</w:t>
            </w:r>
          </w:p>
        </w:tc>
        <w:tc>
          <w:tcPr>
            <w:tcW w:w="2329" w:type="dxa"/>
            <w:noWrap w:val="0"/>
            <w:vAlign w:val="center"/>
          </w:tcPr>
          <w:p>
            <w:pPr>
              <w:pStyle w:val="4"/>
              <w:widowControl/>
              <w:spacing w:before="0" w:beforeAutospacing="0" w:after="0" w:afterAutospacing="0"/>
              <w:ind w:left="280" w:hanging="280" w:hangingChars="100"/>
              <w:jc w:val="center"/>
              <w:rPr>
                <w:rFonts w:ascii="Times New Roman" w:hAnsi="Times New Roman" w:eastAsia="仿宋_GB2312"/>
                <w:sz w:val="28"/>
                <w:szCs w:val="28"/>
              </w:rPr>
            </w:pPr>
            <w:r>
              <w:rPr>
                <w:rFonts w:ascii="Times New Roman" w:hAnsi="Times New Roman" w:eastAsia="仿宋_GB2312"/>
                <w:sz w:val="28"/>
                <w:szCs w:val="28"/>
              </w:rPr>
              <w:t>问题线索来源</w:t>
            </w:r>
          </w:p>
        </w:tc>
        <w:tc>
          <w:tcPr>
            <w:tcW w:w="1541" w:type="dxa"/>
            <w:noWrap w:val="0"/>
            <w:vAlign w:val="center"/>
          </w:tcPr>
          <w:p>
            <w:pPr>
              <w:pStyle w:val="4"/>
              <w:widowControl/>
              <w:spacing w:before="0" w:beforeAutospacing="0" w:after="0" w:afterAutospacing="0"/>
              <w:jc w:val="center"/>
              <w:rPr>
                <w:rFonts w:ascii="Times New Roman" w:hAnsi="Times New Roman" w:eastAsia="仿宋_GB2312"/>
                <w:sz w:val="28"/>
                <w:szCs w:val="28"/>
              </w:rPr>
            </w:pPr>
            <w:r>
              <w:rPr>
                <w:rFonts w:ascii="Times New Roman" w:hAnsi="Times New Roman" w:eastAsia="仿宋_GB2312"/>
                <w:sz w:val="28"/>
                <w:szCs w:val="28"/>
              </w:rPr>
              <w:t>上报单位</w:t>
            </w:r>
          </w:p>
        </w:tc>
        <w:tc>
          <w:tcPr>
            <w:tcW w:w="1185" w:type="dxa"/>
            <w:noWrap w:val="0"/>
            <w:vAlign w:val="center"/>
          </w:tcPr>
          <w:p>
            <w:pPr>
              <w:pStyle w:val="4"/>
              <w:widowControl/>
              <w:spacing w:before="0" w:beforeAutospacing="0" w:after="0" w:afterAutospacing="0"/>
              <w:jc w:val="center"/>
              <w:rPr>
                <w:rFonts w:ascii="Times New Roman" w:hAnsi="Times New Roman" w:eastAsia="仿宋_GB2312"/>
                <w:sz w:val="28"/>
                <w:szCs w:val="28"/>
              </w:rPr>
            </w:pPr>
            <w:r>
              <w:rPr>
                <w:rFonts w:ascii="Times New Roman" w:hAnsi="Times New Roman" w:eastAsia="仿宋_GB2312"/>
                <w:sz w:val="28"/>
                <w:szCs w:val="28"/>
              </w:rPr>
              <w:t>联系人</w:t>
            </w:r>
          </w:p>
        </w:tc>
        <w:tc>
          <w:tcPr>
            <w:tcW w:w="1569" w:type="dxa"/>
            <w:noWrap w:val="0"/>
            <w:vAlign w:val="center"/>
          </w:tcPr>
          <w:p>
            <w:pPr>
              <w:pStyle w:val="4"/>
              <w:widowControl/>
              <w:spacing w:before="0" w:beforeAutospacing="0" w:after="0" w:afterAutospacing="0"/>
              <w:jc w:val="center"/>
              <w:rPr>
                <w:rFonts w:ascii="Times New Roman" w:hAnsi="Times New Roman" w:eastAsia="仿宋_GB2312"/>
                <w:sz w:val="28"/>
                <w:szCs w:val="28"/>
              </w:rPr>
            </w:pPr>
            <w:r>
              <w:rPr>
                <w:rFonts w:ascii="Times New Roman" w:hAnsi="Times New Roman" w:eastAsia="仿宋_GB2312"/>
                <w:sz w:val="28"/>
                <w:szCs w:val="28"/>
              </w:rPr>
              <w:t>办理结果</w:t>
            </w:r>
          </w:p>
        </w:tc>
        <w:tc>
          <w:tcPr>
            <w:tcW w:w="1481" w:type="dxa"/>
            <w:noWrap w:val="0"/>
            <w:vAlign w:val="center"/>
          </w:tcPr>
          <w:p>
            <w:pPr>
              <w:pStyle w:val="4"/>
              <w:widowControl/>
              <w:spacing w:before="0" w:beforeAutospacing="0" w:after="0" w:afterAutospacing="0"/>
              <w:jc w:val="center"/>
              <w:rPr>
                <w:rFonts w:ascii="Times New Roman" w:hAnsi="Times New Roman" w:eastAsia="仿宋_GB2312"/>
                <w:sz w:val="28"/>
                <w:szCs w:val="28"/>
              </w:rPr>
            </w:pPr>
            <w:r>
              <w:rPr>
                <w:rFonts w:ascii="Times New Roman" w:hAnsi="Times New Roman" w:eastAsia="仿宋_GB2312"/>
                <w:sz w:val="28"/>
                <w:szCs w:val="28"/>
              </w:rPr>
              <w:t>移交情况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noWrap w:val="0"/>
            <w:vAlign w:val="top"/>
          </w:tcPr>
          <w:p>
            <w:pPr>
              <w:pStyle w:val="4"/>
              <w:widowControl/>
              <w:spacing w:before="0" w:beforeAutospacing="0" w:after="0" w:afterAutospacing="0"/>
              <w:rPr>
                <w:rFonts w:ascii="Times New Roman" w:hAnsi="Times New Roman" w:eastAsia="仿宋_GB2312"/>
                <w:sz w:val="32"/>
                <w:szCs w:val="32"/>
              </w:rPr>
            </w:pPr>
          </w:p>
        </w:tc>
        <w:tc>
          <w:tcPr>
            <w:tcW w:w="2329" w:type="dxa"/>
            <w:noWrap w:val="0"/>
            <w:vAlign w:val="top"/>
          </w:tcPr>
          <w:p>
            <w:pPr>
              <w:pStyle w:val="4"/>
              <w:widowControl/>
              <w:spacing w:before="0" w:beforeAutospacing="0" w:after="0" w:afterAutospacing="0"/>
              <w:rPr>
                <w:rFonts w:ascii="Times New Roman" w:hAnsi="Times New Roman" w:eastAsia="仿宋_GB2312"/>
                <w:sz w:val="32"/>
                <w:szCs w:val="32"/>
              </w:rPr>
            </w:pPr>
          </w:p>
        </w:tc>
        <w:tc>
          <w:tcPr>
            <w:tcW w:w="1541" w:type="dxa"/>
            <w:noWrap w:val="0"/>
            <w:vAlign w:val="top"/>
          </w:tcPr>
          <w:p>
            <w:pPr>
              <w:pStyle w:val="4"/>
              <w:widowControl/>
              <w:spacing w:before="0" w:beforeAutospacing="0" w:after="0" w:afterAutospacing="0"/>
              <w:rPr>
                <w:rFonts w:ascii="Times New Roman" w:hAnsi="Times New Roman" w:eastAsia="仿宋_GB2312"/>
                <w:sz w:val="32"/>
                <w:szCs w:val="32"/>
              </w:rPr>
            </w:pPr>
          </w:p>
        </w:tc>
        <w:tc>
          <w:tcPr>
            <w:tcW w:w="1185" w:type="dxa"/>
            <w:noWrap w:val="0"/>
            <w:vAlign w:val="top"/>
          </w:tcPr>
          <w:p>
            <w:pPr>
              <w:pStyle w:val="4"/>
              <w:widowControl/>
              <w:spacing w:before="0" w:beforeAutospacing="0" w:after="0" w:afterAutospacing="0"/>
              <w:rPr>
                <w:rFonts w:ascii="Times New Roman" w:hAnsi="Times New Roman" w:eastAsia="仿宋_GB2312"/>
                <w:sz w:val="32"/>
                <w:szCs w:val="32"/>
              </w:rPr>
            </w:pPr>
          </w:p>
        </w:tc>
        <w:tc>
          <w:tcPr>
            <w:tcW w:w="1569" w:type="dxa"/>
            <w:noWrap w:val="0"/>
            <w:vAlign w:val="top"/>
          </w:tcPr>
          <w:p>
            <w:pPr>
              <w:pStyle w:val="4"/>
              <w:widowControl/>
              <w:spacing w:before="0" w:beforeAutospacing="0" w:after="0" w:afterAutospacing="0"/>
              <w:rPr>
                <w:rFonts w:ascii="Times New Roman" w:hAnsi="Times New Roman" w:eastAsia="仿宋_GB2312"/>
                <w:sz w:val="32"/>
                <w:szCs w:val="32"/>
              </w:rPr>
            </w:pPr>
          </w:p>
        </w:tc>
        <w:tc>
          <w:tcPr>
            <w:tcW w:w="1481" w:type="dxa"/>
            <w:noWrap w:val="0"/>
            <w:vAlign w:val="top"/>
          </w:tcPr>
          <w:p>
            <w:pPr>
              <w:pStyle w:val="4"/>
              <w:widowControl/>
              <w:spacing w:before="0" w:beforeAutospacing="0" w:after="0" w:afterAutospacing="0"/>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noWrap w:val="0"/>
            <w:vAlign w:val="top"/>
          </w:tcPr>
          <w:p>
            <w:pPr>
              <w:pStyle w:val="4"/>
              <w:widowControl/>
              <w:spacing w:before="0" w:beforeAutospacing="0" w:after="0" w:afterAutospacing="0"/>
              <w:rPr>
                <w:rFonts w:ascii="Times New Roman" w:hAnsi="Times New Roman" w:eastAsia="仿宋_GB2312"/>
                <w:sz w:val="32"/>
                <w:szCs w:val="32"/>
              </w:rPr>
            </w:pPr>
          </w:p>
        </w:tc>
        <w:tc>
          <w:tcPr>
            <w:tcW w:w="2329" w:type="dxa"/>
            <w:noWrap w:val="0"/>
            <w:vAlign w:val="top"/>
          </w:tcPr>
          <w:p>
            <w:pPr>
              <w:pStyle w:val="4"/>
              <w:widowControl/>
              <w:spacing w:before="0" w:beforeAutospacing="0" w:after="0" w:afterAutospacing="0"/>
              <w:rPr>
                <w:rFonts w:ascii="Times New Roman" w:hAnsi="Times New Roman" w:eastAsia="仿宋_GB2312"/>
                <w:sz w:val="32"/>
                <w:szCs w:val="32"/>
              </w:rPr>
            </w:pPr>
          </w:p>
        </w:tc>
        <w:tc>
          <w:tcPr>
            <w:tcW w:w="1541" w:type="dxa"/>
            <w:noWrap w:val="0"/>
            <w:vAlign w:val="top"/>
          </w:tcPr>
          <w:p>
            <w:pPr>
              <w:pStyle w:val="4"/>
              <w:widowControl/>
              <w:spacing w:before="0" w:beforeAutospacing="0" w:after="0" w:afterAutospacing="0"/>
              <w:rPr>
                <w:rFonts w:ascii="Times New Roman" w:hAnsi="Times New Roman" w:eastAsia="仿宋_GB2312"/>
                <w:sz w:val="32"/>
                <w:szCs w:val="32"/>
              </w:rPr>
            </w:pPr>
          </w:p>
        </w:tc>
        <w:tc>
          <w:tcPr>
            <w:tcW w:w="1185" w:type="dxa"/>
            <w:noWrap w:val="0"/>
            <w:vAlign w:val="top"/>
          </w:tcPr>
          <w:p>
            <w:pPr>
              <w:pStyle w:val="4"/>
              <w:widowControl/>
              <w:spacing w:before="0" w:beforeAutospacing="0" w:after="0" w:afterAutospacing="0"/>
              <w:rPr>
                <w:rFonts w:ascii="Times New Roman" w:hAnsi="Times New Roman" w:eastAsia="仿宋_GB2312"/>
                <w:sz w:val="32"/>
                <w:szCs w:val="32"/>
              </w:rPr>
            </w:pPr>
          </w:p>
        </w:tc>
        <w:tc>
          <w:tcPr>
            <w:tcW w:w="1569" w:type="dxa"/>
            <w:noWrap w:val="0"/>
            <w:vAlign w:val="top"/>
          </w:tcPr>
          <w:p>
            <w:pPr>
              <w:pStyle w:val="4"/>
              <w:widowControl/>
              <w:spacing w:before="0" w:beforeAutospacing="0" w:after="0" w:afterAutospacing="0"/>
              <w:rPr>
                <w:rFonts w:ascii="Times New Roman" w:hAnsi="Times New Roman" w:eastAsia="仿宋_GB2312"/>
                <w:sz w:val="32"/>
                <w:szCs w:val="32"/>
              </w:rPr>
            </w:pPr>
          </w:p>
        </w:tc>
        <w:tc>
          <w:tcPr>
            <w:tcW w:w="1481" w:type="dxa"/>
            <w:noWrap w:val="0"/>
            <w:vAlign w:val="top"/>
          </w:tcPr>
          <w:p>
            <w:pPr>
              <w:pStyle w:val="4"/>
              <w:widowControl/>
              <w:spacing w:before="0" w:beforeAutospacing="0" w:after="0" w:afterAutospacing="0"/>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noWrap w:val="0"/>
            <w:vAlign w:val="top"/>
          </w:tcPr>
          <w:p>
            <w:pPr>
              <w:pStyle w:val="4"/>
              <w:widowControl/>
              <w:spacing w:before="0" w:beforeAutospacing="0" w:after="0" w:afterAutospacing="0"/>
              <w:rPr>
                <w:rFonts w:ascii="Times New Roman" w:hAnsi="Times New Roman" w:eastAsia="仿宋_GB2312"/>
                <w:sz w:val="32"/>
                <w:szCs w:val="32"/>
              </w:rPr>
            </w:pPr>
          </w:p>
        </w:tc>
        <w:tc>
          <w:tcPr>
            <w:tcW w:w="2329" w:type="dxa"/>
            <w:noWrap w:val="0"/>
            <w:vAlign w:val="top"/>
          </w:tcPr>
          <w:p>
            <w:pPr>
              <w:pStyle w:val="4"/>
              <w:widowControl/>
              <w:spacing w:before="0" w:beforeAutospacing="0" w:after="0" w:afterAutospacing="0"/>
              <w:rPr>
                <w:rFonts w:ascii="Times New Roman" w:hAnsi="Times New Roman" w:eastAsia="仿宋_GB2312"/>
                <w:sz w:val="32"/>
                <w:szCs w:val="32"/>
              </w:rPr>
            </w:pPr>
          </w:p>
        </w:tc>
        <w:tc>
          <w:tcPr>
            <w:tcW w:w="1541" w:type="dxa"/>
            <w:noWrap w:val="0"/>
            <w:vAlign w:val="top"/>
          </w:tcPr>
          <w:p>
            <w:pPr>
              <w:pStyle w:val="4"/>
              <w:widowControl/>
              <w:spacing w:before="0" w:beforeAutospacing="0" w:after="0" w:afterAutospacing="0"/>
              <w:rPr>
                <w:rFonts w:ascii="Times New Roman" w:hAnsi="Times New Roman" w:eastAsia="仿宋_GB2312"/>
                <w:sz w:val="32"/>
                <w:szCs w:val="32"/>
              </w:rPr>
            </w:pPr>
          </w:p>
        </w:tc>
        <w:tc>
          <w:tcPr>
            <w:tcW w:w="1185" w:type="dxa"/>
            <w:noWrap w:val="0"/>
            <w:vAlign w:val="top"/>
          </w:tcPr>
          <w:p>
            <w:pPr>
              <w:pStyle w:val="4"/>
              <w:widowControl/>
              <w:spacing w:before="0" w:beforeAutospacing="0" w:after="0" w:afterAutospacing="0"/>
              <w:rPr>
                <w:rFonts w:ascii="Times New Roman" w:hAnsi="Times New Roman" w:eastAsia="仿宋_GB2312"/>
                <w:sz w:val="32"/>
                <w:szCs w:val="32"/>
              </w:rPr>
            </w:pPr>
          </w:p>
        </w:tc>
        <w:tc>
          <w:tcPr>
            <w:tcW w:w="1569" w:type="dxa"/>
            <w:noWrap w:val="0"/>
            <w:vAlign w:val="top"/>
          </w:tcPr>
          <w:p>
            <w:pPr>
              <w:pStyle w:val="4"/>
              <w:widowControl/>
              <w:spacing w:before="0" w:beforeAutospacing="0" w:after="0" w:afterAutospacing="0"/>
              <w:rPr>
                <w:rFonts w:ascii="Times New Roman" w:hAnsi="Times New Roman" w:eastAsia="仿宋_GB2312"/>
                <w:sz w:val="32"/>
                <w:szCs w:val="32"/>
              </w:rPr>
            </w:pPr>
          </w:p>
        </w:tc>
        <w:tc>
          <w:tcPr>
            <w:tcW w:w="1481" w:type="dxa"/>
            <w:noWrap w:val="0"/>
            <w:vAlign w:val="top"/>
          </w:tcPr>
          <w:p>
            <w:pPr>
              <w:pStyle w:val="4"/>
              <w:widowControl/>
              <w:spacing w:before="0" w:beforeAutospacing="0" w:after="0" w:afterAutospacing="0"/>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noWrap w:val="0"/>
            <w:vAlign w:val="top"/>
          </w:tcPr>
          <w:p>
            <w:pPr>
              <w:pStyle w:val="4"/>
              <w:widowControl/>
              <w:spacing w:before="0" w:beforeAutospacing="0" w:after="0" w:afterAutospacing="0"/>
              <w:rPr>
                <w:rFonts w:ascii="Times New Roman" w:hAnsi="Times New Roman" w:eastAsia="仿宋_GB2312"/>
                <w:sz w:val="32"/>
                <w:szCs w:val="32"/>
              </w:rPr>
            </w:pPr>
          </w:p>
        </w:tc>
        <w:tc>
          <w:tcPr>
            <w:tcW w:w="2329" w:type="dxa"/>
            <w:noWrap w:val="0"/>
            <w:vAlign w:val="top"/>
          </w:tcPr>
          <w:p>
            <w:pPr>
              <w:pStyle w:val="4"/>
              <w:widowControl/>
              <w:spacing w:before="0" w:beforeAutospacing="0" w:after="0" w:afterAutospacing="0"/>
              <w:rPr>
                <w:rFonts w:ascii="Times New Roman" w:hAnsi="Times New Roman" w:eastAsia="仿宋_GB2312"/>
                <w:sz w:val="32"/>
                <w:szCs w:val="32"/>
              </w:rPr>
            </w:pPr>
          </w:p>
        </w:tc>
        <w:tc>
          <w:tcPr>
            <w:tcW w:w="1541" w:type="dxa"/>
            <w:noWrap w:val="0"/>
            <w:vAlign w:val="top"/>
          </w:tcPr>
          <w:p>
            <w:pPr>
              <w:pStyle w:val="4"/>
              <w:widowControl/>
              <w:spacing w:before="0" w:beforeAutospacing="0" w:after="0" w:afterAutospacing="0"/>
              <w:rPr>
                <w:rFonts w:ascii="Times New Roman" w:hAnsi="Times New Roman" w:eastAsia="仿宋_GB2312"/>
                <w:sz w:val="32"/>
                <w:szCs w:val="32"/>
              </w:rPr>
            </w:pPr>
          </w:p>
        </w:tc>
        <w:tc>
          <w:tcPr>
            <w:tcW w:w="1185" w:type="dxa"/>
            <w:noWrap w:val="0"/>
            <w:vAlign w:val="top"/>
          </w:tcPr>
          <w:p>
            <w:pPr>
              <w:pStyle w:val="4"/>
              <w:widowControl/>
              <w:spacing w:before="0" w:beforeAutospacing="0" w:after="0" w:afterAutospacing="0"/>
              <w:rPr>
                <w:rFonts w:ascii="Times New Roman" w:hAnsi="Times New Roman" w:eastAsia="仿宋_GB2312"/>
                <w:sz w:val="32"/>
                <w:szCs w:val="32"/>
              </w:rPr>
            </w:pPr>
          </w:p>
        </w:tc>
        <w:tc>
          <w:tcPr>
            <w:tcW w:w="1569" w:type="dxa"/>
            <w:noWrap w:val="0"/>
            <w:vAlign w:val="top"/>
          </w:tcPr>
          <w:p>
            <w:pPr>
              <w:pStyle w:val="4"/>
              <w:widowControl/>
              <w:spacing w:before="0" w:beforeAutospacing="0" w:after="0" w:afterAutospacing="0"/>
              <w:rPr>
                <w:rFonts w:ascii="Times New Roman" w:hAnsi="Times New Roman" w:eastAsia="仿宋_GB2312"/>
                <w:sz w:val="32"/>
                <w:szCs w:val="32"/>
              </w:rPr>
            </w:pPr>
          </w:p>
        </w:tc>
        <w:tc>
          <w:tcPr>
            <w:tcW w:w="1481" w:type="dxa"/>
            <w:noWrap w:val="0"/>
            <w:vAlign w:val="top"/>
          </w:tcPr>
          <w:p>
            <w:pPr>
              <w:pStyle w:val="4"/>
              <w:widowControl/>
              <w:spacing w:before="0" w:beforeAutospacing="0" w:after="0" w:afterAutospacing="0"/>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noWrap w:val="0"/>
            <w:vAlign w:val="top"/>
          </w:tcPr>
          <w:p>
            <w:pPr>
              <w:pStyle w:val="4"/>
              <w:widowControl/>
              <w:spacing w:before="0" w:beforeAutospacing="0" w:after="0" w:afterAutospacing="0"/>
              <w:rPr>
                <w:rFonts w:ascii="Times New Roman" w:hAnsi="Times New Roman" w:eastAsia="仿宋"/>
                <w:sz w:val="32"/>
                <w:szCs w:val="32"/>
              </w:rPr>
            </w:pPr>
          </w:p>
        </w:tc>
        <w:tc>
          <w:tcPr>
            <w:tcW w:w="2329" w:type="dxa"/>
            <w:noWrap w:val="0"/>
            <w:vAlign w:val="top"/>
          </w:tcPr>
          <w:p>
            <w:pPr>
              <w:pStyle w:val="4"/>
              <w:widowControl/>
              <w:spacing w:before="0" w:beforeAutospacing="0" w:after="0" w:afterAutospacing="0"/>
              <w:rPr>
                <w:rFonts w:ascii="Times New Roman" w:hAnsi="Times New Roman" w:eastAsia="仿宋"/>
                <w:sz w:val="32"/>
                <w:szCs w:val="32"/>
              </w:rPr>
            </w:pPr>
          </w:p>
        </w:tc>
        <w:tc>
          <w:tcPr>
            <w:tcW w:w="1541" w:type="dxa"/>
            <w:noWrap w:val="0"/>
            <w:vAlign w:val="top"/>
          </w:tcPr>
          <w:p>
            <w:pPr>
              <w:pStyle w:val="4"/>
              <w:widowControl/>
              <w:spacing w:before="0" w:beforeAutospacing="0" w:after="0" w:afterAutospacing="0"/>
              <w:rPr>
                <w:rFonts w:ascii="Times New Roman" w:hAnsi="Times New Roman" w:eastAsia="仿宋"/>
                <w:sz w:val="32"/>
                <w:szCs w:val="32"/>
              </w:rPr>
            </w:pPr>
          </w:p>
        </w:tc>
        <w:tc>
          <w:tcPr>
            <w:tcW w:w="1185" w:type="dxa"/>
            <w:noWrap w:val="0"/>
            <w:vAlign w:val="top"/>
          </w:tcPr>
          <w:p>
            <w:pPr>
              <w:pStyle w:val="4"/>
              <w:widowControl/>
              <w:spacing w:before="0" w:beforeAutospacing="0" w:after="0" w:afterAutospacing="0"/>
              <w:rPr>
                <w:rFonts w:ascii="Times New Roman" w:hAnsi="Times New Roman" w:eastAsia="仿宋"/>
                <w:sz w:val="32"/>
                <w:szCs w:val="32"/>
              </w:rPr>
            </w:pPr>
          </w:p>
        </w:tc>
        <w:tc>
          <w:tcPr>
            <w:tcW w:w="1569" w:type="dxa"/>
            <w:noWrap w:val="0"/>
            <w:vAlign w:val="top"/>
          </w:tcPr>
          <w:p>
            <w:pPr>
              <w:pStyle w:val="4"/>
              <w:widowControl/>
              <w:spacing w:before="0" w:beforeAutospacing="0" w:after="0" w:afterAutospacing="0"/>
              <w:rPr>
                <w:rFonts w:ascii="Times New Roman" w:hAnsi="Times New Roman" w:eastAsia="仿宋"/>
                <w:sz w:val="32"/>
                <w:szCs w:val="32"/>
              </w:rPr>
            </w:pPr>
          </w:p>
        </w:tc>
        <w:tc>
          <w:tcPr>
            <w:tcW w:w="1481" w:type="dxa"/>
            <w:noWrap w:val="0"/>
            <w:vAlign w:val="top"/>
          </w:tcPr>
          <w:p>
            <w:pPr>
              <w:pStyle w:val="4"/>
              <w:widowControl/>
              <w:spacing w:before="0" w:beforeAutospacing="0" w:after="0" w:afterAutospacing="0"/>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noWrap w:val="0"/>
            <w:vAlign w:val="top"/>
          </w:tcPr>
          <w:p>
            <w:pPr>
              <w:pStyle w:val="4"/>
              <w:widowControl/>
              <w:spacing w:before="0" w:beforeAutospacing="0" w:after="0" w:afterAutospacing="0"/>
              <w:rPr>
                <w:rFonts w:ascii="Times New Roman" w:hAnsi="Times New Roman" w:eastAsia="仿宋"/>
                <w:sz w:val="32"/>
                <w:szCs w:val="32"/>
              </w:rPr>
            </w:pPr>
          </w:p>
        </w:tc>
        <w:tc>
          <w:tcPr>
            <w:tcW w:w="2329" w:type="dxa"/>
            <w:noWrap w:val="0"/>
            <w:vAlign w:val="top"/>
          </w:tcPr>
          <w:p>
            <w:pPr>
              <w:pStyle w:val="4"/>
              <w:widowControl/>
              <w:spacing w:before="0" w:beforeAutospacing="0" w:after="0" w:afterAutospacing="0"/>
              <w:rPr>
                <w:rFonts w:ascii="Times New Roman" w:hAnsi="Times New Roman" w:eastAsia="仿宋"/>
                <w:sz w:val="32"/>
                <w:szCs w:val="32"/>
              </w:rPr>
            </w:pPr>
          </w:p>
        </w:tc>
        <w:tc>
          <w:tcPr>
            <w:tcW w:w="1541" w:type="dxa"/>
            <w:noWrap w:val="0"/>
            <w:vAlign w:val="top"/>
          </w:tcPr>
          <w:p>
            <w:pPr>
              <w:pStyle w:val="4"/>
              <w:widowControl/>
              <w:spacing w:before="0" w:beforeAutospacing="0" w:after="0" w:afterAutospacing="0"/>
              <w:rPr>
                <w:rFonts w:ascii="Times New Roman" w:hAnsi="Times New Roman" w:eastAsia="仿宋"/>
                <w:sz w:val="32"/>
                <w:szCs w:val="32"/>
              </w:rPr>
            </w:pPr>
          </w:p>
        </w:tc>
        <w:tc>
          <w:tcPr>
            <w:tcW w:w="1185" w:type="dxa"/>
            <w:noWrap w:val="0"/>
            <w:vAlign w:val="top"/>
          </w:tcPr>
          <w:p>
            <w:pPr>
              <w:pStyle w:val="4"/>
              <w:widowControl/>
              <w:spacing w:before="0" w:beforeAutospacing="0" w:after="0" w:afterAutospacing="0"/>
              <w:rPr>
                <w:rFonts w:ascii="Times New Roman" w:hAnsi="Times New Roman" w:eastAsia="仿宋"/>
                <w:sz w:val="32"/>
                <w:szCs w:val="32"/>
              </w:rPr>
            </w:pPr>
          </w:p>
        </w:tc>
        <w:tc>
          <w:tcPr>
            <w:tcW w:w="1569" w:type="dxa"/>
            <w:noWrap w:val="0"/>
            <w:vAlign w:val="top"/>
          </w:tcPr>
          <w:p>
            <w:pPr>
              <w:pStyle w:val="4"/>
              <w:widowControl/>
              <w:spacing w:before="0" w:beforeAutospacing="0" w:after="0" w:afterAutospacing="0"/>
              <w:rPr>
                <w:rFonts w:ascii="Times New Roman" w:hAnsi="Times New Roman" w:eastAsia="仿宋"/>
                <w:sz w:val="32"/>
                <w:szCs w:val="32"/>
              </w:rPr>
            </w:pPr>
          </w:p>
        </w:tc>
        <w:tc>
          <w:tcPr>
            <w:tcW w:w="1481" w:type="dxa"/>
            <w:noWrap w:val="0"/>
            <w:vAlign w:val="top"/>
          </w:tcPr>
          <w:p>
            <w:pPr>
              <w:pStyle w:val="4"/>
              <w:widowControl/>
              <w:spacing w:before="0" w:beforeAutospacing="0" w:after="0" w:afterAutospacing="0"/>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noWrap w:val="0"/>
            <w:vAlign w:val="top"/>
          </w:tcPr>
          <w:p>
            <w:pPr>
              <w:pStyle w:val="4"/>
              <w:widowControl/>
              <w:spacing w:before="0" w:beforeAutospacing="0" w:after="0" w:afterAutospacing="0"/>
              <w:rPr>
                <w:rFonts w:ascii="Times New Roman" w:hAnsi="Times New Roman" w:eastAsia="仿宋"/>
                <w:sz w:val="32"/>
                <w:szCs w:val="32"/>
              </w:rPr>
            </w:pPr>
          </w:p>
        </w:tc>
        <w:tc>
          <w:tcPr>
            <w:tcW w:w="2329" w:type="dxa"/>
            <w:noWrap w:val="0"/>
            <w:vAlign w:val="top"/>
          </w:tcPr>
          <w:p>
            <w:pPr>
              <w:pStyle w:val="4"/>
              <w:widowControl/>
              <w:spacing w:before="0" w:beforeAutospacing="0" w:after="0" w:afterAutospacing="0"/>
              <w:rPr>
                <w:rFonts w:ascii="Times New Roman" w:hAnsi="Times New Roman" w:eastAsia="仿宋"/>
                <w:sz w:val="32"/>
                <w:szCs w:val="32"/>
              </w:rPr>
            </w:pPr>
          </w:p>
        </w:tc>
        <w:tc>
          <w:tcPr>
            <w:tcW w:w="1541" w:type="dxa"/>
            <w:noWrap w:val="0"/>
            <w:vAlign w:val="top"/>
          </w:tcPr>
          <w:p>
            <w:pPr>
              <w:pStyle w:val="4"/>
              <w:widowControl/>
              <w:spacing w:before="0" w:beforeAutospacing="0" w:after="0" w:afterAutospacing="0"/>
              <w:rPr>
                <w:rFonts w:ascii="Times New Roman" w:hAnsi="Times New Roman" w:eastAsia="仿宋"/>
                <w:sz w:val="32"/>
                <w:szCs w:val="32"/>
              </w:rPr>
            </w:pPr>
          </w:p>
        </w:tc>
        <w:tc>
          <w:tcPr>
            <w:tcW w:w="1185" w:type="dxa"/>
            <w:noWrap w:val="0"/>
            <w:vAlign w:val="top"/>
          </w:tcPr>
          <w:p>
            <w:pPr>
              <w:pStyle w:val="4"/>
              <w:widowControl/>
              <w:spacing w:before="0" w:beforeAutospacing="0" w:after="0" w:afterAutospacing="0"/>
              <w:rPr>
                <w:rFonts w:ascii="Times New Roman" w:hAnsi="Times New Roman" w:eastAsia="仿宋"/>
                <w:sz w:val="32"/>
                <w:szCs w:val="32"/>
              </w:rPr>
            </w:pPr>
          </w:p>
        </w:tc>
        <w:tc>
          <w:tcPr>
            <w:tcW w:w="1569" w:type="dxa"/>
            <w:noWrap w:val="0"/>
            <w:vAlign w:val="top"/>
          </w:tcPr>
          <w:p>
            <w:pPr>
              <w:pStyle w:val="4"/>
              <w:widowControl/>
              <w:spacing w:before="0" w:beforeAutospacing="0" w:after="0" w:afterAutospacing="0"/>
              <w:rPr>
                <w:rFonts w:ascii="Times New Roman" w:hAnsi="Times New Roman" w:eastAsia="仿宋"/>
                <w:sz w:val="32"/>
                <w:szCs w:val="32"/>
              </w:rPr>
            </w:pPr>
          </w:p>
        </w:tc>
        <w:tc>
          <w:tcPr>
            <w:tcW w:w="1481" w:type="dxa"/>
            <w:noWrap w:val="0"/>
            <w:vAlign w:val="top"/>
          </w:tcPr>
          <w:p>
            <w:pPr>
              <w:pStyle w:val="4"/>
              <w:widowControl/>
              <w:spacing w:before="0" w:beforeAutospacing="0" w:after="0" w:afterAutospacing="0"/>
              <w:rPr>
                <w:rFonts w:ascii="Times New Roman" w:hAnsi="Times New Roman" w:eastAsia="仿宋"/>
                <w:sz w:val="32"/>
                <w:szCs w:val="32"/>
              </w:rPr>
            </w:pPr>
          </w:p>
        </w:tc>
      </w:tr>
    </w:tbl>
    <w:p>
      <w:pPr>
        <w:adjustRightInd w:val="0"/>
        <w:rPr>
          <w:rFonts w:hint="eastAsia"/>
        </w:rPr>
      </w:pPr>
      <w:r>
        <w:rPr>
          <w:rFonts w:hint="eastAsia"/>
        </w:rPr>
        <w:t>填报人：                审核人：            填报时间：</w:t>
      </w:r>
    </w:p>
    <w:p>
      <w:pPr>
        <w:adjustRightInd w:val="0"/>
        <w:rPr>
          <w:rFonts w:hint="eastAsia" w:ascii="仿宋_GB2312" w:hAnsi="仿宋_GB2312" w:cs="仿宋_GB2312"/>
          <w:sz w:val="24"/>
          <w:szCs w:val="24"/>
        </w:rPr>
      </w:pPr>
      <w:r>
        <w:rPr>
          <w:rFonts w:hint="eastAsia" w:ascii="仿宋_GB2312" w:hAnsi="仿宋_GB2312" w:cs="仿宋_GB2312"/>
          <w:sz w:val="24"/>
          <w:szCs w:val="24"/>
        </w:rPr>
        <w:t>（说明：自2019年5月起，每月3日前上报此表格，问题线索来源主要指的是建筑用砂登记砂生产厂家或供应商信息不真实、弄虚作假等行为；上报单位主要指的是发现问题的单位；办理结果主要指是否有无涉黑涉恶线索；移交情况主要指的是否移交公安机关、纪检部门等相关部门）</w:t>
      </w:r>
    </w:p>
    <w:p>
      <w:pPr>
        <w:adjustRightInd w:val="0"/>
      </w:pPr>
      <w:r>
        <w:br w:type="page"/>
      </w:r>
      <w:r>
        <w:rPr>
          <w:rFonts w:hint="eastAsia" w:ascii="黑体" w:hAnsi="黑体" w:eastAsia="黑体" w:cs="黑体"/>
        </w:rPr>
        <w:t>附件2</w:t>
      </w:r>
    </w:p>
    <w:p>
      <w:pPr>
        <w:adjustRightInd w:val="0"/>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建筑用砂领域扫黑除恶问题线索个案清单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005"/>
        <w:gridCol w:w="30"/>
        <w:gridCol w:w="615"/>
        <w:gridCol w:w="2205"/>
        <w:gridCol w:w="150"/>
        <w:gridCol w:w="1485"/>
        <w:gridCol w:w="45"/>
        <w:gridCol w:w="43"/>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4" w:type="dxa"/>
            <w:gridSpan w:val="2"/>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r>
              <w:rPr>
                <w:rFonts w:hint="eastAsia" w:ascii="仿宋_GB2312" w:hAnsi="Times New Roman" w:eastAsia="仿宋_GB2312"/>
                <w:sz w:val="28"/>
                <w:szCs w:val="28"/>
              </w:rPr>
              <w:t>问题线索来源</w:t>
            </w:r>
          </w:p>
        </w:tc>
        <w:tc>
          <w:tcPr>
            <w:tcW w:w="6278" w:type="dxa"/>
            <w:gridSpan w:val="8"/>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9" w:type="dxa"/>
            <w:vMerge w:val="restart"/>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r>
              <w:rPr>
                <w:rFonts w:hint="eastAsia" w:ascii="仿宋_GB2312" w:hAnsi="Times New Roman" w:eastAsia="仿宋_GB2312"/>
                <w:sz w:val="28"/>
                <w:szCs w:val="28"/>
              </w:rPr>
              <w:t>提供人</w:t>
            </w:r>
          </w:p>
          <w:p>
            <w:pPr>
              <w:pStyle w:val="4"/>
              <w:widowControl/>
              <w:spacing w:before="0" w:beforeAutospacing="0" w:after="0" w:afterAutospacing="0"/>
              <w:jc w:val="center"/>
              <w:rPr>
                <w:rFonts w:hint="eastAsia" w:ascii="仿宋_GB2312" w:hAnsi="Times New Roman" w:eastAsia="仿宋_GB2312"/>
                <w:sz w:val="28"/>
                <w:szCs w:val="28"/>
              </w:rPr>
            </w:pPr>
            <w:r>
              <w:rPr>
                <w:rFonts w:hint="eastAsia" w:ascii="仿宋_GB2312" w:hAnsi="Times New Roman" w:eastAsia="仿宋_GB2312"/>
                <w:sz w:val="28"/>
                <w:szCs w:val="28"/>
              </w:rPr>
              <w:t>信息</w:t>
            </w:r>
          </w:p>
        </w:tc>
        <w:tc>
          <w:tcPr>
            <w:tcW w:w="1005" w:type="dxa"/>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r>
              <w:rPr>
                <w:rFonts w:hint="eastAsia" w:ascii="仿宋_GB2312" w:hAnsi="Times New Roman" w:eastAsia="仿宋_GB2312"/>
                <w:sz w:val="28"/>
                <w:szCs w:val="28"/>
              </w:rPr>
              <w:t>姓名</w:t>
            </w:r>
          </w:p>
        </w:tc>
        <w:tc>
          <w:tcPr>
            <w:tcW w:w="2850" w:type="dxa"/>
            <w:gridSpan w:val="3"/>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p>
        </w:tc>
        <w:tc>
          <w:tcPr>
            <w:tcW w:w="1635" w:type="dxa"/>
            <w:gridSpan w:val="2"/>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r>
              <w:rPr>
                <w:rFonts w:hint="eastAsia" w:ascii="仿宋_GB2312" w:hAnsi="Times New Roman" w:eastAsia="仿宋_GB2312"/>
                <w:sz w:val="28"/>
                <w:szCs w:val="28"/>
              </w:rPr>
              <w:t>联系电话</w:t>
            </w:r>
          </w:p>
        </w:tc>
        <w:tc>
          <w:tcPr>
            <w:tcW w:w="1793" w:type="dxa"/>
            <w:gridSpan w:val="3"/>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9" w:type="dxa"/>
            <w:vMerge w:val="continue"/>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p>
        </w:tc>
        <w:tc>
          <w:tcPr>
            <w:tcW w:w="1005" w:type="dxa"/>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r>
              <w:rPr>
                <w:rFonts w:hint="eastAsia" w:ascii="仿宋_GB2312" w:hAnsi="Times New Roman" w:eastAsia="仿宋_GB2312"/>
                <w:sz w:val="28"/>
                <w:szCs w:val="28"/>
              </w:rPr>
              <w:t>地址</w:t>
            </w:r>
          </w:p>
        </w:tc>
        <w:tc>
          <w:tcPr>
            <w:tcW w:w="2850" w:type="dxa"/>
            <w:gridSpan w:val="3"/>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p>
        </w:tc>
        <w:tc>
          <w:tcPr>
            <w:tcW w:w="1635" w:type="dxa"/>
            <w:gridSpan w:val="2"/>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r>
              <w:rPr>
                <w:rFonts w:hint="eastAsia" w:ascii="仿宋_GB2312" w:hAnsi="Times New Roman" w:eastAsia="仿宋_GB2312"/>
                <w:sz w:val="28"/>
                <w:szCs w:val="28"/>
              </w:rPr>
              <w:t>单    位</w:t>
            </w:r>
          </w:p>
        </w:tc>
        <w:tc>
          <w:tcPr>
            <w:tcW w:w="1793" w:type="dxa"/>
            <w:gridSpan w:val="3"/>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9" w:type="dxa"/>
            <w:vMerge w:val="restart"/>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r>
              <w:rPr>
                <w:rFonts w:hint="eastAsia" w:ascii="仿宋_GB2312" w:hAnsi="Times New Roman" w:eastAsia="仿宋_GB2312"/>
                <w:sz w:val="28"/>
                <w:szCs w:val="28"/>
              </w:rPr>
              <w:t>问题线索对象信息</w:t>
            </w:r>
          </w:p>
        </w:tc>
        <w:tc>
          <w:tcPr>
            <w:tcW w:w="1035" w:type="dxa"/>
            <w:gridSpan w:val="2"/>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r>
              <w:rPr>
                <w:rFonts w:hint="eastAsia" w:ascii="仿宋_GB2312" w:hAnsi="Times New Roman" w:eastAsia="仿宋_GB2312"/>
                <w:sz w:val="28"/>
                <w:szCs w:val="28"/>
              </w:rPr>
              <w:t>姓名</w:t>
            </w:r>
          </w:p>
        </w:tc>
        <w:tc>
          <w:tcPr>
            <w:tcW w:w="2820" w:type="dxa"/>
            <w:gridSpan w:val="2"/>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p>
        </w:tc>
        <w:tc>
          <w:tcPr>
            <w:tcW w:w="1680" w:type="dxa"/>
            <w:gridSpan w:val="3"/>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r>
              <w:rPr>
                <w:rFonts w:hint="eastAsia" w:ascii="仿宋_GB2312" w:hAnsi="Times New Roman" w:eastAsia="仿宋_GB2312"/>
                <w:sz w:val="28"/>
                <w:szCs w:val="28"/>
              </w:rPr>
              <w:t>联系电话</w:t>
            </w:r>
          </w:p>
        </w:tc>
        <w:tc>
          <w:tcPr>
            <w:tcW w:w="1748" w:type="dxa"/>
            <w:gridSpan w:val="2"/>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239" w:type="dxa"/>
            <w:vMerge w:val="continue"/>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p>
        </w:tc>
        <w:tc>
          <w:tcPr>
            <w:tcW w:w="1035" w:type="dxa"/>
            <w:gridSpan w:val="2"/>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r>
              <w:rPr>
                <w:rFonts w:hint="eastAsia" w:ascii="仿宋_GB2312" w:hAnsi="Times New Roman" w:eastAsia="仿宋_GB2312"/>
                <w:sz w:val="28"/>
                <w:szCs w:val="28"/>
              </w:rPr>
              <w:t>地址</w:t>
            </w:r>
          </w:p>
        </w:tc>
        <w:tc>
          <w:tcPr>
            <w:tcW w:w="6248" w:type="dxa"/>
            <w:gridSpan w:val="7"/>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10"/>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r>
              <w:rPr>
                <w:rFonts w:hint="eastAsia" w:ascii="仿宋_GB2312" w:hAnsi="Times New Roman" w:eastAsia="仿宋_GB2312"/>
                <w:sz w:val="28"/>
                <w:szCs w:val="28"/>
              </w:rPr>
              <w:t>问题线索内容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jc w:val="center"/>
        </w:trPr>
        <w:tc>
          <w:tcPr>
            <w:tcW w:w="8522" w:type="dxa"/>
            <w:gridSpan w:val="10"/>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9" w:type="dxa"/>
            <w:vMerge w:val="restart"/>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r>
              <w:rPr>
                <w:rFonts w:hint="eastAsia" w:ascii="仿宋_GB2312" w:hAnsi="Times New Roman" w:eastAsia="仿宋_GB2312"/>
                <w:sz w:val="28"/>
                <w:szCs w:val="28"/>
              </w:rPr>
              <w:t>问题线索来源单位</w:t>
            </w:r>
          </w:p>
        </w:tc>
        <w:tc>
          <w:tcPr>
            <w:tcW w:w="1650" w:type="dxa"/>
            <w:gridSpan w:val="3"/>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r>
              <w:rPr>
                <w:rFonts w:hint="eastAsia" w:ascii="仿宋_GB2312" w:hAnsi="Times New Roman" w:eastAsia="仿宋_GB2312"/>
                <w:sz w:val="28"/>
                <w:szCs w:val="28"/>
              </w:rPr>
              <w:t>上报单位</w:t>
            </w:r>
          </w:p>
        </w:tc>
        <w:tc>
          <w:tcPr>
            <w:tcW w:w="2355" w:type="dxa"/>
            <w:gridSpan w:val="2"/>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p>
        </w:tc>
        <w:tc>
          <w:tcPr>
            <w:tcW w:w="1573" w:type="dxa"/>
            <w:gridSpan w:val="3"/>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r>
              <w:rPr>
                <w:rFonts w:hint="eastAsia" w:ascii="仿宋_GB2312" w:hAnsi="Times New Roman" w:eastAsia="仿宋_GB2312"/>
                <w:sz w:val="28"/>
                <w:szCs w:val="28"/>
              </w:rPr>
              <w:t>上报时间</w:t>
            </w:r>
          </w:p>
        </w:tc>
        <w:tc>
          <w:tcPr>
            <w:tcW w:w="1705" w:type="dxa"/>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9" w:type="dxa"/>
            <w:vMerge w:val="continue"/>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p>
        </w:tc>
        <w:tc>
          <w:tcPr>
            <w:tcW w:w="1650" w:type="dxa"/>
            <w:gridSpan w:val="3"/>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r>
              <w:rPr>
                <w:rFonts w:hint="eastAsia" w:ascii="仿宋_GB2312" w:hAnsi="Times New Roman" w:eastAsia="仿宋_GB2312"/>
                <w:sz w:val="28"/>
                <w:szCs w:val="28"/>
              </w:rPr>
              <w:t>上 报 人</w:t>
            </w:r>
          </w:p>
        </w:tc>
        <w:tc>
          <w:tcPr>
            <w:tcW w:w="2355" w:type="dxa"/>
            <w:gridSpan w:val="2"/>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p>
        </w:tc>
        <w:tc>
          <w:tcPr>
            <w:tcW w:w="1573" w:type="dxa"/>
            <w:gridSpan w:val="3"/>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r>
              <w:rPr>
                <w:rFonts w:hint="eastAsia" w:ascii="仿宋_GB2312" w:hAnsi="Times New Roman" w:eastAsia="仿宋_GB2312"/>
                <w:sz w:val="28"/>
                <w:szCs w:val="28"/>
              </w:rPr>
              <w:t>联系电话</w:t>
            </w:r>
          </w:p>
        </w:tc>
        <w:tc>
          <w:tcPr>
            <w:tcW w:w="1705" w:type="dxa"/>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9" w:type="dxa"/>
            <w:vMerge w:val="continue"/>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p>
        </w:tc>
        <w:tc>
          <w:tcPr>
            <w:tcW w:w="1650" w:type="dxa"/>
            <w:gridSpan w:val="3"/>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r>
              <w:rPr>
                <w:rFonts w:hint="eastAsia" w:ascii="仿宋_GB2312" w:hAnsi="Times New Roman" w:eastAsia="仿宋_GB2312"/>
                <w:sz w:val="28"/>
                <w:szCs w:val="28"/>
              </w:rPr>
              <w:t>办理结果</w:t>
            </w:r>
          </w:p>
        </w:tc>
        <w:tc>
          <w:tcPr>
            <w:tcW w:w="2355" w:type="dxa"/>
            <w:gridSpan w:val="2"/>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p>
        </w:tc>
        <w:tc>
          <w:tcPr>
            <w:tcW w:w="1573" w:type="dxa"/>
            <w:gridSpan w:val="3"/>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r>
              <w:rPr>
                <w:rFonts w:hint="eastAsia" w:ascii="仿宋_GB2312" w:hAnsi="Times New Roman" w:eastAsia="仿宋_GB2312"/>
                <w:sz w:val="28"/>
                <w:szCs w:val="28"/>
              </w:rPr>
              <w:t>移交情况</w:t>
            </w:r>
          </w:p>
        </w:tc>
        <w:tc>
          <w:tcPr>
            <w:tcW w:w="1705" w:type="dxa"/>
            <w:noWrap w:val="0"/>
            <w:vAlign w:val="center"/>
          </w:tcPr>
          <w:p>
            <w:pPr>
              <w:pStyle w:val="4"/>
              <w:widowControl/>
              <w:spacing w:before="0" w:beforeAutospacing="0" w:after="0" w:afterAutospacing="0"/>
              <w:jc w:val="center"/>
              <w:rPr>
                <w:rFonts w:hint="eastAsia" w:ascii="仿宋_GB2312" w:hAnsi="Times New Roman" w:eastAsia="仿宋_GB2312"/>
                <w:sz w:val="28"/>
                <w:szCs w:val="28"/>
              </w:rPr>
            </w:pPr>
          </w:p>
        </w:tc>
      </w:tr>
    </w:tbl>
    <w:p>
      <w:pPr>
        <w:tabs>
          <w:tab w:val="left" w:pos="2322"/>
        </w:tabs>
        <w:jc w:val="left"/>
        <w:rPr>
          <w:rFonts w:hint="eastAsia"/>
        </w:rPr>
      </w:pPr>
      <w:r>
        <w:rPr>
          <w:rFonts w:hint="eastAsia"/>
        </w:rPr>
        <w:t xml:space="preserve"> 填报人：              审核人：           填报时间：</w:t>
      </w:r>
    </w:p>
    <w:p>
      <w:pPr>
        <w:pStyle w:val="4"/>
        <w:widowControl/>
        <w:spacing w:before="0" w:beforeAutospacing="0" w:after="0" w:afterAutospacing="0"/>
        <w:rPr>
          <w:rFonts w:hint="eastAsia" w:ascii="仿宋_GB2312" w:hAnsi="Times New Roman" w:eastAsia="仿宋_GB2312"/>
          <w:szCs w:val="24"/>
        </w:rPr>
      </w:pPr>
      <w:r>
        <w:rPr>
          <w:rFonts w:hint="eastAsia" w:ascii="仿宋_GB2312" w:hAnsi="Times New Roman" w:eastAsia="仿宋_GB2312"/>
          <w:szCs w:val="24"/>
        </w:rPr>
        <w:t>（说明：此清单，在查处建筑用砂违规使用海沙，登记砂生产厂家或供应商信息不真实、弄虚作假等行为，开展溯源倒查时，需填写。提供人主要指发现人或举报人）</w:t>
      </w:r>
    </w:p>
    <w:p>
      <w:pPr>
        <w:rPr>
          <w:rFonts w:hint="eastAsia" w:ascii="仿宋_GB2312"/>
        </w:rPr>
        <w:sectPr>
          <w:headerReference r:id="rId3" w:type="default"/>
          <w:footerReference r:id="rId5" w:type="default"/>
          <w:headerReference r:id="rId4" w:type="even"/>
          <w:footerReference r:id="rId6" w:type="even"/>
          <w:pgSz w:w="11906" w:h="16838"/>
          <w:pgMar w:top="2098" w:right="1474" w:bottom="1985" w:left="1588" w:header="851" w:footer="1588" w:gutter="0"/>
          <w:pgNumType w:fmt="numberInDash"/>
          <w:cols w:space="720" w:num="1"/>
          <w:docGrid w:type="lines" w:linePitch="312" w:charSpace="-849"/>
        </w:sectPr>
      </w:pPr>
    </w:p>
    <w:p>
      <w:pPr>
        <w:rPr>
          <w:rFonts w:hint="eastAsia" w:ascii="黑体" w:hAnsi="黑体" w:eastAsia="黑体" w:cs="黑体"/>
        </w:rPr>
      </w:pPr>
      <w:r>
        <w:rPr>
          <w:rFonts w:hint="eastAsia" w:ascii="黑体" w:hAnsi="黑体" w:eastAsia="黑体" w:cs="黑体"/>
        </w:rPr>
        <w:t>附件3</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施工现场用砂清单及溯源公示一览表</w:t>
      </w:r>
    </w:p>
    <w:tbl>
      <w:tblPr>
        <w:tblStyle w:val="5"/>
        <w:tblW w:w="126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1074"/>
        <w:gridCol w:w="1075"/>
        <w:gridCol w:w="1076"/>
        <w:gridCol w:w="1075"/>
        <w:gridCol w:w="1016"/>
        <w:gridCol w:w="1245"/>
        <w:gridCol w:w="1350"/>
        <w:gridCol w:w="1980"/>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2146" w:type="dxa"/>
            <w:gridSpan w:val="2"/>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r>
              <w:rPr>
                <w:rFonts w:hint="eastAsia" w:ascii="仿宋_GB2312" w:hAnsi="Times New Roman" w:eastAsia="仿宋_GB2312"/>
              </w:rPr>
              <w:t>工程名称</w:t>
            </w:r>
          </w:p>
        </w:tc>
        <w:tc>
          <w:tcPr>
            <w:tcW w:w="4242" w:type="dxa"/>
            <w:gridSpan w:val="4"/>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2595" w:type="dxa"/>
            <w:gridSpan w:val="2"/>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r>
              <w:rPr>
                <w:rFonts w:hint="eastAsia" w:ascii="仿宋_GB2312" w:hAnsi="Times New Roman" w:eastAsia="仿宋_GB2312"/>
              </w:rPr>
              <w:t>施工单位</w:t>
            </w:r>
          </w:p>
        </w:tc>
        <w:tc>
          <w:tcPr>
            <w:tcW w:w="3620" w:type="dxa"/>
            <w:gridSpan w:val="2"/>
            <w:noWrap w:val="0"/>
            <w:vAlign w:val="top"/>
          </w:tcPr>
          <w:p>
            <w:pPr>
              <w:pStyle w:val="4"/>
              <w:adjustRightInd w:val="0"/>
              <w:snapToGrid w:val="0"/>
              <w:spacing w:before="0" w:beforeAutospacing="0" w:after="0" w:afterAutospacing="0"/>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1072"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r>
              <w:rPr>
                <w:rFonts w:hint="eastAsia" w:ascii="仿宋_GB2312" w:hAnsi="Times New Roman" w:eastAsia="仿宋_GB2312"/>
              </w:rPr>
              <w:t>种类</w:t>
            </w:r>
          </w:p>
          <w:p>
            <w:pPr>
              <w:pStyle w:val="4"/>
              <w:adjustRightInd w:val="0"/>
              <w:snapToGrid w:val="0"/>
              <w:spacing w:before="0" w:beforeAutospacing="0" w:after="0" w:afterAutospacing="0"/>
              <w:jc w:val="center"/>
              <w:rPr>
                <w:rFonts w:hint="eastAsia" w:ascii="仿宋_GB2312" w:hAnsi="Times New Roman" w:eastAsia="仿宋_GB2312"/>
              </w:rPr>
            </w:pPr>
            <w:r>
              <w:rPr>
                <w:rFonts w:hint="eastAsia" w:ascii="仿宋_GB2312" w:hAnsi="Times New Roman" w:eastAsia="仿宋_GB2312"/>
              </w:rPr>
              <w:t>名称</w:t>
            </w:r>
          </w:p>
        </w:tc>
        <w:tc>
          <w:tcPr>
            <w:tcW w:w="1074"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r>
              <w:rPr>
                <w:rFonts w:hint="eastAsia" w:ascii="仿宋_GB2312" w:hAnsi="Times New Roman" w:eastAsia="仿宋_GB2312"/>
              </w:rPr>
              <w:t>品种</w:t>
            </w:r>
          </w:p>
        </w:tc>
        <w:tc>
          <w:tcPr>
            <w:tcW w:w="1075"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r>
              <w:rPr>
                <w:rFonts w:hint="eastAsia" w:ascii="仿宋_GB2312" w:hAnsi="Times New Roman" w:eastAsia="仿宋_GB2312"/>
              </w:rPr>
              <w:t>规格</w:t>
            </w:r>
          </w:p>
          <w:p>
            <w:pPr>
              <w:pStyle w:val="4"/>
              <w:adjustRightInd w:val="0"/>
              <w:snapToGrid w:val="0"/>
              <w:spacing w:before="0" w:beforeAutospacing="0" w:after="0" w:afterAutospacing="0"/>
              <w:jc w:val="center"/>
              <w:rPr>
                <w:rFonts w:hint="eastAsia" w:ascii="仿宋_GB2312" w:hAnsi="Times New Roman" w:eastAsia="仿宋_GB2312"/>
              </w:rPr>
            </w:pPr>
            <w:r>
              <w:rPr>
                <w:rFonts w:hint="eastAsia" w:ascii="仿宋_GB2312" w:hAnsi="Times New Roman" w:eastAsia="仿宋_GB2312"/>
              </w:rPr>
              <w:t>型号</w:t>
            </w:r>
          </w:p>
        </w:tc>
        <w:tc>
          <w:tcPr>
            <w:tcW w:w="1076"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r>
              <w:rPr>
                <w:rFonts w:hint="eastAsia" w:ascii="仿宋_GB2312" w:hAnsi="Times New Roman" w:eastAsia="仿宋_GB2312"/>
              </w:rPr>
              <w:t>数量</w:t>
            </w:r>
          </w:p>
          <w:p>
            <w:pPr>
              <w:pStyle w:val="4"/>
              <w:adjustRightInd w:val="0"/>
              <w:snapToGrid w:val="0"/>
              <w:spacing w:before="0" w:beforeAutospacing="0" w:after="0" w:afterAutospacing="0"/>
              <w:jc w:val="center"/>
              <w:rPr>
                <w:rFonts w:hint="eastAsia" w:ascii="仿宋_GB2312" w:hAnsi="Times New Roman" w:eastAsia="仿宋_GB2312"/>
              </w:rPr>
            </w:pPr>
            <w:r>
              <w:rPr>
                <w:rFonts w:hint="eastAsia" w:ascii="仿宋_GB2312" w:hAnsi="Times New Roman" w:eastAsia="仿宋_GB2312"/>
              </w:rPr>
              <w:t>（立方米）</w:t>
            </w:r>
          </w:p>
        </w:tc>
        <w:tc>
          <w:tcPr>
            <w:tcW w:w="1075"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r>
              <w:rPr>
                <w:rFonts w:hint="eastAsia" w:ascii="仿宋_GB2312" w:hAnsi="Times New Roman" w:eastAsia="仿宋_GB2312"/>
              </w:rPr>
              <w:t>使用</w:t>
            </w:r>
          </w:p>
          <w:p>
            <w:pPr>
              <w:pStyle w:val="4"/>
              <w:adjustRightInd w:val="0"/>
              <w:snapToGrid w:val="0"/>
              <w:spacing w:before="0" w:beforeAutospacing="0" w:after="0" w:afterAutospacing="0"/>
              <w:jc w:val="center"/>
              <w:rPr>
                <w:rFonts w:hint="eastAsia" w:ascii="仿宋_GB2312" w:hAnsi="Times New Roman" w:eastAsia="仿宋_GB2312"/>
              </w:rPr>
            </w:pPr>
            <w:r>
              <w:rPr>
                <w:rFonts w:hint="eastAsia" w:ascii="仿宋_GB2312" w:hAnsi="Times New Roman" w:eastAsia="仿宋_GB2312"/>
              </w:rPr>
              <w:t>部位</w:t>
            </w:r>
          </w:p>
        </w:tc>
        <w:tc>
          <w:tcPr>
            <w:tcW w:w="1016"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r>
              <w:rPr>
                <w:rFonts w:hint="eastAsia" w:ascii="仿宋_GB2312" w:hAnsi="Times New Roman" w:eastAsia="仿宋_GB2312"/>
              </w:rPr>
              <w:t>进场</w:t>
            </w:r>
          </w:p>
          <w:p>
            <w:pPr>
              <w:pStyle w:val="4"/>
              <w:adjustRightInd w:val="0"/>
              <w:snapToGrid w:val="0"/>
              <w:spacing w:before="0" w:beforeAutospacing="0" w:after="0" w:afterAutospacing="0"/>
              <w:jc w:val="center"/>
              <w:rPr>
                <w:rFonts w:hint="eastAsia" w:ascii="仿宋_GB2312" w:hAnsi="Times New Roman" w:eastAsia="仿宋_GB2312"/>
              </w:rPr>
            </w:pPr>
            <w:r>
              <w:rPr>
                <w:rFonts w:hint="eastAsia" w:ascii="仿宋_GB2312" w:hAnsi="Times New Roman" w:eastAsia="仿宋_GB2312"/>
              </w:rPr>
              <w:t>日期</w:t>
            </w:r>
          </w:p>
        </w:tc>
        <w:tc>
          <w:tcPr>
            <w:tcW w:w="1245"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r>
              <w:rPr>
                <w:rFonts w:hint="eastAsia" w:ascii="仿宋_GB2312" w:hAnsi="Times New Roman" w:eastAsia="仿宋_GB2312"/>
              </w:rPr>
              <w:t>是否</w:t>
            </w:r>
          </w:p>
          <w:p>
            <w:pPr>
              <w:pStyle w:val="4"/>
              <w:adjustRightInd w:val="0"/>
              <w:snapToGrid w:val="0"/>
              <w:spacing w:before="0" w:beforeAutospacing="0" w:after="0" w:afterAutospacing="0"/>
              <w:jc w:val="center"/>
              <w:rPr>
                <w:rFonts w:hint="eastAsia" w:ascii="仿宋_GB2312" w:hAnsi="Times New Roman" w:eastAsia="仿宋_GB2312"/>
              </w:rPr>
            </w:pPr>
            <w:r>
              <w:rPr>
                <w:rFonts w:hint="eastAsia" w:ascii="仿宋_GB2312" w:hAnsi="Times New Roman" w:eastAsia="仿宋_GB2312"/>
              </w:rPr>
              <w:t>甲供</w:t>
            </w:r>
          </w:p>
        </w:tc>
        <w:tc>
          <w:tcPr>
            <w:tcW w:w="1350" w:type="dxa"/>
            <w:noWrap w:val="0"/>
            <w:vAlign w:val="center"/>
          </w:tcPr>
          <w:p>
            <w:pPr>
              <w:pStyle w:val="4"/>
              <w:adjustRightInd w:val="0"/>
              <w:snapToGrid w:val="0"/>
              <w:spacing w:before="0" w:beforeAutospacing="0" w:after="0" w:afterAutospacing="0"/>
              <w:rPr>
                <w:rFonts w:hint="eastAsia" w:ascii="仿宋_GB2312" w:hAnsi="Times New Roman" w:eastAsia="仿宋_GB2312"/>
              </w:rPr>
            </w:pPr>
            <w:r>
              <w:rPr>
                <w:rFonts w:hint="eastAsia" w:ascii="仿宋_GB2312" w:hAnsi="Times New Roman" w:eastAsia="仿宋_GB2312"/>
              </w:rPr>
              <w:t>生产厂家（供应商）</w:t>
            </w:r>
          </w:p>
        </w:tc>
        <w:tc>
          <w:tcPr>
            <w:tcW w:w="1980"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r>
              <w:rPr>
                <w:rFonts w:hint="eastAsia" w:ascii="仿宋_GB2312" w:hAnsi="Times New Roman" w:eastAsia="仿宋_GB2312"/>
              </w:rPr>
              <w:t>生产厂家</w:t>
            </w:r>
          </w:p>
          <w:p>
            <w:pPr>
              <w:pStyle w:val="4"/>
              <w:adjustRightInd w:val="0"/>
              <w:snapToGrid w:val="0"/>
              <w:spacing w:before="0" w:beforeAutospacing="0" w:after="0" w:afterAutospacing="0"/>
              <w:jc w:val="center"/>
              <w:rPr>
                <w:rFonts w:hint="eastAsia" w:ascii="仿宋_GB2312" w:hAnsi="Times New Roman" w:eastAsia="仿宋_GB2312"/>
              </w:rPr>
            </w:pPr>
            <w:r>
              <w:rPr>
                <w:rFonts w:hint="eastAsia" w:ascii="仿宋_GB2312" w:hAnsi="Times New Roman" w:eastAsia="仿宋_GB2312"/>
              </w:rPr>
              <w:t>（供应商）及</w:t>
            </w:r>
          </w:p>
          <w:p>
            <w:pPr>
              <w:pStyle w:val="4"/>
              <w:adjustRightInd w:val="0"/>
              <w:snapToGrid w:val="0"/>
              <w:spacing w:before="0" w:beforeAutospacing="0" w:after="0" w:afterAutospacing="0"/>
              <w:jc w:val="center"/>
              <w:rPr>
                <w:rFonts w:hint="eastAsia" w:ascii="仿宋_GB2312" w:hAnsi="Times New Roman" w:eastAsia="仿宋_GB2312"/>
              </w:rPr>
            </w:pPr>
            <w:r>
              <w:rPr>
                <w:rFonts w:hint="eastAsia" w:ascii="仿宋_GB2312" w:hAnsi="Times New Roman" w:eastAsia="仿宋_GB2312"/>
              </w:rPr>
              <w:t>联系电话</w:t>
            </w:r>
          </w:p>
        </w:tc>
        <w:tc>
          <w:tcPr>
            <w:tcW w:w="1640"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r>
              <w:rPr>
                <w:rFonts w:hint="eastAsia" w:ascii="仿宋_GB2312" w:hAnsi="Times New Roman"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1072"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074"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075"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076"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075"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016"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245"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350"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980"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640"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1072"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074"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075"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076"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075"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016"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245"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350"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980"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640"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1072"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074"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075"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076"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075"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016"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245"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350"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980"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640"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1072"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074"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075"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076"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075"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016"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245"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350"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980"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c>
          <w:tcPr>
            <w:tcW w:w="1640" w:type="dxa"/>
            <w:noWrap w:val="0"/>
            <w:vAlign w:val="center"/>
          </w:tcPr>
          <w:p>
            <w:pPr>
              <w:pStyle w:val="4"/>
              <w:adjustRightInd w:val="0"/>
              <w:snapToGrid w:val="0"/>
              <w:spacing w:before="0" w:beforeAutospacing="0" w:after="0" w:afterAutospacing="0"/>
              <w:jc w:val="center"/>
              <w:rPr>
                <w:rFonts w:hint="eastAsia" w:ascii="仿宋_GB2312" w:hAnsi="Times New Roman" w:eastAsia="仿宋_GB2312"/>
              </w:rPr>
            </w:pPr>
          </w:p>
        </w:tc>
      </w:tr>
    </w:tbl>
    <w:p>
      <w:pPr>
        <w:tabs>
          <w:tab w:val="left" w:pos="2834"/>
        </w:tabs>
        <w:jc w:val="left"/>
        <w:rPr>
          <w:rFonts w:hint="eastAsia"/>
        </w:rPr>
      </w:pPr>
      <w:r>
        <w:rPr>
          <w:rFonts w:hint="eastAsia"/>
        </w:rPr>
        <w:t>　　</w:t>
      </w:r>
    </w:p>
    <w:p>
      <w:pPr>
        <w:tabs>
          <w:tab w:val="left" w:pos="2834"/>
        </w:tabs>
        <w:jc w:val="left"/>
        <w:rPr>
          <w:rFonts w:hint="eastAsia"/>
        </w:rPr>
        <w:sectPr>
          <w:pgSz w:w="16838" w:h="11906" w:orient="landscape"/>
          <w:pgMar w:top="1588" w:right="2098" w:bottom="1474" w:left="1985" w:header="851" w:footer="1588" w:gutter="0"/>
          <w:pgNumType w:fmt="numberInDash"/>
          <w:cols w:space="720" w:num="1"/>
          <w:docGrid w:type="lines" w:linePitch="312" w:charSpace="-849"/>
        </w:sectPr>
      </w:pPr>
      <w:r>
        <w:rPr>
          <w:rFonts w:hint="eastAsia"/>
        </w:rPr>
        <w:t>项目经理：                                   监理工程师：</w:t>
      </w:r>
      <w:r>
        <w:rPr>
          <w:rFonts w:hint="eastAsia"/>
        </w:rPr>
        <w:tab/>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C69FF"/>
    <w:rsid w:val="5D3C6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宋体"/>
      <w:kern w:val="2"/>
      <w:sz w:val="31"/>
      <w:szCs w:val="31"/>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Lines="0" w:beforeAutospacing="1" w:after="100" w:afterLines="0" w:afterAutospacing="1"/>
    </w:pPr>
    <w:rPr>
      <w:rFonts w:ascii="宋体" w:hAnsi="Calibri" w:eastAsia="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2019-04-24T09:14:00Z</dcterms:created>
  <dc:creator>芳</dc:creator>
  <cp:lastModifiedBy>芳</cp:lastModifiedBy>
  <dcterms:modified xsi:type="dcterms:W3CDTF">2019-04-24T09:15:02Z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