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明溪县</w:t>
      </w:r>
      <w:r>
        <w:rPr>
          <w:rFonts w:ascii="方正小标宋简体" w:eastAsia="方正小标宋简体"/>
          <w:color w:val="auto"/>
          <w:sz w:val="36"/>
          <w:szCs w:val="36"/>
        </w:rPr>
        <w:t>房屋建筑和市政基础设施工程领域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在建项目拖欠工程款及农民工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工资问题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常态化</w:t>
      </w:r>
      <w:r>
        <w:rPr>
          <w:rFonts w:ascii="方正小标宋简体" w:eastAsia="方正小标宋简体"/>
          <w:color w:val="auto"/>
          <w:sz w:val="36"/>
          <w:szCs w:val="36"/>
        </w:rPr>
        <w:t>整治方案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color w:val="auto"/>
          <w:sz w:val="32"/>
          <w:szCs w:val="32"/>
        </w:rPr>
        <w:t>为深化巩固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点题整治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工作成效，常态化推进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在建工程项目拖欠工程款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农民工工资问题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整治，进一步维护企业和农民工合法权益。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eastAsia="仿宋_GB2312" w:cs="Times New Roman"/>
          <w:color w:val="auto"/>
          <w:sz w:val="32"/>
          <w:szCs w:val="32"/>
          <w:lang w:eastAsia="zh-CN"/>
        </w:rPr>
        <w:t>《中共三明市纪委办公室关于加强日常监督推动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仿宋_GB2312" w:eastAsia="仿宋_GB2312" w:cs="Times New Roman"/>
          <w:color w:val="auto"/>
          <w:sz w:val="32"/>
          <w:szCs w:val="32"/>
        </w:rPr>
        <w:t>点题整治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仿宋_GB2312" w:eastAsia="仿宋_GB2312" w:cs="Times New Roman"/>
          <w:color w:val="auto"/>
          <w:sz w:val="32"/>
          <w:szCs w:val="32"/>
          <w:lang w:eastAsia="zh-CN"/>
        </w:rPr>
        <w:t>工作常态化的实施方案》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（明纪办</w:t>
      </w:r>
      <w:r>
        <w:rPr>
          <w:rFonts w:hint="default" w:ascii="仿宋_GB2312" w:eastAsia="仿宋_GB2312"/>
          <w:color w:val="auto"/>
          <w:sz w:val="32"/>
          <w:szCs w:val="32"/>
        </w:rPr>
        <w:t>〔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2022</w:t>
      </w:r>
      <w:r>
        <w:rPr>
          <w:rFonts w:hint="default" w:ascii="仿宋_GB2312" w:eastAsia="仿宋_GB2312"/>
          <w:color w:val="auto"/>
          <w:sz w:val="32"/>
          <w:szCs w:val="32"/>
        </w:rPr>
        <w:t>〕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8号）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《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eastAsia="zh-CN"/>
        </w:rPr>
        <w:t>中共明溪县纪委办公室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关于加强日常监督推动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仿宋_GB2312" w:eastAsia="仿宋_GB2312" w:cs="Times New Roman"/>
          <w:color w:val="auto"/>
          <w:sz w:val="32"/>
          <w:szCs w:val="32"/>
        </w:rPr>
        <w:t>点题整治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工作常态化的实施方案》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</w:rPr>
        <w:t>明纪办〔202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color w:val="auto"/>
          <w:sz w:val="32"/>
          <w:szCs w:val="32"/>
        </w:rPr>
        <w:t>〕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color w:val="auto"/>
          <w:sz w:val="32"/>
          <w:szCs w:val="32"/>
        </w:rPr>
        <w:t>号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有关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文件精神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制定本工作方案。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Style w:val="9"/>
          <w:rFonts w:ascii="黑体" w:hAnsi="黑体" w:eastAsia="黑体"/>
          <w:b w:val="0"/>
          <w:bCs/>
          <w:color w:val="auto"/>
          <w:kern w:val="2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color w:val="auto"/>
        </w:rPr>
      </w:pPr>
      <w:r>
        <w:rPr>
          <w:rFonts w:ascii="仿宋_GB2312" w:eastAsia="仿宋_GB2312"/>
          <w:color w:val="auto"/>
          <w:sz w:val="32"/>
          <w:szCs w:val="32"/>
        </w:rPr>
        <w:t>以在建的政府投资工程项目、国企项目为重点，发现一批欠薪欠款案件，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常态化整治</w:t>
      </w:r>
      <w:r>
        <w:rPr>
          <w:rFonts w:ascii="仿宋_GB2312" w:eastAsia="仿宋_GB2312"/>
          <w:color w:val="auto"/>
          <w:sz w:val="32"/>
          <w:szCs w:val="32"/>
        </w:rPr>
        <w:t>欠薪欠款违法违规行为，净化建筑市场环境，进一步维护建筑企业和建筑农民工合法权益。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整治重点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（一）</w:t>
      </w:r>
      <w:r>
        <w:rPr>
          <w:rFonts w:ascii="仿宋_GB2312" w:eastAsia="仿宋_GB2312"/>
          <w:color w:val="auto"/>
          <w:sz w:val="32"/>
          <w:szCs w:val="32"/>
        </w:rPr>
        <w:t>建设单位未向施工承包单位提供工程款支付担保；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（二）</w:t>
      </w:r>
      <w:r>
        <w:rPr>
          <w:rFonts w:ascii="仿宋_GB2312" w:eastAsia="仿宋_GB2312"/>
          <w:color w:val="auto"/>
          <w:sz w:val="32"/>
          <w:szCs w:val="32"/>
        </w:rPr>
        <w:t>政府投资项目所需资金未落实到位，要求施工单位垫资建设；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（三）</w:t>
      </w:r>
      <w:r>
        <w:rPr>
          <w:rFonts w:ascii="仿宋_GB2312" w:eastAsia="仿宋_GB2312"/>
          <w:color w:val="auto"/>
          <w:sz w:val="32"/>
          <w:szCs w:val="32"/>
        </w:rPr>
        <w:t>建设单位未按照合同约定，按时足额支付工程款；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（四）</w:t>
      </w:r>
      <w:r>
        <w:rPr>
          <w:rFonts w:ascii="仿宋_GB2312" w:eastAsia="仿宋_GB2312"/>
          <w:color w:val="auto"/>
          <w:sz w:val="32"/>
          <w:szCs w:val="32"/>
        </w:rPr>
        <w:t>建设单位以等待竣工验收批复、决算审计等为由，拒绝或者迟延支付工程款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，或以商业汇票等形式支付工程款；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（五）</w:t>
      </w:r>
      <w:r>
        <w:rPr>
          <w:rFonts w:ascii="仿宋_GB2312" w:eastAsia="仿宋_GB2312"/>
          <w:bCs/>
          <w:color w:val="auto"/>
          <w:sz w:val="32"/>
          <w:szCs w:val="32"/>
        </w:rPr>
        <w:t>施工总承包单位未落实工资保证金制度；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（六）</w:t>
      </w:r>
      <w:r>
        <w:rPr>
          <w:rFonts w:ascii="仿宋_GB2312" w:hAnsi="Times New Roman" w:eastAsia="仿宋_GB2312"/>
          <w:bCs/>
          <w:color w:val="auto"/>
          <w:sz w:val="32"/>
          <w:szCs w:val="32"/>
        </w:rPr>
        <w:t>施工总承包单位未落实农民工工资专用账户制度；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（七）</w:t>
      </w:r>
      <w:r>
        <w:rPr>
          <w:rFonts w:ascii="仿宋_GB2312" w:eastAsia="仿宋_GB2312"/>
          <w:color w:val="auto"/>
          <w:sz w:val="32"/>
          <w:szCs w:val="32"/>
        </w:rPr>
        <w:t>施工单位未按时足额支付农民工工资。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420" w:leftChars="200" w:firstLine="320" w:firstLineChars="100"/>
        <w:textAlignment w:val="auto"/>
        <w:rPr>
          <w:rFonts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auto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持续开展排查整治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住建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每季度到一线走访排查、督导检查</w:t>
      </w:r>
      <w:r>
        <w:rPr>
          <w:rFonts w:ascii="仿宋_GB2312" w:eastAsia="仿宋_GB2312"/>
          <w:color w:val="auto"/>
          <w:sz w:val="32"/>
          <w:szCs w:val="32"/>
        </w:rPr>
        <w:t>，将排查摸底问题清单分解移送有关部门。对国有企业项目拖欠工程款的，国有资产监督管理部门加强督促、指导国有企业按合同及时偿还拖欠的工程款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对工程项目存在拖欠农民工工资的，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依法依规予以查处；对因违法发包、转包、违法分包、挂靠、拖欠工程款等导致的拖欠农民工工资案件，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住建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及时督办，并对违法行为依法予以严肃查处，按规定纳入信用评价。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住建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局继续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跟踪指导2个施工过程结算试点项目，总结推广成熟经验。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住建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定期对工作进展进行通报点评、指导调度，每季度通过联席会、推进会等共同会商解决困难、问题，合力推动整治工作。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10" w:rightChars="10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（责任单位：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住建</w:t>
      </w:r>
      <w:r>
        <w:rPr>
          <w:rFonts w:hint="eastAsia" w:ascii="仿宋_GB2312" w:eastAsia="仿宋_GB2312"/>
          <w:color w:val="auto"/>
          <w:sz w:val="32"/>
          <w:szCs w:val="32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pacing w:val="0"/>
          <w:sz w:val="32"/>
          <w:szCs w:val="32"/>
          <w:lang w:eastAsia="zh-CN"/>
        </w:rPr>
        <w:t>县国资中心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完成时限：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次季度首月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10日前</w:t>
      </w:r>
      <w:r>
        <w:rPr>
          <w:rFonts w:ascii="仿宋_GB2312" w:eastAsia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持续推动问题整改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及时办理群众留言和投诉举报，</w:t>
      </w:r>
      <w:r>
        <w:rPr>
          <w:rFonts w:ascii="仿宋_GB2312" w:eastAsia="仿宋_GB2312"/>
          <w:color w:val="auto"/>
          <w:sz w:val="32"/>
          <w:szCs w:val="32"/>
        </w:rPr>
        <w:t>结合投诉举报线索，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重点排查整治被举报投诉项目，重点摸排跟踪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2021年来发生过欠款欠薪的项目和有发生过欠款欠薪行为的建设单位、施工单位，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对已整改的问题，组织开展“回头看”，巩固整改成果。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（责任单位：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住建</w:t>
      </w:r>
      <w:r>
        <w:rPr>
          <w:rFonts w:hint="eastAsia" w:ascii="仿宋_GB2312" w:eastAsia="仿宋_GB2312"/>
          <w:color w:val="auto"/>
          <w:sz w:val="32"/>
          <w:szCs w:val="32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完成时限：</w:t>
      </w:r>
      <w:r>
        <w:rPr>
          <w:rFonts w:ascii="仿宋_GB2312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年</w:t>
      </w:r>
      <w:r>
        <w:rPr>
          <w:rFonts w:ascii="仿宋_GB2312" w:eastAsia="仿宋_GB2312" w:cs="Times New Roman"/>
          <w:color w:val="auto"/>
          <w:sz w:val="32"/>
          <w:szCs w:val="32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color w:val="auto"/>
          <w:sz w:val="32"/>
          <w:szCs w:val="32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持续抓好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建章立制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加强工程项目招标条件审核，将项目资金落实情况作为招标必备条件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严禁要求企业带资承包政府工程项目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全面落实施工过程结算制度和工程款支付担保制度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全面推进建筑劳务实名信息化管理。完善社会信用体系，对出现严重拖欠问题的失信主体，将相关信息推送至省公共信用信息平台在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ascii="仿宋_GB2312" w:eastAsia="仿宋_GB2312"/>
          <w:color w:val="auto"/>
          <w:sz w:val="32"/>
          <w:szCs w:val="32"/>
        </w:rPr>
        <w:t>信用中国（福建）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ascii="仿宋_GB2312" w:eastAsia="仿宋_GB2312"/>
          <w:color w:val="auto"/>
          <w:sz w:val="32"/>
          <w:szCs w:val="32"/>
        </w:rPr>
        <w:t>予以曝光，并实施联合惩戒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对在整治过程中发现的行业性、普遍性、政策性等问题，深入剖析原因，深化改革举措，建立标本兼治的长效机制。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320" w:firstLineChars="1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（责任单位：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住建</w:t>
      </w:r>
      <w:r>
        <w:rPr>
          <w:rFonts w:hint="eastAsia" w:ascii="仿宋_GB2312" w:eastAsia="仿宋_GB2312"/>
          <w:color w:val="auto"/>
          <w:sz w:val="32"/>
          <w:szCs w:val="32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完成时限：长期）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Style w:val="9"/>
          <w:rFonts w:ascii="Calibri" w:hAnsi="Calibri" w:eastAsia="黑体"/>
          <w:b w:val="0"/>
          <w:bCs/>
          <w:color w:val="auto"/>
        </w:rPr>
      </w:pPr>
      <w:r>
        <w:rPr>
          <w:rStyle w:val="9"/>
          <w:rFonts w:ascii="黑体" w:hAnsi="黑体" w:eastAsia="黑体"/>
          <w:b w:val="0"/>
          <w:bCs/>
          <w:color w:val="auto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3" w:firstLineChars="200"/>
        <w:textAlignment w:val="auto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（一）强化组织保障。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定期召开会议专题研究整治工作，围绕工作重点，细化工作举措，明确责任分工。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）加强部门协作。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  <w:szCs w:val="32"/>
        </w:rPr>
        <w:t>住</w:t>
      </w:r>
      <w:r>
        <w:rPr>
          <w:rFonts w:ascii="仿宋_GB2312" w:eastAsia="仿宋_GB2312"/>
          <w:color w:val="auto"/>
          <w:sz w:val="32"/>
          <w:szCs w:val="32"/>
        </w:rPr>
        <w:t>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局要</w:t>
      </w:r>
      <w:r>
        <w:rPr>
          <w:rFonts w:ascii="仿宋_GB2312" w:eastAsia="仿宋_GB2312"/>
          <w:color w:val="auto"/>
          <w:sz w:val="32"/>
          <w:szCs w:val="32"/>
        </w:rPr>
        <w:t>进一步畅通举报投诉渠道，公示投诉举报电话，提供高效便捷的维权服务。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在各施工现场醒目位置设立农民工维权告示牌，公布投诉电话，并附上“欠薪投诉二维码”。</w:t>
      </w:r>
      <w:r>
        <w:rPr>
          <w:rFonts w:ascii="仿宋_GB2312" w:eastAsia="仿宋_GB2312"/>
          <w:color w:val="auto"/>
          <w:sz w:val="32"/>
          <w:szCs w:val="32"/>
        </w:rPr>
        <w:t>加强与相关部门的协作配合，共享恶意欠薪欠款市场主体信息，实施失信联合惩戒。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动态通报进展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  <w:szCs w:val="32"/>
        </w:rPr>
        <w:t>住</w:t>
      </w:r>
      <w:r>
        <w:rPr>
          <w:rFonts w:ascii="仿宋_GB2312" w:eastAsia="仿宋_GB2312"/>
          <w:color w:val="auto"/>
          <w:sz w:val="32"/>
          <w:szCs w:val="32"/>
        </w:rPr>
        <w:t>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</w:t>
      </w:r>
      <w:r>
        <w:rPr>
          <w:rFonts w:ascii="仿宋_GB2312" w:eastAsia="仿宋_GB2312"/>
          <w:color w:val="auto"/>
          <w:sz w:val="32"/>
          <w:szCs w:val="32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局要</w:t>
      </w:r>
      <w:r>
        <w:rPr>
          <w:rFonts w:ascii="仿宋_GB2312" w:eastAsia="仿宋_GB2312"/>
          <w:color w:val="auto"/>
          <w:sz w:val="32"/>
          <w:szCs w:val="32"/>
        </w:rPr>
        <w:t>及时收集汇总工作进展情况，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利用报纸、微信公众号、网站等广泛宣传，每半年动态通报阶段性整治成果和执法查处的典型案例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F5AD2"/>
    <w:multiLevelType w:val="multilevel"/>
    <w:tmpl w:val="22EF5AD2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0F78"/>
    <w:rsid w:val="50F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6"/>
    <w:next w:val="1"/>
    <w:qFormat/>
    <w:uiPriority w:val="0"/>
    <w:pPr>
      <w:widowControl w:val="0"/>
      <w:spacing w:before="0" w:beforeLines="0" w:after="0" w:afterLines="0" w:line="595" w:lineRule="atLeast"/>
      <w:ind w:left="2100" w:right="0" w:firstLine="0"/>
      <w:jc w:val="both"/>
      <w:textAlignment w:val="bottom"/>
    </w:pPr>
    <w:rPr>
      <w:rFonts w:ascii="Times New Roman" w:hAnsi="Times New Roman" w:eastAsia="宋体" w:cs="Times New Roman"/>
      <w:color w:val="000000"/>
      <w:spacing w:val="0"/>
      <w:w w:val="100"/>
      <w:sz w:val="21"/>
      <w:szCs w:val="21"/>
      <w:vertAlign w:val="baseline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5"/>
    <w:qFormat/>
    <w:uiPriority w:val="0"/>
    <w:pPr>
      <w:widowControl/>
      <w:jc w:val="left"/>
    </w:pPr>
    <w:rPr>
      <w:rFonts w:ascii="宋体"/>
      <w:kern w:val="0"/>
      <w:sz w:val="24"/>
      <w:szCs w:val="24"/>
    </w:rPr>
  </w:style>
  <w:style w:type="character" w:customStyle="1" w:styleId="9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0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2022-03-31T01:59:00Z</dcterms:created>
  <dc:creator>芳</dc:creator>
  <cp:lastModifiedBy>芳</cp:lastModifiedBy>
  <dcterms:modified xsi:type="dcterms:W3CDTF">2022-03-31T02:01:53Z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E7A58A5D399C4413A87832F5972226EA</vt:lpwstr>
  </property>
</Properties>
</file>