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73"/>
        <w:gridCol w:w="1720"/>
        <w:gridCol w:w="1280"/>
        <w:gridCol w:w="1420"/>
        <w:gridCol w:w="1380"/>
        <w:gridCol w:w="1380"/>
        <w:gridCol w:w="1520"/>
        <w:gridCol w:w="166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明溪县财政投资项目对外委托评审付费标准表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费率：‰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付费项目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付费基数</w:t>
            </w:r>
          </w:p>
        </w:tc>
        <w:tc>
          <w:tcPr>
            <w:tcW w:w="10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分档累进计费标准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500万元  以内（含）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500-1000  万元（含）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1000-2000万元（含）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2000-5000万元（含）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5000-10000 万元（含）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10000-30000 万元（含）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30000        万元以上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工程预算、控制价审核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送审工程造价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工程结算审核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送审工程造价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1.50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增加费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核减金额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</w:tbl>
    <w:p>
      <w:pPr>
        <w:adjustRightInd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注：1.工程预算、控制价审核未审核工程量的，其付费按本表标准的50%计取；</w:t>
      </w:r>
    </w:p>
    <w:p>
      <w:pPr>
        <w:adjustRightInd w:val="0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2.钢筋抽筋计算审核付费包含在相应付费项目内，不再另行计费；</w:t>
      </w:r>
    </w:p>
    <w:p>
      <w:pPr>
        <w:adjustRightInd w:val="0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3.本办法中的付费标准或计费费率均为最高限价。预算、结算项目单项委托评审付费标准起点最低分别为0.15万元、0.25万元， </w:t>
      </w:r>
    </w:p>
    <w:p>
      <w:r>
        <w:rPr>
          <w:rFonts w:hint="eastAsia" w:ascii="宋体" w:hAnsi="宋体" w:cs="宋体"/>
          <w:kern w:val="0"/>
          <w:sz w:val="24"/>
        </w:rPr>
        <w:t xml:space="preserve">  计费不足最低标准的，按最低标准付费。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mNmOGNkMDk5NzIxYzE0ZjY1N2QxZjYzODU2MDIifQ=="/>
  </w:docVars>
  <w:rsids>
    <w:rsidRoot w:val="6AF70A91"/>
    <w:rsid w:val="6AF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2023-10-27T07:47:00Z</dcterms:created>
  <dc:creator>羊羊</dc:creator>
  <cp:lastModifiedBy>羊羊</cp:lastModifiedBy>
  <dcterms:modified xsi:type="dcterms:W3CDTF">2023-10-27T07:47:31Z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9C4DD2CF781647A4B8C365B09166B6DE_11</vt:lpwstr>
  </property>
</Properties>
</file>