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附件1：</w:t>
      </w:r>
    </w:p>
    <w:p>
      <w:pPr>
        <w:spacing w:line="560" w:lineRule="exact"/>
        <w:rPr>
          <w:rFonts w:ascii="黑体" w:hAnsi="黑体" w:eastAsia="黑体" w:cs="楷体_GB2312"/>
          <w:sz w:val="44"/>
          <w:szCs w:val="44"/>
        </w:rPr>
      </w:pPr>
      <w:r>
        <w:rPr>
          <w:rFonts w:hint="eastAsia" w:eastAsia="楷体_GB2312" w:cs="楷体_GB2312"/>
          <w:sz w:val="36"/>
          <w:szCs w:val="36"/>
        </w:rPr>
        <w:t xml:space="preserve">                 </w:t>
      </w:r>
      <w:r>
        <w:rPr>
          <w:rFonts w:hint="eastAsia" w:ascii="黑体" w:hAnsi="黑体" w:eastAsia="黑体" w:cs="楷体_GB2312"/>
          <w:sz w:val="44"/>
          <w:szCs w:val="44"/>
        </w:rPr>
        <w:t xml:space="preserve">   全县“三合一”场所基本情况登记表</w:t>
      </w:r>
    </w:p>
    <w:tbl>
      <w:tblPr>
        <w:tblStyle w:val="2"/>
        <w:tblW w:w="145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785"/>
        <w:gridCol w:w="2445"/>
        <w:gridCol w:w="840"/>
        <w:gridCol w:w="810"/>
        <w:gridCol w:w="660"/>
        <w:gridCol w:w="1035"/>
        <w:gridCol w:w="720"/>
        <w:gridCol w:w="720"/>
        <w:gridCol w:w="1650"/>
        <w:gridCol w:w="2560"/>
        <w:gridCol w:w="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505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时间：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场所使用性质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上级主管部门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建筑结构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场所所在建筑层数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建筑面积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住宿人数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存在隐患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整改措施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eastAsia="楷体_GB2312" w:cs="楷体_GB2312"/>
          <w:sz w:val="21"/>
          <w:szCs w:val="21"/>
        </w:rPr>
      </w:pPr>
    </w:p>
    <w:p>
      <w:pPr>
        <w:spacing w:line="560" w:lineRule="exact"/>
        <w:rPr>
          <w:rFonts w:eastAsia="楷体_GB2312" w:cs="楷体_GB2312"/>
          <w:sz w:val="21"/>
          <w:szCs w:val="21"/>
        </w:rPr>
      </w:pPr>
      <w:bookmarkStart w:id="0" w:name="_GoBack"/>
      <w:bookmarkEnd w:id="0"/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附件2：                   </w:t>
      </w:r>
    </w:p>
    <w:p>
      <w:pPr>
        <w:spacing w:line="560" w:lineRule="exact"/>
        <w:jc w:val="center"/>
        <w:rPr>
          <w:rFonts w:ascii="黑体" w:hAnsi="黑体" w:eastAsia="黑体" w:cs="楷体_GB2312"/>
          <w:sz w:val="44"/>
          <w:szCs w:val="44"/>
        </w:rPr>
      </w:pPr>
      <w:r>
        <w:rPr>
          <w:rFonts w:hint="eastAsia" w:ascii="黑体" w:hAnsi="黑体" w:eastAsia="黑体" w:cs="楷体_GB2312"/>
          <w:sz w:val="44"/>
          <w:szCs w:val="44"/>
        </w:rPr>
        <w:t>全县“三合一”场所整治情况汇总表</w:t>
      </w:r>
    </w:p>
    <w:tbl>
      <w:tblPr>
        <w:tblStyle w:val="2"/>
        <w:tblW w:w="146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1965"/>
        <w:gridCol w:w="2175"/>
        <w:gridCol w:w="2625"/>
        <w:gridCol w:w="4065"/>
        <w:gridCol w:w="2175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时间：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存在隐患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整改情况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增设消防设施、器材名称（数量）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jc w:val="center"/>
        <w:rPr>
          <w:rFonts w:eastAsia="黑体"/>
          <w:bCs/>
          <w:color w:val="000000"/>
          <w:kern w:val="0"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4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附件3：</w:t>
      </w:r>
    </w:p>
    <w:p>
      <w:pPr>
        <w:spacing w:line="400" w:lineRule="exact"/>
        <w:rPr>
          <w:rFonts w:ascii="黑体" w:hAnsi="黑体" w:eastAsia="黑体" w:cs="黑体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4"/>
        <w:spacing w:line="6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专项安全检查行动组成员名单</w:t>
      </w:r>
    </w:p>
    <w:p>
      <w:pPr>
        <w:spacing w:line="240" w:lineRule="exact"/>
        <w:rPr>
          <w:rFonts w:ascii="仿宋_GB2312" w:eastAsia="仿宋_GB2312" w:cs="仿宋"/>
          <w:color w:val="000000"/>
        </w:rPr>
      </w:pPr>
    </w:p>
    <w:tbl>
      <w:tblPr>
        <w:tblStyle w:val="2"/>
        <w:tblW w:w="8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018"/>
        <w:gridCol w:w="219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20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单位名称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职别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 xml:space="preserve"> 姓名</w:t>
            </w:r>
          </w:p>
        </w:tc>
        <w:tc>
          <w:tcPr>
            <w:tcW w:w="21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7" w:type="dxa"/>
            <w:vMerge w:val="restart"/>
            <w:noWrap/>
          </w:tcPr>
          <w:p>
            <w:pPr>
              <w:spacing w:line="360" w:lineRule="auto"/>
              <w:rPr>
                <w:rFonts w:ascii="仿宋_GB2312" w:eastAsia="仿宋_GB2312" w:cs="仿宋"/>
                <w:color w:val="000000"/>
              </w:rPr>
            </w:pPr>
          </w:p>
        </w:tc>
        <w:tc>
          <w:tcPr>
            <w:tcW w:w="2018" w:type="dxa"/>
            <w:noWrap/>
          </w:tcPr>
          <w:p>
            <w:pPr>
              <w:spacing w:line="360" w:lineRule="auto"/>
              <w:rPr>
                <w:rFonts w:ascii="仿宋_GB2312" w:eastAsia="仿宋_GB2312" w:cs="仿宋"/>
                <w:color w:val="000000"/>
              </w:rPr>
            </w:pPr>
            <w:r>
              <w:rPr>
                <w:rFonts w:hint="eastAsia" w:ascii="仿宋_GB2312" w:eastAsia="仿宋_GB2312" w:cs="仿宋"/>
                <w:color w:val="000000"/>
              </w:rPr>
              <w:t>分管领导</w:t>
            </w:r>
          </w:p>
        </w:tc>
        <w:tc>
          <w:tcPr>
            <w:tcW w:w="2190" w:type="dxa"/>
          </w:tcPr>
          <w:p>
            <w:pPr>
              <w:spacing w:line="360" w:lineRule="auto"/>
              <w:rPr>
                <w:rFonts w:ascii="仿宋_GB2312" w:eastAsia="仿宋_GB2312" w:cs="仿宋"/>
                <w:color w:val="000000"/>
              </w:rPr>
            </w:pPr>
            <w:r>
              <w:rPr>
                <w:rFonts w:hint="eastAsia" w:ascii="仿宋_GB2312" w:eastAsia="仿宋_GB2312" w:cs="仿宋"/>
                <w:color w:val="000000"/>
              </w:rPr>
              <w:t xml:space="preserve"> </w:t>
            </w:r>
          </w:p>
        </w:tc>
        <w:tc>
          <w:tcPr>
            <w:tcW w:w="2190" w:type="dxa"/>
            <w:noWrap/>
          </w:tcPr>
          <w:p>
            <w:pPr>
              <w:spacing w:line="360" w:lineRule="auto"/>
              <w:rPr>
                <w:rFonts w:ascii="仿宋_GB2312" w:eastAsia="仿宋_GB2312" w:cs="仿宋"/>
                <w:color w:val="000000"/>
              </w:rPr>
            </w:pPr>
            <w:r>
              <w:rPr>
                <w:rFonts w:hint="eastAsia" w:ascii="仿宋_GB2312" w:eastAsia="仿宋_GB2312" w:cs="仿宋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7" w:type="dxa"/>
            <w:vMerge w:val="continue"/>
            <w:noWrap/>
          </w:tcPr>
          <w:p>
            <w:pPr>
              <w:spacing w:line="360" w:lineRule="auto"/>
              <w:rPr>
                <w:rFonts w:ascii="仿宋_GB2312" w:eastAsia="仿宋_GB2312" w:cs="仿宋"/>
                <w:color w:val="000000"/>
              </w:rPr>
            </w:pPr>
          </w:p>
        </w:tc>
        <w:tc>
          <w:tcPr>
            <w:tcW w:w="2018" w:type="dxa"/>
            <w:noWrap/>
          </w:tcPr>
          <w:p>
            <w:pPr>
              <w:spacing w:line="360" w:lineRule="auto"/>
              <w:rPr>
                <w:rFonts w:ascii="仿宋_GB2312" w:eastAsia="仿宋_GB2312" w:cs="仿宋"/>
                <w:color w:val="000000"/>
              </w:rPr>
            </w:pPr>
            <w:r>
              <w:rPr>
                <w:rFonts w:hint="eastAsia" w:ascii="仿宋_GB2312" w:eastAsia="仿宋_GB2312" w:cs="仿宋"/>
                <w:color w:val="000000"/>
              </w:rPr>
              <w:t>成员</w:t>
            </w:r>
          </w:p>
        </w:tc>
        <w:tc>
          <w:tcPr>
            <w:tcW w:w="2190" w:type="dxa"/>
          </w:tcPr>
          <w:p>
            <w:pPr>
              <w:spacing w:line="360" w:lineRule="auto"/>
              <w:rPr>
                <w:rFonts w:ascii="仿宋_GB2312" w:eastAsia="仿宋_GB2312" w:cs="仿宋"/>
                <w:color w:val="000000"/>
              </w:rPr>
            </w:pPr>
            <w:r>
              <w:rPr>
                <w:rFonts w:hint="eastAsia" w:ascii="仿宋_GB2312" w:eastAsia="仿宋_GB2312" w:cs="仿宋"/>
                <w:color w:val="000000"/>
              </w:rPr>
              <w:t xml:space="preserve"> </w:t>
            </w:r>
          </w:p>
        </w:tc>
        <w:tc>
          <w:tcPr>
            <w:tcW w:w="2190" w:type="dxa"/>
            <w:noWrap/>
          </w:tcPr>
          <w:p>
            <w:pPr>
              <w:spacing w:line="360" w:lineRule="auto"/>
              <w:rPr>
                <w:rFonts w:ascii="仿宋_GB2312" w:eastAsia="仿宋_GB2312" w:cs="仿宋"/>
                <w:color w:val="000000"/>
              </w:rPr>
            </w:pPr>
            <w:r>
              <w:rPr>
                <w:rFonts w:hint="eastAsia" w:ascii="仿宋_GB2312" w:eastAsia="仿宋_GB2312" w:cs="仿宋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7" w:type="dxa"/>
            <w:vMerge w:val="continue"/>
            <w:noWrap/>
          </w:tcPr>
          <w:p>
            <w:pPr>
              <w:spacing w:line="360" w:lineRule="auto"/>
              <w:rPr>
                <w:rFonts w:ascii="仿宋_GB2312" w:eastAsia="仿宋_GB2312" w:cs="仿宋"/>
                <w:color w:val="000000"/>
              </w:rPr>
            </w:pPr>
          </w:p>
        </w:tc>
        <w:tc>
          <w:tcPr>
            <w:tcW w:w="2018" w:type="dxa"/>
            <w:noWrap/>
          </w:tcPr>
          <w:p>
            <w:pPr>
              <w:spacing w:line="360" w:lineRule="auto"/>
              <w:rPr>
                <w:rFonts w:ascii="仿宋_GB2312" w:eastAsia="仿宋_GB2312" w:cs="仿宋"/>
                <w:color w:val="000000"/>
              </w:rPr>
            </w:pPr>
            <w:r>
              <w:rPr>
                <w:rFonts w:hint="eastAsia" w:ascii="仿宋_GB2312" w:eastAsia="仿宋_GB2312" w:cs="仿宋"/>
                <w:color w:val="000000"/>
              </w:rPr>
              <w:t>成员</w:t>
            </w:r>
          </w:p>
        </w:tc>
        <w:tc>
          <w:tcPr>
            <w:tcW w:w="2190" w:type="dxa"/>
          </w:tcPr>
          <w:p>
            <w:pPr>
              <w:spacing w:line="360" w:lineRule="auto"/>
              <w:rPr>
                <w:rFonts w:ascii="仿宋_GB2312" w:eastAsia="仿宋_GB2312" w:cs="仿宋"/>
                <w:color w:val="000000"/>
              </w:rPr>
            </w:pPr>
            <w:r>
              <w:rPr>
                <w:rFonts w:hint="eastAsia" w:ascii="仿宋_GB2312" w:eastAsia="仿宋_GB2312" w:cs="仿宋"/>
                <w:color w:val="000000"/>
              </w:rPr>
              <w:t xml:space="preserve"> </w:t>
            </w:r>
          </w:p>
        </w:tc>
        <w:tc>
          <w:tcPr>
            <w:tcW w:w="2190" w:type="dxa"/>
            <w:noWrap/>
          </w:tcPr>
          <w:p>
            <w:pPr>
              <w:spacing w:line="360" w:lineRule="auto"/>
              <w:rPr>
                <w:rFonts w:ascii="仿宋_GB2312" w:eastAsia="仿宋_GB2312" w:cs="仿宋"/>
                <w:color w:val="000000"/>
              </w:rPr>
            </w:pPr>
            <w:r>
              <w:rPr>
                <w:rFonts w:hint="eastAsia" w:ascii="仿宋_GB2312" w:eastAsia="仿宋_GB2312" w:cs="仿宋"/>
                <w:color w:val="000000"/>
              </w:rPr>
              <w:t xml:space="preserve"> 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eastAsia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</w:rPr>
        <w:t xml:space="preserve">附件4：  </w:t>
      </w: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《中华人民共和国消防法》</w:t>
      </w:r>
    </w:p>
    <w:p>
      <w:pPr>
        <w:spacing w:line="560" w:lineRule="exact"/>
        <w:ind w:firstLine="640" w:firstLineChars="200"/>
        <w:jc w:val="left"/>
        <w:rPr>
          <w:rFonts w:hint="eastAsia" w:eastAsia="仿宋"/>
          <w:color w:val="000000"/>
          <w:kern w:val="0"/>
        </w:rPr>
      </w:pPr>
    </w:p>
    <w:p>
      <w:pPr>
        <w:spacing w:line="560" w:lineRule="exact"/>
        <w:ind w:firstLine="640" w:firstLineChars="200"/>
        <w:jc w:val="left"/>
        <w:rPr>
          <w:rFonts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第十九条　生产、储存、经营易燃易爆危险品的场所不得与居住场所设置在同一建筑物内，并应当与居住场所保持安全距离。</w:t>
      </w:r>
    </w:p>
    <w:p>
      <w:pPr>
        <w:spacing w:line="560" w:lineRule="exact"/>
        <w:ind w:firstLine="640" w:firstLineChars="200"/>
        <w:jc w:val="left"/>
        <w:rPr>
          <w:rFonts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生产、储存、经营其他物品的场所与居住场所设置在同一建筑物内的，应当符合国家工程建设消防技术标准。</w:t>
      </w:r>
    </w:p>
    <w:p>
      <w:pPr>
        <w:spacing w:line="560" w:lineRule="exact"/>
        <w:ind w:firstLine="640" w:firstLineChars="200"/>
        <w:jc w:val="left"/>
        <w:rPr>
          <w:rFonts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>第六十一条　生产、储存、经营易燃易爆危险品的场所与居住场所设置在同一建筑物内，或者未与居住场所保持安全距离的，责令停产停业，并处五千元以上五万元以下罚款。</w:t>
      </w:r>
    </w:p>
    <w:p>
      <w:pPr>
        <w:spacing w:line="560" w:lineRule="exact"/>
        <w:ind w:firstLine="640" w:firstLineChars="200"/>
        <w:jc w:val="left"/>
        <w:rPr>
          <w:rFonts w:eastAsia="仿宋"/>
          <w:color w:val="000000"/>
          <w:kern w:val="0"/>
        </w:rPr>
      </w:pPr>
      <w:r>
        <w:rPr>
          <w:rFonts w:eastAsia="仿宋"/>
          <w:color w:val="000000"/>
          <w:kern w:val="0"/>
        </w:rPr>
        <w:t xml:space="preserve">生产、储存、经营其他物品的场所与居住场所设置在同一建筑物内，不符合消防技术标准的，依照前款规定处罚。 </w:t>
      </w:r>
    </w:p>
    <w:p>
      <w:pPr>
        <w:spacing w:line="560" w:lineRule="exact"/>
        <w:ind w:firstLine="2720" w:firstLineChars="850"/>
        <w:jc w:val="left"/>
        <w:rPr>
          <w:rFonts w:eastAsia="仿宋"/>
          <w:color w:val="000000"/>
          <w:kern w:val="0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C1484"/>
    <w:rsid w:val="50B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2020-10-16T03:15:00Z</dcterms:created>
  <dc:creator>杂草小卷</dc:creator>
  <cp:lastModifiedBy>杂草小卷</cp:lastModifiedBy>
  <dcterms:modified xsi:type="dcterms:W3CDTF">2020-10-16T03:15:30Z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