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hint="eastAsia" w:ascii="黑体" w:hAnsi="黑体" w:eastAsia="黑体" w:cs="黑体"/>
          <w:sz w:val="32"/>
          <w:szCs w:val="32"/>
        </w:rPr>
      </w:pPr>
      <w:r>
        <w:rPr>
          <w:rFonts w:hint="eastAsia" w:ascii="黑体" w:hAnsi="黑体" w:eastAsia="黑体" w:cs="黑体"/>
          <w:sz w:val="32"/>
          <w:szCs w:val="32"/>
        </w:rPr>
        <w:t>附件3</w:t>
      </w:r>
      <w:bookmarkStart w:id="0" w:name="_GoBack"/>
      <w:bookmarkEnd w:id="0"/>
    </w:p>
    <w:tbl>
      <w:tblPr>
        <w:tblStyle w:val="2"/>
        <w:tblW w:w="15230" w:type="dxa"/>
        <w:jc w:val="center"/>
        <w:tblInd w:w="70" w:type="dxa"/>
        <w:tblLayout w:type="fixed"/>
        <w:tblCellMar>
          <w:top w:w="0" w:type="dxa"/>
          <w:left w:w="108" w:type="dxa"/>
          <w:bottom w:w="0" w:type="dxa"/>
          <w:right w:w="108" w:type="dxa"/>
        </w:tblCellMar>
      </w:tblPr>
      <w:tblGrid>
        <w:gridCol w:w="812"/>
        <w:gridCol w:w="1277"/>
        <w:gridCol w:w="2509"/>
        <w:gridCol w:w="3969"/>
        <w:gridCol w:w="1318"/>
        <w:gridCol w:w="1134"/>
        <w:gridCol w:w="1517"/>
        <w:gridCol w:w="1134"/>
        <w:gridCol w:w="1560"/>
      </w:tblGrid>
      <w:tr>
        <w:tblPrEx>
          <w:tblLayout w:type="fixed"/>
          <w:tblCellMar>
            <w:top w:w="0" w:type="dxa"/>
            <w:left w:w="108" w:type="dxa"/>
            <w:bottom w:w="0" w:type="dxa"/>
            <w:right w:w="108" w:type="dxa"/>
          </w:tblCellMar>
        </w:tblPrEx>
        <w:trPr>
          <w:trHeight w:val="795" w:hRule="atLeast"/>
          <w:jc w:val="center"/>
        </w:trPr>
        <w:tc>
          <w:tcPr>
            <w:tcW w:w="13670" w:type="dxa"/>
            <w:gridSpan w:val="8"/>
            <w:tcBorders>
              <w:top w:val="nil"/>
              <w:left w:val="nil"/>
              <w:bottom w:val="single" w:color="auto" w:sz="4" w:space="0"/>
              <w:right w:val="nil"/>
            </w:tcBorders>
            <w:shd w:val="clear" w:color="auto" w:fill="auto"/>
            <w:noWrap w:val="0"/>
            <w:vAlign w:val="center"/>
          </w:tcPr>
          <w:p>
            <w:pPr>
              <w:widowControl/>
              <w:jc w:val="center"/>
              <w:rPr>
                <w:rFonts w:ascii="方正小标宋简体" w:hAnsi="宋体" w:eastAsia="方正小标宋简体" w:cs="宋体"/>
                <w:b/>
                <w:bCs/>
                <w:kern w:val="0"/>
                <w:sz w:val="52"/>
                <w:szCs w:val="52"/>
              </w:rPr>
            </w:pPr>
            <w:r>
              <w:rPr>
                <w:rFonts w:hint="eastAsia" w:ascii="方正小标宋简体" w:hAnsi="宋体" w:eastAsia="方正小标宋简体" w:cs="宋体"/>
                <w:b/>
                <w:bCs/>
                <w:kern w:val="0"/>
                <w:sz w:val="52"/>
                <w:szCs w:val="52"/>
              </w:rPr>
              <w:t xml:space="preserve">     市级重点安全风险点2019年管控情况一览表</w:t>
            </w:r>
          </w:p>
        </w:tc>
        <w:tc>
          <w:tcPr>
            <w:tcW w:w="156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rPr>
            </w:pPr>
          </w:p>
        </w:tc>
      </w:tr>
      <w:tr>
        <w:tblPrEx>
          <w:tblLayout w:type="fixed"/>
          <w:tblCellMar>
            <w:top w:w="0" w:type="dxa"/>
            <w:left w:w="108" w:type="dxa"/>
            <w:bottom w:w="0" w:type="dxa"/>
            <w:right w:w="108" w:type="dxa"/>
          </w:tblCellMar>
        </w:tblPrEx>
        <w:trPr>
          <w:trHeight w:val="750" w:hRule="atLeast"/>
          <w:jc w:val="center"/>
        </w:trPr>
        <w:tc>
          <w:tcPr>
            <w:tcW w:w="8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宋体"/>
                <w:b/>
                <w:kern w:val="0"/>
                <w:sz w:val="32"/>
                <w:szCs w:val="32"/>
              </w:rPr>
            </w:pPr>
            <w:r>
              <w:rPr>
                <w:rFonts w:hint="eastAsia" w:ascii="楷体" w:hAnsi="楷体" w:eastAsia="楷体" w:cs="宋体"/>
                <w:b/>
                <w:kern w:val="0"/>
                <w:sz w:val="32"/>
                <w:szCs w:val="32"/>
              </w:rPr>
              <w:t>序号</w:t>
            </w:r>
          </w:p>
        </w:tc>
        <w:tc>
          <w:tcPr>
            <w:tcW w:w="1277" w:type="dxa"/>
            <w:tcBorders>
              <w:top w:val="nil"/>
              <w:left w:val="nil"/>
              <w:bottom w:val="single" w:color="auto" w:sz="4" w:space="0"/>
              <w:right w:val="single" w:color="auto" w:sz="4" w:space="0"/>
            </w:tcBorders>
            <w:shd w:val="clear" w:color="auto" w:fill="auto"/>
            <w:noWrap/>
            <w:vAlign w:val="center"/>
          </w:tcPr>
          <w:p>
            <w:pPr>
              <w:widowControl/>
              <w:jc w:val="center"/>
              <w:rPr>
                <w:rFonts w:ascii="楷体" w:hAnsi="楷体" w:eastAsia="楷体" w:cs="宋体"/>
                <w:b/>
                <w:kern w:val="0"/>
                <w:sz w:val="32"/>
                <w:szCs w:val="32"/>
              </w:rPr>
            </w:pPr>
            <w:r>
              <w:rPr>
                <w:rFonts w:hint="eastAsia" w:ascii="楷体" w:hAnsi="楷体" w:eastAsia="楷体" w:cs="宋体"/>
                <w:b/>
                <w:kern w:val="0"/>
                <w:sz w:val="32"/>
                <w:szCs w:val="32"/>
              </w:rPr>
              <w:t>市级重点风险点</w:t>
            </w:r>
          </w:p>
        </w:tc>
        <w:tc>
          <w:tcPr>
            <w:tcW w:w="2509" w:type="dxa"/>
            <w:tcBorders>
              <w:top w:val="nil"/>
              <w:left w:val="nil"/>
              <w:bottom w:val="single" w:color="auto" w:sz="4" w:space="0"/>
              <w:right w:val="single" w:color="auto" w:sz="4" w:space="0"/>
            </w:tcBorders>
            <w:shd w:val="clear" w:color="auto" w:fill="auto"/>
            <w:noWrap/>
            <w:vAlign w:val="center"/>
          </w:tcPr>
          <w:p>
            <w:pPr>
              <w:widowControl/>
              <w:jc w:val="center"/>
              <w:rPr>
                <w:rFonts w:ascii="楷体" w:hAnsi="楷体" w:eastAsia="楷体" w:cs="宋体"/>
                <w:b/>
                <w:kern w:val="0"/>
                <w:sz w:val="32"/>
                <w:szCs w:val="32"/>
              </w:rPr>
            </w:pPr>
            <w:r>
              <w:rPr>
                <w:rFonts w:hint="eastAsia" w:ascii="楷体" w:hAnsi="楷体" w:eastAsia="楷体" w:cs="宋体"/>
                <w:b/>
                <w:kern w:val="0"/>
                <w:sz w:val="32"/>
                <w:szCs w:val="32"/>
              </w:rPr>
              <w:t>主要风险因素</w:t>
            </w:r>
          </w:p>
        </w:tc>
        <w:tc>
          <w:tcPr>
            <w:tcW w:w="3969" w:type="dxa"/>
            <w:tcBorders>
              <w:top w:val="nil"/>
              <w:left w:val="nil"/>
              <w:bottom w:val="single" w:color="auto" w:sz="4" w:space="0"/>
              <w:right w:val="single" w:color="auto" w:sz="4" w:space="0"/>
            </w:tcBorders>
            <w:shd w:val="clear" w:color="auto" w:fill="auto"/>
            <w:noWrap/>
            <w:vAlign w:val="center"/>
          </w:tcPr>
          <w:p>
            <w:pPr>
              <w:widowControl/>
              <w:jc w:val="center"/>
              <w:rPr>
                <w:rFonts w:ascii="楷体" w:hAnsi="楷体" w:eastAsia="楷体" w:cs="宋体"/>
                <w:b/>
                <w:kern w:val="0"/>
                <w:sz w:val="32"/>
                <w:szCs w:val="32"/>
              </w:rPr>
            </w:pPr>
            <w:r>
              <w:rPr>
                <w:rFonts w:hint="eastAsia" w:ascii="楷体" w:hAnsi="楷体" w:eastAsia="楷体" w:cs="宋体"/>
                <w:b/>
                <w:kern w:val="0"/>
                <w:sz w:val="32"/>
                <w:szCs w:val="32"/>
              </w:rPr>
              <w:t>管控措施</w:t>
            </w:r>
          </w:p>
        </w:tc>
        <w:tc>
          <w:tcPr>
            <w:tcW w:w="1318" w:type="dxa"/>
            <w:tcBorders>
              <w:top w:val="nil"/>
              <w:left w:val="nil"/>
              <w:bottom w:val="single" w:color="auto" w:sz="4" w:space="0"/>
              <w:right w:val="single" w:color="auto" w:sz="4" w:space="0"/>
            </w:tcBorders>
            <w:shd w:val="clear" w:color="auto" w:fill="auto"/>
            <w:noWrap w:val="0"/>
            <w:vAlign w:val="center"/>
          </w:tcPr>
          <w:p>
            <w:pPr>
              <w:widowControl/>
              <w:jc w:val="center"/>
              <w:rPr>
                <w:rFonts w:ascii="楷体" w:hAnsi="楷体" w:eastAsia="楷体" w:cs="宋体"/>
                <w:b/>
                <w:kern w:val="0"/>
                <w:sz w:val="32"/>
                <w:szCs w:val="32"/>
              </w:rPr>
            </w:pPr>
            <w:r>
              <w:rPr>
                <w:rFonts w:hint="eastAsia" w:ascii="楷体" w:hAnsi="楷体" w:eastAsia="楷体" w:cs="宋体"/>
                <w:b/>
                <w:kern w:val="0"/>
                <w:sz w:val="32"/>
                <w:szCs w:val="32"/>
              </w:rPr>
              <w:t>管控</w:t>
            </w:r>
            <w:r>
              <w:rPr>
                <w:rFonts w:hint="eastAsia" w:ascii="楷体" w:hAnsi="楷体" w:eastAsia="楷体" w:cs="宋体"/>
                <w:b/>
                <w:kern w:val="0"/>
                <w:sz w:val="32"/>
                <w:szCs w:val="32"/>
              </w:rPr>
              <w:br w:type="textWrapping"/>
            </w:r>
            <w:r>
              <w:rPr>
                <w:rFonts w:hint="eastAsia" w:ascii="楷体" w:hAnsi="楷体" w:eastAsia="楷体" w:cs="宋体"/>
                <w:b/>
                <w:kern w:val="0"/>
                <w:sz w:val="32"/>
                <w:szCs w:val="32"/>
              </w:rPr>
              <w:t>状态</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ascii="楷体" w:hAnsi="楷体" w:eastAsia="楷体" w:cs="宋体"/>
                <w:b/>
                <w:kern w:val="0"/>
                <w:sz w:val="32"/>
                <w:szCs w:val="32"/>
              </w:rPr>
            </w:pPr>
            <w:r>
              <w:rPr>
                <w:rFonts w:hint="eastAsia" w:ascii="楷体" w:hAnsi="楷体" w:eastAsia="楷体" w:cs="宋体"/>
                <w:b/>
                <w:kern w:val="0"/>
                <w:sz w:val="32"/>
                <w:szCs w:val="32"/>
              </w:rPr>
              <w:t>风险等级</w:t>
            </w:r>
          </w:p>
        </w:tc>
        <w:tc>
          <w:tcPr>
            <w:tcW w:w="1517" w:type="dxa"/>
            <w:tcBorders>
              <w:top w:val="nil"/>
              <w:left w:val="nil"/>
              <w:bottom w:val="single" w:color="auto" w:sz="4" w:space="0"/>
              <w:right w:val="single" w:color="auto" w:sz="4" w:space="0"/>
            </w:tcBorders>
            <w:shd w:val="clear" w:color="auto" w:fill="auto"/>
            <w:noWrap w:val="0"/>
            <w:vAlign w:val="center"/>
          </w:tcPr>
          <w:p>
            <w:pPr>
              <w:widowControl/>
              <w:jc w:val="center"/>
              <w:rPr>
                <w:rFonts w:ascii="楷体" w:hAnsi="楷体" w:eastAsia="楷体" w:cs="宋体"/>
                <w:b/>
                <w:kern w:val="0"/>
                <w:sz w:val="32"/>
                <w:szCs w:val="32"/>
              </w:rPr>
            </w:pPr>
            <w:r>
              <w:rPr>
                <w:rFonts w:hint="eastAsia" w:ascii="楷体" w:hAnsi="楷体" w:eastAsia="楷体" w:cs="宋体"/>
                <w:b/>
                <w:kern w:val="0"/>
                <w:sz w:val="32"/>
                <w:szCs w:val="32"/>
              </w:rPr>
              <w:t>管控责任单位</w:t>
            </w:r>
          </w:p>
        </w:tc>
        <w:tc>
          <w:tcPr>
            <w:tcW w:w="1134" w:type="dxa"/>
            <w:tcBorders>
              <w:top w:val="nil"/>
              <w:left w:val="nil"/>
              <w:bottom w:val="nil"/>
              <w:right w:val="single" w:color="auto" w:sz="4" w:space="0"/>
            </w:tcBorders>
            <w:shd w:val="clear" w:color="auto" w:fill="auto"/>
            <w:noWrap w:val="0"/>
            <w:vAlign w:val="center"/>
          </w:tcPr>
          <w:p>
            <w:pPr>
              <w:widowControl/>
              <w:jc w:val="center"/>
              <w:rPr>
                <w:rFonts w:ascii="楷体" w:hAnsi="楷体" w:eastAsia="楷体" w:cs="宋体"/>
                <w:b/>
                <w:kern w:val="0"/>
                <w:sz w:val="32"/>
                <w:szCs w:val="32"/>
              </w:rPr>
            </w:pPr>
            <w:r>
              <w:rPr>
                <w:rFonts w:hint="eastAsia" w:ascii="楷体" w:hAnsi="楷体" w:eastAsia="楷体" w:cs="宋体"/>
                <w:b/>
                <w:kern w:val="0"/>
                <w:sz w:val="32"/>
                <w:szCs w:val="32"/>
              </w:rPr>
              <w:t>管控状态</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楷体" w:hAnsi="楷体" w:eastAsia="楷体" w:cs="宋体"/>
                <w:b/>
                <w:kern w:val="0"/>
                <w:sz w:val="32"/>
                <w:szCs w:val="32"/>
              </w:rPr>
            </w:pPr>
            <w:r>
              <w:rPr>
                <w:rFonts w:hint="eastAsia" w:ascii="楷体" w:hAnsi="楷体" w:eastAsia="楷体" w:cs="宋体"/>
                <w:b/>
                <w:kern w:val="0"/>
                <w:sz w:val="32"/>
                <w:szCs w:val="32"/>
              </w:rPr>
              <w:t>消除隐患数</w:t>
            </w:r>
          </w:p>
        </w:tc>
      </w:tr>
      <w:tr>
        <w:tblPrEx>
          <w:tblLayout w:type="fixed"/>
          <w:tblCellMar>
            <w:top w:w="0" w:type="dxa"/>
            <w:left w:w="108" w:type="dxa"/>
            <w:bottom w:w="0" w:type="dxa"/>
            <w:right w:w="108" w:type="dxa"/>
          </w:tblCellMar>
        </w:tblPrEx>
        <w:trPr>
          <w:trHeight w:val="4200" w:hRule="atLeast"/>
          <w:jc w:val="center"/>
        </w:trPr>
        <w:tc>
          <w:tcPr>
            <w:tcW w:w="8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4"/>
              </w:rPr>
            </w:pPr>
            <w:r>
              <w:rPr>
                <w:rFonts w:hint="eastAsia" w:ascii="黑体" w:hAnsi="黑体" w:eastAsia="黑体" w:cs="宋体"/>
                <w:kern w:val="0"/>
                <w:sz w:val="24"/>
              </w:rPr>
              <w:t>1</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海峡科化股份有限公司烽林分公司</w:t>
            </w:r>
          </w:p>
        </w:tc>
        <w:tc>
          <w:tcPr>
            <w:tcW w:w="2509"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1.安全生产基础工作不扎实；</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2.风险管理不到位；</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3.反违章的措施不得力；</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4.作业现场管理不严格；</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5.事故管理不严格</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县级主管部门对企业事故隐患和安全生产风险管理工作监督检查，每月至少检查一次，其中各级风险源作为必查内容。2.各级主管部门依法依规对事故隐患和安全生产风险管理工作不到位的企业采取措施：（一）根据实际情况下达立即整改或限期整改通知书，限期整改后情况由属地监管部门确认；（二）限期整改不到位的，或同类问题反复出现的，报送属地人民政府安委会挂牌督办。</w:t>
            </w:r>
          </w:p>
        </w:tc>
        <w:tc>
          <w:tcPr>
            <w:tcW w:w="1318"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正常</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红</w:t>
            </w:r>
          </w:p>
        </w:tc>
        <w:tc>
          <w:tcPr>
            <w:tcW w:w="1517"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明溪县工信局</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r>
      <w:tr>
        <w:tblPrEx>
          <w:tblLayout w:type="fixed"/>
          <w:tblCellMar>
            <w:top w:w="0" w:type="dxa"/>
            <w:left w:w="108" w:type="dxa"/>
            <w:bottom w:w="0" w:type="dxa"/>
            <w:right w:w="108" w:type="dxa"/>
          </w:tblCellMar>
        </w:tblPrEx>
        <w:trPr>
          <w:trHeight w:val="4185" w:hRule="atLeast"/>
          <w:jc w:val="center"/>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4"/>
              </w:rPr>
            </w:pPr>
            <w:r>
              <w:rPr>
                <w:rFonts w:hint="eastAsia" w:ascii="黑体" w:hAnsi="黑体" w:eastAsia="黑体" w:cs="宋体"/>
                <w:kern w:val="0"/>
                <w:sz w:val="24"/>
              </w:rPr>
              <w:t>2</w:t>
            </w:r>
          </w:p>
        </w:tc>
        <w:tc>
          <w:tcPr>
            <w:tcW w:w="1277"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山海民爆物品有限公司</w:t>
            </w:r>
          </w:p>
        </w:tc>
        <w:tc>
          <w:tcPr>
            <w:tcW w:w="2509"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1.安全生产基础工作不扎实；</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2.风险管理不到位；</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3.反违章的措施不得力；</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4.作业现场管理不严格；</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5.事故管理不严格。</w:t>
            </w:r>
          </w:p>
        </w:tc>
        <w:tc>
          <w:tcPr>
            <w:tcW w:w="3969"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县级主管部门对企业事故隐患和安全生产风险管理工作监督检查，每月至少检查一次，其中各级风险源作为必查内容。2.各级主管部门依法依规对事故隐患和安全生产风险管理工作不到位的企业采取措施：（一）根据实际情况下达立即整改或限期整改通知书，限期整改后情况由属地监管部门确认；（二）限期整改不到位的，或同类问题反复出现的，报送属地人民政府安委会挂牌督办。</w:t>
            </w:r>
          </w:p>
        </w:tc>
        <w:tc>
          <w:tcPr>
            <w:tcW w:w="131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正常</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红</w:t>
            </w:r>
          </w:p>
        </w:tc>
        <w:tc>
          <w:tcPr>
            <w:tcW w:w="151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明溪县工信局</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r>
      <w:tr>
        <w:tblPrEx>
          <w:tblLayout w:type="fixed"/>
          <w:tblCellMar>
            <w:top w:w="0" w:type="dxa"/>
            <w:left w:w="108" w:type="dxa"/>
            <w:bottom w:w="0" w:type="dxa"/>
            <w:right w:w="108" w:type="dxa"/>
          </w:tblCellMar>
        </w:tblPrEx>
        <w:trPr>
          <w:trHeight w:val="1710" w:hRule="atLeast"/>
          <w:jc w:val="center"/>
        </w:trPr>
        <w:tc>
          <w:tcPr>
            <w:tcW w:w="8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4"/>
              </w:rPr>
            </w:pPr>
            <w:r>
              <w:rPr>
                <w:rFonts w:hint="eastAsia" w:ascii="黑体" w:hAnsi="黑体" w:eastAsia="黑体" w:cs="宋体"/>
                <w:kern w:val="0"/>
                <w:sz w:val="24"/>
              </w:rPr>
              <w:t>3</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各县（市、区）大型客运站</w:t>
            </w:r>
          </w:p>
        </w:tc>
        <w:tc>
          <w:tcPr>
            <w:tcW w:w="2509"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①客运车辆零晨2点至5点在高速上违规行车；②夜间10点至早上6点在达不到夜间安全通行要求的农村公路上违规行车。</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4"/>
              </w:rPr>
            </w:pP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①督促客车零晨2点至5点停车休息，加大巡查频率，做好车辆分类停放；②督促客车夜间10点至早上6点禁止在达不到夜间安全通行要求的农村公路上行车。</w:t>
            </w:r>
          </w:p>
          <w:p>
            <w:pPr>
              <w:widowControl/>
              <w:jc w:val="left"/>
              <w:rPr>
                <w:rFonts w:hint="eastAsia" w:ascii="仿宋_GB2312" w:hAnsi="宋体" w:eastAsia="仿宋_GB2312" w:cs="宋体"/>
                <w:kern w:val="0"/>
                <w:sz w:val="24"/>
              </w:rPr>
            </w:pPr>
          </w:p>
          <w:p>
            <w:pPr>
              <w:widowControl/>
              <w:jc w:val="left"/>
              <w:rPr>
                <w:rFonts w:ascii="仿宋_GB2312" w:hAnsi="宋体" w:eastAsia="仿宋_GB2312" w:cs="宋体"/>
                <w:kern w:val="0"/>
                <w:sz w:val="24"/>
              </w:rPr>
            </w:pPr>
          </w:p>
        </w:tc>
        <w:tc>
          <w:tcPr>
            <w:tcW w:w="1318"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正常</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红</w:t>
            </w:r>
          </w:p>
        </w:tc>
        <w:tc>
          <w:tcPr>
            <w:tcW w:w="1517"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明溪县交通局</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r>
      <w:tr>
        <w:tblPrEx>
          <w:tblLayout w:type="fixed"/>
          <w:tblCellMar>
            <w:top w:w="0" w:type="dxa"/>
            <w:left w:w="108" w:type="dxa"/>
            <w:bottom w:w="0" w:type="dxa"/>
            <w:right w:w="108" w:type="dxa"/>
          </w:tblCellMar>
        </w:tblPrEx>
        <w:trPr>
          <w:trHeight w:val="570" w:hRule="atLeast"/>
          <w:jc w:val="center"/>
        </w:trPr>
        <w:tc>
          <w:tcPr>
            <w:tcW w:w="8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4"/>
              </w:rPr>
            </w:pPr>
            <w:r>
              <w:rPr>
                <w:rFonts w:hint="eastAsia" w:ascii="黑体" w:hAnsi="黑体" w:eastAsia="黑体" w:cs="宋体"/>
                <w:kern w:val="0"/>
                <w:sz w:val="24"/>
              </w:rPr>
              <w:t>4</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各县（市、区）大型客运站</w:t>
            </w:r>
          </w:p>
        </w:tc>
        <w:tc>
          <w:tcPr>
            <w:tcW w:w="2509"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超速、超载、超员和疲劳驾驶</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4"/>
              </w:rPr>
            </w:pPr>
          </w:p>
          <w:p>
            <w:pPr>
              <w:widowControl/>
              <w:jc w:val="left"/>
              <w:rPr>
                <w:rFonts w:hint="eastAsia" w:ascii="仿宋_GB2312" w:hAnsi="宋体" w:eastAsia="仿宋_GB2312" w:cs="宋体"/>
                <w:kern w:val="0"/>
                <w:sz w:val="24"/>
              </w:rPr>
            </w:pP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强化驾驶员教育培训力度，加大处罚力度。</w:t>
            </w:r>
          </w:p>
          <w:p>
            <w:pPr>
              <w:widowControl/>
              <w:jc w:val="left"/>
              <w:rPr>
                <w:rFonts w:ascii="仿宋_GB2312" w:hAnsi="宋体" w:eastAsia="仿宋_GB2312" w:cs="宋体"/>
                <w:kern w:val="0"/>
                <w:sz w:val="24"/>
              </w:rPr>
            </w:pPr>
          </w:p>
        </w:tc>
        <w:tc>
          <w:tcPr>
            <w:tcW w:w="1318"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正常</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红</w:t>
            </w:r>
          </w:p>
        </w:tc>
        <w:tc>
          <w:tcPr>
            <w:tcW w:w="1517"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明溪县交通局</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r>
      <w:tr>
        <w:tblPrEx>
          <w:tblLayout w:type="fixed"/>
          <w:tblCellMar>
            <w:top w:w="0" w:type="dxa"/>
            <w:left w:w="108" w:type="dxa"/>
            <w:bottom w:w="0" w:type="dxa"/>
            <w:right w:w="108" w:type="dxa"/>
          </w:tblCellMar>
        </w:tblPrEx>
        <w:trPr>
          <w:trHeight w:val="765" w:hRule="atLeast"/>
          <w:jc w:val="center"/>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4"/>
              </w:rPr>
            </w:pPr>
            <w:r>
              <w:rPr>
                <w:rFonts w:hint="eastAsia" w:ascii="黑体" w:hAnsi="黑体" w:eastAsia="黑体" w:cs="宋体"/>
                <w:kern w:val="0"/>
                <w:sz w:val="24"/>
              </w:rPr>
              <w:t>5</w:t>
            </w:r>
          </w:p>
        </w:tc>
        <w:tc>
          <w:tcPr>
            <w:tcW w:w="1277"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各县（市、区）危货运输企业</w:t>
            </w:r>
          </w:p>
        </w:tc>
        <w:tc>
          <w:tcPr>
            <w:tcW w:w="2509"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超速驾驶</w:t>
            </w:r>
          </w:p>
        </w:tc>
        <w:tc>
          <w:tcPr>
            <w:tcW w:w="3969"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加强对危货车辆的动态监管</w:t>
            </w:r>
          </w:p>
        </w:tc>
        <w:tc>
          <w:tcPr>
            <w:tcW w:w="131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正常</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红</w:t>
            </w:r>
          </w:p>
        </w:tc>
        <w:tc>
          <w:tcPr>
            <w:tcW w:w="151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明溪县交通局</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r>
      <w:tr>
        <w:tblPrEx>
          <w:tblLayout w:type="fixed"/>
          <w:tblCellMar>
            <w:top w:w="0" w:type="dxa"/>
            <w:left w:w="108" w:type="dxa"/>
            <w:bottom w:w="0" w:type="dxa"/>
            <w:right w:w="108" w:type="dxa"/>
          </w:tblCellMar>
        </w:tblPrEx>
        <w:trPr>
          <w:trHeight w:val="855" w:hRule="atLeast"/>
          <w:jc w:val="center"/>
        </w:trPr>
        <w:tc>
          <w:tcPr>
            <w:tcW w:w="8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4"/>
              </w:rPr>
            </w:pPr>
            <w:r>
              <w:rPr>
                <w:rFonts w:hint="eastAsia" w:ascii="黑体" w:hAnsi="黑体" w:eastAsia="黑体" w:cs="宋体"/>
                <w:kern w:val="0"/>
                <w:sz w:val="24"/>
              </w:rPr>
              <w:t>6</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明溪县竹林境生态养殖场（500头规模以上养殖）</w:t>
            </w:r>
          </w:p>
        </w:tc>
        <w:tc>
          <w:tcPr>
            <w:tcW w:w="2509"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有限空间、气体中毒</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与养殖企业签订安全管控责任书，制定管控清单，加大检查力度。</w:t>
            </w:r>
          </w:p>
        </w:tc>
        <w:tc>
          <w:tcPr>
            <w:tcW w:w="1318"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正常</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红</w:t>
            </w:r>
          </w:p>
        </w:tc>
        <w:tc>
          <w:tcPr>
            <w:tcW w:w="1517"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明溪县农业局</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r>
      <w:tr>
        <w:tblPrEx>
          <w:tblLayout w:type="fixed"/>
          <w:tblCellMar>
            <w:top w:w="0" w:type="dxa"/>
            <w:left w:w="108" w:type="dxa"/>
            <w:bottom w:w="0" w:type="dxa"/>
            <w:right w:w="108" w:type="dxa"/>
          </w:tblCellMar>
        </w:tblPrEx>
        <w:trPr>
          <w:trHeight w:val="855" w:hRule="atLeast"/>
          <w:jc w:val="center"/>
        </w:trPr>
        <w:tc>
          <w:tcPr>
            <w:tcW w:w="8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4"/>
              </w:rPr>
            </w:pPr>
            <w:r>
              <w:rPr>
                <w:rFonts w:hint="eastAsia" w:ascii="黑体" w:hAnsi="黑体" w:eastAsia="黑体" w:cs="宋体"/>
                <w:kern w:val="0"/>
                <w:sz w:val="24"/>
              </w:rPr>
              <w:t>7</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三明市海斯福化工有限公司</w:t>
            </w:r>
          </w:p>
        </w:tc>
        <w:tc>
          <w:tcPr>
            <w:tcW w:w="2509"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重点危险化学品和重点涉危工艺</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4"/>
              </w:rPr>
            </w:pP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按照执法计划开展检查；乡镇属地监管；督促企业自查自改自纠闭环管理。</w:t>
            </w:r>
          </w:p>
          <w:p>
            <w:pPr>
              <w:widowControl/>
              <w:jc w:val="left"/>
              <w:rPr>
                <w:rFonts w:ascii="仿宋_GB2312" w:hAnsi="宋体" w:eastAsia="仿宋_GB2312" w:cs="宋体"/>
                <w:kern w:val="0"/>
                <w:sz w:val="24"/>
              </w:rPr>
            </w:pPr>
          </w:p>
        </w:tc>
        <w:tc>
          <w:tcPr>
            <w:tcW w:w="1318"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正常</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红</w:t>
            </w:r>
          </w:p>
        </w:tc>
        <w:tc>
          <w:tcPr>
            <w:tcW w:w="1517"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明溪县应急管理局</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r>
    </w:tbl>
    <w:p/>
    <w:sectPr>
      <w:pgSz w:w="16838" w:h="11906" w:orient="landscape"/>
      <w:pgMar w:top="1349" w:right="1383" w:bottom="1349" w:left="132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E87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2019-04-28T09:14:41Z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