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440" w:type="dxa"/>
        <w:jc w:val="center"/>
        <w:tblInd w:w="83" w:type="dxa"/>
        <w:tblLayout w:type="fixed"/>
        <w:tblCellMar>
          <w:top w:w="0" w:type="dxa"/>
          <w:left w:w="108" w:type="dxa"/>
          <w:bottom w:w="0" w:type="dxa"/>
          <w:right w:w="108" w:type="dxa"/>
        </w:tblCellMar>
      </w:tblPr>
      <w:tblGrid>
        <w:gridCol w:w="700"/>
        <w:gridCol w:w="3560"/>
        <w:gridCol w:w="2540"/>
        <w:gridCol w:w="3400"/>
        <w:gridCol w:w="1066"/>
        <w:gridCol w:w="2214"/>
        <w:gridCol w:w="1000"/>
        <w:gridCol w:w="960"/>
      </w:tblGrid>
      <w:tr>
        <w:tblPrEx>
          <w:tblLayout w:type="fixed"/>
          <w:tblCellMar>
            <w:top w:w="0" w:type="dxa"/>
            <w:left w:w="108" w:type="dxa"/>
            <w:bottom w:w="0" w:type="dxa"/>
            <w:right w:w="108" w:type="dxa"/>
          </w:tblCellMar>
        </w:tblPrEx>
        <w:trPr>
          <w:trHeight w:val="1530" w:hRule="atLeast"/>
          <w:jc w:val="center"/>
        </w:trPr>
        <w:tc>
          <w:tcPr>
            <w:tcW w:w="15440" w:type="dxa"/>
            <w:gridSpan w:val="8"/>
            <w:tcBorders>
              <w:top w:val="nil"/>
              <w:left w:val="nil"/>
              <w:bottom w:val="single" w:color="auto" w:sz="4" w:space="0"/>
              <w:right w:val="nil"/>
            </w:tcBorders>
            <w:shd w:val="clear" w:color="auto" w:fill="auto"/>
            <w:noWrap/>
            <w:vAlign w:val="center"/>
          </w:tcPr>
          <w:p>
            <w:pPr>
              <w:widowControl/>
              <w:jc w:val="left"/>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附件1</w:t>
            </w:r>
          </w:p>
          <w:p>
            <w:pPr>
              <w:widowControl/>
              <w:jc w:val="center"/>
              <w:rPr>
                <w:rFonts w:ascii="方正小标宋简体" w:hAnsi="宋体" w:eastAsia="方正小标宋简体" w:cs="宋体"/>
                <w:b/>
                <w:bCs/>
                <w:color w:val="000000"/>
                <w:kern w:val="0"/>
                <w:sz w:val="44"/>
                <w:szCs w:val="44"/>
              </w:rPr>
            </w:pPr>
            <w:r>
              <w:rPr>
                <w:rFonts w:hint="eastAsia" w:ascii="方正小标宋简体" w:hAnsi="宋体" w:eastAsia="方正小标宋简体" w:cs="宋体"/>
                <w:b/>
                <w:bCs/>
                <w:color w:val="000000"/>
                <w:kern w:val="0"/>
                <w:sz w:val="44"/>
                <w:szCs w:val="44"/>
              </w:rPr>
              <w:t>明溪县级(乡镇)重点安全风险管控责任清单一览表</w:t>
            </w:r>
          </w:p>
        </w:tc>
      </w:tr>
      <w:tr>
        <w:tblPrEx>
          <w:tblLayout w:type="fixed"/>
          <w:tblCellMar>
            <w:top w:w="0" w:type="dxa"/>
            <w:left w:w="108" w:type="dxa"/>
            <w:bottom w:w="0" w:type="dxa"/>
            <w:right w:w="108" w:type="dxa"/>
          </w:tblCellMar>
        </w:tblPrEx>
        <w:trPr>
          <w:trHeight w:val="630" w:hRule="atLeast"/>
          <w:jc w:val="center"/>
        </w:trPr>
        <w:tc>
          <w:tcPr>
            <w:tcW w:w="70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楷体" w:hAnsi="楷体" w:eastAsia="楷体" w:cs="宋体"/>
                <w:b/>
                <w:bCs/>
                <w:kern w:val="0"/>
                <w:sz w:val="32"/>
                <w:szCs w:val="32"/>
              </w:rPr>
            </w:pPr>
            <w:r>
              <w:rPr>
                <w:rFonts w:hint="eastAsia" w:ascii="楷体" w:hAnsi="楷体" w:eastAsia="楷体" w:cs="宋体"/>
                <w:b/>
                <w:bCs/>
                <w:kern w:val="0"/>
                <w:sz w:val="32"/>
                <w:szCs w:val="32"/>
              </w:rPr>
              <w:t>序号</w:t>
            </w:r>
          </w:p>
        </w:tc>
        <w:tc>
          <w:tcPr>
            <w:tcW w:w="35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楷体" w:hAnsi="楷体" w:eastAsia="楷体" w:cs="宋体"/>
                <w:b/>
                <w:bCs/>
                <w:kern w:val="0"/>
                <w:sz w:val="32"/>
                <w:szCs w:val="32"/>
              </w:rPr>
            </w:pPr>
            <w:r>
              <w:rPr>
                <w:rFonts w:hint="eastAsia" w:ascii="楷体" w:hAnsi="楷体" w:eastAsia="楷体" w:cs="宋体"/>
                <w:b/>
                <w:bCs/>
                <w:kern w:val="0"/>
                <w:sz w:val="32"/>
                <w:szCs w:val="32"/>
              </w:rPr>
              <w:t>县级重点风险点或薄弱环节（企业名称、场所、部位）</w:t>
            </w:r>
          </w:p>
        </w:tc>
        <w:tc>
          <w:tcPr>
            <w:tcW w:w="25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楷体" w:hAnsi="楷体" w:eastAsia="楷体" w:cs="宋体"/>
                <w:b/>
                <w:bCs/>
                <w:kern w:val="0"/>
                <w:sz w:val="32"/>
                <w:szCs w:val="32"/>
              </w:rPr>
            </w:pPr>
            <w:r>
              <w:rPr>
                <w:rFonts w:hint="eastAsia" w:ascii="楷体" w:hAnsi="楷体" w:eastAsia="楷体" w:cs="宋体"/>
                <w:b/>
                <w:bCs/>
                <w:kern w:val="0"/>
                <w:sz w:val="32"/>
                <w:szCs w:val="32"/>
              </w:rPr>
              <w:t>主要风险因素</w:t>
            </w:r>
          </w:p>
        </w:tc>
        <w:tc>
          <w:tcPr>
            <w:tcW w:w="340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楷体" w:hAnsi="楷体" w:eastAsia="楷体" w:cs="宋体"/>
                <w:b/>
                <w:bCs/>
                <w:kern w:val="0"/>
                <w:sz w:val="32"/>
                <w:szCs w:val="32"/>
              </w:rPr>
            </w:pPr>
            <w:r>
              <w:rPr>
                <w:rFonts w:hint="eastAsia" w:ascii="楷体" w:hAnsi="楷体" w:eastAsia="楷体" w:cs="宋体"/>
                <w:b/>
                <w:bCs/>
                <w:kern w:val="0"/>
                <w:sz w:val="32"/>
                <w:szCs w:val="32"/>
              </w:rPr>
              <w:t>管控措施</w:t>
            </w:r>
          </w:p>
        </w:tc>
        <w:tc>
          <w:tcPr>
            <w:tcW w:w="106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楷体" w:hAnsi="楷体" w:eastAsia="楷体" w:cs="宋体"/>
                <w:b/>
                <w:bCs/>
                <w:kern w:val="0"/>
                <w:sz w:val="32"/>
                <w:szCs w:val="32"/>
              </w:rPr>
            </w:pPr>
            <w:r>
              <w:rPr>
                <w:rFonts w:hint="eastAsia" w:ascii="楷体" w:hAnsi="楷体" w:eastAsia="楷体" w:cs="宋体"/>
                <w:b/>
                <w:bCs/>
                <w:kern w:val="0"/>
                <w:sz w:val="32"/>
                <w:szCs w:val="32"/>
              </w:rPr>
              <w:t>风险等级</w:t>
            </w:r>
          </w:p>
        </w:tc>
        <w:tc>
          <w:tcPr>
            <w:tcW w:w="221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楷体" w:hAnsi="楷体" w:eastAsia="楷体" w:cs="宋体"/>
                <w:b/>
                <w:bCs/>
                <w:kern w:val="0"/>
                <w:sz w:val="32"/>
                <w:szCs w:val="32"/>
              </w:rPr>
            </w:pPr>
            <w:r>
              <w:rPr>
                <w:rFonts w:hint="eastAsia" w:ascii="楷体" w:hAnsi="楷体" w:eastAsia="楷体" w:cs="宋体"/>
                <w:b/>
                <w:bCs/>
                <w:kern w:val="0"/>
                <w:sz w:val="32"/>
                <w:szCs w:val="32"/>
              </w:rPr>
              <w:t>管控责任单位</w:t>
            </w:r>
          </w:p>
        </w:tc>
        <w:tc>
          <w:tcPr>
            <w:tcW w:w="100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楷体" w:hAnsi="楷体" w:eastAsia="楷体" w:cs="宋体"/>
                <w:b/>
                <w:bCs/>
                <w:kern w:val="0"/>
                <w:sz w:val="32"/>
                <w:szCs w:val="32"/>
              </w:rPr>
            </w:pPr>
            <w:r>
              <w:rPr>
                <w:rFonts w:hint="eastAsia" w:ascii="楷体" w:hAnsi="楷体" w:eastAsia="楷体" w:cs="宋体"/>
                <w:b/>
                <w:bCs/>
                <w:kern w:val="0"/>
                <w:sz w:val="32"/>
                <w:szCs w:val="32"/>
              </w:rPr>
              <w:t>管控状态</w:t>
            </w:r>
          </w:p>
        </w:tc>
        <w:tc>
          <w:tcPr>
            <w:tcW w:w="9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楷体" w:hAnsi="楷体" w:eastAsia="楷体" w:cs="宋体"/>
                <w:b/>
                <w:bCs/>
                <w:kern w:val="0"/>
                <w:sz w:val="32"/>
                <w:szCs w:val="32"/>
              </w:rPr>
            </w:pPr>
            <w:r>
              <w:rPr>
                <w:rFonts w:hint="eastAsia" w:ascii="楷体" w:hAnsi="楷体" w:eastAsia="楷体" w:cs="宋体"/>
                <w:b/>
                <w:bCs/>
                <w:kern w:val="0"/>
                <w:sz w:val="32"/>
                <w:szCs w:val="32"/>
              </w:rPr>
              <w:t>消除隐患数</w:t>
            </w:r>
          </w:p>
        </w:tc>
      </w:tr>
      <w:tr>
        <w:tblPrEx>
          <w:tblLayout w:type="fixed"/>
          <w:tblCellMar>
            <w:top w:w="0" w:type="dxa"/>
            <w:left w:w="108" w:type="dxa"/>
            <w:bottom w:w="0" w:type="dxa"/>
            <w:right w:w="108" w:type="dxa"/>
          </w:tblCellMar>
        </w:tblPrEx>
        <w:trPr>
          <w:trHeight w:val="78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s="宋体"/>
                <w:b/>
                <w:bCs/>
                <w:kern w:val="0"/>
                <w:sz w:val="32"/>
                <w:szCs w:val="32"/>
              </w:rPr>
            </w:pPr>
          </w:p>
        </w:tc>
        <w:tc>
          <w:tcPr>
            <w:tcW w:w="3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s="宋体"/>
                <w:b/>
                <w:bCs/>
                <w:kern w:val="0"/>
                <w:sz w:val="32"/>
                <w:szCs w:val="32"/>
              </w:rPr>
            </w:pPr>
          </w:p>
        </w:tc>
        <w:tc>
          <w:tcPr>
            <w:tcW w:w="25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s="宋体"/>
                <w:b/>
                <w:bCs/>
                <w:kern w:val="0"/>
                <w:sz w:val="32"/>
                <w:szCs w:val="32"/>
              </w:rPr>
            </w:pPr>
          </w:p>
        </w:tc>
        <w:tc>
          <w:tcPr>
            <w:tcW w:w="34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s="宋体"/>
                <w:b/>
                <w:bCs/>
                <w:kern w:val="0"/>
                <w:sz w:val="32"/>
                <w:szCs w:val="32"/>
              </w:rPr>
            </w:pPr>
          </w:p>
        </w:tc>
        <w:tc>
          <w:tcPr>
            <w:tcW w:w="106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s="宋体"/>
                <w:b/>
                <w:bCs/>
                <w:kern w:val="0"/>
                <w:sz w:val="32"/>
                <w:szCs w:val="32"/>
              </w:rPr>
            </w:pPr>
          </w:p>
        </w:tc>
        <w:tc>
          <w:tcPr>
            <w:tcW w:w="22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s="宋体"/>
                <w:b/>
                <w:bCs/>
                <w:kern w:val="0"/>
                <w:sz w:val="32"/>
                <w:szCs w:val="32"/>
              </w:rPr>
            </w:pPr>
          </w:p>
        </w:tc>
        <w:tc>
          <w:tcPr>
            <w:tcW w:w="10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s="宋体"/>
                <w:b/>
                <w:bCs/>
                <w:kern w:val="0"/>
                <w:sz w:val="32"/>
                <w:szCs w:val="32"/>
              </w:rPr>
            </w:pPr>
          </w:p>
        </w:tc>
        <w:tc>
          <w:tcPr>
            <w:tcW w:w="9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s="宋体"/>
                <w:b/>
                <w:bCs/>
                <w:kern w:val="0"/>
                <w:sz w:val="32"/>
                <w:szCs w:val="32"/>
              </w:rPr>
            </w:pPr>
          </w:p>
        </w:tc>
      </w:tr>
      <w:tr>
        <w:tblPrEx>
          <w:tblLayout w:type="fixed"/>
          <w:tblCellMar>
            <w:top w:w="0" w:type="dxa"/>
            <w:left w:w="108" w:type="dxa"/>
            <w:bottom w:w="0" w:type="dxa"/>
            <w:right w:w="108" w:type="dxa"/>
          </w:tblCellMar>
        </w:tblPrEx>
        <w:trPr>
          <w:trHeight w:val="795"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明溪县华莹选矿有限公司</w:t>
            </w:r>
          </w:p>
        </w:tc>
        <w:tc>
          <w:tcPr>
            <w:tcW w:w="25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坍塌、机械伤害、透水等风险</w:t>
            </w:r>
          </w:p>
        </w:tc>
        <w:tc>
          <w:tcPr>
            <w:tcW w:w="34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加强隐患排查</w:t>
            </w:r>
          </w:p>
        </w:tc>
        <w:tc>
          <w:tcPr>
            <w:tcW w:w="10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橙</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胡坊镇人民政府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兴泉铁路宁泉段XQNQ-2标项目部二工区</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铁路隧道作业安全及道路交通安全</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加强隐患排查及管控</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橙</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胡坊镇人民政府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2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兴泉铁路宁泉段XQNQ-2标项目部三工区</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铁路作业面操作安全及道路交通安全</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加强隐患排查及管控</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橙</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胡坊镇人民政府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85"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长兴萤石矿 非煤矿山 长兴村</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化学危险品、矿工井下作业，风险重大</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定期进行隐患排查</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橙</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夏阳乡人民政府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2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福建省明溪鑫磊矿业有限公司花园建筑石料厂</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山体滑坡、落石</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严格按矿山设计方案开采</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瀚仙镇人民政府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明溪县钰岩石材料加工厂上龙坑方解石矿山</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坑道塌方</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严格按矿山设计方案开采</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瀚仙镇人民政府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福建省隆兴工业燃气有限公司</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易燃、易爆</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严格按生产规程操作</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瀚仙镇人民政府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6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福建省明溪县火星化工有限公司</w:t>
            </w:r>
          </w:p>
        </w:tc>
        <w:tc>
          <w:tcPr>
            <w:tcW w:w="25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易燃、易爆</w:t>
            </w:r>
          </w:p>
        </w:tc>
        <w:tc>
          <w:tcPr>
            <w:tcW w:w="34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严格按生产规程操作</w:t>
            </w:r>
          </w:p>
        </w:tc>
        <w:tc>
          <w:tcPr>
            <w:tcW w:w="10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瀚仙镇人民政府</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明溪县金阳矿业洞采区</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火工品、洞采作业</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监管企业严格按照设计图纸和开采流程开采</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沙溪乡人民政府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9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沙溪旅顺加油站</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消防安全</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监督检查油库和加油区，严格遵守作业规程</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沙溪乡人民政府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3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明溪县华联硅业车间</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锅炉</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监管企业严格遵守作业规程</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沙溪乡人民政府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45"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“三合一”</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居住人员混杂，消防意识淡薄</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加强宣传和排查力度，逐项逐户整改化解安全隐患风险。</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雪峰镇人民政府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6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13</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“木屋毗邻区”城西社区民主路、陈家巷、水车巷、新井巷片区，中山社区三元路、新民巷、新村路、东横巷</w:t>
            </w:r>
          </w:p>
        </w:tc>
        <w:tc>
          <w:tcPr>
            <w:tcW w:w="2540" w:type="dxa"/>
            <w:tcBorders>
              <w:top w:val="nil"/>
              <w:left w:val="nil"/>
              <w:bottom w:val="single" w:color="auto" w:sz="4" w:space="0"/>
              <w:right w:val="single" w:color="auto" w:sz="4" w:space="0"/>
            </w:tcBorders>
            <w:shd w:val="clear" w:color="auto" w:fill="auto"/>
            <w:noWrap w:val="0"/>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耐火等级低，房屋连着房屋，成片分布，防火间距小，存在严重火灾隐患，道路狭窄。</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加强宣传和排查力度，逐项逐户整改化解安全隐患风险。</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雪峰镇人民政府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935"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明溪昌盛液化气有限公司</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液化气泄露，易燃易爆，危险化学品</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建立完善重大危险源安全管理规章制度和安全操作规程并采取有效措施保证执行到位；配备泄露监测报警装置；定期检查；开展应急演练，做好员工的培训教育。</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城关乡人民政府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855"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湖上村小蔗坑</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有5家木制号企业，企业比较集中，人员较多，风险较大。</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加大检查力度，定期排查安全隐患</w:t>
            </w:r>
            <w:bookmarkStart w:id="0" w:name="_GoBack"/>
            <w:bookmarkEnd w:id="0"/>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盖洋镇人民政府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9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16</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明溪县盖洋镇永诚加油站</w:t>
            </w:r>
          </w:p>
        </w:tc>
        <w:tc>
          <w:tcPr>
            <w:tcW w:w="25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危化品，流动人口多，风险大。</w:t>
            </w:r>
          </w:p>
        </w:tc>
        <w:tc>
          <w:tcPr>
            <w:tcW w:w="34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加大检查力度，定期排查安全隐患</w:t>
            </w:r>
          </w:p>
        </w:tc>
        <w:tc>
          <w:tcPr>
            <w:tcW w:w="10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w:t>
            </w:r>
          </w:p>
        </w:tc>
        <w:tc>
          <w:tcPr>
            <w:tcW w:w="221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盖洋镇人民政府</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4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17</w:t>
            </w:r>
          </w:p>
        </w:tc>
        <w:tc>
          <w:tcPr>
            <w:tcW w:w="3560" w:type="dxa"/>
            <w:tcBorders>
              <w:top w:val="nil"/>
              <w:left w:val="nil"/>
              <w:bottom w:val="single" w:color="auto" w:sz="4" w:space="0"/>
              <w:right w:val="single" w:color="auto" w:sz="4" w:space="0"/>
            </w:tcBorders>
            <w:shd w:val="clear" w:color="auto" w:fill="auto"/>
            <w:noWrap w:val="0"/>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宏冠大厦、欧华商住楼、宝发大厦、金</w:t>
            </w:r>
            <w:r>
              <w:rPr>
                <w:rFonts w:hint="eastAsia" w:ascii="宋体" w:hAnsi="宋体" w:cs="宋体"/>
                <w:kern w:val="0"/>
                <w:sz w:val="24"/>
              </w:rPr>
              <w:t>荗</w:t>
            </w:r>
            <w:r>
              <w:rPr>
                <w:rFonts w:hint="eastAsia" w:ascii="仿宋_GB2312" w:hAnsi="仿宋_GB2312" w:eastAsia="仿宋_GB2312" w:cs="仿宋_GB2312"/>
                <w:kern w:val="0"/>
                <w:sz w:val="24"/>
              </w:rPr>
              <w:t>商住楼、箭岗小区、万乘华府、紫云佳苑</w:t>
            </w:r>
            <w:r>
              <w:rPr>
                <w:rFonts w:hint="eastAsia" w:ascii="仿宋_GB2312" w:hAnsi="宋体" w:eastAsia="仿宋_GB2312" w:cs="宋体"/>
                <w:kern w:val="0"/>
                <w:sz w:val="24"/>
              </w:rPr>
              <w:t>2.3.4号商住楼、木碗厂限价房。</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无物业管理、存在消防安全隐患风险问题</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筹划建立业主委员会，加强自主管理；</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雪峰镇人民政府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46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18</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明溪县鑫辉矿业有限公司</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存在雷管储存和进出库引发爆炸风险</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建立完善重大危险源安全管理规章制度和安全操作规程并采取有效措施保证执行到位；按标准设置防雷、放静电装置；设置监控室由专人24小时值守；配备消防器材；定期检查；开展应急演练，做好员工的培训教育。</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城关乡人民政府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875"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19</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三明市久仁矿业有限公司）</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有限空间、气体中毒</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建立完善重大危险源安全管理规章制度和安全操作规程并采取有效措施保证执行到位；配备泄露监测报警装置；定期检查；开展应急演练，做好员工的培训教育。</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城关乡人民政府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8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新农强养殖厂</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有限空间、气体中毒</w:t>
            </w:r>
          </w:p>
        </w:tc>
        <w:tc>
          <w:tcPr>
            <w:tcW w:w="3400" w:type="dxa"/>
            <w:tcBorders>
              <w:top w:val="nil"/>
              <w:left w:val="nil"/>
              <w:bottom w:val="single" w:color="auto" w:sz="4" w:space="0"/>
              <w:right w:val="single" w:color="auto" w:sz="4" w:space="0"/>
            </w:tcBorders>
            <w:shd w:val="clear" w:color="auto" w:fill="auto"/>
            <w:noWrap w:val="0"/>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加大检查力度</w:t>
            </w:r>
            <w:r>
              <w:rPr>
                <w:rFonts w:hint="eastAsia" w:ascii="仿宋_GB2312" w:hAnsi="宋体" w:eastAsia="仿宋_GB2312" w:cs="宋体"/>
                <w:kern w:val="0"/>
                <w:sz w:val="24"/>
              </w:rPr>
              <w:t>，</w:t>
            </w:r>
            <w:r>
              <w:rPr>
                <w:rFonts w:hint="eastAsia" w:ascii="仿宋_GB2312" w:hAnsi="宋体" w:eastAsia="仿宋_GB2312" w:cs="宋体"/>
                <w:color w:val="000000"/>
                <w:kern w:val="0"/>
                <w:sz w:val="24"/>
              </w:rPr>
              <w:t>做好员工的培训教育。</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城关乡人民政府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425"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21</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兴业萤石矿</w:t>
            </w:r>
          </w:p>
        </w:tc>
        <w:tc>
          <w:tcPr>
            <w:tcW w:w="25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地下矿山存在井下同时8人作业</w:t>
            </w:r>
          </w:p>
        </w:tc>
        <w:tc>
          <w:tcPr>
            <w:tcW w:w="34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加大检查频率，督促企业落实防中毒窒息、透水等各项措施，落实每月自查自纠，开展应急演练，做好员工的培训教育。</w:t>
            </w:r>
          </w:p>
        </w:tc>
        <w:tc>
          <w:tcPr>
            <w:tcW w:w="10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蓝</w:t>
            </w:r>
          </w:p>
        </w:tc>
        <w:tc>
          <w:tcPr>
            <w:tcW w:w="221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城关乡人民政府</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p>
        </w:tc>
        <w:tc>
          <w:tcPr>
            <w:tcW w:w="9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425"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22</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金鑫萤石矿</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地下矿山存在井下同时8人作业</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加大检查频率，督促企业落实防中毒窒息、透水等各项措施，落实每月自查自纠，开展应急演练，做好员工的培训教育。</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城关乡人民政府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855"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23</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六合水尾至碧州乡道</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碧州村布上至六合村上地道路临崖路段较多，存在道路安全隐患</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正联系设计单位进行设计，安装安全护栏、警示标志等</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沙溪乡人民政府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24</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瑶奢村溪尾桥</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建设年限较久、桥面桥基受损，存在安全隐患</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已完成设计、预算，加快重建进度</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沙溪乡人民政府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71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夏坊德元加油站</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易燃易爆液体</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1.完善规章制度，督促制度落实，重点时间加强巡检；2.配备消防设施设备、应急器材、视频监控；3.每季度组织安全隐患排查，发现问题立即整改</w:t>
            </w:r>
            <w:r>
              <w:rPr>
                <w:rFonts w:hint="eastAsia" w:ascii="仿宋_GB2312" w:hAnsi="宋体" w:eastAsia="仿宋_GB2312" w:cs="宋体"/>
                <w:color w:val="000000"/>
                <w:kern w:val="0"/>
                <w:sz w:val="24"/>
              </w:rPr>
              <w:t>。</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夏坊乡人民政府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71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26</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明溪县夏森木业有限公司</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消防隐患场所</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hint="eastAsia" w:ascii="仿宋_GB2312" w:hAnsi="宋体" w:eastAsia="仿宋_GB2312" w:cs="宋体"/>
                <w:kern w:val="0"/>
                <w:sz w:val="24"/>
              </w:rPr>
              <w:t>.开展拉网式、全覆盖大检查，督促企业深入开展办公生活场所、厂区等区域安全隐患自查自纠、制定并执行管控措施；2.每季度组织安全隐患排查，发现问题立即整改。</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夏坊乡人民政府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71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27</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明溪县冠豪木业有限公司</w:t>
            </w:r>
          </w:p>
        </w:tc>
        <w:tc>
          <w:tcPr>
            <w:tcW w:w="25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消防隐患场所</w:t>
            </w:r>
          </w:p>
        </w:tc>
        <w:tc>
          <w:tcPr>
            <w:tcW w:w="34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1.开展拉网式、全覆盖大检查，督促企业深入开展办公生活场所、厂区等区域安全隐患自查自纠、制定并执行管控措施；2.每季度组织安全隐患排查，发现问题立即</w:t>
            </w:r>
            <w:r>
              <w:rPr>
                <w:rFonts w:hint="eastAsia" w:ascii="仿宋_GB2312" w:hAnsi="宋体" w:eastAsia="仿宋_GB2312" w:cs="宋体"/>
                <w:color w:val="000000"/>
                <w:kern w:val="0"/>
                <w:sz w:val="24"/>
              </w:rPr>
              <w:t>整改。</w:t>
            </w:r>
          </w:p>
        </w:tc>
        <w:tc>
          <w:tcPr>
            <w:tcW w:w="10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夏坊乡人民政府</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4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28</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枫溪至官坊村</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高速公路建设重车较多，道路弯多、路小、路面下陷严重，容易引发交通事故。</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加大宣传力度，增设安全警示标志，加强驾驶员安全培训。</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枫溪乡人民政府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4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29</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枫溪至华山村</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高速公路建设重车较多，道路弯多、路小、路面下陷严重，容易引发交通事故。</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加大宣传力度，增设安全警示标志，加强驾驶员安全培训。</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枫溪乡人民政府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4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30</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枫溪至熊地村</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高速公路建设重车较多，道路弯多、路小、路面下陷严重，容易引发交通事故。</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加大宣传力度，增设安全警示标志，加强驾驶员安全培训。</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枫溪乡人民政府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40"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31</w:t>
            </w:r>
          </w:p>
        </w:tc>
        <w:tc>
          <w:tcPr>
            <w:tcW w:w="35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莆炎高速公路建设YA5、YA6项目建设施工段</w:t>
            </w:r>
          </w:p>
        </w:tc>
        <w:tc>
          <w:tcPr>
            <w:tcW w:w="254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隧道、桥梁、施工便道多，工地施工人员复杂，施工车辆出入多，雨季容易出现滑坡</w:t>
            </w:r>
          </w:p>
        </w:tc>
        <w:tc>
          <w:tcPr>
            <w:tcW w:w="34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加大宣传力度，定期开展巡查，增设安全警示标志。</w:t>
            </w:r>
          </w:p>
        </w:tc>
        <w:tc>
          <w:tcPr>
            <w:tcW w:w="1066"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w:t>
            </w:r>
          </w:p>
        </w:tc>
        <w:tc>
          <w:tcPr>
            <w:tcW w:w="2214"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枫溪乡人民政府</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10" w:hRule="atLeast"/>
          <w:jc w:val="center"/>
        </w:trPr>
        <w:tc>
          <w:tcPr>
            <w:tcW w:w="70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500" w:type="dxa"/>
            <w:gridSpan w:val="3"/>
            <w:tcBorders>
              <w:top w:val="nil"/>
              <w:left w:val="nil"/>
              <w:bottom w:val="nil"/>
              <w:right w:val="nil"/>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其中：橙：4处、黄：12处、蓝：15处。</w:t>
            </w:r>
          </w:p>
        </w:tc>
        <w:tc>
          <w:tcPr>
            <w:tcW w:w="1066" w:type="dxa"/>
            <w:tcBorders>
              <w:top w:val="nil"/>
              <w:left w:val="nil"/>
              <w:bottom w:val="nil"/>
              <w:right w:val="nil"/>
            </w:tcBorders>
            <w:shd w:val="clear" w:color="auto" w:fill="auto"/>
            <w:noWrap w:val="0"/>
            <w:vAlign w:val="center"/>
          </w:tcPr>
          <w:p>
            <w:pPr>
              <w:widowControl/>
              <w:jc w:val="left"/>
              <w:rPr>
                <w:rFonts w:ascii="仿宋_GB2312" w:hAnsi="宋体" w:eastAsia="仿宋_GB2312" w:cs="宋体"/>
                <w:kern w:val="0"/>
                <w:sz w:val="24"/>
              </w:rPr>
            </w:pPr>
          </w:p>
        </w:tc>
        <w:tc>
          <w:tcPr>
            <w:tcW w:w="2214" w:type="dxa"/>
            <w:tcBorders>
              <w:top w:val="nil"/>
              <w:left w:val="nil"/>
              <w:bottom w:val="nil"/>
              <w:right w:val="nil"/>
            </w:tcBorders>
            <w:shd w:val="clear" w:color="auto" w:fill="auto"/>
            <w:noWrap w:val="0"/>
            <w:vAlign w:val="center"/>
          </w:tcPr>
          <w:p>
            <w:pPr>
              <w:widowControl/>
              <w:jc w:val="left"/>
              <w:rPr>
                <w:rFonts w:ascii="仿宋_GB2312" w:hAnsi="宋体" w:eastAsia="仿宋_GB2312" w:cs="宋体"/>
                <w:kern w:val="0"/>
                <w:sz w:val="24"/>
              </w:rPr>
            </w:pPr>
          </w:p>
        </w:tc>
        <w:tc>
          <w:tcPr>
            <w:tcW w:w="100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bl>
    <w:p>
      <w:pPr>
        <w:spacing w:line="600" w:lineRule="exact"/>
        <w:ind w:firstLine="280" w:firstLineChars="100"/>
        <w:rPr>
          <w:rFonts w:hint="eastAsia" w:ascii="仿宋_GB2312" w:hAnsi="仿宋_GB2312" w:eastAsia="仿宋_GB2312" w:cs="仿宋_GB2312"/>
          <w:sz w:val="28"/>
          <w:szCs w:val="28"/>
        </w:rPr>
      </w:pPr>
    </w:p>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FA4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2019-04-28T09:12:43Z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