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rPr>
      </w:pPr>
      <w:r>
        <w:rPr>
          <w:rFonts w:hint="eastAsia" w:ascii="黑体" w:eastAsia="黑体"/>
        </w:rPr>
        <w:t>附件9</w:t>
      </w:r>
    </w:p>
    <w:p>
      <w:pPr>
        <w:rPr>
          <w:rFonts w:hint="eastAsia" w:ascii="华文中宋" w:hAnsi="华文中宋" w:eastAsia="华文中宋"/>
          <w:b/>
          <w:sz w:val="36"/>
          <w:szCs w:val="36"/>
        </w:rPr>
      </w:pPr>
    </w:p>
    <w:p>
      <w:pPr>
        <w:rPr>
          <w:rFonts w:hint="eastAsia" w:ascii="华文中宋" w:hAnsi="华文中宋" w:eastAsia="华文中宋"/>
          <w:b/>
          <w:sz w:val="36"/>
          <w:szCs w:val="36"/>
        </w:rPr>
      </w:pPr>
      <w:bookmarkStart w:id="0" w:name="fwjg"/>
      <w:r>
        <w:rPr>
          <w:rFonts w:hint="eastAsia" w:ascii="华文中宋" w:hAnsi="华文中宋" w:eastAsia="华文中宋"/>
          <w:b/>
          <w:sz w:val="36"/>
          <w:szCs w:val="36"/>
        </w:rPr>
        <w:pict>
          <v:shape id="_x0000_s1026" o:spid="_x0000_s1026" o:spt="136" type="#_x0000_t136" style="position:absolute;left:0pt;margin-left:0pt;margin-top:0pt;height:45.75pt;width:425.25pt;z-index:251659264;mso-width-relative:page;mso-height-relative:page;" fillcolor="#FF0000" filled="t" stroked="f" coordsize="21600,21600">
            <v:path/>
            <v:fill on="t" focussize="0,0"/>
            <v:stroke on="f"/>
            <v:imagedata o:title=""/>
            <o:lock v:ext="edit"/>
            <v:textpath on="t" fitshape="t" fitpath="t" trim="t" xscale="f" string="福建省人民政府安全生产委员会办公室文件" style="font-family:方正小标宋简体;font-size:36pt;v-rotate-letters:f;v-same-letter-heights:f;v-text-align:center;"/>
          </v:shape>
        </w:pict>
      </w:r>
      <w:bookmarkEnd w:id="0"/>
    </w:p>
    <w:p>
      <w:pPr>
        <w:spacing w:line="560" w:lineRule="exact"/>
        <w:rPr>
          <w:rFonts w:hint="eastAsia"/>
          <w:color w:val="FF0000"/>
        </w:rPr>
      </w:pPr>
    </w:p>
    <w:p>
      <w:pPr>
        <w:spacing w:line="700" w:lineRule="exact"/>
        <w:rPr>
          <w:rFonts w:hint="eastAsia" w:ascii="仿宋_GB2312" w:hAnsi="华文中宋"/>
        </w:rPr>
      </w:pPr>
    </w:p>
    <w:p>
      <w:pPr>
        <w:spacing w:line="540" w:lineRule="exact"/>
        <w:jc w:val="center"/>
        <w:rPr>
          <w:rFonts w:hint="eastAsia" w:ascii="仿宋_GB2312" w:hAnsi="华文中宋" w:eastAsia="仿宋_GB2312"/>
        </w:rPr>
      </w:pPr>
      <w:r>
        <w:rPr>
          <w:rFonts w:hint="eastAsia" w:ascii="仿宋_GB2312" w:hAnsi="华文中宋" w:eastAsia="仿宋_GB2312"/>
        </w:rPr>
        <w:t>闽安委办〔2019〕18号</w:t>
      </w:r>
    </w:p>
    <w:p>
      <w:pPr>
        <w:spacing w:line="540" w:lineRule="exact"/>
        <w:jc w:val="center"/>
        <w:rPr>
          <w:rStyle w:val="7"/>
          <w:rFonts w:hint="eastAsia"/>
        </w:rPr>
      </w:pPr>
      <w:bookmarkStart w:id="1" w:name="hx"/>
      <w:r>
        <w:rPr>
          <w:rFonts w:hint="eastAsia"/>
          <w:color w:val="FF0000"/>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120650</wp:posOffset>
                </wp:positionV>
                <wp:extent cx="5598160" cy="0"/>
                <wp:effectExtent l="0" t="19050" r="2540" b="19050"/>
                <wp:wrapNone/>
                <wp:docPr id="1" name="直接连接符 1"/>
                <wp:cNvGraphicFramePr/>
                <a:graphic xmlns:a="http://schemas.openxmlformats.org/drawingml/2006/main">
                  <a:graphicData uri="http://schemas.microsoft.com/office/word/2010/wordprocessingShape">
                    <wps:wsp>
                      <wps:cNvSpPr/>
                      <wps:spPr>
                        <a:xfrm>
                          <a:off x="0" y="0"/>
                          <a:ext cx="559816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pt;margin-top:9.5pt;height:0pt;width:440.8pt;z-index:251658240;mso-width-relative:page;mso-height-relative:page;" filled="f" stroked="t" coordsize="21600,21600" o:gfxdata="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TCxJ9oAAAAJAQAADwAA&#10;AAAAAAABACAAAAAiAAAAZHJzL2Rvd25yZXYueG1sUEsBAhQAFAAAAAgAh07iQMpq2yzbAQAAlwMA&#10;AA4AAAAAAAAAAQAgAAAAKQEAAGRycy9lMm9Eb2MueG1sUEsFBgAAAAAGAAYAWQEAAHYFAAAAAA==&#10;">
                <v:fill on="f" focussize="0,0"/>
                <v:stroke weight="3pt" color="#FF0000" joinstyle="round"/>
                <v:imagedata o:title=""/>
                <o:lock v:ext="edit" aspectratio="f"/>
              </v:line>
            </w:pict>
          </mc:Fallback>
        </mc:AlternateContent>
      </w:r>
      <w:bookmarkEnd w:id="1"/>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福建省人民政府安委会办公室 福建省应急</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管理厅印发福建省开展危险化学品等重点行业</w:t>
      </w:r>
      <w:r>
        <w:rPr>
          <w:rFonts w:hint="eastAsia" w:ascii="方正小标宋简体" w:eastAsia="方正小标宋简体"/>
          <w:spacing w:val="-8"/>
          <w:sz w:val="44"/>
          <w:szCs w:val="44"/>
        </w:rPr>
        <w:t>领域安全生产专项执法检查实施方案的通知</w:t>
      </w:r>
    </w:p>
    <w:p>
      <w:pPr>
        <w:spacing w:line="600" w:lineRule="exact"/>
        <w:jc w:val="center"/>
        <w:rPr>
          <w:rFonts w:hint="eastAsia" w:ascii="方正小标宋简体" w:eastAsia="方正小标宋简体"/>
          <w:sz w:val="44"/>
          <w:szCs w:val="44"/>
        </w:rPr>
      </w:pPr>
    </w:p>
    <w:p>
      <w:pPr>
        <w:spacing w:line="600" w:lineRule="exact"/>
        <w:rPr>
          <w:rFonts w:hint="eastAsia" w:ascii="仿宋_GB2312" w:eastAsia="仿宋_GB2312"/>
        </w:rPr>
      </w:pPr>
      <w:r>
        <w:rPr>
          <w:rFonts w:hint="eastAsia" w:ascii="仿宋_GB2312" w:eastAsia="仿宋_GB2312"/>
        </w:rPr>
        <w:t>各设区市人民政府及平潭综合实验区管委会安委会，各设区市应急管理（安监）局，平潭综合实验区安监局：</w:t>
      </w:r>
    </w:p>
    <w:p>
      <w:pPr>
        <w:spacing w:line="600" w:lineRule="exact"/>
        <w:ind w:firstLine="608" w:firstLineChars="200"/>
        <w:rPr>
          <w:rFonts w:hint="eastAsia" w:ascii="仿宋_GB2312" w:eastAsia="仿宋_GB2312"/>
        </w:rPr>
      </w:pPr>
      <w:r>
        <w:rPr>
          <w:rFonts w:hint="eastAsia" w:ascii="仿宋_GB2312" w:eastAsia="仿宋_GB2312"/>
        </w:rPr>
        <w:t>现将《福建省开展危险化学品等重点行业领域安全生产专项执法检查实施方案》印发给你们，请认真组织实施。</w:t>
      </w:r>
    </w:p>
    <w:p>
      <w:pPr>
        <w:spacing w:line="600" w:lineRule="exact"/>
        <w:ind w:firstLine="645"/>
        <w:rPr>
          <w:rFonts w:hint="eastAsia" w:ascii="仿宋_GB2312" w:eastAsia="仿宋_GB2312"/>
        </w:rPr>
      </w:pPr>
    </w:p>
    <w:p>
      <w:pPr>
        <w:wordWrap w:val="0"/>
        <w:spacing w:line="600" w:lineRule="exact"/>
        <w:ind w:right="139" w:rightChars="46"/>
        <w:jc w:val="right"/>
        <w:rPr>
          <w:rFonts w:hint="eastAsia" w:ascii="仿宋_GB2312" w:eastAsia="仿宋_GB2312"/>
          <w:spacing w:val="-10"/>
        </w:rPr>
      </w:pPr>
      <w:r>
        <w:rPr>
          <w:rFonts w:hint="eastAsia" w:ascii="仿宋_GB2312" w:eastAsia="仿宋_GB2312"/>
          <w:spacing w:val="-10"/>
        </w:rPr>
        <w:t>福建省人民政府安全生产委员会办公室         福建省应急管理厅</w:t>
      </w:r>
    </w:p>
    <w:p>
      <w:pPr>
        <w:spacing w:line="600" w:lineRule="exact"/>
        <w:ind w:right="139" w:rightChars="46"/>
        <w:jc w:val="right"/>
        <w:rPr>
          <w:rFonts w:hint="eastAsia" w:ascii="仿宋_GB2312" w:eastAsia="仿宋_GB2312"/>
        </w:rPr>
      </w:pPr>
      <w:r>
        <w:rPr>
          <w:rFonts w:hint="eastAsia" w:ascii="仿宋_GB2312" w:eastAsia="仿宋_GB2312"/>
        </w:rPr>
        <w:t xml:space="preserve"> 2019年3月29日</w:t>
      </w:r>
    </w:p>
    <w:p>
      <w:pPr>
        <w:spacing w:line="600" w:lineRule="exact"/>
        <w:ind w:firstLine="608" w:firstLineChars="200"/>
        <w:rPr>
          <w:rFonts w:hint="eastAsia" w:ascii="仿宋_GB2312" w:eastAsia="仿宋_GB2312"/>
        </w:rPr>
      </w:pPr>
      <w:r>
        <w:rPr>
          <w:rFonts w:hint="eastAsia" w:ascii="仿宋_GB2312" w:eastAsia="仿宋_GB2312"/>
        </w:rPr>
        <w:t>（此件主动公开）</w:t>
      </w:r>
    </w:p>
    <w:p>
      <w:pPr>
        <w:spacing w:line="600" w:lineRule="exact"/>
        <w:jc w:val="center"/>
        <w:rPr>
          <w:rFonts w:hint="eastAsia" w:ascii="仿宋_GB2312" w:eastAsia="仿宋_GB2312"/>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福建省开展危险化学品等重点行业领域</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安全生产专项执法检查实施方案</w:t>
      </w:r>
    </w:p>
    <w:p>
      <w:pPr>
        <w:spacing w:line="600" w:lineRule="exact"/>
        <w:ind w:firstLine="645"/>
        <w:rPr>
          <w:rFonts w:hint="eastAsia" w:ascii="仿宋_GB2312"/>
        </w:rPr>
      </w:pPr>
    </w:p>
    <w:p>
      <w:pPr>
        <w:spacing w:line="600" w:lineRule="exact"/>
        <w:ind w:firstLine="645"/>
        <w:rPr>
          <w:rFonts w:hint="eastAsia" w:ascii="仿宋_GB2312" w:hAnsi="黑体" w:eastAsia="仿宋_GB2312"/>
        </w:rPr>
      </w:pPr>
      <w:r>
        <w:rPr>
          <w:rFonts w:hint="eastAsia" w:ascii="仿宋_GB2312" w:eastAsia="仿宋_GB2312"/>
        </w:rPr>
        <w:t>为深刻吸取近期重特大事故教训，切实加强安全生产工作，有效防范和坚决遏制重特大事故，根据《国务院安委会办公室  应急管理部关于开展危险化学品等重点行业领域安全生产专项执法检查的通知》（安委办明电〔2019〕4号）和省政府主要领导批示要求，自即日起在全省开展为期1个月的危险化学品等重点行业领域安全生产专项执法检查，制定如下实施方案。</w:t>
      </w:r>
    </w:p>
    <w:p>
      <w:pPr>
        <w:spacing w:line="600" w:lineRule="exact"/>
        <w:ind w:firstLine="645"/>
        <w:rPr>
          <w:rFonts w:hint="eastAsia" w:ascii="仿宋_GB2312"/>
        </w:rPr>
      </w:pPr>
      <w:r>
        <w:rPr>
          <w:rFonts w:hint="eastAsia" w:ascii="黑体" w:hAnsi="黑体" w:eastAsia="黑体"/>
        </w:rPr>
        <w:t>一、总体要求</w:t>
      </w:r>
    </w:p>
    <w:p>
      <w:pPr>
        <w:spacing w:line="600" w:lineRule="exact"/>
        <w:ind w:firstLine="645"/>
        <w:rPr>
          <w:rFonts w:hint="eastAsia" w:ascii="仿宋_GB2312" w:hAnsi="黑体" w:eastAsia="仿宋_GB2312"/>
        </w:rPr>
      </w:pPr>
      <w:r>
        <w:rPr>
          <w:rFonts w:hint="eastAsia" w:ascii="仿宋_GB2312" w:eastAsia="仿宋_GB2312"/>
        </w:rPr>
        <w:t>认真贯彻落实习近平总书记重要指示精神和李克强总理等中央领导同志批示要求，以及省委常委会会议、省政府常务会议精神和于伟国书记、唐登杰省长等省领导批示要求，深刻吸取近期重特大事故教训，举一反三，亡羊补牢，严格落实安全生产责任制，以危险化学品、煤矿、非煤矿山、消防等行业领域为重点，集中开展专项执法检查，深入排查并消除安全隐患，有效防范和坚决遏制重特大事故，确保人民群众生命和财产安全。要通过专项执法检查，依法严惩一批违法违规行为，彻底治理一批重大安全隐患，关闭取缔一批违法违规和不具备安全生产条件的企业，联合惩戒一批严重失信企业，问责曝光一批责任不落实、措施不力的单位和个人。</w:t>
      </w:r>
      <w:r>
        <w:rPr>
          <w:rFonts w:hint="eastAsia" w:ascii="仿宋_GB2312" w:hAnsi="仿宋" w:eastAsia="仿宋_GB2312"/>
        </w:rPr>
        <w:t>要严字当头，敢于动真碰硬，</w:t>
      </w:r>
      <w:r>
        <w:rPr>
          <w:rFonts w:hint="eastAsia" w:ascii="仿宋_GB2312" w:eastAsia="仿宋_GB2312"/>
        </w:rPr>
        <w:t>严抓严管，</w:t>
      </w:r>
      <w:r>
        <w:rPr>
          <w:rFonts w:hint="eastAsia" w:ascii="仿宋_GB2312" w:hAnsi="仿宋" w:eastAsia="仿宋_GB2312"/>
        </w:rPr>
        <w:t>该停的停，该关的关，该问责的问责，真正让安全执法长出“钢牙利齿”，</w:t>
      </w:r>
      <w:r>
        <w:rPr>
          <w:rFonts w:hint="eastAsia" w:ascii="仿宋_GB2312" w:hAnsi="仿宋" w:eastAsia="仿宋_GB2312" w:cs="宋体"/>
          <w:kern w:val="0"/>
        </w:rPr>
        <w:t>以最坚决的态度、最严格的要求、最严厉的举措、最严肃的问责抓好安全生产工作。</w:t>
      </w:r>
    </w:p>
    <w:p>
      <w:pPr>
        <w:spacing w:line="600" w:lineRule="exact"/>
        <w:ind w:firstLine="645"/>
        <w:rPr>
          <w:rFonts w:hint="eastAsia" w:ascii="黑体" w:hAnsi="黑体" w:eastAsia="黑体"/>
        </w:rPr>
      </w:pPr>
      <w:r>
        <w:rPr>
          <w:rFonts w:hint="eastAsia" w:ascii="黑体" w:hAnsi="黑体" w:eastAsia="黑体"/>
        </w:rPr>
        <w:t>二、执法检查重点内容</w:t>
      </w:r>
    </w:p>
    <w:p>
      <w:pPr>
        <w:spacing w:line="600" w:lineRule="exact"/>
        <w:ind w:firstLine="596" w:firstLineChars="196"/>
        <w:rPr>
          <w:rFonts w:hint="eastAsia" w:ascii="仿宋_GB2312" w:eastAsia="仿宋_GB2312"/>
          <w:b/>
        </w:rPr>
      </w:pPr>
      <w:r>
        <w:rPr>
          <w:rFonts w:hint="eastAsia" w:ascii="楷体_GB2312" w:eastAsia="楷体_GB2312"/>
          <w:b/>
        </w:rPr>
        <w:t>（一）危险化学品。</w:t>
      </w:r>
      <w:r>
        <w:rPr>
          <w:rFonts w:hint="eastAsia" w:ascii="仿宋_GB2312" w:eastAsia="仿宋_GB2312"/>
        </w:rPr>
        <w:t>按照《化工和危险化学品生产经营单位重大生产安全事故隐患判定标准（试行）》，</w:t>
      </w:r>
      <w:r>
        <w:rPr>
          <w:rFonts w:hint="eastAsia" w:ascii="仿宋_GB2312" w:hAnsi="黑体" w:eastAsia="仿宋_GB2312"/>
        </w:rPr>
        <w:t>对所有涉及重点监管危险化工工艺、重点监管危险化学品和危险化学品重大危险源的危险化学品生产企业，以及构成重大危险源的带储存经营企业（以下简称“两重点一重大”企业）进行全覆盖专项执法检查。</w:t>
      </w:r>
      <w:r>
        <w:rPr>
          <w:rFonts w:hint="eastAsia" w:ascii="仿宋_GB2312" w:eastAsia="仿宋_GB2312"/>
        </w:rPr>
        <w:t>一查自动化控制设施改造使用情况；二查涉危工艺装置安全仪表系统配备使用情况；三查涉危工艺如硝化、氧化等反应系统泄爆管和紧急排放系统设置使用情况；四查涉危工艺操作人员专业、学历等情况；五查涉危工艺反应产品（含中间产品）储存安全管理情况；六查</w:t>
      </w:r>
      <w:r>
        <w:rPr>
          <w:rFonts w:hint="eastAsia" w:ascii="仿宋_GB2312" w:hAnsi="黑体" w:eastAsia="仿宋_GB2312"/>
        </w:rPr>
        <w:t>易燃易爆废弃危险化学品储存情况，特别是涉危工艺如硝化、氧化等反应的危险废物储存及监管责任落实情况。</w:t>
      </w:r>
      <w:r>
        <w:rPr>
          <w:rFonts w:hint="eastAsia" w:ascii="仿宋_GB2312" w:eastAsia="仿宋_GB2312"/>
        </w:rPr>
        <w:t>同时，要对化工园区区域安全风险评估与整改情况进行检查，特别是园区内企业对周边单位的安全影响情况。</w:t>
      </w:r>
    </w:p>
    <w:p>
      <w:pPr>
        <w:spacing w:line="600" w:lineRule="exact"/>
        <w:ind w:firstLine="645"/>
        <w:rPr>
          <w:rFonts w:hint="eastAsia" w:ascii="仿宋_GB2312" w:hAnsi="宋体" w:eastAsia="仿宋_GB2312"/>
          <w:b/>
        </w:rPr>
      </w:pPr>
      <w:r>
        <w:rPr>
          <w:rFonts w:hint="eastAsia" w:ascii="楷体_GB2312" w:eastAsia="楷体_GB2312"/>
          <w:b/>
        </w:rPr>
        <w:t>（二）煤矿。</w:t>
      </w:r>
      <w:r>
        <w:rPr>
          <w:rFonts w:hint="eastAsia" w:ascii="仿宋_GB2312" w:eastAsia="仿宋_GB2312"/>
        </w:rPr>
        <w:t>结合正在开展的煤矿安全“体检”工作，重点对水文地质类型中等、瓦斯管理较为薄弱、火灾防范存在缺陷、单班下井人数50人以上、近三年来的事故矿井、停工停产煤矿等安全风险较大的煤矿进行专项执法检查。一查煤矿企业安全生产主体责任落实情况，各类专业技术人员配备是否齐全，是否严格执行矿长带班下井、安全生产承诺等制度；二查是否存在“五假五超三瞒三不”违法违规行为（“五假”：假整改、假密闭、假数据、假图纸、假报告；“五超”：超层越界、超能力、超强度、超定员、证照超期；“三瞒”：隐瞒作业地点、隐瞒作业人数、瞒报谎报事故；“三不”：不具备法定办矿条件、不经批准擅自复工复产、拒不执行指令仍然生产）；是否存在非正规开采、以掘代采、违法用工等违规行为；三查矿井主要生产安全系统和重大灾害治理情况，是否存在通风系统不完善、不可靠，采掘接续紧张，安全监控、井下人员位置监测系统等运行不正常，人为损坏监控系统传感器，篡改监控数据，瓦斯、水、火、冲击地压等重大灾害治理机构和人员不健全，灾害治理工程不到位、效果不达标等；四查煤矿复工复产验收情况，严</w:t>
      </w:r>
      <w:r>
        <w:rPr>
          <w:rFonts w:hint="eastAsia" w:ascii="仿宋_GB2312" w:hAnsi="宋体" w:eastAsia="仿宋_GB2312"/>
        </w:rPr>
        <w:t>把验收审查关口，复工复产前是否全面排查各生产系统、各环节、各岗位事故隐患，并组织进行安全风险分析研判等；</w:t>
      </w:r>
      <w:r>
        <w:rPr>
          <w:rFonts w:hint="eastAsia" w:ascii="仿宋_GB2312" w:eastAsia="仿宋_GB2312"/>
        </w:rPr>
        <w:t>五查煤矿建设项目是否按照审查批复的设计组织施工，是否存在边建设边生产、假建设真生产等安全生产违法违规行为；六查停工停产煤矿是否落实值班值守等制度和安全措施，地方监管部门是否落实巡查检查和盯守责任，是否存在擅自复工复产等非法违法生产建设行为。</w:t>
      </w:r>
    </w:p>
    <w:p>
      <w:pPr>
        <w:spacing w:line="600" w:lineRule="exact"/>
        <w:ind w:firstLine="645"/>
        <w:rPr>
          <w:rFonts w:hint="eastAsia" w:ascii="仿宋_GB2312" w:eastAsia="仿宋_GB2312"/>
        </w:rPr>
      </w:pPr>
      <w:r>
        <w:rPr>
          <w:rFonts w:hint="eastAsia" w:ascii="楷体_GB2312" w:hAnsi="宋体" w:eastAsia="楷体_GB2312"/>
          <w:b/>
        </w:rPr>
        <w:t>（三）非煤矿山。</w:t>
      </w:r>
      <w:r>
        <w:rPr>
          <w:rFonts w:hint="eastAsia" w:ascii="仿宋_GB2312" w:hAnsi="宋体" w:eastAsia="仿宋_GB2312"/>
        </w:rPr>
        <w:t>以尾矿库为重点开展专项执法检查。一查坝体是否出现贯穿性横向裂缝，且出现较大范围管涌，局部坝体隆起的情况；二查安全超高和最小干滩长度值是否小于设计文件规定值；三查浸润线埋深是否小于控制浸润线埋深；四查排洪系统是否存在严重堵塞或坍塌，不能排水或排水能力急剧降低，排水井是否存在显著倾斜，有坍塌的迹象；五查是否存在设计以外的尾矿排放管道进行尾矿、废料或者废水排放。要突出汛期关键时段，以“头顶库”、病库为重点，通过专项执法检查保障尾矿库企业防汛度汛安全。同时，对</w:t>
      </w:r>
      <w:r>
        <w:rPr>
          <w:rFonts w:hint="eastAsia" w:ascii="仿宋_GB2312" w:eastAsia="仿宋_GB2312"/>
        </w:rPr>
        <w:t>全省所有金属非金属地下矿山提升运输系统、采空区治理和排土场防汛安全进行执法检查。</w:t>
      </w:r>
    </w:p>
    <w:p>
      <w:pPr>
        <w:spacing w:line="600" w:lineRule="exact"/>
        <w:ind w:firstLine="645"/>
        <w:rPr>
          <w:rFonts w:hint="eastAsia" w:ascii="仿宋_GB2312" w:hAnsi="宋体" w:eastAsia="仿宋_GB2312"/>
        </w:rPr>
      </w:pPr>
      <w:r>
        <w:rPr>
          <w:rFonts w:hint="eastAsia" w:ascii="楷体_GB2312" w:hAnsi="宋体" w:eastAsia="楷体_GB2312"/>
          <w:b/>
        </w:rPr>
        <w:t>（四）消防。</w:t>
      </w:r>
      <w:r>
        <w:rPr>
          <w:rFonts w:hint="eastAsia" w:ascii="仿宋_GB2312" w:hAnsi="宋体" w:eastAsia="仿宋_GB2312"/>
        </w:rPr>
        <w:t>以大型商业综合体、劳动密集型企业、娱乐场所、博物馆和文物建筑、商住楼以及群租房、高层住宅等火灾高风险场所和电动自行车、电气火灾治理等关键环节，采取行业督查、网络排查、单位自查、专业抽查等方式，集中开展专项整治。一查单位消防安全管理主体责任落实以及自查自改情况；二查违规采用易燃可燃材料装修、违规设置库房、电动车违规停放充电、生产经营场所违规住人问题；三查锁闭占用疏散楼梯、疏散通道堆放可燃杂物问题；四查防火分隔不到位、电缆竖井管道防火封堵不到位问题；五查消防设施损坏停用、消防给水系统关闭问题；六查违规敷设电气线路、违规电气焊作业问题；七查违规搭建易燃可燃彩钢板房问题；八查单位未依法强化灭火应急救援队伍和消防应急装备建设问题；九查未根据本单位实际制定灭火和应急疏散预案、未定期开展应急演练问题；十查易燃易爆危险化学品企业未按要求建立企业专职消防队和工艺处置队、未配备防护和救助装备、未常备企业总平面图和数字化控制系统流程图等应急处置所需资料问题。</w:t>
      </w:r>
    </w:p>
    <w:p>
      <w:pPr>
        <w:spacing w:line="600" w:lineRule="exact"/>
        <w:ind w:firstLine="645"/>
        <w:rPr>
          <w:rFonts w:hint="eastAsia" w:ascii="仿宋_GB2312" w:hAnsi="黑体" w:eastAsia="仿宋_GB2312"/>
        </w:rPr>
      </w:pPr>
      <w:r>
        <w:rPr>
          <w:rFonts w:hint="eastAsia" w:ascii="仿宋_GB2312" w:hAnsi="宋体" w:eastAsia="仿宋_GB2312"/>
        </w:rPr>
        <w:t>危险化学品、煤矿、非煤矿山专项执法检查和消防安全专项整治重点内容及</w:t>
      </w:r>
      <w:r>
        <w:rPr>
          <w:rFonts w:hint="eastAsia" w:ascii="仿宋_GB2312" w:eastAsia="仿宋_GB2312"/>
        </w:rPr>
        <w:t>要求具体见附件。</w:t>
      </w:r>
    </w:p>
    <w:p>
      <w:pPr>
        <w:spacing w:line="600" w:lineRule="exact"/>
        <w:ind w:firstLine="645"/>
        <w:rPr>
          <w:rFonts w:hint="eastAsia" w:ascii="楷体_GB2312" w:hAnsi="宋体" w:eastAsia="楷体_GB2312"/>
          <w:b/>
        </w:rPr>
      </w:pPr>
      <w:r>
        <w:rPr>
          <w:rFonts w:hint="eastAsia" w:ascii="黑体" w:hAnsi="黑体" w:eastAsia="黑体"/>
        </w:rPr>
        <w:t>三、组织实施方式</w:t>
      </w:r>
    </w:p>
    <w:p>
      <w:pPr>
        <w:spacing w:line="600" w:lineRule="exact"/>
        <w:ind w:firstLine="645"/>
        <w:rPr>
          <w:rFonts w:hint="eastAsia" w:ascii="仿宋_GB2312" w:hAnsi="宋体" w:eastAsia="仿宋_GB2312"/>
          <w:b/>
        </w:rPr>
      </w:pPr>
      <w:r>
        <w:rPr>
          <w:rFonts w:hint="eastAsia" w:ascii="楷体_GB2312" w:hAnsi="宋体" w:eastAsia="楷体_GB2312"/>
          <w:b/>
        </w:rPr>
        <w:t>（一）督促企业自查。</w:t>
      </w:r>
      <w:r>
        <w:rPr>
          <w:rFonts w:hint="eastAsia" w:ascii="仿宋_GB2312" w:hAnsi="宋体" w:eastAsia="仿宋_GB2312"/>
        </w:rPr>
        <w:t>各地区要及时将本通知要求传达到辖区内企业和单位，要求全部企业对照重点检查内容开展针对性自查，全面梳理企业的每个部位、每个环节、每个岗位存在的安全风险和隐患，建立问题清单和整改计划，明确整改责任、措施、资金、时限、预案。</w:t>
      </w:r>
    </w:p>
    <w:p>
      <w:pPr>
        <w:spacing w:line="600" w:lineRule="exact"/>
        <w:ind w:firstLine="645"/>
        <w:rPr>
          <w:rFonts w:hint="eastAsia" w:ascii="仿宋_GB2312" w:hAnsi="仿宋" w:eastAsia="仿宋_GB2312"/>
        </w:rPr>
      </w:pPr>
      <w:r>
        <w:rPr>
          <w:rFonts w:hint="eastAsia" w:ascii="楷体_GB2312" w:hAnsi="宋体" w:eastAsia="楷体_GB2312"/>
          <w:b/>
        </w:rPr>
        <w:t>（二）专项执法检查。</w:t>
      </w:r>
      <w:r>
        <w:rPr>
          <w:rFonts w:hint="eastAsia" w:ascii="仿宋_GB2312" w:hAnsi="宋体" w:eastAsia="仿宋_GB2312"/>
        </w:rPr>
        <w:t>各地区要在企业自查的基础上，组织相关工作人员深入企业开展执法检查。发现企业存在违法行为的，要严格依法作出行政处罚决定，下达执法文书，并督促企业</w:t>
      </w:r>
      <w:r>
        <w:rPr>
          <w:rFonts w:hint="eastAsia" w:ascii="仿宋_GB2312" w:hAnsi="仿宋" w:eastAsia="仿宋_GB2312"/>
        </w:rPr>
        <w:t>立即整改，落实防范措施，坚决防止因隐患整改不到位酿成事故，影响周边企业单位安全。</w:t>
      </w:r>
    </w:p>
    <w:p>
      <w:pPr>
        <w:spacing w:line="600" w:lineRule="exact"/>
        <w:ind w:firstLine="645"/>
        <w:rPr>
          <w:rFonts w:hint="eastAsia" w:ascii="仿宋_GB2312" w:hAnsi="黑体" w:eastAsia="仿宋_GB2312"/>
        </w:rPr>
      </w:pPr>
      <w:r>
        <w:rPr>
          <w:rFonts w:hint="eastAsia" w:ascii="楷体_GB2312" w:hAnsi="仿宋" w:eastAsia="楷体_GB2312"/>
          <w:b/>
        </w:rPr>
        <w:t>（三）重点执法检查。</w:t>
      </w:r>
      <w:r>
        <w:rPr>
          <w:rFonts w:hint="eastAsia" w:ascii="仿宋_GB2312" w:hAnsi="仿宋" w:eastAsia="仿宋_GB2312"/>
        </w:rPr>
        <w:t>省安办和应急管理厅将分类组织专家指导工作组，对地方执法检查工作进行指导服务。同时，将采取“四不两直”的方式，对重点地区工作进展情况开展专项执法检查，对重点企业进行突击检查、暗访检查和随机抽查，推动执法检查各项工作落到实处。</w:t>
      </w:r>
    </w:p>
    <w:p>
      <w:pPr>
        <w:spacing w:line="600" w:lineRule="exact"/>
        <w:ind w:firstLine="645"/>
        <w:rPr>
          <w:rFonts w:hint="eastAsia" w:ascii="黑体" w:hAnsi="黑体" w:eastAsia="黑体"/>
        </w:rPr>
      </w:pPr>
      <w:r>
        <w:rPr>
          <w:rFonts w:hint="eastAsia" w:ascii="黑体" w:hAnsi="黑体" w:eastAsia="黑体"/>
        </w:rPr>
        <w:t>四、工作要求</w:t>
      </w:r>
    </w:p>
    <w:p>
      <w:pPr>
        <w:spacing w:line="600" w:lineRule="exact"/>
        <w:ind w:firstLine="645"/>
        <w:rPr>
          <w:rFonts w:hint="eastAsia" w:ascii="仿宋_GB2312" w:eastAsia="仿宋_GB2312"/>
        </w:rPr>
      </w:pPr>
      <w:r>
        <w:rPr>
          <w:rFonts w:hint="eastAsia" w:ascii="楷体_GB2312" w:hAnsi="仿宋" w:eastAsia="楷体_GB2312"/>
          <w:b/>
        </w:rPr>
        <w:t>（一）提高政治站位，着力防范化解重大风险。</w:t>
      </w:r>
      <w:r>
        <w:rPr>
          <w:rFonts w:hint="eastAsia" w:ascii="仿宋_GB2312" w:hAnsi="仿宋" w:eastAsia="仿宋_GB2312"/>
        </w:rPr>
        <w:t>各地区、各有关部门要</w:t>
      </w:r>
      <w:r>
        <w:rPr>
          <w:rFonts w:hint="eastAsia" w:ascii="仿宋_GB2312" w:hAnsi="仿宋" w:eastAsia="仿宋_GB2312" w:cs="宋体"/>
          <w:kern w:val="0"/>
        </w:rPr>
        <w:t>坚决贯彻落实</w:t>
      </w:r>
      <w:r>
        <w:rPr>
          <w:rFonts w:hint="eastAsia" w:ascii="仿宋_GB2312" w:hAnsi="仿宋" w:eastAsia="仿宋_GB2312"/>
        </w:rPr>
        <w:t>习近平总书记关于安全生产和应急管理的重要指示精神，认真贯彻</w:t>
      </w:r>
      <w:r>
        <w:rPr>
          <w:rFonts w:hint="eastAsia" w:ascii="仿宋_GB2312" w:hAnsi="仿宋" w:eastAsia="仿宋_GB2312" w:cs="宋体"/>
          <w:kern w:val="0"/>
        </w:rPr>
        <w:t>落实李克强总理批示要求，按照省委、省政府的决策部署，始终坚持以人民为中心的发展思想，</w:t>
      </w:r>
      <w:r>
        <w:rPr>
          <w:rFonts w:hint="eastAsia" w:ascii="仿宋_GB2312" w:eastAsia="仿宋_GB2312"/>
          <w:spacing w:val="-4"/>
        </w:rPr>
        <w:t>始终把人民的生命财产安全摆在最重要的位置，</w:t>
      </w:r>
      <w:r>
        <w:rPr>
          <w:rFonts w:hint="eastAsia" w:ascii="仿宋_GB2312" w:hAnsi="仿宋" w:eastAsia="仿宋_GB2312" w:cs="宋体"/>
          <w:kern w:val="0"/>
        </w:rPr>
        <w:t>牢固树立安全发展理念，坚持安全生产一刻也不能放松。</w:t>
      </w:r>
      <w:r>
        <w:rPr>
          <w:rFonts w:hint="eastAsia" w:ascii="仿宋_GB2312" w:eastAsia="仿宋_GB2312"/>
        </w:rPr>
        <w:t>要</w:t>
      </w:r>
      <w:r>
        <w:rPr>
          <w:rFonts w:hint="eastAsia" w:ascii="仿宋_GB2312" w:hAnsi="仿宋" w:eastAsia="仿宋_GB2312"/>
        </w:rPr>
        <w:t>充分认识到当前危险化学品、煤矿、非煤矿山、消防等重点行业领域安全形势的复杂性、严峻性，充分认识到当前企业安全生产主体责任落实依然任重道远，进一步增强安全生产责任感、紧迫感。要认真吸取事故教训，坚持问题导向，组织对本地区、本行业领域重大安全风险进行系统排查和研判，抓住核心关键要素化解风险，狠抓各项安全防范责任措施落实，坚决打好重大安全风险攻坚战，</w:t>
      </w:r>
      <w:r>
        <w:rPr>
          <w:rFonts w:hint="eastAsia" w:ascii="仿宋_GB2312" w:hAnsi="仿宋" w:eastAsia="仿宋_GB2312" w:cs="宋体"/>
          <w:kern w:val="0"/>
        </w:rPr>
        <w:t>坚决防范和遏制重特大事故发生，确保全省安全生产形势持续稳定</w:t>
      </w:r>
      <w:r>
        <w:rPr>
          <w:rFonts w:hint="eastAsia" w:ascii="仿宋_GB2312" w:eastAsia="仿宋_GB2312"/>
        </w:rPr>
        <w:t>，</w:t>
      </w:r>
      <w:r>
        <w:rPr>
          <w:rFonts w:hint="eastAsia" w:ascii="仿宋_GB2312" w:hAnsi="仿宋" w:eastAsia="仿宋_GB2312"/>
        </w:rPr>
        <w:t>全力保障人民生命财产安全，</w:t>
      </w:r>
      <w:r>
        <w:rPr>
          <w:rFonts w:hint="eastAsia" w:ascii="仿宋_GB2312" w:eastAsia="仿宋_GB2312"/>
          <w:spacing w:val="4"/>
        </w:rPr>
        <w:t>以实实在在的行动落实“四个意识”</w:t>
      </w:r>
      <w:r>
        <w:rPr>
          <w:rFonts w:hint="eastAsia" w:ascii="仿宋_GB2312" w:eastAsia="仿宋_GB2312"/>
        </w:rPr>
        <w:t>“两个维护”，体现对党忠诚、对人民负责。</w:t>
      </w:r>
    </w:p>
    <w:p>
      <w:pPr>
        <w:spacing w:line="600" w:lineRule="exact"/>
        <w:ind w:firstLine="645"/>
        <w:rPr>
          <w:rFonts w:hint="eastAsia" w:ascii="仿宋_GB2312" w:hAnsi="仿宋" w:eastAsia="仿宋_GB2312"/>
          <w:b/>
        </w:rPr>
      </w:pPr>
      <w:r>
        <w:rPr>
          <w:rFonts w:hint="eastAsia" w:ascii="楷体_GB2312" w:hAnsi="仿宋" w:eastAsia="楷体_GB2312"/>
          <w:b/>
        </w:rPr>
        <w:t>（二）加强组织领导，迅速开展专项执法检查。</w:t>
      </w:r>
      <w:r>
        <w:rPr>
          <w:rFonts w:hint="eastAsia" w:ascii="仿宋_GB2312" w:hAnsi="仿宋" w:eastAsia="仿宋_GB2312"/>
        </w:rPr>
        <w:t>各地区、各有关部门要立即行动、精心组织、周密部署，抓紧制定具体实施方案，明确主要任务、重点内容和工作要求，确保检查工作有序推进。要创新工作方式，通过定期通报、暗查暗访、异地互查等方式，层层压实安全生产属地管理责任、部门监管责任和企业主体责任，确保安全隐患排查到位、整改到位。要进一步转变工作作风，坚决破除形式主义、官僚主义，以最坚决的态度、最严格的要求、最严厉的手段、最有效的措施、最严明的纪律和最严肃的问责，铁腕整治企业安全隐患和非法违法行为，倒逼企业落实安全生产主体责任。要把隐患当作事故来对待，严格安全隐患整改标准，对发现的违法违规问题要一盯到底，列出清单、建立台账、对账销号，实行闭环管理。凡是发现企业存在重大安全隐患和非法违法行为的，一律挂牌督办、依法责令停产整顿；凡是经停产整顿到期仍达不到要求的，一律关闭取缔；对存在重大安全风险、不具备安全生产条件，一律尽快关闭，依法吊销企业相关证照，并向社会公告；对专项执法检查</w:t>
      </w:r>
      <w:r>
        <w:rPr>
          <w:rFonts w:hint="eastAsia" w:ascii="仿宋_GB2312" w:eastAsia="仿宋_GB2312"/>
        </w:rPr>
        <w:t>自查自改走过场、安全隐患整治不落实的企业，</w:t>
      </w:r>
      <w:r>
        <w:rPr>
          <w:rFonts w:hint="eastAsia" w:ascii="仿宋_GB2312" w:hAnsi="仿宋" w:eastAsia="仿宋_GB2312"/>
        </w:rPr>
        <w:t>一律按规定上限予以处罚；对非法违法生产经营建设的有关单位和责任人，一律按规定上限予以处罚；对触犯法律的有关单位和人员，一律依法严厉追究法律责任；对存在安全生产领域失信行为的有关单位和人员，一律纳入联合惩戒对象。同时，要</w:t>
      </w:r>
      <w:r>
        <w:rPr>
          <w:rFonts w:hint="eastAsia" w:ascii="仿宋_GB2312" w:eastAsia="仿宋_GB2312"/>
        </w:rPr>
        <w:t>坚持分类监管，防止执法过程中出现简单化、“一刀切”。</w:t>
      </w:r>
    </w:p>
    <w:p>
      <w:pPr>
        <w:spacing w:line="600" w:lineRule="exact"/>
        <w:ind w:firstLine="645"/>
        <w:rPr>
          <w:rFonts w:hint="eastAsia" w:ascii="仿宋_GB2312" w:hAnsi="仿宋"/>
        </w:rPr>
      </w:pPr>
      <w:r>
        <w:rPr>
          <w:rFonts w:hint="eastAsia" w:ascii="楷体_GB2312" w:hAnsi="仿宋" w:eastAsia="楷体_GB2312"/>
          <w:b/>
        </w:rPr>
        <w:t>（三）严格跟踪管控，强化历年遗留事故隐患的整改落实。</w:t>
      </w:r>
      <w:r>
        <w:rPr>
          <w:rFonts w:hint="eastAsia" w:ascii="仿宋_GB2312" w:hAnsi="仿宋" w:eastAsia="仿宋_GB2312"/>
        </w:rPr>
        <w:t>各地区、各有关部门要全面梳理、认真汇总历年来各级各部门安全生产考核、巡查、督查督导在本地区、本行业领域发现的安全隐患及整改情况，分级分类列出清单，建立台账、对账销号，实行闭环管理。对已整改的安全隐患，要做到检查、整改、验收闭环管理；对尚未完成整改的安全隐患，要逐项列出清单，进一步明确整改要求，督促落实整改措施、责任、资金、时限和预案，尽快整改到位。对逾期不整改、不符合安全生产条件的生产经营单位，要依法强化追责、问责；对不能保证安全的，要采取果断措施，该停产整顿的立即停产整顿，该关闭的立即予以关闭。对停产整顿、关闭取缔企业，要加强跟踪复查，强化现场管控，严防明停暗开、假停假改，坚决防范整改不彻底导致事故发生。</w:t>
      </w:r>
    </w:p>
    <w:p>
      <w:pPr>
        <w:spacing w:line="600" w:lineRule="exact"/>
        <w:ind w:firstLine="645"/>
        <w:rPr>
          <w:rFonts w:hint="eastAsia" w:ascii="仿宋_GB2312" w:hAnsi="仿宋" w:eastAsia="仿宋_GB2312"/>
          <w:b/>
        </w:rPr>
      </w:pPr>
      <w:r>
        <w:rPr>
          <w:rFonts w:hint="eastAsia" w:ascii="楷体_GB2312" w:hAnsi="仿宋" w:eastAsia="楷体_GB2312"/>
          <w:b/>
        </w:rPr>
        <w:t>（四）强化专家指导服务，动员社会各方力量参与监督。</w:t>
      </w:r>
      <w:r>
        <w:rPr>
          <w:rFonts w:hint="eastAsia" w:ascii="仿宋_GB2312" w:hAnsi="仿宋" w:eastAsia="仿宋_GB2312"/>
        </w:rPr>
        <w:t>各地区、各有关部门要集中监管部门、服务机构、大型企业等方面专家力量，根据专项执法检查内容，分门别类成立专家指导服务团，共同参与专项执法检查，增强安全生产监管执法的技术支撑。要发挥本地区、本行业领域安全生产专家库作用，建立专家服务企业常态化机制，解决企业自查中遇到的技术问题，切实提高企业自查的成效。各地安委会办公室要积极争取宣传部门和各类媒体的支持，充分发挥各类媒体作用，对专项执法检查工作期间查处的重大违法违规企业一律在当地主流媒体进行公开曝光，形成强大舆论声势。要加强事故警示教育活动，通过集中组织观看警示教育片、播放警示公益广告、举办专题讲座以案说法等方式，剖析典型事故案例，强化警示教育效果，不断提高社会公众、从业人员的安全意识。要健全完善举报奖励渠道，加强举报人员信息保密，激励动员广大企业从业人员和家属举报安全风险隐患，及时帮助监管部门发现企业内部的安全隐患问题。</w:t>
      </w:r>
    </w:p>
    <w:p>
      <w:pPr>
        <w:spacing w:line="600" w:lineRule="exact"/>
        <w:ind w:firstLine="645"/>
        <w:rPr>
          <w:rFonts w:hint="eastAsia" w:ascii="仿宋_GB2312" w:hAnsi="仿宋" w:eastAsia="仿宋_GB2312"/>
        </w:rPr>
      </w:pPr>
      <w:r>
        <w:rPr>
          <w:rFonts w:hint="eastAsia" w:ascii="楷体_GB2312" w:hAnsi="仿宋" w:eastAsia="楷体_GB2312"/>
          <w:b/>
        </w:rPr>
        <w:t>（五）强化监督考核问责，确保专项执法检查取得实效。</w:t>
      </w:r>
      <w:r>
        <w:rPr>
          <w:rFonts w:hint="eastAsia" w:ascii="仿宋_GB2312" w:hAnsi="仿宋" w:eastAsia="仿宋_GB2312"/>
        </w:rPr>
        <w:t>各地区对执法检查中发现的一些苗头性、倾向性问题、涉及有关主管部门负责监管的问题，要及时以安委会办公室名义向有关地方政府、行业主管部门和有关企业发出工作建议函，督促认真进行整改。对执法检查发现的普遍性问题，要坚持问题导向，认真研究、深入分析深层次原因，采取有针对性的专项治理等对策措施，推动解决同行业、同类型企业存在的普遍性问题。要加强监督考核，严格落实安全生产警示通报和约谈、事故隐患挂牌督办制度。对因安全隐患整治不彻底、执法查处不严格而导致发生事故的，要坚决倒查责任，依法依纪严肃追究有关责任人的责任。对因企业主体责任不履行，自查自改走过场、隐患整治不落实的企业主要负责人，要坚决纳入集中教育对象，通过举办专题培训班，推动提高他们的安全法治、依法履职意识。国务院安委会即将开展的省级人民政府安全生产和消防工作考核巡查工作，将对各地区开展专项执法检查情况进行检查。省政府安委会将把各地区开展专项执法检查情况作为一项重要内容，纳入对设区市级人民政府安全生产和消防工作的考核巡查。</w:t>
      </w:r>
    </w:p>
    <w:p>
      <w:pPr>
        <w:spacing w:line="600" w:lineRule="exact"/>
        <w:ind w:firstLine="645"/>
        <w:rPr>
          <w:rFonts w:hint="eastAsia" w:ascii="仿宋_GB2312" w:hAnsi="仿宋" w:eastAsia="仿宋_GB2312"/>
          <w:color w:val="000000"/>
        </w:rPr>
      </w:pPr>
      <w:r>
        <w:rPr>
          <w:rFonts w:hint="eastAsia" w:ascii="仿宋_GB2312" w:hAnsi="仿宋" w:eastAsia="仿宋_GB2312"/>
        </w:rPr>
        <w:t>请各地区于4月25日前将专项执法检查开展情况、报表（附件5-11）报送省安办（省应急厅），煤矿、消防方面的情况同时分别报送福建煤监局、福建省消防救援总队。（</w:t>
      </w:r>
      <w:r>
        <w:rPr>
          <w:rFonts w:hint="eastAsia" w:ascii="仿宋_GB2312" w:hAnsi="黑体" w:eastAsia="仿宋_GB2312"/>
        </w:rPr>
        <w:t>联系人：省安办，孙庆文，电话：0591-87863759；省应急厅，王妍（危险化学品）、林剑峰（非煤矿山），电话：0591-8731117、87722830；福建煤监局，</w:t>
      </w:r>
      <w:r>
        <w:rPr>
          <w:rFonts w:hint="eastAsia" w:ascii="仿宋_GB2312" w:eastAsia="仿宋_GB2312"/>
        </w:rPr>
        <w:t>赵存明，电话：0591-87600180；福建省消防救援总队：</w:t>
      </w:r>
      <w:r>
        <w:rPr>
          <w:rFonts w:hint="eastAsia" w:ascii="仿宋_GB2312" w:hAnsi="仿宋" w:eastAsia="仿宋_GB2312"/>
          <w:color w:val="000000"/>
        </w:rPr>
        <w:t>陈武平，电话：0591-87089413）</w:t>
      </w:r>
    </w:p>
    <w:p>
      <w:pPr>
        <w:spacing w:line="600" w:lineRule="exact"/>
        <w:ind w:firstLine="645"/>
        <w:rPr>
          <w:rFonts w:hint="eastAsia" w:ascii="仿宋_GB2312" w:hAnsi="仿宋" w:eastAsia="仿宋_GB2312"/>
        </w:rPr>
      </w:pPr>
    </w:p>
    <w:p>
      <w:pPr>
        <w:spacing w:line="600" w:lineRule="exact"/>
        <w:ind w:firstLine="608" w:firstLineChars="200"/>
        <w:rPr>
          <w:rFonts w:hint="eastAsia" w:ascii="仿宋_GB2312" w:eastAsia="仿宋_GB2312"/>
        </w:rPr>
      </w:pPr>
      <w:r>
        <w:rPr>
          <w:rFonts w:hint="eastAsia" w:ascii="仿宋_GB2312" w:hAnsi="仿宋" w:eastAsia="仿宋_GB2312"/>
        </w:rPr>
        <w:t>附件：</w:t>
      </w:r>
      <w:r>
        <w:rPr>
          <w:rFonts w:hint="eastAsia" w:ascii="仿宋_GB2312" w:eastAsia="仿宋_GB2312"/>
        </w:rPr>
        <w:t>1.危险化学品安全生产专项执法检查重点内容及要求</w:t>
      </w:r>
    </w:p>
    <w:p>
      <w:pPr>
        <w:spacing w:line="600" w:lineRule="exact"/>
        <w:ind w:firstLine="608" w:firstLineChars="200"/>
        <w:rPr>
          <w:rFonts w:hint="eastAsia" w:ascii="仿宋_GB2312" w:eastAsia="仿宋_GB2312"/>
        </w:rPr>
      </w:pPr>
      <w:r>
        <w:rPr>
          <w:rFonts w:hint="eastAsia" w:ascii="仿宋_GB2312" w:eastAsia="仿宋_GB2312"/>
        </w:rPr>
        <w:t xml:space="preserve">      2.煤矿安全生产专项执法检查重点内容及要求</w:t>
      </w:r>
    </w:p>
    <w:p>
      <w:pPr>
        <w:spacing w:line="600" w:lineRule="exact"/>
        <w:ind w:firstLine="1520" w:firstLineChars="500"/>
        <w:rPr>
          <w:rFonts w:hint="eastAsia" w:ascii="仿宋_GB2312" w:eastAsia="仿宋_GB2312"/>
        </w:rPr>
      </w:pPr>
      <w:r>
        <w:rPr>
          <w:rFonts w:hint="eastAsia" w:ascii="仿宋_GB2312" w:eastAsia="仿宋_GB2312"/>
        </w:rPr>
        <w:t>3.非煤矿山安全生产专项执法检查重点内容及要求</w:t>
      </w:r>
    </w:p>
    <w:p>
      <w:pPr>
        <w:spacing w:line="600" w:lineRule="exact"/>
        <w:ind w:firstLine="1520" w:firstLineChars="500"/>
        <w:rPr>
          <w:rFonts w:hint="eastAsia" w:ascii="仿宋_GB2312" w:eastAsia="仿宋_GB2312"/>
        </w:rPr>
      </w:pPr>
      <w:r>
        <w:rPr>
          <w:rFonts w:hint="eastAsia" w:ascii="仿宋_GB2312" w:eastAsia="仿宋_GB2312"/>
        </w:rPr>
        <w:t>4.消防安全专项整治重点内容及要求</w:t>
      </w:r>
    </w:p>
    <w:p>
      <w:pPr>
        <w:spacing w:line="600" w:lineRule="exact"/>
        <w:ind w:firstLine="1520" w:firstLineChars="500"/>
        <w:rPr>
          <w:rFonts w:hint="eastAsia" w:ascii="仿宋_GB2312" w:eastAsia="仿宋_GB2312"/>
        </w:rPr>
      </w:pPr>
      <w:r>
        <w:rPr>
          <w:rFonts w:hint="eastAsia" w:ascii="仿宋_GB2312" w:eastAsia="仿宋_GB2312"/>
        </w:rPr>
        <w:t>5.专项执法检查情况统计表</w:t>
      </w:r>
    </w:p>
    <w:p>
      <w:pPr>
        <w:spacing w:line="600" w:lineRule="exact"/>
        <w:ind w:firstLine="1520" w:firstLineChars="500"/>
        <w:rPr>
          <w:rFonts w:hint="eastAsia" w:ascii="仿宋_GB2312" w:eastAsia="仿宋_GB2312"/>
        </w:rPr>
      </w:pPr>
      <w:r>
        <w:rPr>
          <w:rFonts w:hint="eastAsia" w:ascii="仿宋_GB2312" w:eastAsia="仿宋_GB2312"/>
        </w:rPr>
        <w:t>6.排查治理重大隐患情况表</w:t>
      </w:r>
    </w:p>
    <w:p>
      <w:pPr>
        <w:spacing w:line="600" w:lineRule="exact"/>
        <w:ind w:firstLine="1520" w:firstLineChars="500"/>
        <w:rPr>
          <w:rFonts w:hint="eastAsia" w:ascii="仿宋_GB2312" w:eastAsia="仿宋_GB2312"/>
        </w:rPr>
      </w:pPr>
      <w:r>
        <w:rPr>
          <w:rFonts w:hint="eastAsia" w:ascii="仿宋_GB2312" w:eastAsia="仿宋_GB2312"/>
        </w:rPr>
        <w:t>7.关闭取缔单位情况表</w:t>
      </w:r>
    </w:p>
    <w:p>
      <w:pPr>
        <w:spacing w:line="600" w:lineRule="exact"/>
        <w:ind w:firstLine="1520" w:firstLineChars="500"/>
        <w:rPr>
          <w:rFonts w:hint="eastAsia" w:ascii="仿宋_GB2312" w:eastAsia="仿宋_GB2312"/>
        </w:rPr>
      </w:pPr>
      <w:r>
        <w:rPr>
          <w:rFonts w:hint="eastAsia" w:ascii="仿宋_GB2312" w:eastAsia="仿宋_GB2312"/>
        </w:rPr>
        <w:t>8.停产整顿单位情况表</w:t>
      </w:r>
    </w:p>
    <w:p>
      <w:pPr>
        <w:spacing w:line="600" w:lineRule="exact"/>
        <w:ind w:firstLine="1520" w:firstLineChars="500"/>
        <w:rPr>
          <w:rFonts w:hint="eastAsia" w:ascii="仿宋_GB2312" w:eastAsia="仿宋_GB2312"/>
        </w:rPr>
      </w:pPr>
      <w:r>
        <w:rPr>
          <w:rFonts w:hint="eastAsia" w:ascii="仿宋_GB2312" w:eastAsia="仿宋_GB2312"/>
        </w:rPr>
        <w:t>9.联合惩戒失信单位（个人）情况表</w:t>
      </w:r>
    </w:p>
    <w:p>
      <w:pPr>
        <w:spacing w:line="600" w:lineRule="exact"/>
        <w:ind w:firstLine="1520" w:firstLineChars="500"/>
        <w:rPr>
          <w:rFonts w:hint="eastAsia" w:ascii="仿宋_GB2312" w:eastAsia="仿宋_GB2312"/>
        </w:rPr>
      </w:pPr>
      <w:r>
        <w:rPr>
          <w:rFonts w:hint="eastAsia" w:ascii="仿宋_GB2312" w:eastAsia="仿宋_GB2312"/>
        </w:rPr>
        <w:t>10.问责曝光工作不力单位（个人）情况表</w:t>
      </w:r>
    </w:p>
    <w:p>
      <w:pPr>
        <w:spacing w:line="600" w:lineRule="exact"/>
        <w:ind w:firstLine="1520" w:firstLineChars="500"/>
        <w:rPr>
          <w:rFonts w:hint="eastAsia" w:ascii="仿宋_GB2312" w:eastAsia="仿宋_GB2312"/>
        </w:rPr>
      </w:pPr>
      <w:r>
        <w:rPr>
          <w:rFonts w:hint="eastAsia" w:ascii="仿宋_GB2312" w:eastAsia="仿宋_GB2312"/>
        </w:rPr>
        <w:t>11.集中教育工作情况表</w:t>
      </w: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仿宋_GB2312"/>
        </w:rPr>
      </w:pPr>
    </w:p>
    <w:p>
      <w:pPr>
        <w:spacing w:line="600" w:lineRule="exact"/>
        <w:rPr>
          <w:rFonts w:hint="eastAsia" w:ascii="黑体" w:hAnsi="黑体" w:eastAsia="黑体"/>
        </w:rPr>
      </w:pPr>
    </w:p>
    <w:p>
      <w:pPr>
        <w:spacing w:line="600" w:lineRule="exact"/>
        <w:rPr>
          <w:rFonts w:hint="eastAsia" w:ascii="黑体" w:hAnsi="黑体" w:eastAsia="黑体"/>
        </w:rPr>
      </w:pPr>
      <w:r>
        <w:rPr>
          <w:rFonts w:hint="eastAsia" w:ascii="黑体" w:hAnsi="黑体" w:eastAsia="黑体"/>
        </w:rPr>
        <w:t>附件1</w:t>
      </w:r>
    </w:p>
    <w:p>
      <w:pPr>
        <w:spacing w:line="600" w:lineRule="exact"/>
        <w:ind w:firstLine="645"/>
        <w:rPr>
          <w:rFonts w:hint="eastAsia" w:ascii="仿宋_GB2312" w:hAnsi="仿宋"/>
        </w:rPr>
      </w:pP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危险化学品安全生产</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专项执法检查重点内容及要求</w:t>
      </w:r>
    </w:p>
    <w:p>
      <w:pPr>
        <w:spacing w:line="600" w:lineRule="exact"/>
        <w:rPr>
          <w:rFonts w:hint="eastAsia" w:ascii="黑体" w:hAnsi="黑体" w:eastAsia="黑体"/>
          <w:sz w:val="44"/>
          <w:szCs w:val="44"/>
        </w:rPr>
      </w:pPr>
    </w:p>
    <w:p>
      <w:pPr>
        <w:spacing w:line="600" w:lineRule="exact"/>
        <w:ind w:firstLine="608" w:firstLineChars="200"/>
        <w:rPr>
          <w:rFonts w:hint="eastAsia" w:ascii="仿宋_GB2312" w:hAnsi="黑体"/>
        </w:rPr>
      </w:pPr>
      <w:r>
        <w:rPr>
          <w:rFonts w:hint="eastAsia" w:ascii="黑体" w:hAnsi="黑体" w:eastAsia="黑体"/>
        </w:rPr>
        <w:t>一、重点内容</w:t>
      </w:r>
    </w:p>
    <w:p>
      <w:pPr>
        <w:spacing w:line="600" w:lineRule="exact"/>
        <w:ind w:firstLine="608" w:firstLineChars="200"/>
        <w:rPr>
          <w:rFonts w:hint="eastAsia" w:ascii="仿宋_GB2312" w:hAnsi="黑体" w:eastAsia="仿宋_GB2312"/>
        </w:rPr>
      </w:pPr>
      <w:r>
        <w:rPr>
          <w:rFonts w:hint="eastAsia" w:ascii="仿宋_GB2312" w:hAnsi="黑体" w:eastAsia="仿宋_GB2312"/>
        </w:rPr>
        <w:t>（一）按照《化工和危险化学品生产经营单位重大生产安全事故隐患判定标准（试行）》，对所有涉及重点监管危险化工工艺、重点监管危险化学品和危险化学品重大危险源的危险化学品生产企业，以及构成重大危险源的带储存经营企业（以下简称“两重点一重大”企业）进行全覆盖专项执法检查，全面排查危险化学品“两重点一重大”企业存在的安全隐患。重点检查：</w:t>
      </w:r>
    </w:p>
    <w:p>
      <w:pPr>
        <w:spacing w:line="600" w:lineRule="exact"/>
        <w:ind w:firstLine="608" w:firstLineChars="200"/>
        <w:rPr>
          <w:rFonts w:hint="eastAsia" w:ascii="仿宋_GB2312" w:hAnsi="黑体" w:eastAsia="仿宋_GB2312"/>
        </w:rPr>
      </w:pPr>
      <w:r>
        <w:rPr>
          <w:rFonts w:hint="eastAsia" w:ascii="仿宋_GB2312" w:hAnsi="黑体" w:eastAsia="仿宋_GB2312"/>
        </w:rPr>
        <w:t>1.自动化控制设施改造使用情况；</w:t>
      </w:r>
    </w:p>
    <w:p>
      <w:pPr>
        <w:spacing w:line="600" w:lineRule="exact"/>
        <w:ind w:firstLine="608" w:firstLineChars="200"/>
        <w:rPr>
          <w:rFonts w:hint="eastAsia" w:ascii="仿宋_GB2312" w:hAnsi="黑体" w:eastAsia="仿宋_GB2312"/>
        </w:rPr>
      </w:pPr>
      <w:r>
        <w:rPr>
          <w:rFonts w:hint="eastAsia" w:ascii="仿宋_GB2312" w:hAnsi="黑体" w:eastAsia="仿宋_GB2312"/>
        </w:rPr>
        <w:t>2.安全仪表系统配备使用情况；</w:t>
      </w:r>
    </w:p>
    <w:p>
      <w:pPr>
        <w:spacing w:line="600" w:lineRule="exact"/>
        <w:ind w:firstLine="608" w:firstLineChars="200"/>
        <w:rPr>
          <w:rFonts w:hint="eastAsia" w:ascii="仿宋_GB2312" w:hAnsi="黑体" w:eastAsia="仿宋_GB2312"/>
        </w:rPr>
      </w:pPr>
      <w:r>
        <w:rPr>
          <w:rFonts w:hint="eastAsia" w:ascii="仿宋_GB2312" w:hAnsi="黑体" w:eastAsia="仿宋_GB2312"/>
        </w:rPr>
        <w:t>3.工艺反应系统和储存设施泄爆和紧急排放系统设置使用情况；</w:t>
      </w:r>
    </w:p>
    <w:p>
      <w:pPr>
        <w:spacing w:line="600" w:lineRule="exact"/>
        <w:ind w:firstLine="608" w:firstLineChars="200"/>
        <w:rPr>
          <w:rFonts w:hint="eastAsia" w:ascii="仿宋_GB2312" w:hAnsi="黑体" w:eastAsia="仿宋_GB2312"/>
        </w:rPr>
      </w:pPr>
      <w:r>
        <w:rPr>
          <w:rFonts w:hint="eastAsia" w:ascii="仿宋_GB2312" w:hAnsi="黑体" w:eastAsia="仿宋_GB2312"/>
        </w:rPr>
        <w:t>4.涉危工艺操作人员专业、学历等情况；</w:t>
      </w:r>
    </w:p>
    <w:p>
      <w:pPr>
        <w:spacing w:line="600" w:lineRule="exact"/>
        <w:ind w:firstLine="608" w:firstLineChars="200"/>
        <w:rPr>
          <w:rFonts w:hint="eastAsia" w:ascii="仿宋_GB2312" w:hAnsi="黑体" w:eastAsia="仿宋_GB2312"/>
        </w:rPr>
      </w:pPr>
      <w:r>
        <w:rPr>
          <w:rFonts w:hint="eastAsia" w:ascii="仿宋_GB2312" w:hAnsi="黑体" w:eastAsia="仿宋_GB2312"/>
        </w:rPr>
        <w:t>5.涉危工艺反应产品（含中间产品）储存安全管理情况；</w:t>
      </w:r>
    </w:p>
    <w:p>
      <w:pPr>
        <w:spacing w:line="600" w:lineRule="exact"/>
        <w:ind w:firstLine="608" w:firstLineChars="200"/>
        <w:rPr>
          <w:rFonts w:hint="eastAsia" w:ascii="仿宋_GB2312" w:hAnsi="黑体" w:eastAsia="仿宋_GB2312"/>
        </w:rPr>
      </w:pPr>
      <w:r>
        <w:rPr>
          <w:rFonts w:hint="eastAsia" w:ascii="仿宋_GB2312" w:hAnsi="黑体" w:eastAsia="仿宋_GB2312"/>
        </w:rPr>
        <w:t>6.易燃易爆废弃危险化学品储存情况，特别是涉危工艺如硝化、氧化等反应的危险废物储存及监管责任落实情况。</w:t>
      </w:r>
    </w:p>
    <w:p>
      <w:pPr>
        <w:spacing w:line="600" w:lineRule="exact"/>
        <w:ind w:firstLine="608" w:firstLineChars="200"/>
        <w:rPr>
          <w:rFonts w:hint="eastAsia" w:ascii="仿宋_GB2312" w:hAnsi="黑体" w:eastAsia="仿宋_GB2312"/>
        </w:rPr>
      </w:pPr>
      <w:r>
        <w:rPr>
          <w:rFonts w:hint="eastAsia" w:ascii="仿宋_GB2312" w:hAnsi="黑体" w:eastAsia="仿宋_GB2312"/>
        </w:rPr>
        <w:t>具体按照《危险化学品安全生产专项执法检查表》进行对表检查。</w:t>
      </w:r>
    </w:p>
    <w:p>
      <w:pPr>
        <w:spacing w:line="600" w:lineRule="exact"/>
        <w:ind w:firstLine="608" w:firstLineChars="200"/>
        <w:rPr>
          <w:rFonts w:hint="eastAsia" w:ascii="仿宋_GB2312" w:hAnsi="黑体" w:eastAsia="仿宋_GB2312"/>
        </w:rPr>
      </w:pPr>
      <w:r>
        <w:rPr>
          <w:rFonts w:hint="eastAsia" w:ascii="仿宋_GB2312" w:hAnsi="黑体" w:eastAsia="仿宋_GB2312"/>
        </w:rPr>
        <w:t>（二）对全省化工园区（化工集中区）区域安全风险评估与整改情况进行检查，重点排查园区内外安全距离、重大危险源、自动控制系统和防火隔爆、应急处置设施等，特别是园区内企业对周边单位的安全影响情况，及时消除重大隐患，严防风险外溢。对泉港泉惠、漳州古雷、福州江阴、邵武金塘等重点化工园区要加大检查整治力度，并督促国务院专家服务检查指导的2个重点化工园区（泉港、古雷）落实隐患整改。</w:t>
      </w:r>
    </w:p>
    <w:p>
      <w:pPr>
        <w:spacing w:line="600" w:lineRule="exact"/>
        <w:ind w:firstLine="608" w:firstLineChars="200"/>
        <w:rPr>
          <w:rFonts w:hint="eastAsia" w:ascii="楷体_GB2312" w:hAnsi="黑体" w:eastAsia="楷体_GB2312"/>
          <w:b/>
        </w:rPr>
      </w:pPr>
      <w:r>
        <w:rPr>
          <w:rFonts w:hint="eastAsia" w:ascii="黑体" w:hAnsi="黑体" w:eastAsia="黑体"/>
        </w:rPr>
        <w:t>二、组织实施方式</w:t>
      </w:r>
    </w:p>
    <w:p>
      <w:pPr>
        <w:spacing w:line="600" w:lineRule="exact"/>
        <w:ind w:firstLine="608" w:firstLineChars="200"/>
        <w:rPr>
          <w:rFonts w:hint="eastAsia" w:ascii="仿宋_GB2312" w:hAnsi="黑体" w:eastAsia="仿宋_GB2312"/>
          <w:b/>
        </w:rPr>
      </w:pPr>
      <w:r>
        <w:rPr>
          <w:rFonts w:hint="eastAsia" w:ascii="楷体_GB2312" w:hAnsi="黑体" w:eastAsia="楷体_GB2312"/>
          <w:b/>
        </w:rPr>
        <w:t>（一）督促企业自查。</w:t>
      </w:r>
      <w:r>
        <w:rPr>
          <w:rFonts w:hint="eastAsia" w:ascii="仿宋_GB2312" w:hAnsi="宋体" w:eastAsia="仿宋_GB2312"/>
        </w:rPr>
        <w:t>各地区要及时督促辖区内相关企业和单位，严格对照重点检查内容开展全面自查自改，全面梳理企业的每个部位、每个环节、每个岗位存在的安全风险和隐患，建立问题清单和整改计划，落实整改责任、措施、资金、时限、预案，确保整改到位。</w:t>
      </w:r>
    </w:p>
    <w:p>
      <w:pPr>
        <w:spacing w:line="600" w:lineRule="exact"/>
        <w:ind w:firstLine="608" w:firstLineChars="200"/>
        <w:rPr>
          <w:rFonts w:hint="eastAsia" w:ascii="仿宋_GB2312" w:hAnsi="黑体" w:eastAsia="仿宋_GB2312"/>
        </w:rPr>
      </w:pPr>
      <w:r>
        <w:rPr>
          <w:rFonts w:hint="eastAsia" w:ascii="楷体_GB2312" w:hAnsi="黑体" w:eastAsia="楷体_GB2312"/>
          <w:b/>
        </w:rPr>
        <w:t>（二）专项执法检查。</w:t>
      </w:r>
      <w:r>
        <w:rPr>
          <w:rFonts w:hint="eastAsia" w:ascii="仿宋_GB2312" w:hAnsi="黑体" w:eastAsia="仿宋_GB2312"/>
        </w:rPr>
        <w:t>各设区市要在企业自查的基础上，组织相关人员深入企业开展执法检查。县级应急（安监）部门应对本辖区内“两重点一重大”企业进行全覆盖执法检查；设区市应急（安监）部门对本辖区内化工园区进行全覆盖执法检查，同时抽查本辖区内“两重点一重大”企业执法检查的比例不得低于30%。省应急厅负责检查福建东南电化有限公司（涉及硝化反应），并对福州江阴化工园区进行重点检查。</w:t>
      </w:r>
    </w:p>
    <w:p>
      <w:pPr>
        <w:spacing w:line="600" w:lineRule="exact"/>
        <w:ind w:firstLine="608" w:firstLineChars="200"/>
        <w:rPr>
          <w:rFonts w:hint="eastAsia" w:ascii="仿宋_GB2312" w:hAnsi="黑体" w:eastAsia="仿宋_GB2312"/>
        </w:rPr>
      </w:pPr>
      <w:bookmarkStart w:id="2" w:name="_GoBack"/>
      <w:bookmarkEnd w:id="2"/>
    </w:p>
    <w:p>
      <w:pPr>
        <w:spacing w:line="600" w:lineRule="exact"/>
        <w:ind w:firstLine="608" w:firstLineChars="200"/>
        <w:rPr>
          <w:rFonts w:hint="eastAsia" w:ascii="仿宋_GB2312" w:hAnsi="黑体"/>
        </w:rPr>
      </w:pPr>
    </w:p>
    <w:p>
      <w:pPr>
        <w:spacing w:line="4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危险化学品安全生产专项执法检查表</w:t>
      </w:r>
    </w:p>
    <w:p>
      <w:pPr>
        <w:spacing w:line="460" w:lineRule="exact"/>
        <w:jc w:val="center"/>
        <w:rPr>
          <w:rFonts w:ascii="方正小标宋简体" w:hAnsi="黑体" w:eastAsia="方正小标宋简体"/>
          <w:sz w:val="44"/>
          <w:szCs w:val="44"/>
        </w:rPr>
      </w:pPr>
    </w:p>
    <w:p>
      <w:pPr>
        <w:spacing w:line="460" w:lineRule="exact"/>
        <w:rPr>
          <w:rFonts w:ascii="仿宋_GB2312"/>
          <w:sz w:val="28"/>
          <w:szCs w:val="28"/>
        </w:rPr>
      </w:pPr>
      <w:r>
        <w:rPr>
          <w:rFonts w:hint="eastAsia" w:ascii="仿宋_GB2312"/>
          <w:sz w:val="28"/>
          <w:szCs w:val="28"/>
        </w:rPr>
        <w:t>企业名称：</w:t>
      </w:r>
    </w:p>
    <w:tbl>
      <w:tblPr>
        <w:tblStyle w:val="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3774"/>
        <w:gridCol w:w="303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4214" w:type="dxa"/>
            <w:gridSpan w:val="2"/>
            <w:noWrap w:val="0"/>
            <w:vAlign w:val="center"/>
          </w:tcPr>
          <w:p>
            <w:pPr>
              <w:spacing w:line="320" w:lineRule="exact"/>
              <w:jc w:val="center"/>
              <w:rPr>
                <w:rFonts w:ascii="黑体" w:eastAsia="黑体"/>
                <w:sz w:val="24"/>
              </w:rPr>
            </w:pPr>
            <w:r>
              <w:rPr>
                <w:rFonts w:hint="eastAsia" w:ascii="黑体" w:eastAsia="黑体"/>
                <w:sz w:val="24"/>
              </w:rPr>
              <w:t>重点检查内容</w:t>
            </w:r>
          </w:p>
        </w:tc>
        <w:tc>
          <w:tcPr>
            <w:tcW w:w="3038" w:type="dxa"/>
            <w:noWrap w:val="0"/>
            <w:vAlign w:val="center"/>
          </w:tcPr>
          <w:p>
            <w:pPr>
              <w:spacing w:line="320" w:lineRule="exact"/>
              <w:jc w:val="center"/>
              <w:rPr>
                <w:rFonts w:ascii="黑体" w:eastAsia="黑体"/>
                <w:sz w:val="24"/>
              </w:rPr>
            </w:pPr>
            <w:r>
              <w:rPr>
                <w:rFonts w:hint="eastAsia" w:ascii="黑体" w:eastAsia="黑体"/>
                <w:sz w:val="24"/>
              </w:rPr>
              <w:t>检查情况</w:t>
            </w:r>
          </w:p>
        </w:tc>
        <w:tc>
          <w:tcPr>
            <w:tcW w:w="1468" w:type="dxa"/>
            <w:noWrap w:val="0"/>
            <w:vAlign w:val="top"/>
          </w:tcPr>
          <w:p>
            <w:pPr>
              <w:spacing w:line="320" w:lineRule="exact"/>
              <w:jc w:val="center"/>
              <w:rPr>
                <w:rFonts w:ascii="黑体" w:eastAsia="黑体"/>
                <w:sz w:val="24"/>
              </w:rPr>
            </w:pPr>
            <w:r>
              <w:rPr>
                <w:rFonts w:hint="eastAsia" w:ascii="黑体" w:eastAsia="黑体"/>
                <w:sz w:val="24"/>
              </w:rPr>
              <w:t>是否构成重大事故隐患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440" w:type="dxa"/>
            <w:vMerge w:val="restart"/>
            <w:noWrap w:val="0"/>
            <w:vAlign w:val="center"/>
          </w:tcPr>
          <w:p>
            <w:pPr>
              <w:spacing w:line="320" w:lineRule="exact"/>
              <w:rPr>
                <w:rFonts w:ascii="黑体" w:eastAsia="黑体"/>
                <w:sz w:val="24"/>
              </w:rPr>
            </w:pPr>
            <w:r>
              <w:rPr>
                <w:rFonts w:hint="eastAsia" w:ascii="黑体" w:eastAsia="黑体"/>
                <w:sz w:val="24"/>
              </w:rPr>
              <w:t>安全生产管理</w:t>
            </w:r>
          </w:p>
        </w:tc>
        <w:tc>
          <w:tcPr>
            <w:tcW w:w="3774" w:type="dxa"/>
            <w:noWrap w:val="0"/>
            <w:vAlign w:val="center"/>
          </w:tcPr>
          <w:p>
            <w:pPr>
              <w:spacing w:line="320" w:lineRule="exact"/>
              <w:rPr>
                <w:rFonts w:ascii="仿宋_GB2312"/>
                <w:sz w:val="21"/>
                <w:szCs w:val="21"/>
              </w:rPr>
            </w:pPr>
            <w:r>
              <w:rPr>
                <w:rFonts w:ascii="仿宋_GB2312"/>
                <w:sz w:val="21"/>
                <w:szCs w:val="21"/>
              </w:rPr>
              <w:t>1.</w:t>
            </w:r>
            <w:r>
              <w:rPr>
                <w:rFonts w:hint="eastAsia" w:ascii="仿宋_GB2312"/>
                <w:sz w:val="21"/>
                <w:szCs w:val="21"/>
              </w:rPr>
              <w:t>证照是否齐全且在有效期内安全生产许可证（经营证、使用证）等〕。</w:t>
            </w:r>
          </w:p>
        </w:tc>
        <w:tc>
          <w:tcPr>
            <w:tcW w:w="3038" w:type="dxa"/>
            <w:noWrap w:val="0"/>
            <w:vAlign w:val="center"/>
          </w:tcPr>
          <w:p>
            <w:pPr>
              <w:spacing w:line="320" w:lineRule="exact"/>
              <w:ind w:firstLine="528" w:firstLineChars="200"/>
              <w:rPr>
                <w:rFonts w:ascii="仿宋_GB2312"/>
                <w:sz w:val="28"/>
                <w:szCs w:val="28"/>
              </w:rPr>
            </w:pPr>
          </w:p>
        </w:tc>
        <w:tc>
          <w:tcPr>
            <w:tcW w:w="1468" w:type="dxa"/>
            <w:noWrap w:val="0"/>
            <w:vAlign w:val="top"/>
          </w:tcPr>
          <w:p>
            <w:pPr>
              <w:spacing w:line="320" w:lineRule="exact"/>
              <w:ind w:firstLine="528" w:firstLineChars="200"/>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2.</w:t>
            </w:r>
            <w:r>
              <w:rPr>
                <w:rFonts w:hint="eastAsia" w:ascii="仿宋_GB2312"/>
                <w:sz w:val="21"/>
                <w:szCs w:val="21"/>
              </w:rPr>
              <w:t>是否制定全员岗位安全生产责任制，包括单位主要负责人、分管负责人在内的各级人员岗位安全责任制度。</w:t>
            </w:r>
          </w:p>
        </w:tc>
        <w:tc>
          <w:tcPr>
            <w:tcW w:w="3038" w:type="dxa"/>
            <w:noWrap w:val="0"/>
            <w:vAlign w:val="center"/>
          </w:tcPr>
          <w:p>
            <w:pPr>
              <w:spacing w:line="320" w:lineRule="exact"/>
              <w:rPr>
                <w:rFonts w:ascii="仿宋_GB2312"/>
                <w:szCs w:val="21"/>
              </w:rPr>
            </w:pPr>
            <w:r>
              <w:rPr>
                <w:rFonts w:hint="eastAsia" w:ascii="仿宋_GB2312"/>
                <w:szCs w:val="21"/>
              </w:rPr>
              <w:t>　</w:t>
            </w: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3.</w:t>
            </w:r>
            <w:r>
              <w:rPr>
                <w:rFonts w:hint="eastAsia" w:ascii="仿宋_GB2312"/>
                <w:sz w:val="21"/>
                <w:szCs w:val="21"/>
              </w:rPr>
              <w:t>是否依法设置安全生产管理机构或配备专职安全生产管理人员，并按规定配备注册安全工程师。</w:t>
            </w:r>
          </w:p>
        </w:tc>
        <w:tc>
          <w:tcPr>
            <w:tcW w:w="3038" w:type="dxa"/>
            <w:noWrap w:val="0"/>
            <w:vAlign w:val="center"/>
          </w:tcPr>
          <w:p>
            <w:pPr>
              <w:spacing w:line="320" w:lineRule="exact"/>
              <w:rPr>
                <w:rFonts w:ascii="仿宋_GB2312"/>
                <w:szCs w:val="21"/>
              </w:rPr>
            </w:pPr>
            <w:r>
              <w:rPr>
                <w:rFonts w:hint="eastAsia" w:ascii="仿宋_GB2312"/>
                <w:szCs w:val="21"/>
              </w:rPr>
              <w:t>　</w:t>
            </w: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4.</w:t>
            </w:r>
            <w:r>
              <w:rPr>
                <w:rFonts w:hint="eastAsia" w:ascii="仿宋_GB2312"/>
                <w:spacing w:val="-10"/>
                <w:sz w:val="21"/>
                <w:szCs w:val="21"/>
              </w:rPr>
              <w:t>是否制定和落实安全生产管理制度，特别是设备设施、检维修作业、特殊作业和承包商管理制度。</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5.</w:t>
            </w:r>
            <w:r>
              <w:rPr>
                <w:rFonts w:hint="eastAsia" w:ascii="仿宋_GB2312"/>
                <w:sz w:val="21"/>
                <w:szCs w:val="21"/>
              </w:rPr>
              <w:t>是否制定工艺操作规程，包括工艺控制指标，并明确正常控制范围、高低报警值、高高低低报警值、联锁值等，操作规程与工艺卡片中的工艺控制指标是否一致。</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6.</w:t>
            </w:r>
            <w:r>
              <w:rPr>
                <w:rFonts w:hint="eastAsia" w:ascii="仿宋_GB2312"/>
                <w:sz w:val="21"/>
                <w:szCs w:val="21"/>
              </w:rPr>
              <w:t>是否建立变更管理制度，将工艺、设备、仪表、电气、公用工程、备件、材料、化学品、生产组织方式和人员等方面发生的所有变化，纳入变更管理。</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7.</w:t>
            </w:r>
            <w:r>
              <w:rPr>
                <w:rFonts w:hint="eastAsia" w:ascii="仿宋_GB2312"/>
                <w:sz w:val="21"/>
                <w:szCs w:val="21"/>
              </w:rPr>
              <w:t>主要负责人、分管安全负责人及安全生产管理人员、特种作业人员是否持证上岗，从业人员是否按规定开展培训教育。</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8.</w:t>
            </w:r>
            <w:r>
              <w:rPr>
                <w:rFonts w:hint="eastAsia" w:ascii="仿宋_GB2312"/>
                <w:sz w:val="21"/>
                <w:szCs w:val="21"/>
              </w:rPr>
              <w:t>涉危工艺操作人员是否具备高中或高中以上学历，取得危险化学品安全作业证书，并按规定复审。</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9..</w:t>
            </w:r>
            <w:r>
              <w:rPr>
                <w:rFonts w:hint="eastAsia" w:ascii="仿宋_GB2312"/>
                <w:sz w:val="21"/>
                <w:szCs w:val="21"/>
              </w:rPr>
              <w:t>隐患排查治理有关记录、台帐是否齐全；隐患排查治理是否实现闭环管理。</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10.</w:t>
            </w:r>
            <w:r>
              <w:rPr>
                <w:rFonts w:hint="eastAsia" w:ascii="仿宋_GB2312"/>
                <w:sz w:val="21"/>
                <w:szCs w:val="21"/>
              </w:rPr>
              <w:t>危险化学品发货装载环节是否落实“四必查”。</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11.</w:t>
            </w:r>
            <w:r>
              <w:rPr>
                <w:rFonts w:hint="eastAsia" w:ascii="仿宋_GB2312"/>
                <w:sz w:val="21"/>
                <w:szCs w:val="21"/>
              </w:rPr>
              <w:t>主要负责人是否按照要求每日对本企业安全风险进行研判，并承诺公告。</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440" w:type="dxa"/>
            <w:vMerge w:val="restart"/>
            <w:noWrap w:val="0"/>
            <w:vAlign w:val="top"/>
          </w:tcPr>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ascii="黑体" w:eastAsia="黑体"/>
                <w:sz w:val="24"/>
              </w:rPr>
            </w:pPr>
            <w:r>
              <w:rPr>
                <w:rFonts w:hint="eastAsia" w:ascii="黑体" w:eastAsia="黑体"/>
                <w:sz w:val="24"/>
              </w:rPr>
              <w:t>安全</w:t>
            </w:r>
          </w:p>
          <w:p>
            <w:pPr>
              <w:spacing w:line="320" w:lineRule="exact"/>
              <w:rPr>
                <w:rFonts w:ascii="黑体" w:eastAsia="黑体"/>
                <w:sz w:val="24"/>
              </w:rPr>
            </w:pPr>
            <w:r>
              <w:rPr>
                <w:rFonts w:hint="eastAsia" w:ascii="黑体" w:eastAsia="黑体"/>
                <w:sz w:val="24"/>
              </w:rPr>
              <w:t>风险</w:t>
            </w:r>
          </w:p>
          <w:p>
            <w:pPr>
              <w:spacing w:line="320" w:lineRule="exact"/>
              <w:rPr>
                <w:rFonts w:ascii="黑体" w:eastAsia="黑体"/>
                <w:sz w:val="24"/>
              </w:rPr>
            </w:pPr>
            <w:r>
              <w:rPr>
                <w:rFonts w:hint="eastAsia" w:ascii="黑体" w:eastAsia="黑体"/>
                <w:sz w:val="24"/>
              </w:rPr>
              <w:t>管控</w:t>
            </w: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hint="eastAsia" w:ascii="黑体" w:eastAsia="黑体"/>
                <w:sz w:val="24"/>
              </w:rPr>
            </w:pPr>
          </w:p>
          <w:p>
            <w:pPr>
              <w:spacing w:line="320" w:lineRule="exact"/>
              <w:rPr>
                <w:rFonts w:ascii="黑体" w:eastAsia="黑体"/>
                <w:sz w:val="24"/>
              </w:rPr>
            </w:pPr>
          </w:p>
          <w:p>
            <w:pPr>
              <w:spacing w:line="320" w:lineRule="exact"/>
              <w:rPr>
                <w:rFonts w:ascii="黑体" w:eastAsia="黑体"/>
                <w:sz w:val="24"/>
              </w:rPr>
            </w:pPr>
            <w:r>
              <w:rPr>
                <w:rFonts w:hint="eastAsia" w:ascii="黑体" w:eastAsia="黑体"/>
                <w:sz w:val="24"/>
              </w:rPr>
              <w:t>安全</w:t>
            </w:r>
          </w:p>
          <w:p>
            <w:pPr>
              <w:spacing w:line="320" w:lineRule="exact"/>
              <w:rPr>
                <w:rFonts w:ascii="黑体" w:eastAsia="黑体"/>
                <w:sz w:val="24"/>
              </w:rPr>
            </w:pPr>
            <w:r>
              <w:rPr>
                <w:rFonts w:hint="eastAsia" w:ascii="黑体" w:eastAsia="黑体"/>
                <w:sz w:val="24"/>
              </w:rPr>
              <w:t>风险</w:t>
            </w:r>
          </w:p>
          <w:p>
            <w:pPr>
              <w:spacing w:line="320" w:lineRule="exact"/>
              <w:rPr>
                <w:rFonts w:ascii="黑体" w:eastAsia="黑体"/>
                <w:sz w:val="24"/>
              </w:rPr>
            </w:pPr>
            <w:r>
              <w:rPr>
                <w:rFonts w:hint="eastAsia" w:ascii="黑体" w:eastAsia="黑体"/>
                <w:sz w:val="24"/>
              </w:rPr>
              <w:t>管控</w:t>
            </w:r>
          </w:p>
          <w:p>
            <w:pPr>
              <w:spacing w:line="320" w:lineRule="exact"/>
              <w:rPr>
                <w:rFonts w:ascii="黑体" w:eastAsia="黑体"/>
                <w:sz w:val="24"/>
              </w:rPr>
            </w:pPr>
          </w:p>
        </w:tc>
        <w:tc>
          <w:tcPr>
            <w:tcW w:w="3774" w:type="dxa"/>
            <w:noWrap w:val="0"/>
            <w:vAlign w:val="center"/>
          </w:tcPr>
          <w:p>
            <w:pPr>
              <w:spacing w:line="320" w:lineRule="exact"/>
              <w:rPr>
                <w:rFonts w:ascii="仿宋_GB2312"/>
                <w:sz w:val="21"/>
                <w:szCs w:val="21"/>
              </w:rPr>
            </w:pPr>
            <w:r>
              <w:rPr>
                <w:rFonts w:ascii="仿宋_GB2312"/>
                <w:sz w:val="21"/>
                <w:szCs w:val="21"/>
              </w:rPr>
              <w:t>12.</w:t>
            </w:r>
            <w:r>
              <w:rPr>
                <w:rFonts w:hint="eastAsia" w:ascii="仿宋_GB2312"/>
                <w:sz w:val="21"/>
                <w:szCs w:val="21"/>
              </w:rPr>
              <w:t>涉及“两重点一重大”的生产装置、储存设施外部安全防护距离是否符合国家标准要求。</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top"/>
          </w:tcPr>
          <w:p>
            <w:pPr>
              <w:spacing w:line="320" w:lineRule="exact"/>
              <w:rPr>
                <w:rFonts w:ascii="黑体" w:eastAsia="黑体"/>
                <w:sz w:val="24"/>
              </w:rPr>
            </w:pPr>
          </w:p>
        </w:tc>
        <w:tc>
          <w:tcPr>
            <w:tcW w:w="3774" w:type="dxa"/>
            <w:noWrap w:val="0"/>
            <w:vAlign w:val="center"/>
          </w:tcPr>
          <w:p>
            <w:pPr>
              <w:spacing w:line="320" w:lineRule="exact"/>
              <w:rPr>
                <w:rFonts w:ascii="仿宋_GB2312"/>
                <w:sz w:val="21"/>
                <w:szCs w:val="21"/>
              </w:rPr>
            </w:pPr>
            <w:r>
              <w:rPr>
                <w:rFonts w:ascii="仿宋_GB2312"/>
                <w:sz w:val="21"/>
                <w:szCs w:val="21"/>
              </w:rPr>
              <w:t>13.</w:t>
            </w:r>
            <w:r>
              <w:rPr>
                <w:rFonts w:hint="eastAsia" w:ascii="仿宋_GB2312"/>
                <w:sz w:val="21"/>
                <w:szCs w:val="21"/>
              </w:rPr>
              <w:t>地区架空电力线路是否穿越生产区且不符合国家标准要求。</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top"/>
          </w:tcPr>
          <w:p>
            <w:pPr>
              <w:spacing w:line="320" w:lineRule="exact"/>
            </w:pPr>
          </w:p>
        </w:tc>
        <w:tc>
          <w:tcPr>
            <w:tcW w:w="3774" w:type="dxa"/>
            <w:noWrap w:val="0"/>
            <w:vAlign w:val="center"/>
          </w:tcPr>
          <w:p>
            <w:pPr>
              <w:spacing w:line="320" w:lineRule="exact"/>
              <w:rPr>
                <w:rFonts w:ascii="仿宋_GB2312"/>
                <w:sz w:val="21"/>
                <w:szCs w:val="21"/>
              </w:rPr>
            </w:pPr>
            <w:r>
              <w:rPr>
                <w:rFonts w:ascii="仿宋_GB2312"/>
                <w:spacing w:val="-10"/>
                <w:sz w:val="21"/>
                <w:szCs w:val="21"/>
              </w:rPr>
              <w:t>14.</w:t>
            </w:r>
            <w:r>
              <w:rPr>
                <w:rFonts w:hint="eastAsia" w:ascii="仿宋_GB2312"/>
                <w:spacing w:val="-10"/>
                <w:sz w:val="21"/>
                <w:szCs w:val="21"/>
              </w:rPr>
              <w:t>是否使用国家明令淘汰、禁止使用的危及生产安全的工艺、设备。</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top"/>
          </w:tcPr>
          <w:p>
            <w:pPr>
              <w:spacing w:line="320" w:lineRule="exact"/>
            </w:pPr>
          </w:p>
        </w:tc>
        <w:tc>
          <w:tcPr>
            <w:tcW w:w="3774" w:type="dxa"/>
            <w:noWrap w:val="0"/>
            <w:vAlign w:val="center"/>
          </w:tcPr>
          <w:p>
            <w:pPr>
              <w:spacing w:line="320" w:lineRule="exact"/>
              <w:rPr>
                <w:rFonts w:ascii="仿宋_GB2312"/>
                <w:spacing w:val="-10"/>
                <w:sz w:val="21"/>
                <w:szCs w:val="21"/>
              </w:rPr>
            </w:pPr>
            <w:r>
              <w:rPr>
                <w:rFonts w:ascii="仿宋_GB2312"/>
                <w:spacing w:val="-10"/>
                <w:sz w:val="21"/>
                <w:szCs w:val="21"/>
              </w:rPr>
              <w:t>15.</w:t>
            </w:r>
            <w:r>
              <w:rPr>
                <w:rFonts w:hint="eastAsia" w:ascii="仿宋_GB2312"/>
                <w:spacing w:val="-10"/>
                <w:sz w:val="21"/>
                <w:szCs w:val="21"/>
              </w:rPr>
              <w:t>在役化工装置是否经正规设计或进行安全设计诊断。</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top"/>
          </w:tcPr>
          <w:p>
            <w:pPr>
              <w:spacing w:line="320" w:lineRule="exact"/>
            </w:pPr>
          </w:p>
        </w:tc>
        <w:tc>
          <w:tcPr>
            <w:tcW w:w="3774" w:type="dxa"/>
            <w:noWrap w:val="0"/>
            <w:vAlign w:val="center"/>
          </w:tcPr>
          <w:p>
            <w:pPr>
              <w:spacing w:line="320" w:lineRule="exact"/>
              <w:rPr>
                <w:rFonts w:ascii="仿宋_GB2312"/>
                <w:spacing w:val="-10"/>
                <w:sz w:val="21"/>
                <w:szCs w:val="21"/>
              </w:rPr>
            </w:pPr>
            <w:r>
              <w:rPr>
                <w:rFonts w:ascii="仿宋_GB2312"/>
                <w:sz w:val="21"/>
                <w:szCs w:val="21"/>
              </w:rPr>
              <w:t>16.</w:t>
            </w:r>
            <w:r>
              <w:rPr>
                <w:rFonts w:hint="eastAsia" w:ascii="仿宋_GB2312"/>
                <w:sz w:val="21"/>
                <w:szCs w:val="21"/>
              </w:rPr>
              <w:t>化工生产装置是否按规定设置双电源，自动化控制系统是否设置不间断电源。</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top"/>
          </w:tcPr>
          <w:p>
            <w:pPr>
              <w:spacing w:line="320" w:lineRule="exact"/>
            </w:pPr>
          </w:p>
        </w:tc>
        <w:tc>
          <w:tcPr>
            <w:tcW w:w="3774" w:type="dxa"/>
            <w:noWrap w:val="0"/>
            <w:vAlign w:val="center"/>
          </w:tcPr>
          <w:p>
            <w:pPr>
              <w:tabs>
                <w:tab w:val="left" w:pos="1106"/>
              </w:tabs>
              <w:spacing w:line="320" w:lineRule="exact"/>
              <w:rPr>
                <w:rFonts w:ascii="仿宋_GB2312"/>
                <w:sz w:val="21"/>
                <w:szCs w:val="21"/>
              </w:rPr>
            </w:pPr>
            <w:r>
              <w:rPr>
                <w:rFonts w:ascii="仿宋_GB2312"/>
                <w:sz w:val="21"/>
                <w:szCs w:val="21"/>
              </w:rPr>
              <w:t>17.</w:t>
            </w:r>
            <w:r>
              <w:rPr>
                <w:rFonts w:hint="eastAsia" w:ascii="仿宋_GB2312"/>
                <w:sz w:val="21"/>
                <w:szCs w:val="21"/>
              </w:rPr>
              <w:t>涉危工艺装置是否实现自动化控制，是否具备紧急停车功能并投入使用。</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top"/>
          </w:tcPr>
          <w:p>
            <w:pPr>
              <w:spacing w:line="320" w:lineRule="exact"/>
            </w:pPr>
          </w:p>
        </w:tc>
        <w:tc>
          <w:tcPr>
            <w:tcW w:w="3774" w:type="dxa"/>
            <w:noWrap w:val="0"/>
            <w:vAlign w:val="center"/>
          </w:tcPr>
          <w:p>
            <w:pPr>
              <w:tabs>
                <w:tab w:val="left" w:pos="656"/>
              </w:tabs>
              <w:spacing w:line="320" w:lineRule="exact"/>
              <w:rPr>
                <w:rFonts w:ascii="仿宋_GB2312"/>
                <w:sz w:val="21"/>
                <w:szCs w:val="21"/>
              </w:rPr>
            </w:pPr>
            <w:r>
              <w:rPr>
                <w:rFonts w:ascii="仿宋_GB2312"/>
                <w:sz w:val="21"/>
                <w:szCs w:val="21"/>
              </w:rPr>
              <w:t>18.</w:t>
            </w:r>
            <w:r>
              <w:rPr>
                <w:rFonts w:hint="eastAsia" w:ascii="仿宋_GB2312"/>
                <w:sz w:val="21"/>
                <w:szCs w:val="21"/>
              </w:rPr>
              <w:t>一、二级重大危险源的危化品罐区是否具备紧急切断功能；涉及毒性气体、液化气体、剧毒液体的一、二级重大危险源的罐区是否配备独立的安全仪表系统。</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top"/>
          </w:tcPr>
          <w:p>
            <w:pPr>
              <w:spacing w:line="320" w:lineRule="exact"/>
            </w:pPr>
          </w:p>
        </w:tc>
        <w:tc>
          <w:tcPr>
            <w:tcW w:w="3774" w:type="dxa"/>
            <w:noWrap w:val="0"/>
            <w:vAlign w:val="center"/>
          </w:tcPr>
          <w:p>
            <w:pPr>
              <w:tabs>
                <w:tab w:val="left" w:pos="656"/>
              </w:tabs>
              <w:spacing w:line="320" w:lineRule="exact"/>
              <w:rPr>
                <w:rFonts w:ascii="仿宋_GB2312"/>
                <w:sz w:val="21"/>
                <w:szCs w:val="21"/>
              </w:rPr>
            </w:pPr>
            <w:r>
              <w:rPr>
                <w:rFonts w:ascii="仿宋_GB2312"/>
                <w:sz w:val="21"/>
                <w:szCs w:val="21"/>
              </w:rPr>
              <w:t>19.</w:t>
            </w:r>
            <w:r>
              <w:rPr>
                <w:rFonts w:hint="eastAsia" w:ascii="仿宋_GB2312"/>
                <w:sz w:val="21"/>
                <w:szCs w:val="21"/>
              </w:rPr>
              <w:t>控制室或机柜间面向具有火灾、爆炸危险性装置一侧是否满足防火防爆要求。</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440" w:type="dxa"/>
            <w:vMerge w:val="continue"/>
            <w:noWrap w:val="0"/>
            <w:vAlign w:val="top"/>
          </w:tcPr>
          <w:p>
            <w:pPr>
              <w:spacing w:line="320" w:lineRule="exact"/>
            </w:pPr>
          </w:p>
        </w:tc>
        <w:tc>
          <w:tcPr>
            <w:tcW w:w="3774" w:type="dxa"/>
            <w:noWrap w:val="0"/>
            <w:vAlign w:val="top"/>
          </w:tcPr>
          <w:p>
            <w:pPr>
              <w:spacing w:line="320" w:lineRule="exact"/>
              <w:rPr>
                <w:rFonts w:ascii="仿宋_GB2312"/>
                <w:sz w:val="21"/>
                <w:szCs w:val="21"/>
              </w:rPr>
            </w:pPr>
            <w:r>
              <w:rPr>
                <w:rFonts w:ascii="仿宋_GB2312"/>
                <w:sz w:val="21"/>
                <w:szCs w:val="21"/>
              </w:rPr>
              <w:t>20.</w:t>
            </w:r>
            <w:r>
              <w:rPr>
                <w:rFonts w:hint="eastAsia" w:ascii="仿宋_GB2312"/>
                <w:sz w:val="21"/>
                <w:szCs w:val="21"/>
              </w:rPr>
              <w:t>全压力式液化烃储罐是否按规定设置注水措施。</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440" w:type="dxa"/>
            <w:vMerge w:val="continue"/>
            <w:noWrap w:val="0"/>
            <w:vAlign w:val="top"/>
          </w:tcPr>
          <w:p>
            <w:pPr>
              <w:spacing w:line="320" w:lineRule="exact"/>
            </w:pPr>
          </w:p>
        </w:tc>
        <w:tc>
          <w:tcPr>
            <w:tcW w:w="3774" w:type="dxa"/>
            <w:noWrap w:val="0"/>
            <w:vAlign w:val="top"/>
          </w:tcPr>
          <w:p>
            <w:pPr>
              <w:spacing w:line="320" w:lineRule="exact"/>
              <w:rPr>
                <w:rFonts w:ascii="仿宋_GB2312"/>
                <w:sz w:val="21"/>
                <w:szCs w:val="21"/>
              </w:rPr>
            </w:pPr>
            <w:r>
              <w:rPr>
                <w:rFonts w:ascii="仿宋_GB2312"/>
                <w:sz w:val="21"/>
                <w:szCs w:val="21"/>
              </w:rPr>
              <w:t>21.</w:t>
            </w:r>
            <w:r>
              <w:rPr>
                <w:rFonts w:hint="eastAsia" w:ascii="仿宋_GB2312"/>
                <w:sz w:val="21"/>
                <w:szCs w:val="21"/>
              </w:rPr>
              <w:t>爆炸危险场所是否按规定设置防爆电气设备。</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40" w:type="dxa"/>
            <w:vMerge w:val="continue"/>
            <w:noWrap w:val="0"/>
            <w:vAlign w:val="top"/>
          </w:tcPr>
          <w:p>
            <w:pPr>
              <w:spacing w:line="320" w:lineRule="exact"/>
            </w:pPr>
          </w:p>
        </w:tc>
        <w:tc>
          <w:tcPr>
            <w:tcW w:w="3774" w:type="dxa"/>
            <w:noWrap w:val="0"/>
            <w:vAlign w:val="top"/>
          </w:tcPr>
          <w:p>
            <w:pPr>
              <w:spacing w:line="320" w:lineRule="exact"/>
              <w:rPr>
                <w:rFonts w:ascii="仿宋_GB2312"/>
                <w:sz w:val="21"/>
                <w:szCs w:val="21"/>
              </w:rPr>
            </w:pPr>
            <w:r>
              <w:rPr>
                <w:rFonts w:ascii="仿宋_GB2312"/>
                <w:sz w:val="21"/>
                <w:szCs w:val="21"/>
              </w:rPr>
              <w:t xml:space="preserve">22. </w:t>
            </w:r>
            <w:r>
              <w:rPr>
                <w:rFonts w:hint="eastAsia" w:ascii="仿宋_GB2312"/>
                <w:sz w:val="21"/>
                <w:szCs w:val="21"/>
              </w:rPr>
              <w:t>锅炉、压力容器、压力管道等特种设备是否取得使用登记证，并经定期检验合格；安全阀、爆破片等安全附件是否正常投用。</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440" w:type="dxa"/>
            <w:vMerge w:val="continue"/>
            <w:noWrap w:val="0"/>
            <w:vAlign w:val="top"/>
          </w:tcPr>
          <w:p>
            <w:pPr>
              <w:spacing w:line="320" w:lineRule="exact"/>
            </w:pPr>
          </w:p>
        </w:tc>
        <w:tc>
          <w:tcPr>
            <w:tcW w:w="3774" w:type="dxa"/>
            <w:noWrap w:val="0"/>
            <w:vAlign w:val="top"/>
          </w:tcPr>
          <w:p>
            <w:pPr>
              <w:spacing w:line="320" w:lineRule="exact"/>
              <w:rPr>
                <w:rFonts w:ascii="仿宋_GB2312"/>
                <w:sz w:val="21"/>
                <w:szCs w:val="21"/>
              </w:rPr>
            </w:pPr>
            <w:r>
              <w:rPr>
                <w:rFonts w:ascii="仿宋_GB2312"/>
                <w:sz w:val="21"/>
                <w:szCs w:val="21"/>
              </w:rPr>
              <w:t>23.</w:t>
            </w:r>
            <w:r>
              <w:rPr>
                <w:rFonts w:hint="eastAsia" w:ascii="仿宋_GB2312"/>
                <w:sz w:val="21"/>
                <w:szCs w:val="21"/>
              </w:rPr>
              <w:t>可燃有毒气体泄漏检测报警系统是否按规范设置并定期检测校验；可燃有毒气体检测报警信号是否发送至有操作人员常驻的控制室、现场操作室。</w:t>
            </w:r>
          </w:p>
        </w:tc>
        <w:tc>
          <w:tcPr>
            <w:tcW w:w="3038" w:type="dxa"/>
            <w:noWrap w:val="0"/>
            <w:vAlign w:val="top"/>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24.</w:t>
            </w:r>
            <w:r>
              <w:rPr>
                <w:rFonts w:hint="eastAsia" w:ascii="仿宋_GB2312"/>
                <w:sz w:val="21"/>
                <w:szCs w:val="21"/>
              </w:rPr>
              <w:t>液化烃、液氨、液氯等易燃易爆、有毒有害液化气体的充装是否使用万向管道充装系统。</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center"/>
          </w:tcPr>
          <w:p>
            <w:pPr>
              <w:spacing w:line="320" w:lineRule="exact"/>
            </w:pPr>
          </w:p>
        </w:tc>
        <w:tc>
          <w:tcPr>
            <w:tcW w:w="3774" w:type="dxa"/>
            <w:noWrap w:val="0"/>
            <w:vAlign w:val="center"/>
          </w:tcPr>
          <w:p>
            <w:pPr>
              <w:tabs>
                <w:tab w:val="left" w:pos="656"/>
              </w:tabs>
              <w:spacing w:line="320" w:lineRule="exact"/>
              <w:rPr>
                <w:rFonts w:ascii="仿宋_GB2312"/>
                <w:sz w:val="21"/>
                <w:szCs w:val="21"/>
              </w:rPr>
            </w:pPr>
            <w:r>
              <w:rPr>
                <w:rFonts w:ascii="仿宋_GB2312"/>
                <w:sz w:val="21"/>
                <w:szCs w:val="21"/>
              </w:rPr>
              <w:t>25.</w:t>
            </w:r>
            <w:r>
              <w:rPr>
                <w:rFonts w:hint="eastAsia" w:ascii="仿宋_GB2312"/>
                <w:sz w:val="21"/>
                <w:szCs w:val="21"/>
              </w:rPr>
              <w:t>危险化学品仓库是否按照标准分区、分类、分库存放，是否存在超量、超品种以及相互禁忌物质混放混存的现象。</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center"/>
          </w:tcPr>
          <w:p>
            <w:pPr>
              <w:spacing w:line="320" w:lineRule="exact"/>
            </w:pPr>
          </w:p>
        </w:tc>
        <w:tc>
          <w:tcPr>
            <w:tcW w:w="3774" w:type="dxa"/>
            <w:noWrap w:val="0"/>
            <w:vAlign w:val="center"/>
          </w:tcPr>
          <w:p>
            <w:pPr>
              <w:tabs>
                <w:tab w:val="left" w:pos="656"/>
              </w:tabs>
              <w:spacing w:line="320" w:lineRule="exact"/>
              <w:rPr>
                <w:rFonts w:ascii="仿宋_GB2312"/>
                <w:sz w:val="21"/>
                <w:szCs w:val="21"/>
              </w:rPr>
            </w:pPr>
            <w:r>
              <w:rPr>
                <w:rFonts w:ascii="仿宋_GB2312"/>
                <w:sz w:val="21"/>
                <w:szCs w:val="21"/>
              </w:rPr>
              <w:t>26</w:t>
            </w:r>
            <w:r>
              <w:rPr>
                <w:rFonts w:hint="eastAsia" w:ascii="仿宋_GB2312"/>
                <w:sz w:val="21"/>
                <w:szCs w:val="21"/>
              </w:rPr>
              <w:t>．涉危工艺反应产品（含中间产品）是否按规范要求储存，是否落实安全管理措施。</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27.</w:t>
            </w:r>
            <w:r>
              <w:rPr>
                <w:rFonts w:hint="eastAsia" w:ascii="仿宋_GB2312"/>
                <w:sz w:val="21"/>
                <w:szCs w:val="21"/>
              </w:rPr>
              <w:t>是否按照规范制定动火、进入受限空间等特殊作业管理制度并有效执行</w:t>
            </w:r>
            <w:r>
              <w:rPr>
                <w:rFonts w:ascii="仿宋_GB2312"/>
                <w:sz w:val="21"/>
                <w:szCs w:val="21"/>
              </w:rPr>
              <w:t>,</w:t>
            </w:r>
            <w:r>
              <w:rPr>
                <w:rFonts w:hint="eastAsia" w:ascii="仿宋_GB2312"/>
                <w:sz w:val="21"/>
                <w:szCs w:val="21"/>
              </w:rPr>
              <w:t>动火、受限空间等作业票是否符合规范要求。</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28.</w:t>
            </w:r>
            <w:r>
              <w:rPr>
                <w:rFonts w:hint="eastAsia" w:ascii="仿宋_GB2312"/>
                <w:sz w:val="21"/>
                <w:szCs w:val="21"/>
              </w:rPr>
              <w:t>是否在有较大危险因素的生产经营场所和有关设施、设备上设置明显的安全警示标志。</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29.</w:t>
            </w:r>
            <w:r>
              <w:rPr>
                <w:rFonts w:hint="eastAsia" w:ascii="仿宋_GB2312"/>
                <w:sz w:val="21"/>
                <w:szCs w:val="21"/>
              </w:rPr>
              <w:t>易燃易爆废弃危险化学品储存情况，特别是涉危工艺如硝化、氧化等反应的危险废物储存情况和监管责任落实情况。</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40" w:type="dxa"/>
            <w:vMerge w:val="restart"/>
            <w:noWrap w:val="0"/>
            <w:vAlign w:val="center"/>
          </w:tcPr>
          <w:p>
            <w:pPr>
              <w:spacing w:line="320" w:lineRule="exact"/>
              <w:rPr>
                <w:rFonts w:ascii="黑体" w:eastAsia="黑体"/>
                <w:sz w:val="24"/>
              </w:rPr>
            </w:pPr>
            <w:r>
              <w:rPr>
                <w:rFonts w:hint="eastAsia" w:ascii="黑体" w:eastAsia="黑体"/>
                <w:sz w:val="24"/>
              </w:rPr>
              <w:t>应急管理</w:t>
            </w:r>
          </w:p>
        </w:tc>
        <w:tc>
          <w:tcPr>
            <w:tcW w:w="3774" w:type="dxa"/>
            <w:noWrap w:val="0"/>
            <w:vAlign w:val="center"/>
          </w:tcPr>
          <w:p>
            <w:pPr>
              <w:spacing w:line="320" w:lineRule="exact"/>
              <w:rPr>
                <w:rFonts w:ascii="仿宋_GB2312"/>
                <w:sz w:val="21"/>
                <w:szCs w:val="21"/>
              </w:rPr>
            </w:pPr>
            <w:r>
              <w:rPr>
                <w:rFonts w:ascii="仿宋_GB2312"/>
                <w:sz w:val="21"/>
                <w:szCs w:val="21"/>
              </w:rPr>
              <w:t>30.</w:t>
            </w:r>
            <w:r>
              <w:rPr>
                <w:rFonts w:hint="eastAsia" w:ascii="仿宋_GB2312"/>
                <w:sz w:val="21"/>
                <w:szCs w:val="21"/>
              </w:rPr>
              <w:t>是否按照国家有关要求，制定综合应急预案、专项应急预案、现场处置方案和“一图一卡一册”，并及时修订。</w:t>
            </w:r>
          </w:p>
        </w:tc>
        <w:tc>
          <w:tcPr>
            <w:tcW w:w="3038" w:type="dxa"/>
            <w:noWrap w:val="0"/>
            <w:vAlign w:val="center"/>
          </w:tcPr>
          <w:p>
            <w:pPr>
              <w:spacing w:line="320" w:lineRule="exact"/>
              <w:rPr>
                <w:rFonts w:ascii="仿宋_GB2312"/>
                <w:szCs w:val="21"/>
              </w:rPr>
            </w:pPr>
            <w:r>
              <w:rPr>
                <w:rFonts w:hint="eastAsia" w:ascii="仿宋_GB2312"/>
                <w:szCs w:val="21"/>
              </w:rPr>
              <w:t>　</w:t>
            </w: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31.</w:t>
            </w:r>
            <w:r>
              <w:rPr>
                <w:rFonts w:hint="eastAsia" w:ascii="仿宋_GB2312"/>
                <w:sz w:val="21"/>
                <w:szCs w:val="21"/>
              </w:rPr>
              <w:t>是否按规定配备应急救援器材并维护保养</w:t>
            </w:r>
          </w:p>
        </w:tc>
        <w:tc>
          <w:tcPr>
            <w:tcW w:w="3038" w:type="dxa"/>
            <w:noWrap w:val="0"/>
            <w:vAlign w:val="center"/>
          </w:tcPr>
          <w:p>
            <w:pPr>
              <w:spacing w:line="320" w:lineRule="exact"/>
              <w:rPr>
                <w:rFonts w:ascii="仿宋_GB2312"/>
                <w:szCs w:val="21"/>
              </w:rPr>
            </w:pPr>
            <w:r>
              <w:rPr>
                <w:rFonts w:hint="eastAsia" w:ascii="仿宋_GB2312"/>
                <w:szCs w:val="21"/>
              </w:rPr>
              <w:t>　</w:t>
            </w: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32</w:t>
            </w:r>
            <w:r>
              <w:rPr>
                <w:rFonts w:hint="eastAsia" w:ascii="仿宋_GB2312"/>
                <w:sz w:val="21"/>
                <w:szCs w:val="21"/>
              </w:rPr>
              <w:t>是否组织从业人员进行应急救援预案的培训，涉危工艺的岗位是否进行现场处置方案培训。</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440" w:type="dxa"/>
            <w:vMerge w:val="continue"/>
            <w:noWrap w:val="0"/>
            <w:vAlign w:val="center"/>
          </w:tcPr>
          <w:p>
            <w:pPr>
              <w:spacing w:line="320" w:lineRule="exact"/>
            </w:pPr>
          </w:p>
        </w:tc>
        <w:tc>
          <w:tcPr>
            <w:tcW w:w="3774" w:type="dxa"/>
            <w:noWrap w:val="0"/>
            <w:vAlign w:val="center"/>
          </w:tcPr>
          <w:p>
            <w:pPr>
              <w:spacing w:line="320" w:lineRule="exact"/>
              <w:rPr>
                <w:rFonts w:ascii="仿宋_GB2312"/>
                <w:sz w:val="21"/>
                <w:szCs w:val="21"/>
              </w:rPr>
            </w:pPr>
            <w:r>
              <w:rPr>
                <w:rFonts w:ascii="仿宋_GB2312"/>
                <w:sz w:val="21"/>
                <w:szCs w:val="21"/>
              </w:rPr>
              <w:t>33.</w:t>
            </w:r>
            <w:r>
              <w:rPr>
                <w:rFonts w:hint="eastAsia" w:ascii="仿宋_GB2312"/>
                <w:sz w:val="21"/>
                <w:szCs w:val="21"/>
              </w:rPr>
              <w:t>是否按规定组织预案演练和评审</w:t>
            </w:r>
          </w:p>
        </w:tc>
        <w:tc>
          <w:tcPr>
            <w:tcW w:w="3038" w:type="dxa"/>
            <w:noWrap w:val="0"/>
            <w:vAlign w:val="center"/>
          </w:tcPr>
          <w:p>
            <w:pPr>
              <w:spacing w:line="320" w:lineRule="exact"/>
              <w:rPr>
                <w:rFonts w:ascii="仿宋_GB2312"/>
                <w:szCs w:val="21"/>
              </w:rPr>
            </w:pPr>
          </w:p>
        </w:tc>
        <w:tc>
          <w:tcPr>
            <w:tcW w:w="1468" w:type="dxa"/>
            <w:noWrap w:val="0"/>
            <w:vAlign w:val="top"/>
          </w:tcPr>
          <w:p>
            <w:pPr>
              <w:spacing w:line="320" w:lineRule="exac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440" w:type="dxa"/>
            <w:noWrap w:val="0"/>
            <w:vAlign w:val="center"/>
          </w:tcPr>
          <w:p>
            <w:pPr>
              <w:spacing w:line="320" w:lineRule="exact"/>
              <w:rPr>
                <w:rFonts w:ascii="黑体" w:eastAsia="黑体"/>
                <w:sz w:val="24"/>
              </w:rPr>
            </w:pPr>
            <w:r>
              <w:rPr>
                <w:rFonts w:hint="eastAsia" w:ascii="黑体" w:eastAsia="黑体"/>
                <w:sz w:val="24"/>
              </w:rPr>
              <w:t>检查发现问题及处理意见</w:t>
            </w:r>
          </w:p>
        </w:tc>
        <w:tc>
          <w:tcPr>
            <w:tcW w:w="8280" w:type="dxa"/>
            <w:gridSpan w:val="3"/>
            <w:noWrap w:val="0"/>
            <w:vAlign w:val="center"/>
          </w:tcPr>
          <w:p>
            <w:pPr>
              <w:spacing w:line="320" w:lineRule="exact"/>
              <w:rPr>
                <w:rFonts w:ascii="仿宋_GB2312"/>
                <w:szCs w:val="21"/>
              </w:rPr>
            </w:pPr>
          </w:p>
          <w:p>
            <w:pPr>
              <w:spacing w:line="320" w:lineRule="exact"/>
              <w:rPr>
                <w:rFonts w:ascii="仿宋_GB2312"/>
                <w:szCs w:val="21"/>
              </w:rPr>
            </w:pPr>
          </w:p>
          <w:p>
            <w:pPr>
              <w:spacing w:line="320" w:lineRule="exact"/>
              <w:rPr>
                <w:rFonts w:ascii="仿宋_GB2312"/>
                <w:szCs w:val="21"/>
              </w:rPr>
            </w:pPr>
          </w:p>
          <w:p>
            <w:pPr>
              <w:spacing w:line="320" w:lineRule="exact"/>
              <w:rPr>
                <w:rFonts w:ascii="仿宋_GB2312"/>
                <w:szCs w:val="21"/>
              </w:rPr>
            </w:pPr>
          </w:p>
          <w:p>
            <w:pPr>
              <w:spacing w:line="320" w:lineRule="exact"/>
              <w:rPr>
                <w:rFonts w:ascii="仿宋_GB2312"/>
                <w:szCs w:val="21"/>
              </w:rPr>
            </w:pPr>
          </w:p>
          <w:p>
            <w:pPr>
              <w:spacing w:line="320" w:lineRule="exact"/>
              <w:rPr>
                <w:rFonts w:ascii="仿宋_GB2312"/>
                <w:szCs w:val="21"/>
              </w:rPr>
            </w:pPr>
          </w:p>
          <w:p>
            <w:pPr>
              <w:spacing w:line="320" w:lineRule="exact"/>
              <w:rPr>
                <w:rFonts w:ascii="仿宋_GB2312"/>
                <w:szCs w:val="21"/>
              </w:rPr>
            </w:pPr>
          </w:p>
          <w:p>
            <w:pPr>
              <w:spacing w:line="320" w:lineRule="exact"/>
              <w:rPr>
                <w:rFonts w:ascii="仿宋_GB2312"/>
                <w:szCs w:val="21"/>
              </w:rPr>
            </w:pPr>
          </w:p>
          <w:p>
            <w:pPr>
              <w:spacing w:line="320" w:lineRule="exact"/>
              <w:rPr>
                <w:rFonts w:ascii="仿宋_GB2312"/>
                <w:sz w:val="28"/>
                <w:szCs w:val="28"/>
              </w:rPr>
            </w:pPr>
          </w:p>
          <w:p>
            <w:pPr>
              <w:spacing w:line="320" w:lineRule="exact"/>
              <w:rPr>
                <w:rFonts w:ascii="仿宋_GB2312"/>
                <w:sz w:val="28"/>
                <w:szCs w:val="28"/>
              </w:rPr>
            </w:pPr>
          </w:p>
          <w:p>
            <w:pPr>
              <w:spacing w:line="320" w:lineRule="exact"/>
              <w:rPr>
                <w:rFonts w:ascii="仿宋_GB2312"/>
                <w:sz w:val="28"/>
                <w:szCs w:val="28"/>
              </w:rPr>
            </w:pPr>
          </w:p>
          <w:p>
            <w:pPr>
              <w:spacing w:line="320" w:lineRule="exact"/>
              <w:rPr>
                <w:rFonts w:ascii="仿宋_GB2312"/>
                <w:sz w:val="28"/>
                <w:szCs w:val="28"/>
              </w:rPr>
            </w:pPr>
          </w:p>
          <w:p>
            <w:pPr>
              <w:spacing w:line="320" w:lineRule="exact"/>
              <w:rPr>
                <w:rFonts w:ascii="仿宋_GB2312"/>
                <w:sz w:val="28"/>
                <w:szCs w:val="28"/>
              </w:rPr>
            </w:pPr>
          </w:p>
          <w:p>
            <w:pPr>
              <w:spacing w:line="320" w:lineRule="exact"/>
              <w:rPr>
                <w:rFonts w:ascii="仿宋_GB2312"/>
                <w:sz w:val="28"/>
                <w:szCs w:val="28"/>
              </w:rPr>
            </w:pPr>
          </w:p>
          <w:p>
            <w:pPr>
              <w:spacing w:line="320" w:lineRule="exact"/>
              <w:rPr>
                <w:rFonts w:ascii="仿宋_GB2312"/>
                <w:sz w:val="28"/>
                <w:szCs w:val="28"/>
              </w:rPr>
            </w:pPr>
          </w:p>
          <w:p>
            <w:pPr>
              <w:spacing w:line="320" w:lineRule="exact"/>
              <w:rPr>
                <w:rFonts w:ascii="仿宋_GB2312"/>
                <w:sz w:val="28"/>
                <w:szCs w:val="28"/>
              </w:rPr>
            </w:pPr>
          </w:p>
          <w:p>
            <w:pPr>
              <w:spacing w:line="320" w:lineRule="exact"/>
              <w:rPr>
                <w:rFonts w:ascii="仿宋_GB2312"/>
                <w:sz w:val="28"/>
                <w:szCs w:val="28"/>
              </w:rPr>
            </w:pPr>
          </w:p>
          <w:p>
            <w:pPr>
              <w:spacing w:line="320" w:lineRule="exact"/>
              <w:rPr>
                <w:rFonts w:ascii="仿宋_GB2312"/>
                <w:sz w:val="28"/>
                <w:szCs w:val="28"/>
              </w:rPr>
            </w:pPr>
            <w:r>
              <w:rPr>
                <w:rFonts w:hint="eastAsia" w:ascii="仿宋_GB2312"/>
                <w:sz w:val="28"/>
                <w:szCs w:val="28"/>
              </w:rPr>
              <w:t>检查人员（签名）</w:t>
            </w:r>
            <w:r>
              <w:rPr>
                <w:rFonts w:ascii="仿宋_GB2312"/>
                <w:sz w:val="28"/>
                <w:szCs w:val="28"/>
              </w:rPr>
              <w:t xml:space="preserve">           </w:t>
            </w:r>
            <w:r>
              <w:rPr>
                <w:rFonts w:hint="eastAsia" w:ascii="仿宋_GB2312"/>
                <w:sz w:val="28"/>
                <w:szCs w:val="28"/>
              </w:rPr>
              <w:t>企业负责人（签名）：</w:t>
            </w:r>
            <w:r>
              <w:rPr>
                <w:rFonts w:ascii="仿宋_GB2312"/>
                <w:sz w:val="28"/>
                <w:szCs w:val="28"/>
              </w:rPr>
              <w:t xml:space="preserve">  </w:t>
            </w:r>
          </w:p>
          <w:p>
            <w:pPr>
              <w:spacing w:line="320" w:lineRule="exact"/>
              <w:rPr>
                <w:rFonts w:ascii="仿宋_GB2312"/>
                <w:sz w:val="28"/>
                <w:szCs w:val="28"/>
              </w:rPr>
            </w:pPr>
          </w:p>
          <w:p>
            <w:pPr>
              <w:spacing w:line="320" w:lineRule="exact"/>
              <w:ind w:firstLine="3226" w:firstLineChars="1222"/>
              <w:rPr>
                <w:rFonts w:ascii="仿宋_GB2312"/>
                <w:sz w:val="28"/>
                <w:szCs w:val="28"/>
              </w:rPr>
            </w:pPr>
            <w:r>
              <w:rPr>
                <w:rFonts w:hint="eastAsia" w:ascii="仿宋_GB2312"/>
                <w:sz w:val="28"/>
                <w:szCs w:val="28"/>
              </w:rPr>
              <w:t>检查时间：</w:t>
            </w:r>
            <w:r>
              <w:rPr>
                <w:rFonts w:ascii="仿宋_GB2312"/>
                <w:sz w:val="28"/>
                <w:szCs w:val="28"/>
              </w:rPr>
              <w:t xml:space="preserve">     </w:t>
            </w:r>
            <w:r>
              <w:rPr>
                <w:rFonts w:hint="eastAsia" w:ascii="仿宋_GB2312"/>
                <w:sz w:val="28"/>
                <w:szCs w:val="28"/>
              </w:rPr>
              <w:t>年</w:t>
            </w:r>
            <w:r>
              <w:rPr>
                <w:rFonts w:ascii="仿宋_GB2312"/>
                <w:sz w:val="28"/>
                <w:szCs w:val="28"/>
              </w:rPr>
              <w:t xml:space="preserve">    </w:t>
            </w:r>
            <w:r>
              <w:rPr>
                <w:rFonts w:hint="eastAsia" w:ascii="仿宋_GB2312"/>
                <w:sz w:val="28"/>
                <w:szCs w:val="28"/>
              </w:rPr>
              <w:t>月</w:t>
            </w:r>
            <w:r>
              <w:rPr>
                <w:rFonts w:ascii="仿宋_GB2312"/>
                <w:sz w:val="28"/>
                <w:szCs w:val="28"/>
              </w:rPr>
              <w:t xml:space="preserve">    </w:t>
            </w:r>
            <w:r>
              <w:rPr>
                <w:rFonts w:hint="eastAsia" w:ascii="仿宋_GB2312"/>
                <w:sz w:val="28"/>
                <w:szCs w:val="28"/>
              </w:rPr>
              <w:t>日</w:t>
            </w:r>
          </w:p>
          <w:p>
            <w:pPr>
              <w:spacing w:line="320" w:lineRule="exact"/>
              <w:rPr>
                <w:rFonts w:ascii="仿宋_GB2312"/>
                <w:szCs w:val="21"/>
              </w:rPr>
            </w:pPr>
          </w:p>
        </w:tc>
      </w:tr>
    </w:tbl>
    <w:p>
      <w:pPr>
        <w:spacing w:line="400" w:lineRule="exact"/>
        <w:ind w:left="775" w:hanging="776" w:hangingChars="400"/>
        <w:rPr>
          <w:sz w:val="21"/>
          <w:szCs w:val="21"/>
        </w:rPr>
      </w:pPr>
      <w:r>
        <w:rPr>
          <w:rFonts w:hint="eastAsia" w:ascii="仿宋_GB2312"/>
          <w:sz w:val="21"/>
          <w:szCs w:val="21"/>
        </w:rPr>
        <w:t>注：检查发现的问题和事故隐患应依法采取执法措施，对违法违规行为应依法进行行政处罚。</w:t>
      </w:r>
    </w:p>
    <w:p>
      <w:pPr>
        <w:rPr>
          <w:rFonts w:hint="eastAsia" w:ascii="黑体" w:hAnsi="黑体" w:eastAsia="黑体"/>
        </w:rPr>
      </w:pPr>
    </w:p>
    <w:p>
      <w:pPr>
        <w:rPr>
          <w:rFonts w:hint="eastAsia" w:ascii="黑体" w:hAnsi="黑体" w:eastAsia="黑体"/>
        </w:rPr>
      </w:pPr>
    </w:p>
    <w:p>
      <w:pPr>
        <w:rPr>
          <w:rFonts w:hint="eastAsia" w:ascii="黑体" w:hAnsi="黑体" w:eastAsia="黑体"/>
        </w:rPr>
      </w:pPr>
      <w:r>
        <w:rPr>
          <w:rFonts w:hint="eastAsia" w:ascii="黑体" w:hAnsi="黑体" w:eastAsia="黑体"/>
        </w:rPr>
        <w:t>附件2</w:t>
      </w:r>
    </w:p>
    <w:p>
      <w:pPr>
        <w:ind w:firstLine="456" w:firstLineChars="150"/>
        <w:rPr>
          <w:rFonts w:hint="eastAsia" w:ascii="仿宋_GB2312" w:hAnsi="黑体"/>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煤矿安全生产专项执法检查重点内容及要求</w:t>
      </w:r>
    </w:p>
    <w:p>
      <w:pPr>
        <w:spacing w:line="600" w:lineRule="exact"/>
        <w:jc w:val="center"/>
        <w:rPr>
          <w:rFonts w:hint="eastAsia" w:ascii="方正小标宋简体" w:eastAsia="方正小标宋简体"/>
          <w:sz w:val="44"/>
          <w:szCs w:val="44"/>
        </w:rPr>
      </w:pPr>
    </w:p>
    <w:p>
      <w:pPr>
        <w:spacing w:line="600" w:lineRule="exact"/>
        <w:ind w:firstLine="645"/>
        <w:rPr>
          <w:rFonts w:hint="eastAsia" w:ascii="黑体" w:hAnsi="黑体" w:eastAsia="黑体"/>
        </w:rPr>
      </w:pPr>
      <w:r>
        <w:rPr>
          <w:rFonts w:hint="eastAsia" w:ascii="黑体" w:hAnsi="黑体" w:eastAsia="黑体"/>
        </w:rPr>
        <w:t>一、执法检查对象和分工</w:t>
      </w:r>
    </w:p>
    <w:p>
      <w:pPr>
        <w:spacing w:line="600" w:lineRule="exact"/>
        <w:ind w:firstLine="645"/>
        <w:rPr>
          <w:rFonts w:hint="eastAsia" w:ascii="仿宋_GB2312" w:eastAsia="仿宋_GB2312"/>
        </w:rPr>
      </w:pPr>
      <w:r>
        <w:rPr>
          <w:rFonts w:hint="eastAsia" w:ascii="仿宋_GB2312" w:eastAsia="仿宋_GB2312"/>
        </w:rPr>
        <w:t>（一）省应急管理厅、福建煤监局负责对纳入省级安全“体检”对象的煤矿（正常生产建设的煤与瓦斯突出、冲击地压、高瓦斯、水文地质类型复杂和极复杂、采深超千米、单班下井人数超过100人以上等6类矿井）进行专项执法检查，每个执法检查组还要至少随机抽查1家煤矿，并对各产煤设区市的专项执法检查情况进行督导。</w:t>
      </w:r>
    </w:p>
    <w:p>
      <w:pPr>
        <w:spacing w:line="600" w:lineRule="exact"/>
        <w:ind w:firstLine="645"/>
        <w:rPr>
          <w:rFonts w:hint="eastAsia" w:ascii="仿宋_GB2312" w:eastAsia="仿宋_GB2312"/>
        </w:rPr>
      </w:pPr>
      <w:r>
        <w:rPr>
          <w:rFonts w:hint="eastAsia" w:ascii="仿宋_GB2312" w:eastAsia="仿宋_GB2312"/>
        </w:rPr>
        <w:t>（二）各产煤设区市负责对纳入市级安全“体检”对象的煤矿（按不少于辖区煤矿数的10%的数量，重点对水文地质类型中等、瓦斯管理较为薄弱、火灾防范存在缺陷、单班下井人数50人以上等安全风险较大的煤矿）和2016年以来发生过事故的煤矿进行专项执法检查，并督促辖区内各产煤县（市、区）开展好专项执法检查。</w:t>
      </w:r>
    </w:p>
    <w:p>
      <w:pPr>
        <w:spacing w:line="600" w:lineRule="exact"/>
        <w:ind w:firstLine="645"/>
        <w:rPr>
          <w:rFonts w:hint="eastAsia" w:ascii="仿宋_GB2312"/>
        </w:rPr>
      </w:pPr>
      <w:r>
        <w:rPr>
          <w:rFonts w:hint="eastAsia" w:ascii="仿宋_GB2312" w:eastAsia="仿宋_GB2312"/>
        </w:rPr>
        <w:t>（三）各产煤县（市、区）可结合煤矿复工复产验收，负责对纳入县级安全“体检”对象的煤矿（按不少于辖区煤矿数的20%的数量，重点对水文地质类型中等、瓦斯管理较为薄弱、火灾防范存在缺陷、单班下井人数50人以上等安全风险较大的煤矿）、除省级和市级专项执法检查以外的复工复产煤矿进行专项执法检查，并落实对停工停产煤矿的巡查检查和盯守责任。</w:t>
      </w:r>
    </w:p>
    <w:p>
      <w:pPr>
        <w:spacing w:line="600" w:lineRule="exact"/>
        <w:ind w:firstLine="645"/>
        <w:rPr>
          <w:rFonts w:hint="eastAsia" w:ascii="黑体" w:hAnsi="黑体" w:eastAsia="黑体"/>
        </w:rPr>
      </w:pPr>
      <w:r>
        <w:rPr>
          <w:rFonts w:hint="eastAsia" w:ascii="黑体" w:hAnsi="黑体" w:eastAsia="黑体"/>
        </w:rPr>
        <w:t>二、执法检查重点</w:t>
      </w:r>
    </w:p>
    <w:p>
      <w:pPr>
        <w:spacing w:line="600" w:lineRule="exact"/>
        <w:ind w:firstLine="645"/>
        <w:rPr>
          <w:rFonts w:hint="eastAsia" w:ascii="仿宋_GB2312" w:eastAsia="仿宋_GB2312"/>
        </w:rPr>
      </w:pPr>
      <w:r>
        <w:rPr>
          <w:rFonts w:hint="eastAsia" w:ascii="仿宋_GB2312" w:eastAsia="仿宋_GB2312"/>
        </w:rPr>
        <w:t>严格按照《福建省人民政府安委会办公室印发福建省高风险煤矿安全“体检”工作方案的通知》（闽安委办〔2018〕117号）、《福建省人民政府安委会办公室转发福建煤监局等部门关于做好春节期间煤矿安全生产工作意见的通知》（闽安委办〔2019〕5号）等要求，重点落实好以下“六查”：</w:t>
      </w:r>
    </w:p>
    <w:p>
      <w:pPr>
        <w:spacing w:line="600" w:lineRule="exact"/>
        <w:ind w:firstLine="645"/>
        <w:rPr>
          <w:rFonts w:hint="eastAsia" w:ascii="仿宋_GB2312" w:eastAsia="仿宋_GB2312"/>
        </w:rPr>
      </w:pPr>
      <w:r>
        <w:rPr>
          <w:rFonts w:hint="eastAsia" w:ascii="仿宋_GB2312" w:eastAsia="仿宋_GB2312"/>
        </w:rPr>
        <w:t>一查煤矿企业的安全生产主体责任落实情况，各类专业技术人员配备是否齐全，是否严格执行矿长带班下井、安全生产承诺等制度。</w:t>
      </w:r>
    </w:p>
    <w:p>
      <w:pPr>
        <w:spacing w:line="600" w:lineRule="exact"/>
        <w:ind w:firstLine="645"/>
        <w:rPr>
          <w:rFonts w:hint="eastAsia" w:ascii="仿宋_GB2312" w:eastAsia="仿宋_GB2312"/>
        </w:rPr>
      </w:pPr>
      <w:r>
        <w:rPr>
          <w:rFonts w:hint="eastAsia" w:ascii="仿宋_GB2312" w:eastAsia="仿宋_GB2312"/>
        </w:rPr>
        <w:t>二查是否存在“五假五超三瞒三不”违法违规行为（“五假”：假整改、假密闭、假数据、假图纸、假报告；“五超”：超层越界、超能力、超强度、超定员、证照超期；“三瞒”：隐瞒作业地点、隐瞒作业人数、瞒报谎报事故；“三不”：不具备法定办矿条件、不经批准擅自复工复产、拒不执行指令仍然生产）；是否存在非正规开采、以掘代采、违法用工等违规行为。</w:t>
      </w:r>
    </w:p>
    <w:p>
      <w:pPr>
        <w:spacing w:line="600" w:lineRule="exact"/>
        <w:ind w:firstLine="645"/>
        <w:rPr>
          <w:rFonts w:hint="eastAsia" w:ascii="仿宋_GB2312" w:eastAsia="仿宋_GB2312"/>
        </w:rPr>
      </w:pPr>
      <w:r>
        <w:rPr>
          <w:rFonts w:hint="eastAsia" w:ascii="仿宋_GB2312" w:eastAsia="仿宋_GB2312"/>
        </w:rPr>
        <w:t>三查矿井主要生产安全系统和重大灾害治理情况，是否存在通风系统不完善、不可靠，采掘接替紧张，安全监控、井下人员位置监测系统等运行不正常，人为损坏监控系统传感器，篡改监控数据，瓦斯、水、火、冲击地压等重大灾害治理机构和人员不健全，灾害治理工程不到位、效果不达标等情况。</w:t>
      </w:r>
    </w:p>
    <w:p>
      <w:pPr>
        <w:spacing w:line="600" w:lineRule="exact"/>
        <w:ind w:firstLine="645"/>
        <w:rPr>
          <w:rFonts w:hint="eastAsia" w:ascii="仿宋_GB2312" w:eastAsia="仿宋_GB2312"/>
        </w:rPr>
      </w:pPr>
      <w:r>
        <w:rPr>
          <w:rFonts w:hint="eastAsia" w:ascii="仿宋_GB2312" w:eastAsia="仿宋_GB2312"/>
        </w:rPr>
        <w:t>四查煤矿复工复产验收是否落实《煤矿复工复产验收管理办法》（煤安监行管〔2019〕4号）、《福建省人民政府安委会办公室转发福建煤监局等部门关于做好春节期间煤矿安全生产工作意见的通知》（闽安委办〔2019〕5号）等要求，严把验收审查关口，复工复产前是否全面排查各生产系统、各环节、各岗位事故隐患，并组织进行安全风险分析研判等。</w:t>
      </w:r>
    </w:p>
    <w:p>
      <w:pPr>
        <w:spacing w:line="600" w:lineRule="exact"/>
        <w:ind w:firstLine="645"/>
        <w:rPr>
          <w:rFonts w:hint="eastAsia" w:ascii="仿宋_GB2312" w:eastAsia="仿宋_GB2312"/>
        </w:rPr>
      </w:pPr>
      <w:r>
        <w:rPr>
          <w:rFonts w:hint="eastAsia" w:ascii="仿宋_GB2312" w:eastAsia="仿宋_GB2312"/>
        </w:rPr>
        <w:t>五查煤矿建设项目是否按照审查批复的设计组织施工，是否存在边建设边生产、假建设真生产等安全生产违法违规行为。</w:t>
      </w:r>
    </w:p>
    <w:p>
      <w:pPr>
        <w:spacing w:line="600" w:lineRule="exact"/>
        <w:ind w:firstLine="645"/>
        <w:rPr>
          <w:rFonts w:hint="eastAsia" w:ascii="仿宋_GB2312" w:eastAsia="仿宋_GB2312"/>
        </w:rPr>
      </w:pPr>
      <w:r>
        <w:rPr>
          <w:rFonts w:hint="eastAsia" w:ascii="仿宋_GB2312" w:eastAsia="仿宋_GB2312"/>
        </w:rPr>
        <w:t>六查停工停产煤矿是否落实值班值守等制度和安全措施，地方监管部门是否落实巡查检查和盯守责任，是否存在擅自复工复产等非法违法生产建设行为。</w:t>
      </w:r>
    </w:p>
    <w:p>
      <w:pPr>
        <w:spacing w:line="600" w:lineRule="exact"/>
        <w:ind w:firstLine="645"/>
        <w:rPr>
          <w:rFonts w:hint="eastAsia" w:ascii="仿宋_GB2312" w:hAnsi="黑体" w:eastAsia="仿宋_GB2312"/>
        </w:rPr>
      </w:pPr>
      <w:r>
        <w:rPr>
          <w:rFonts w:hint="eastAsia" w:ascii="仿宋_GB2312" w:eastAsia="仿宋_GB2312"/>
        </w:rPr>
        <w:t>在专项执法检查中，要做到既查通风、提升运输、安全监控等系统的问题，又查石门揭穿、过断层、过老空区、爆破和电焊作业等关键环节和重点部位存在的问题；既查生产布局、采掘接续、设施设备等硬件方面内容，又查制度措施、技术管理、人员素质、劳动用工等软件方面内容；既查瓦斯、水、火、顶板等重大灾害治理和隐患排查治理情况，又查隐蔽致灾因素、潜在安全风险等情况。要确保查细查透，严防大呼隆、一阵风、走过场。</w:t>
      </w:r>
    </w:p>
    <w:p>
      <w:pPr>
        <w:spacing w:line="600" w:lineRule="exact"/>
        <w:ind w:firstLine="645"/>
        <w:rPr>
          <w:rFonts w:hint="eastAsia" w:ascii="楷体_GB2312" w:eastAsia="楷体_GB2312"/>
          <w:b/>
        </w:rPr>
      </w:pPr>
      <w:r>
        <w:rPr>
          <w:rFonts w:hint="eastAsia" w:ascii="黑体" w:hAnsi="黑体" w:eastAsia="黑体"/>
        </w:rPr>
        <w:t>三、有关工作要求</w:t>
      </w:r>
    </w:p>
    <w:p>
      <w:pPr>
        <w:spacing w:line="600" w:lineRule="exact"/>
        <w:ind w:firstLine="645"/>
        <w:rPr>
          <w:rFonts w:hint="eastAsia" w:ascii="仿宋_GB2312" w:eastAsia="仿宋_GB2312"/>
          <w:b/>
        </w:rPr>
      </w:pPr>
      <w:r>
        <w:rPr>
          <w:rFonts w:hint="eastAsia" w:ascii="楷体_GB2312" w:eastAsia="楷体_GB2312"/>
          <w:b/>
        </w:rPr>
        <w:t>（一）迅速组织启动。</w:t>
      </w:r>
      <w:r>
        <w:rPr>
          <w:rFonts w:hint="eastAsia" w:ascii="仿宋_GB2312" w:eastAsia="仿宋_GB2312"/>
        </w:rPr>
        <w:t>要突出瓦斯、水害、火灾等重点隐患排查治理，以坚决遏制较大以上事故以根本目标，按照分工负责的原则，制定煤矿领域专项执法检查方案，全面启动专项执法检查工作。要集中监管部门、中介服务机构、煤矿企业等方面的专家力量，作为煤矿专项执法检查的技术支撑。各产煤市、县（区）要充分保障煤矿专项执法检查的专家经费。</w:t>
      </w:r>
    </w:p>
    <w:p>
      <w:pPr>
        <w:spacing w:line="600" w:lineRule="exact"/>
        <w:ind w:firstLine="645"/>
        <w:rPr>
          <w:rFonts w:hint="eastAsia" w:ascii="仿宋_GB2312" w:eastAsia="仿宋_GB2312"/>
          <w:b/>
        </w:rPr>
      </w:pPr>
      <w:r>
        <w:rPr>
          <w:rFonts w:hint="eastAsia" w:ascii="楷体_GB2312" w:eastAsia="楷体_GB2312"/>
          <w:b/>
        </w:rPr>
        <w:t>（二）督促落实自检自改。</w:t>
      </w:r>
      <w:r>
        <w:rPr>
          <w:rFonts w:hint="eastAsia" w:ascii="仿宋_GB2312" w:eastAsia="仿宋_GB2312"/>
        </w:rPr>
        <w:t>各地要督促煤矿企业对照2017年《福建煤矿安全自检表》、2019年《福建省高风险煤矿安全“体检”工作方案》、2019年《福建省煤矿复工复产验收表》等要求，采取对表检查、对标整改的方式，全面深入开展自检自改和安全风险分析研判，形成隐患问题整改清单、安全风险管控清单、自检自改报告，并报送当地县（市、区）和设区市煤矿安全监管部门。煤矿上级公司要组织对所属煤矿开展全覆盖督促检查。已复工复产的煤矿，应在4月10日前完成自检自改并报送“两个清单、一个报告”；未复工复产的煤矿，在完成自检自改并报送“两个清单、一个报告”前，不得批准复工复产。</w:t>
      </w:r>
    </w:p>
    <w:p>
      <w:pPr>
        <w:spacing w:line="600" w:lineRule="exact"/>
        <w:ind w:firstLine="645"/>
        <w:rPr>
          <w:rFonts w:hint="eastAsia" w:ascii="仿宋_GB2312" w:eastAsia="仿宋_GB2312"/>
        </w:rPr>
      </w:pPr>
      <w:r>
        <w:rPr>
          <w:rFonts w:hint="eastAsia" w:ascii="楷体_GB2312" w:eastAsia="楷体_GB2312"/>
          <w:b/>
        </w:rPr>
        <w:t>（三）处理好专项执法捡查与“体检”工作的关系。</w:t>
      </w:r>
      <w:r>
        <w:rPr>
          <w:rFonts w:hint="eastAsia" w:ascii="仿宋_GB2312" w:eastAsia="仿宋_GB2312"/>
        </w:rPr>
        <w:t>对已经“体检”过的煤矿，要对隐患整改情况开展“回头看”，督促抓好隐患和问题整改，尤其对实施限产、停产、关闭退出的煤矿，要盯住不放、抓好落实；对未“体检”的煤矿,要把“体检”与专项执法检查结合起来开展，切实查深查透，形成“体检”报告，提出分类处置意见。对未纳入“体检”的停产停工煤矿，要强化属地监管，落实盯守或巡查责任。同时，要加强对计划关闭煤矿的安全管控，不得违规设立“过渡期”或“回撤期”。</w:t>
      </w:r>
    </w:p>
    <w:p>
      <w:pPr>
        <w:spacing w:line="600" w:lineRule="exact"/>
        <w:ind w:firstLine="645"/>
        <w:rPr>
          <w:rFonts w:hint="eastAsia" w:ascii="仿宋_GB2312" w:eastAsia="仿宋_GB2312"/>
        </w:rPr>
      </w:pPr>
      <w:r>
        <w:rPr>
          <w:rFonts w:hint="eastAsia" w:ascii="楷体_GB2312" w:eastAsia="楷体_GB2312"/>
          <w:b/>
        </w:rPr>
        <w:t>（四）严惩违法违规行为。</w:t>
      </w:r>
      <w:r>
        <w:rPr>
          <w:rFonts w:hint="eastAsia" w:ascii="仿宋_GB2312" w:eastAsia="仿宋_GB2312"/>
        </w:rPr>
        <w:t>对通风、安全监控等主要生产安全系统不可靠，瓦斯、水、火等重大灾害治理不到位以及存在《煤矿重大生产安全事故隐患判定标准》（原国家安全监管总局令第85号）明确的64种重大隐患情形却仍然进行生产的煤矿，要依法责令停产整顿。对蓄意违法违规组织生产、故意破坏生产安全设备设施、拒不执行监管监察指令等严重违法违规行为，要责令停产整顿，在当地主流媒体公开曝光，并依法进行责任倒查，严肃追究企业主要负责人、技术负责人及相关人员的责任；经停产整顿仍不具备安全生产条件的，地方政府要依法关闭取缔。对发现“五假五超三瞒三不”、非正规开采、以掘代采、违法用工等违法违规行为，要从严从重进行查处。对超层越界开采等重大安全隐患，要及时移送相关部门依法查处，同时报告上级部门、通报地方政府。</w:t>
      </w:r>
    </w:p>
    <w:p>
      <w:pPr>
        <w:spacing w:line="600" w:lineRule="exact"/>
        <w:ind w:firstLine="645"/>
        <w:rPr>
          <w:rFonts w:hint="eastAsia" w:ascii="仿宋_GB2312"/>
        </w:rPr>
      </w:pPr>
    </w:p>
    <w:p>
      <w:pPr>
        <w:rPr>
          <w:rFonts w:hint="eastAsia" w:ascii="楷体_GB2312" w:eastAsia="楷体_GB2312"/>
          <w:b/>
        </w:rPr>
      </w:pPr>
    </w:p>
    <w:p>
      <w:pPr>
        <w:rPr>
          <w:rFonts w:hint="eastAsia" w:ascii="楷体_GB2312" w:eastAsia="楷体_GB2312"/>
          <w:b/>
        </w:rPr>
      </w:pPr>
    </w:p>
    <w:p>
      <w:pPr>
        <w:rPr>
          <w:rFonts w:hint="eastAsia" w:ascii="楷体_GB2312" w:eastAsia="楷体_GB2312"/>
          <w:b/>
        </w:rPr>
      </w:pPr>
    </w:p>
    <w:p>
      <w:pPr>
        <w:rPr>
          <w:rFonts w:hint="eastAsia" w:ascii="楷体_GB2312" w:eastAsia="楷体_GB2312"/>
          <w:b/>
        </w:rPr>
      </w:pPr>
    </w:p>
    <w:p>
      <w:pPr>
        <w:rPr>
          <w:rFonts w:hint="eastAsia" w:ascii="楷体_GB2312" w:eastAsia="楷体_GB2312"/>
          <w:b/>
        </w:rPr>
      </w:pPr>
    </w:p>
    <w:p>
      <w:pPr>
        <w:rPr>
          <w:rFonts w:hint="eastAsia" w:ascii="楷体_GB2312" w:eastAsia="楷体_GB2312"/>
          <w:b/>
        </w:rPr>
      </w:pPr>
    </w:p>
    <w:p>
      <w:pPr>
        <w:rPr>
          <w:rFonts w:hint="eastAsia" w:ascii="楷体_GB2312" w:eastAsia="楷体_GB2312"/>
          <w:b/>
        </w:rPr>
      </w:pPr>
    </w:p>
    <w:p>
      <w:pPr>
        <w:rPr>
          <w:rFonts w:hint="eastAsia" w:ascii="楷体_GB2312" w:eastAsia="楷体_GB2312"/>
          <w:b/>
        </w:rPr>
      </w:pPr>
    </w:p>
    <w:p>
      <w:pPr>
        <w:rPr>
          <w:rFonts w:hint="eastAsia" w:ascii="楷体_GB2312" w:eastAsia="楷体_GB2312"/>
          <w:b/>
        </w:rPr>
      </w:pPr>
    </w:p>
    <w:p>
      <w:pPr>
        <w:rPr>
          <w:rFonts w:hint="eastAsia" w:ascii="楷体_GB2312" w:eastAsia="楷体_GB2312"/>
          <w:b/>
        </w:rPr>
      </w:pPr>
    </w:p>
    <w:p>
      <w:pPr>
        <w:rPr>
          <w:rFonts w:hint="eastAsia" w:ascii="黑体" w:hAnsi="黑体" w:eastAsia="黑体"/>
        </w:rPr>
      </w:pPr>
      <w:r>
        <w:rPr>
          <w:rFonts w:hint="eastAsia" w:ascii="黑体" w:hAnsi="黑体" w:eastAsia="黑体"/>
        </w:rPr>
        <w:t>附件3</w:t>
      </w:r>
    </w:p>
    <w:p>
      <w:pPr>
        <w:ind w:firstLine="456" w:firstLineChars="150"/>
        <w:rPr>
          <w:rFonts w:hint="eastAsia" w:ascii="仿宋_GB2312" w:hAnsi="黑体"/>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非煤矿山安全生产专项执法检查</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重点内容及要求</w:t>
      </w:r>
    </w:p>
    <w:p>
      <w:pPr>
        <w:ind w:firstLine="596" w:firstLineChars="196"/>
        <w:rPr>
          <w:rFonts w:hint="eastAsia" w:ascii="仿宋_GB2312"/>
          <w:b/>
        </w:rPr>
      </w:pPr>
    </w:p>
    <w:p>
      <w:pPr>
        <w:ind w:firstLine="596" w:firstLineChars="196"/>
        <w:rPr>
          <w:rFonts w:hint="eastAsia" w:ascii="黑体" w:hAnsi="黑体" w:eastAsia="黑体"/>
        </w:rPr>
      </w:pPr>
      <w:r>
        <w:rPr>
          <w:rFonts w:hint="eastAsia" w:ascii="黑体" w:hAnsi="黑体" w:eastAsia="黑体"/>
        </w:rPr>
        <w:t>一、执法检查对象</w:t>
      </w:r>
    </w:p>
    <w:p>
      <w:pPr>
        <w:ind w:firstLine="596" w:firstLineChars="196"/>
        <w:rPr>
          <w:rFonts w:hint="eastAsia" w:ascii="仿宋_GB2312" w:eastAsia="仿宋_GB2312"/>
        </w:rPr>
      </w:pPr>
      <w:r>
        <w:rPr>
          <w:rFonts w:hint="eastAsia" w:ascii="仿宋_GB2312" w:eastAsia="仿宋_GB2312"/>
        </w:rPr>
        <w:t>全省所有金属非金属地下矿山提升运输系统、采空区治理；尾矿库和排土场防汛安全工作。</w:t>
      </w:r>
    </w:p>
    <w:p>
      <w:pPr>
        <w:ind w:firstLine="596" w:firstLineChars="196"/>
        <w:rPr>
          <w:rFonts w:hint="eastAsia" w:ascii="黑体" w:hAnsi="黑体" w:eastAsia="黑体"/>
        </w:rPr>
      </w:pPr>
      <w:r>
        <w:rPr>
          <w:rFonts w:hint="eastAsia" w:ascii="黑体" w:hAnsi="黑体" w:eastAsia="黑体"/>
        </w:rPr>
        <w:t>二、执法检查分工</w:t>
      </w:r>
    </w:p>
    <w:p>
      <w:pPr>
        <w:ind w:firstLine="596" w:firstLineChars="196"/>
        <w:rPr>
          <w:rFonts w:hint="eastAsia" w:ascii="仿宋_GB2312" w:eastAsia="仿宋_GB2312"/>
        </w:rPr>
      </w:pPr>
      <w:r>
        <w:rPr>
          <w:rFonts w:hint="eastAsia" w:ascii="仿宋_GB2312" w:eastAsia="仿宋_GB2312"/>
        </w:rPr>
        <w:t>1.地下矿山提升运输系统、采空区治理执法检查分工根据《福建省应急管理厅印发福建省金属非金属地下矿山专项执法行动工作方案的通知》（闽应急〔2019〕24号）落实。</w:t>
      </w:r>
    </w:p>
    <w:p>
      <w:pPr>
        <w:ind w:firstLine="596" w:firstLineChars="196"/>
        <w:rPr>
          <w:rFonts w:hint="eastAsia" w:ascii="仿宋_GB2312" w:eastAsia="仿宋_GB2312"/>
        </w:rPr>
      </w:pPr>
      <w:r>
        <w:rPr>
          <w:rFonts w:hint="eastAsia" w:ascii="仿宋_GB2312" w:eastAsia="仿宋_GB2312"/>
        </w:rPr>
        <w:t>2.省应急厅按全省“头顶库”数量的20%抽查，各设区市应急管理局对辖区内“头顶库”进行全面执法检查，各县（市、区）应急管理局对辖区内尾矿库进行全覆盖执法检查。</w:t>
      </w:r>
    </w:p>
    <w:p>
      <w:pPr>
        <w:ind w:firstLine="596" w:firstLineChars="196"/>
        <w:rPr>
          <w:rFonts w:hint="eastAsia" w:ascii="仿宋_GB2312" w:eastAsia="仿宋_GB2312"/>
        </w:rPr>
      </w:pPr>
      <w:r>
        <w:rPr>
          <w:rFonts w:hint="eastAsia" w:ascii="仿宋_GB2312" w:eastAsia="仿宋_GB2312"/>
        </w:rPr>
        <w:t>3.省应急厅对总堆置高度超过200米的排土场进行检查，其它排土场检查分工由各设区市应急管理部门具体安排。</w:t>
      </w:r>
    </w:p>
    <w:p>
      <w:pPr>
        <w:ind w:firstLine="596" w:firstLineChars="196"/>
        <w:rPr>
          <w:rFonts w:hint="eastAsia" w:ascii="黑体" w:hAnsi="黑体" w:eastAsia="黑体"/>
        </w:rPr>
      </w:pPr>
      <w:r>
        <w:rPr>
          <w:rFonts w:hint="eastAsia" w:ascii="黑体" w:hAnsi="黑体" w:eastAsia="黑体"/>
        </w:rPr>
        <w:t>三、执法检查重点内容</w:t>
      </w:r>
    </w:p>
    <w:p>
      <w:pPr>
        <w:ind w:firstLine="596" w:firstLineChars="196"/>
        <w:rPr>
          <w:rFonts w:hint="eastAsia" w:ascii="仿宋_GB2312" w:eastAsia="仿宋_GB2312"/>
        </w:rPr>
      </w:pPr>
      <w:r>
        <w:rPr>
          <w:rFonts w:hint="eastAsia" w:ascii="仿宋_GB2312" w:eastAsia="仿宋_GB2312"/>
          <w:b/>
        </w:rPr>
        <w:t>（一）</w:t>
      </w:r>
      <w:r>
        <w:rPr>
          <w:rFonts w:hint="eastAsia" w:ascii="仿宋_GB2312" w:eastAsia="仿宋_GB2312"/>
        </w:rPr>
        <w:t>地下矿山提升运输系统、采空区治理执法检查相关内容按照《福建省应急管理厅印发福建省金属非金属地下矿山专项执法行动工作方案的通知》（闽应急〔2019〕24号）实施。</w:t>
      </w:r>
    </w:p>
    <w:p>
      <w:pPr>
        <w:ind w:firstLine="596" w:firstLineChars="196"/>
        <w:rPr>
          <w:rFonts w:hint="eastAsia" w:ascii="楷体_GB2312" w:eastAsia="楷体_GB2312"/>
          <w:b/>
        </w:rPr>
      </w:pPr>
      <w:r>
        <w:rPr>
          <w:rFonts w:hint="eastAsia" w:ascii="楷体_GB2312" w:eastAsia="楷体_GB2312"/>
          <w:b/>
        </w:rPr>
        <w:t>（二）尾矿库检查重点内容</w:t>
      </w:r>
    </w:p>
    <w:p>
      <w:pPr>
        <w:ind w:firstLine="596" w:firstLineChars="196"/>
        <w:rPr>
          <w:rFonts w:hint="eastAsia" w:ascii="仿宋_GB2312" w:eastAsia="仿宋_GB2312"/>
        </w:rPr>
      </w:pPr>
      <w:r>
        <w:rPr>
          <w:rFonts w:hint="eastAsia" w:ascii="仿宋_GB2312" w:eastAsia="仿宋_GB2312"/>
        </w:rPr>
        <w:t>1.尾矿库安全设施由具有资质的设计单位设计，并通过安全监管部门审查，安全设施经竣工验收合格。</w:t>
      </w:r>
    </w:p>
    <w:p>
      <w:pPr>
        <w:ind w:firstLine="608" w:firstLineChars="200"/>
        <w:rPr>
          <w:rFonts w:hint="eastAsia" w:ascii="仿宋_GB2312" w:eastAsia="仿宋_GB2312"/>
        </w:rPr>
      </w:pPr>
      <w:r>
        <w:rPr>
          <w:rFonts w:hint="eastAsia" w:ascii="仿宋_GB2312" w:eastAsia="仿宋_GB2312"/>
        </w:rPr>
        <w:t>2.主要负责人和安全生产管理人员经考核合格，并取得相应合格证书，尾矿作业人员经专门的安全技术培训并考核合格，特种作业操作资格证书。</w:t>
      </w:r>
    </w:p>
    <w:p>
      <w:pPr>
        <w:ind w:firstLine="608" w:firstLineChars="200"/>
        <w:rPr>
          <w:rFonts w:hint="eastAsia" w:ascii="仿宋_GB2312" w:eastAsia="仿宋_GB2312"/>
        </w:rPr>
      </w:pPr>
      <w:r>
        <w:rPr>
          <w:rFonts w:hint="eastAsia" w:ascii="仿宋_GB2312" w:eastAsia="仿宋_GB2312"/>
        </w:rPr>
        <w:t>3.制定并实施安全生产教育培训计划，建立健全安全教育培训档案，从业人员依照规定接受安全生产教育和培训，并经考试合格。</w:t>
      </w:r>
    </w:p>
    <w:p>
      <w:pPr>
        <w:ind w:firstLine="608" w:firstLineChars="200"/>
        <w:rPr>
          <w:rFonts w:hint="eastAsia" w:ascii="仿宋_GB2312" w:eastAsia="仿宋_GB2312"/>
        </w:rPr>
      </w:pPr>
      <w:r>
        <w:rPr>
          <w:rFonts w:hint="eastAsia" w:ascii="仿宋_GB2312" w:eastAsia="仿宋_GB2312"/>
        </w:rPr>
        <w:t>4.隐患排查治理工作符合国家法律法规和标准化规范要求，有关记录、台帐齐全；隐患排查治理实现闭环管理。</w:t>
      </w:r>
    </w:p>
    <w:p>
      <w:pPr>
        <w:ind w:firstLine="608" w:firstLineChars="200"/>
        <w:rPr>
          <w:rFonts w:hint="eastAsia" w:ascii="仿宋_GB2312" w:eastAsia="仿宋_GB2312"/>
        </w:rPr>
      </w:pPr>
      <w:r>
        <w:rPr>
          <w:rFonts w:hint="eastAsia" w:ascii="仿宋_GB2312" w:eastAsia="仿宋_GB2312"/>
        </w:rPr>
        <w:t>5.采用上游式筑坝的，必须于坝前均匀放矿，保持坝体均匀上升，未经论证不得在库后或一侧岸坡放矿，不得冲刷初期坝和子坝，严禁矿浆沿子坝内坡脚线流动冲刷坝脚。</w:t>
      </w:r>
    </w:p>
    <w:p>
      <w:pPr>
        <w:ind w:firstLine="608" w:firstLineChars="200"/>
        <w:rPr>
          <w:rFonts w:hint="eastAsia" w:ascii="仿宋_GB2312" w:eastAsia="仿宋_GB2312"/>
        </w:rPr>
      </w:pPr>
      <w:r>
        <w:rPr>
          <w:rFonts w:hint="eastAsia" w:ascii="仿宋_GB2312" w:eastAsia="仿宋_GB2312"/>
        </w:rPr>
        <w:t>6.尾矿坝堆积坡比不得陡于设计值，坝面按设计设置排水沟、覆土、植被，无沼泽化、裂缝和冲沟。坝体无贯穿性横向裂缝，无出现较大范围管涌及局部坝体隆起的情况。</w:t>
      </w:r>
    </w:p>
    <w:p>
      <w:pPr>
        <w:ind w:firstLine="608" w:firstLineChars="200"/>
        <w:rPr>
          <w:rFonts w:hint="eastAsia" w:ascii="仿宋_GB2312" w:eastAsia="仿宋_GB2312"/>
        </w:rPr>
      </w:pPr>
      <w:r>
        <w:rPr>
          <w:rFonts w:hint="eastAsia" w:ascii="仿宋_GB2312" w:eastAsia="仿宋_GB2312"/>
        </w:rPr>
        <w:t>7.坝顶及沉积滩面应均匀平整，安全超高和最小干滩长度小于设计文件规定值。</w:t>
      </w:r>
    </w:p>
    <w:p>
      <w:pPr>
        <w:ind w:firstLine="608" w:firstLineChars="200"/>
        <w:rPr>
          <w:rFonts w:hint="eastAsia" w:ascii="仿宋_GB2312" w:eastAsia="仿宋_GB2312"/>
        </w:rPr>
      </w:pPr>
      <w:r>
        <w:rPr>
          <w:rFonts w:hint="eastAsia" w:ascii="仿宋_GB2312" w:eastAsia="仿宋_GB2312"/>
        </w:rPr>
        <w:t>8.库内的水位标尺、坝体沉降和位移观测桩、浸润线观测管等设施设置齐全，并定期进行沉降、位移及浸润线观测，确保浸润线埋深小于控制浸润线埋深。</w:t>
      </w:r>
    </w:p>
    <w:p>
      <w:pPr>
        <w:ind w:firstLine="608" w:firstLineChars="200"/>
        <w:rPr>
          <w:rFonts w:hint="eastAsia" w:ascii="仿宋_GB2312" w:eastAsia="仿宋_GB2312"/>
        </w:rPr>
      </w:pPr>
      <w:r>
        <w:rPr>
          <w:rFonts w:hint="eastAsia" w:ascii="仿宋_GB2312" w:eastAsia="仿宋_GB2312"/>
        </w:rPr>
        <w:t>9.编制尾矿库年度、季度作业计划，严格按设计的方式进行尾矿的排放和筑坝，做好记录并长期保存。</w:t>
      </w:r>
    </w:p>
    <w:p>
      <w:pPr>
        <w:ind w:firstLine="608" w:firstLineChars="200"/>
        <w:rPr>
          <w:rFonts w:hint="eastAsia" w:ascii="仿宋_GB2312" w:eastAsia="仿宋_GB2312"/>
        </w:rPr>
      </w:pPr>
      <w:r>
        <w:rPr>
          <w:rFonts w:hint="eastAsia" w:ascii="仿宋_GB2312" w:eastAsia="仿宋_GB2312"/>
        </w:rPr>
        <w:t>10.未经安全论证和审批，库内不得从事爆破、采砂、地下采矿等危害尾矿库安全的作业；若有回采必须履行“三同时”程序。</w:t>
      </w:r>
    </w:p>
    <w:p>
      <w:pPr>
        <w:ind w:firstLine="608" w:firstLineChars="200"/>
        <w:rPr>
          <w:rFonts w:hint="eastAsia" w:ascii="仿宋_GB2312" w:eastAsia="仿宋_GB2312"/>
        </w:rPr>
      </w:pPr>
      <w:r>
        <w:rPr>
          <w:rFonts w:hint="eastAsia" w:ascii="仿宋_GB2312" w:eastAsia="仿宋_GB2312"/>
        </w:rPr>
        <w:t>11.汛期前对排洪设施进行检查、维修和疏浚，确保排洪设施畅通，无严重堵塞或坍塌、不能排水或排水能力急剧降低等状况；排水井无显著倾斜、倒塌的迹象。</w:t>
      </w:r>
    </w:p>
    <w:p>
      <w:pPr>
        <w:ind w:firstLine="608" w:firstLineChars="200"/>
        <w:rPr>
          <w:rFonts w:hint="eastAsia" w:ascii="仿宋_GB2312" w:eastAsia="仿宋_GB2312"/>
        </w:rPr>
      </w:pPr>
      <w:r>
        <w:rPr>
          <w:rFonts w:hint="eastAsia" w:ascii="仿宋_GB2312" w:eastAsia="仿宋_GB2312"/>
        </w:rPr>
        <w:t>12.每3年由有资质的中介机构进行一次现状评价;上游式尾矿坝堆积至二分之一至三分之二最终设计坝高时，应进行专项岩土工程勘察和稳定性专项评价。</w:t>
      </w:r>
    </w:p>
    <w:p>
      <w:pPr>
        <w:ind w:firstLine="608" w:firstLineChars="200"/>
        <w:rPr>
          <w:rFonts w:hint="eastAsia" w:ascii="仿宋_GB2312" w:eastAsia="仿宋_GB2312"/>
        </w:rPr>
      </w:pPr>
      <w:r>
        <w:rPr>
          <w:rFonts w:hint="eastAsia" w:ascii="仿宋_GB2312" w:eastAsia="仿宋_GB2312"/>
        </w:rPr>
        <w:t>13.严格落实《县乡政府领导和相关部门负责人挂钩尾矿库安全工作制度》,建立和地方政府及有关部门的应急联动机制，加强应急值班和演练。</w:t>
      </w:r>
    </w:p>
    <w:p>
      <w:pPr>
        <w:ind w:firstLine="608" w:firstLineChars="200"/>
        <w:rPr>
          <w:rFonts w:hint="eastAsia" w:ascii="仿宋_GB2312" w:eastAsia="仿宋_GB2312"/>
        </w:rPr>
      </w:pPr>
      <w:r>
        <w:rPr>
          <w:rFonts w:hint="eastAsia" w:ascii="仿宋_GB2312" w:eastAsia="仿宋_GB2312"/>
        </w:rPr>
        <w:t>14.有效落实《福建省人民政府安全生产委员会关于印发进一步加强“头顶库”事故隐患治理工作意见的通知》（闽安委〔2017〕6号），按照“头顶库”治理方案，扎实推进事故隐患治理,严防新的“头顶库”产生。</w:t>
      </w:r>
    </w:p>
    <w:p>
      <w:pPr>
        <w:ind w:firstLine="608" w:firstLineChars="200"/>
        <w:rPr>
          <w:rFonts w:hint="eastAsia" w:ascii="楷体_GB2312" w:eastAsia="楷体_GB2312"/>
          <w:b/>
        </w:rPr>
      </w:pPr>
      <w:r>
        <w:rPr>
          <w:rFonts w:hint="eastAsia" w:ascii="楷体_GB2312" w:eastAsia="楷体_GB2312"/>
          <w:b/>
        </w:rPr>
        <w:t>（三）排土场检查重点内容</w:t>
      </w:r>
    </w:p>
    <w:p>
      <w:pPr>
        <w:ind w:firstLine="608" w:firstLineChars="200"/>
        <w:rPr>
          <w:rFonts w:hint="eastAsia" w:ascii="仿宋_GB2312" w:eastAsia="仿宋_GB2312"/>
        </w:rPr>
      </w:pPr>
      <w:r>
        <w:rPr>
          <w:rFonts w:hint="eastAsia" w:ascii="仿宋_GB2312" w:eastAsia="仿宋_GB2312"/>
        </w:rPr>
        <w:t>1.由有相应资质的设计单位进行设计，排土场位置选定后，应进行专门的地质勘探。</w:t>
      </w:r>
    </w:p>
    <w:p>
      <w:pPr>
        <w:ind w:firstLine="608" w:firstLineChars="200"/>
        <w:rPr>
          <w:rFonts w:hint="eastAsia" w:ascii="仿宋_GB2312" w:eastAsia="仿宋_GB2312"/>
        </w:rPr>
      </w:pPr>
      <w:r>
        <w:rPr>
          <w:rFonts w:hint="eastAsia" w:ascii="仿宋_GB2312" w:eastAsia="仿宋_GB2312"/>
        </w:rPr>
        <w:t>2.排土场安全度应为正常级，有符合规定的防洪措施和监测系统，每5年由有资质的安全技术服务机构进行一次检测和稳定性分析。</w:t>
      </w:r>
    </w:p>
    <w:p>
      <w:pPr>
        <w:ind w:firstLine="608" w:firstLineChars="200"/>
        <w:rPr>
          <w:rFonts w:hint="eastAsia" w:ascii="仿宋_GB2312" w:eastAsia="仿宋_GB2312"/>
        </w:rPr>
      </w:pPr>
      <w:r>
        <w:rPr>
          <w:rFonts w:hint="eastAsia" w:ascii="仿宋_GB2312" w:eastAsia="仿宋_GB2312"/>
        </w:rPr>
        <w:t>3.有可靠的截洪、防洪和排水设施，以及防止泥石流的措施。</w:t>
      </w:r>
    </w:p>
    <w:p>
      <w:pPr>
        <w:ind w:firstLine="608" w:firstLineChars="200"/>
        <w:rPr>
          <w:rFonts w:hint="eastAsia" w:ascii="仿宋_GB2312" w:eastAsia="仿宋_GB2312"/>
        </w:rPr>
      </w:pPr>
      <w:r>
        <w:rPr>
          <w:rFonts w:hint="eastAsia" w:ascii="仿宋_GB2312" w:eastAsia="仿宋_GB2312"/>
        </w:rPr>
        <w:t>4.阶段高度、总堆置高度、平台宽度，以及相邻阶段同时作业的超前堆置距离等参数，符合设计规定。</w:t>
      </w:r>
    </w:p>
    <w:p>
      <w:pPr>
        <w:ind w:firstLine="608" w:firstLineChars="200"/>
        <w:rPr>
          <w:rFonts w:hint="eastAsia" w:ascii="仿宋_GB2312" w:eastAsia="仿宋_GB2312"/>
        </w:rPr>
      </w:pPr>
      <w:r>
        <w:rPr>
          <w:rFonts w:hint="eastAsia" w:ascii="仿宋_GB2312" w:eastAsia="仿宋_GB2312"/>
        </w:rPr>
        <w:t>5.落实日常监测检查、汛期巡查和值班制度，极端恶劣天气禁止排土作业。</w:t>
      </w:r>
    </w:p>
    <w:p>
      <w:pPr>
        <w:ind w:firstLine="608" w:firstLineChars="200"/>
        <w:rPr>
          <w:rFonts w:hint="eastAsia" w:ascii="仿宋_GB2312" w:eastAsia="仿宋_GB2312"/>
        </w:rPr>
      </w:pPr>
      <w:r>
        <w:rPr>
          <w:rFonts w:hint="eastAsia" w:ascii="仿宋_GB2312" w:eastAsia="仿宋_GB2312"/>
        </w:rPr>
        <w:t>6.设置安全警示标识，严禁在排土场危险区域内发生捡矿石、物品等。</w:t>
      </w: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ind w:firstLine="456" w:firstLineChars="150"/>
        <w:rPr>
          <w:rFonts w:hint="eastAsia" w:ascii="仿宋_GB2312" w:hAnsi="黑体"/>
        </w:rPr>
      </w:pPr>
    </w:p>
    <w:p>
      <w:pPr>
        <w:rPr>
          <w:rFonts w:hint="eastAsia" w:ascii="黑体" w:hAnsi="黑体" w:eastAsia="黑体"/>
        </w:rPr>
      </w:pPr>
      <w:r>
        <w:rPr>
          <w:rFonts w:hint="eastAsia" w:ascii="黑体" w:hAnsi="黑体" w:eastAsia="黑体"/>
        </w:rPr>
        <w:t>附件4</w:t>
      </w:r>
    </w:p>
    <w:p>
      <w:pPr>
        <w:ind w:firstLine="456" w:firstLineChars="150"/>
        <w:rPr>
          <w:rFonts w:hint="eastAsia" w:ascii="仿宋_GB2312" w:hAnsi="黑体"/>
        </w:rPr>
      </w:pPr>
    </w:p>
    <w:p>
      <w:pPr>
        <w:spacing w:line="580" w:lineRule="exact"/>
        <w:jc w:val="center"/>
        <w:rPr>
          <w:rFonts w:hint="eastAsia" w:eastAsia="方正仿宋_GBK"/>
          <w:b/>
          <w:bCs/>
          <w:color w:val="000000"/>
        </w:rPr>
      </w:pPr>
      <w:r>
        <w:rPr>
          <w:rFonts w:hint="eastAsia" w:ascii="方正小标宋简体" w:eastAsia="方正小标宋简体"/>
          <w:sz w:val="44"/>
        </w:rPr>
        <w:t>消防安全专项整治重点内容及要求</w:t>
      </w:r>
    </w:p>
    <w:p>
      <w:pPr>
        <w:spacing w:line="580" w:lineRule="exact"/>
        <w:jc w:val="center"/>
        <w:rPr>
          <w:rFonts w:hint="eastAsia" w:eastAsia="方正仿宋_GBK"/>
          <w:b/>
          <w:bCs/>
          <w:color w:val="000000"/>
        </w:rPr>
      </w:pPr>
    </w:p>
    <w:p>
      <w:pPr>
        <w:ind w:firstLine="608" w:firstLineChars="200"/>
        <w:rPr>
          <w:rFonts w:hint="eastAsia" w:ascii="黑体" w:hAnsi="黑体" w:eastAsia="黑体"/>
        </w:rPr>
      </w:pPr>
      <w:r>
        <w:rPr>
          <w:rFonts w:hint="eastAsia" w:ascii="黑体" w:hAnsi="黑体" w:eastAsia="黑体"/>
        </w:rPr>
        <w:t>一、专项整治重点</w:t>
      </w:r>
    </w:p>
    <w:p>
      <w:pPr>
        <w:ind w:firstLine="608" w:firstLineChars="200"/>
        <w:rPr>
          <w:rFonts w:hint="eastAsia" w:ascii="仿宋_GB2312" w:eastAsia="仿宋_GB2312"/>
        </w:rPr>
      </w:pPr>
      <w:r>
        <w:rPr>
          <w:rFonts w:hint="eastAsia" w:ascii="仿宋_GB2312" w:eastAsia="仿宋_GB2312"/>
        </w:rPr>
        <w:t>紧盯大型商业综合体、劳动密集型企业、娱乐场所、博物馆和文物建筑、商住楼以及群租房、高层住宅等火灾高风险场所和电动自行车、电气火灾治理等关键环节。</w:t>
      </w:r>
    </w:p>
    <w:p>
      <w:pPr>
        <w:ind w:firstLine="608" w:firstLineChars="200"/>
        <w:rPr>
          <w:rFonts w:hint="eastAsia" w:ascii="黑体" w:hAnsi="黑体" w:eastAsia="黑体"/>
        </w:rPr>
      </w:pPr>
      <w:r>
        <w:rPr>
          <w:rFonts w:hint="eastAsia" w:ascii="黑体" w:hAnsi="黑体" w:eastAsia="黑体"/>
        </w:rPr>
        <w:t>二、重点整治内容</w:t>
      </w:r>
    </w:p>
    <w:p>
      <w:pPr>
        <w:ind w:firstLine="608" w:firstLineChars="200"/>
        <w:rPr>
          <w:rFonts w:hint="eastAsia" w:ascii="仿宋_GB2312" w:eastAsia="仿宋_GB2312"/>
        </w:rPr>
      </w:pPr>
      <w:r>
        <w:rPr>
          <w:rFonts w:hint="eastAsia" w:ascii="仿宋_GB2312" w:eastAsia="仿宋_GB2312"/>
        </w:rPr>
        <w:t>一查单位消防安全管理主体责任落实以及自查自改情况；</w:t>
      </w:r>
    </w:p>
    <w:p>
      <w:pPr>
        <w:ind w:firstLine="608" w:firstLineChars="200"/>
        <w:rPr>
          <w:rFonts w:hint="eastAsia" w:ascii="仿宋_GB2312" w:eastAsia="仿宋_GB2312"/>
        </w:rPr>
      </w:pPr>
      <w:r>
        <w:rPr>
          <w:rFonts w:hint="eastAsia" w:ascii="仿宋_GB2312" w:eastAsia="仿宋_GB2312"/>
        </w:rPr>
        <w:t>二查违规采用易燃可燃材料装修、违规设置库房、电动车违规停放充电、生产经营场所违规住人问题；</w:t>
      </w:r>
    </w:p>
    <w:p>
      <w:pPr>
        <w:ind w:firstLine="608" w:firstLineChars="200"/>
        <w:rPr>
          <w:rFonts w:hint="eastAsia" w:ascii="仿宋_GB2312" w:eastAsia="仿宋_GB2312"/>
        </w:rPr>
      </w:pPr>
      <w:r>
        <w:rPr>
          <w:rFonts w:hint="eastAsia" w:ascii="仿宋_GB2312" w:eastAsia="仿宋_GB2312"/>
        </w:rPr>
        <w:t>三查锁闭占用疏散楼梯、疏散通道堆放可燃杂物问题；</w:t>
      </w:r>
    </w:p>
    <w:p>
      <w:pPr>
        <w:ind w:firstLine="608" w:firstLineChars="200"/>
        <w:rPr>
          <w:rFonts w:hint="eastAsia" w:ascii="仿宋_GB2312" w:eastAsia="仿宋_GB2312"/>
        </w:rPr>
      </w:pPr>
      <w:r>
        <w:rPr>
          <w:rFonts w:hint="eastAsia" w:ascii="仿宋_GB2312" w:eastAsia="仿宋_GB2312"/>
        </w:rPr>
        <w:t>四查防火分隔不到位、电缆竖井管道防火封堵不到位问题；</w:t>
      </w:r>
    </w:p>
    <w:p>
      <w:pPr>
        <w:ind w:firstLine="608" w:firstLineChars="200"/>
        <w:rPr>
          <w:rFonts w:hint="eastAsia" w:ascii="仿宋_GB2312" w:eastAsia="仿宋_GB2312"/>
        </w:rPr>
      </w:pPr>
      <w:r>
        <w:rPr>
          <w:rFonts w:hint="eastAsia" w:ascii="仿宋_GB2312" w:eastAsia="仿宋_GB2312"/>
        </w:rPr>
        <w:t>五查消防设施损坏停用、消防给水系统关闭问题；</w:t>
      </w:r>
    </w:p>
    <w:p>
      <w:pPr>
        <w:ind w:firstLine="608" w:firstLineChars="200"/>
        <w:rPr>
          <w:rFonts w:hint="eastAsia" w:ascii="仿宋_GB2312" w:eastAsia="仿宋_GB2312"/>
        </w:rPr>
      </w:pPr>
      <w:r>
        <w:rPr>
          <w:rFonts w:hint="eastAsia" w:ascii="仿宋_GB2312" w:eastAsia="仿宋_GB2312"/>
        </w:rPr>
        <w:t>六查违规敷设电气线路、违规电气焊作业问题；</w:t>
      </w:r>
    </w:p>
    <w:p>
      <w:pPr>
        <w:ind w:firstLine="608" w:firstLineChars="200"/>
        <w:rPr>
          <w:rFonts w:hint="eastAsia" w:ascii="仿宋_GB2312" w:eastAsia="仿宋_GB2312"/>
        </w:rPr>
      </w:pPr>
      <w:r>
        <w:rPr>
          <w:rFonts w:hint="eastAsia" w:ascii="仿宋_GB2312" w:eastAsia="仿宋_GB2312"/>
        </w:rPr>
        <w:t>七查违规搭建易燃可燃彩钢板房问题；</w:t>
      </w:r>
    </w:p>
    <w:p>
      <w:pPr>
        <w:ind w:firstLine="608" w:firstLineChars="200"/>
        <w:rPr>
          <w:rFonts w:hint="eastAsia" w:ascii="仿宋_GB2312" w:eastAsia="仿宋_GB2312"/>
        </w:rPr>
      </w:pPr>
      <w:r>
        <w:rPr>
          <w:rFonts w:hint="eastAsia" w:ascii="仿宋_GB2312" w:eastAsia="仿宋_GB2312"/>
        </w:rPr>
        <w:t>八查单位未依法强化灭火应急救援队伍和消防应急装备建设问题；</w:t>
      </w:r>
    </w:p>
    <w:p>
      <w:pPr>
        <w:ind w:firstLine="608" w:firstLineChars="200"/>
        <w:rPr>
          <w:rFonts w:hint="eastAsia" w:ascii="仿宋_GB2312" w:eastAsia="仿宋_GB2312"/>
        </w:rPr>
      </w:pPr>
      <w:r>
        <w:rPr>
          <w:rFonts w:hint="eastAsia" w:ascii="仿宋_GB2312" w:eastAsia="仿宋_GB2312"/>
        </w:rPr>
        <w:t>九查未根据本单位实际制定灭火和应急疏散预案、未定期开展应急演练问题；</w:t>
      </w:r>
    </w:p>
    <w:p>
      <w:pPr>
        <w:ind w:firstLine="608" w:firstLineChars="200"/>
        <w:rPr>
          <w:rFonts w:hint="eastAsia" w:ascii="仿宋_GB2312" w:eastAsia="仿宋_GB2312"/>
        </w:rPr>
      </w:pPr>
      <w:r>
        <w:rPr>
          <w:rFonts w:hint="eastAsia" w:ascii="仿宋_GB2312" w:eastAsia="仿宋_GB2312"/>
        </w:rPr>
        <w:t>十查易燃易爆危险化学品企业未按要求建立企业专职消防队和工艺处置队、未配备防护和救助装备、未常备企业总平面图和数字化控制系统流程图等应急处置所需资料问题。</w:t>
      </w:r>
    </w:p>
    <w:p>
      <w:pPr>
        <w:ind w:firstLine="608" w:firstLineChars="200"/>
        <w:rPr>
          <w:rFonts w:hint="eastAsia" w:ascii="黑体" w:hAnsi="黑体" w:eastAsia="黑体"/>
        </w:rPr>
      </w:pPr>
      <w:r>
        <w:rPr>
          <w:rFonts w:hint="eastAsia" w:ascii="黑体" w:hAnsi="黑体" w:eastAsia="黑体"/>
        </w:rPr>
        <w:t>三、职责分工</w:t>
      </w:r>
    </w:p>
    <w:p>
      <w:pPr>
        <w:ind w:firstLine="608" w:firstLineChars="200"/>
        <w:rPr>
          <w:rFonts w:hint="eastAsia" w:ascii="仿宋_GB2312" w:eastAsia="仿宋_GB2312"/>
        </w:rPr>
      </w:pPr>
      <w:r>
        <w:rPr>
          <w:rFonts w:hint="eastAsia" w:ascii="仿宋_GB2312" w:eastAsia="仿宋_GB2312"/>
        </w:rPr>
        <w:t>采取发动单位场所自查、相关行业部门集中督查、推动基层综治网格力量排查、专业抽查等方式，开展消防安全整治。</w:t>
      </w:r>
    </w:p>
    <w:p>
      <w:pPr>
        <w:ind w:firstLine="608" w:firstLineChars="200"/>
        <w:rPr>
          <w:rFonts w:hint="eastAsia" w:ascii="仿宋_GB2312" w:eastAsia="仿宋_GB2312"/>
        </w:rPr>
      </w:pPr>
      <w:r>
        <w:rPr>
          <w:rFonts w:hint="eastAsia" w:ascii="仿宋_GB2312" w:eastAsia="仿宋_GB2312"/>
        </w:rPr>
        <w:t>1.消防部门要督促社会单位落实消防安全主体责任，加强对行业部门消防工作的指导，开展区域和行业消防安全形势分析并及时通报函告属地政府和行业部门；</w:t>
      </w:r>
    </w:p>
    <w:p>
      <w:pPr>
        <w:ind w:firstLine="608" w:firstLineChars="200"/>
        <w:rPr>
          <w:rFonts w:hint="eastAsia" w:ascii="仿宋_GB2312" w:eastAsia="仿宋_GB2312"/>
        </w:rPr>
      </w:pPr>
      <w:r>
        <w:rPr>
          <w:rFonts w:hint="eastAsia" w:ascii="仿宋_GB2312" w:eastAsia="仿宋_GB2312"/>
        </w:rPr>
        <w:t>2.住建、商务、文化旅游、市场监管等部门要开展大型商业综合体消防安全整治“回头看”；</w:t>
      </w:r>
    </w:p>
    <w:p>
      <w:pPr>
        <w:ind w:firstLine="608" w:firstLineChars="200"/>
        <w:rPr>
          <w:rFonts w:hint="eastAsia" w:ascii="仿宋_GB2312" w:eastAsia="仿宋_GB2312"/>
        </w:rPr>
      </w:pPr>
      <w:r>
        <w:rPr>
          <w:rFonts w:hint="eastAsia" w:ascii="仿宋_GB2312" w:eastAsia="仿宋_GB2312"/>
        </w:rPr>
        <w:t>3.文物部门要开展博物馆和文物建筑消防安全整治“回头看”；</w:t>
      </w:r>
    </w:p>
    <w:p>
      <w:pPr>
        <w:ind w:firstLine="608" w:firstLineChars="200"/>
        <w:rPr>
          <w:rFonts w:hint="eastAsia" w:ascii="仿宋_GB2312" w:eastAsia="仿宋_GB2312"/>
        </w:rPr>
      </w:pPr>
      <w:r>
        <w:rPr>
          <w:rFonts w:hint="eastAsia" w:ascii="仿宋_GB2312" w:eastAsia="仿宋_GB2312"/>
        </w:rPr>
        <w:t>4.文旅部门要强化公共娱乐场所消防安全整治；</w:t>
      </w:r>
    </w:p>
    <w:p>
      <w:pPr>
        <w:ind w:firstLine="608" w:firstLineChars="200"/>
        <w:rPr>
          <w:rFonts w:hint="eastAsia" w:ascii="仿宋_GB2312" w:eastAsia="仿宋_GB2312"/>
        </w:rPr>
      </w:pPr>
      <w:r>
        <w:rPr>
          <w:rFonts w:hint="eastAsia" w:ascii="仿宋_GB2312" w:eastAsia="仿宋_GB2312"/>
        </w:rPr>
        <w:t>5.卫健部门要组织开展医院消防安全整治；</w:t>
      </w:r>
    </w:p>
    <w:p>
      <w:pPr>
        <w:ind w:firstLine="608" w:firstLineChars="200"/>
        <w:rPr>
          <w:rFonts w:hint="eastAsia" w:ascii="仿宋_GB2312" w:eastAsia="仿宋_GB2312"/>
        </w:rPr>
      </w:pPr>
      <w:r>
        <w:rPr>
          <w:rFonts w:hint="eastAsia" w:ascii="仿宋_GB2312" w:eastAsia="仿宋_GB2312"/>
        </w:rPr>
        <w:t>6.住建部门要督促物业服务企业强化商住楼以及高层住宅管理区域消防安全整治；</w:t>
      </w:r>
    </w:p>
    <w:p>
      <w:pPr>
        <w:ind w:firstLine="608" w:firstLineChars="200"/>
        <w:rPr>
          <w:rFonts w:hint="eastAsia" w:ascii="仿宋_GB2312" w:eastAsia="仿宋_GB2312"/>
        </w:rPr>
      </w:pPr>
      <w:r>
        <w:rPr>
          <w:rFonts w:hint="eastAsia" w:ascii="仿宋_GB2312" w:eastAsia="仿宋_GB2312"/>
        </w:rPr>
        <w:t>7.民政部门要持续推进养老服务机构消防安全整治；</w:t>
      </w:r>
    </w:p>
    <w:p>
      <w:pPr>
        <w:ind w:firstLine="608" w:firstLineChars="200"/>
        <w:rPr>
          <w:rFonts w:hint="eastAsia" w:ascii="仿宋_GB2312" w:eastAsia="仿宋_GB2312"/>
        </w:rPr>
      </w:pPr>
      <w:r>
        <w:rPr>
          <w:rFonts w:hint="eastAsia" w:ascii="仿宋_GB2312" w:eastAsia="仿宋_GB2312"/>
        </w:rPr>
        <w:t>8.教育部门要组织学校、幼儿园加强消防安全整治；</w:t>
      </w:r>
    </w:p>
    <w:p>
      <w:pPr>
        <w:ind w:firstLine="608" w:firstLineChars="200"/>
        <w:rPr>
          <w:rFonts w:hint="eastAsia" w:ascii="仿宋_GB2312"/>
        </w:rPr>
        <w:sectPr>
          <w:headerReference r:id="rId3" w:type="default"/>
          <w:footerReference r:id="rId4" w:type="default"/>
          <w:footerReference r:id="rId5" w:type="even"/>
          <w:pgSz w:w="11906" w:h="16838"/>
          <w:pgMar w:top="1701" w:right="1701" w:bottom="1701" w:left="1701" w:header="851" w:footer="992" w:gutter="0"/>
          <w:pgNumType w:fmt="numberInDash"/>
          <w:cols w:space="720" w:num="1"/>
          <w:docGrid w:type="linesAndChars" w:linePitch="610" w:charSpace="-3336"/>
        </w:sectPr>
      </w:pPr>
      <w:r>
        <w:rPr>
          <w:rFonts w:hint="eastAsia" w:ascii="仿宋_GB2312" w:eastAsia="仿宋_GB2312"/>
        </w:rPr>
        <w:t xml:space="preserve">9.各地安委会要组织相关部门和属地乡镇街道开展劳动密集型企业、群租房消防安全集中排查整治。      </w:t>
      </w:r>
      <w:r>
        <w:rPr>
          <w:rFonts w:hint="eastAsia" w:ascii="仿宋_GB2312"/>
        </w:rPr>
        <w:t xml:space="preserve"> </w:t>
      </w:r>
    </w:p>
    <w:p>
      <w:pPr>
        <w:spacing w:line="600" w:lineRule="exact"/>
        <w:rPr>
          <w:rFonts w:hint="eastAsia" w:ascii="黑体" w:hAnsi="黑体" w:eastAsia="黑体" w:cs="宋体"/>
          <w:kern w:val="0"/>
        </w:rPr>
      </w:pPr>
      <w:r>
        <w:rPr>
          <w:rFonts w:hint="eastAsia" w:ascii="黑体" w:hAnsi="黑体" w:eastAsia="黑体" w:cs="宋体"/>
          <w:kern w:val="0"/>
        </w:rPr>
        <w:t>附件5</w:t>
      </w:r>
    </w:p>
    <w:p>
      <w:pPr>
        <w:spacing w:line="600" w:lineRule="exact"/>
        <w:jc w:val="center"/>
        <w:rPr>
          <w:rFonts w:hint="eastAsia" w:ascii="华文中宋" w:hAnsi="华文中宋" w:eastAsia="华文中宋" w:cs="宋体"/>
          <w:b/>
          <w:bCs/>
          <w:kern w:val="0"/>
          <w:sz w:val="44"/>
          <w:szCs w:val="44"/>
        </w:rPr>
      </w:pPr>
      <w:r>
        <w:rPr>
          <w:rFonts w:hint="eastAsia" w:ascii="方正小标宋简体" w:eastAsia="方正小标宋简体"/>
          <w:sz w:val="44"/>
          <w:szCs w:val="44"/>
        </w:rPr>
        <w:t>专项执法检查</w:t>
      </w:r>
      <w:r>
        <w:rPr>
          <w:rFonts w:hint="eastAsia" w:ascii="华文中宋" w:hAnsi="华文中宋" w:eastAsia="华文中宋" w:cs="宋体"/>
          <w:b/>
          <w:bCs/>
          <w:kern w:val="0"/>
          <w:sz w:val="44"/>
          <w:szCs w:val="44"/>
        </w:rPr>
        <w:t>情况统计表</w:t>
      </w:r>
    </w:p>
    <w:p>
      <w:pPr>
        <w:spacing w:line="600" w:lineRule="exact"/>
        <w:rPr>
          <w:rFonts w:hint="eastAsia" w:ascii="仿宋_GB2312" w:hAnsi="仿宋"/>
        </w:rPr>
      </w:pPr>
      <w:r>
        <w:rPr>
          <w:rFonts w:hint="eastAsia" w:ascii="仿宋_GB2312" w:hAnsi="仿宋" w:cs="宋体"/>
          <w:kern w:val="0"/>
          <w:sz w:val="28"/>
          <w:szCs w:val="28"/>
        </w:rPr>
        <w:t>填报单位（加盖公章）：</w:t>
      </w:r>
    </w:p>
    <w:tbl>
      <w:tblPr>
        <w:tblStyle w:val="4"/>
        <w:tblW w:w="14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758"/>
        <w:gridCol w:w="757"/>
        <w:gridCol w:w="667"/>
        <w:gridCol w:w="757"/>
        <w:gridCol w:w="757"/>
        <w:gridCol w:w="667"/>
        <w:gridCol w:w="757"/>
        <w:gridCol w:w="757"/>
        <w:gridCol w:w="757"/>
        <w:gridCol w:w="757"/>
        <w:gridCol w:w="676"/>
        <w:gridCol w:w="658"/>
        <w:gridCol w:w="577"/>
        <w:gridCol w:w="577"/>
        <w:gridCol w:w="757"/>
        <w:gridCol w:w="757"/>
        <w:gridCol w:w="75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vMerge w:val="restart"/>
            <w:noWrap w:val="0"/>
            <w:vAlign w:val="center"/>
          </w:tcPr>
          <w:p>
            <w:pPr>
              <w:widowControl/>
              <w:spacing w:line="400" w:lineRule="exact"/>
              <w:jc w:val="center"/>
              <w:rPr>
                <w:rFonts w:ascii="宋体" w:hAnsi="宋体" w:cs="宋体"/>
                <w:kern w:val="0"/>
                <w:sz w:val="20"/>
                <w:szCs w:val="20"/>
              </w:rPr>
            </w:pPr>
          </w:p>
        </w:tc>
        <w:tc>
          <w:tcPr>
            <w:tcW w:w="4363" w:type="dxa"/>
            <w:gridSpan w:val="6"/>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排查治理隐患</w:t>
            </w:r>
          </w:p>
        </w:tc>
        <w:tc>
          <w:tcPr>
            <w:tcW w:w="757" w:type="dxa"/>
            <w:vMerge w:val="restart"/>
            <w:noWrap w:val="0"/>
            <w:vAlign w:val="center"/>
          </w:tcPr>
          <w:p>
            <w:pPr>
              <w:spacing w:line="400" w:lineRule="exact"/>
              <w:jc w:val="center"/>
              <w:rPr>
                <w:rFonts w:ascii="宋体" w:hAnsi="宋体" w:cs="宋体"/>
                <w:kern w:val="0"/>
                <w:sz w:val="18"/>
                <w:szCs w:val="18"/>
              </w:rPr>
            </w:pPr>
            <w:r>
              <w:rPr>
                <w:rFonts w:hint="eastAsia" w:ascii="宋体" w:hAnsi="宋体" w:cs="宋体"/>
                <w:kern w:val="0"/>
                <w:sz w:val="20"/>
                <w:szCs w:val="20"/>
              </w:rPr>
              <w:t>打击严重违法违规行为</w:t>
            </w:r>
          </w:p>
        </w:tc>
        <w:tc>
          <w:tcPr>
            <w:tcW w:w="3605" w:type="dxa"/>
            <w:gridSpan w:val="5"/>
            <w:vMerge w:val="restart"/>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20"/>
                <w:szCs w:val="20"/>
              </w:rPr>
              <w:t>执法处罚</w:t>
            </w:r>
          </w:p>
        </w:tc>
        <w:tc>
          <w:tcPr>
            <w:tcW w:w="1154" w:type="dxa"/>
            <w:gridSpan w:val="2"/>
            <w:vMerge w:val="restart"/>
            <w:noWrap w:val="0"/>
            <w:vAlign w:val="center"/>
          </w:tcPr>
          <w:p>
            <w:pPr>
              <w:widowControl/>
              <w:spacing w:line="260" w:lineRule="exact"/>
              <w:jc w:val="center"/>
              <w:rPr>
                <w:rFonts w:ascii="宋体" w:hAnsi="宋体" w:cs="宋体"/>
                <w:kern w:val="0"/>
                <w:sz w:val="18"/>
                <w:szCs w:val="18"/>
              </w:rPr>
            </w:pPr>
            <w:r>
              <w:rPr>
                <w:rFonts w:hint="eastAsia" w:ascii="宋体" w:hAnsi="宋体" w:cs="宋体"/>
                <w:kern w:val="0"/>
                <w:sz w:val="20"/>
                <w:szCs w:val="20"/>
              </w:rPr>
              <w:t>联合惩戒失信单位（个人）</w:t>
            </w:r>
          </w:p>
        </w:tc>
        <w:tc>
          <w:tcPr>
            <w:tcW w:w="1514" w:type="dxa"/>
            <w:gridSpan w:val="2"/>
            <w:vMerge w:val="restart"/>
            <w:noWrap w:val="0"/>
            <w:vAlign w:val="center"/>
          </w:tcPr>
          <w:p>
            <w:pPr>
              <w:widowControl/>
              <w:spacing w:line="260" w:lineRule="exact"/>
              <w:jc w:val="center"/>
              <w:rPr>
                <w:rFonts w:hint="eastAsia" w:ascii="宋体" w:hAnsi="宋体" w:cs="宋体"/>
                <w:kern w:val="0"/>
                <w:sz w:val="18"/>
                <w:szCs w:val="18"/>
              </w:rPr>
            </w:pPr>
            <w:r>
              <w:rPr>
                <w:rFonts w:hint="eastAsia" w:ascii="宋体" w:hAnsi="宋体" w:cs="宋体"/>
                <w:kern w:val="0"/>
                <w:sz w:val="20"/>
                <w:szCs w:val="20"/>
              </w:rPr>
              <w:t>问责曝光工作不力的单位和个人</w:t>
            </w:r>
          </w:p>
        </w:tc>
        <w:tc>
          <w:tcPr>
            <w:tcW w:w="1494" w:type="dxa"/>
            <w:gridSpan w:val="2"/>
            <w:vMerge w:val="restart"/>
            <w:noWrap w:val="0"/>
            <w:vAlign w:val="center"/>
          </w:tcPr>
          <w:p>
            <w:pPr>
              <w:spacing w:line="400" w:lineRule="exact"/>
              <w:jc w:val="center"/>
              <w:rPr>
                <w:rFonts w:hint="eastAsia" w:ascii="宋体" w:hAnsi="宋体" w:cs="宋体"/>
                <w:kern w:val="0"/>
                <w:sz w:val="18"/>
                <w:szCs w:val="18"/>
              </w:rPr>
            </w:pPr>
            <w:r>
              <w:rPr>
                <w:rFonts w:hint="eastAsia" w:ascii="宋体" w:hAnsi="宋体" w:cs="宋体"/>
                <w:kern w:val="0"/>
                <w:sz w:val="18"/>
                <w:szCs w:val="18"/>
              </w:rPr>
              <w:t>集中教育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vMerge w:val="continue"/>
            <w:noWrap w:val="0"/>
            <w:vAlign w:val="center"/>
          </w:tcPr>
          <w:p>
            <w:pPr>
              <w:widowControl/>
              <w:spacing w:line="400" w:lineRule="exact"/>
              <w:jc w:val="center"/>
              <w:rPr>
                <w:rFonts w:hint="eastAsia" w:ascii="宋体" w:hAnsi="宋体" w:cs="宋体"/>
                <w:kern w:val="0"/>
                <w:sz w:val="20"/>
                <w:szCs w:val="20"/>
              </w:rPr>
            </w:pPr>
          </w:p>
        </w:tc>
        <w:tc>
          <w:tcPr>
            <w:tcW w:w="758" w:type="dxa"/>
            <w:vMerge w:val="restart"/>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排查</w:t>
            </w:r>
          </w:p>
        </w:tc>
        <w:tc>
          <w:tcPr>
            <w:tcW w:w="757" w:type="dxa"/>
            <w:vMerge w:val="restart"/>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已整治</w:t>
            </w:r>
          </w:p>
        </w:tc>
        <w:tc>
          <w:tcPr>
            <w:tcW w:w="667" w:type="dxa"/>
            <w:vMerge w:val="restart"/>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整改率</w:t>
            </w:r>
          </w:p>
        </w:tc>
        <w:tc>
          <w:tcPr>
            <w:tcW w:w="2181" w:type="dxa"/>
            <w:gridSpan w:val="3"/>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其中重大隐患</w:t>
            </w:r>
          </w:p>
        </w:tc>
        <w:tc>
          <w:tcPr>
            <w:tcW w:w="757" w:type="dxa"/>
            <w:vMerge w:val="continue"/>
            <w:noWrap w:val="0"/>
            <w:vAlign w:val="center"/>
          </w:tcPr>
          <w:p>
            <w:pPr>
              <w:spacing w:line="400" w:lineRule="exact"/>
              <w:jc w:val="center"/>
              <w:rPr>
                <w:rFonts w:ascii="宋体" w:hAnsi="宋体" w:cs="宋体"/>
                <w:kern w:val="0"/>
                <w:sz w:val="18"/>
                <w:szCs w:val="18"/>
              </w:rPr>
            </w:pPr>
          </w:p>
        </w:tc>
        <w:tc>
          <w:tcPr>
            <w:tcW w:w="3605" w:type="dxa"/>
            <w:gridSpan w:val="5"/>
            <w:vMerge w:val="continue"/>
            <w:noWrap w:val="0"/>
            <w:vAlign w:val="center"/>
          </w:tcPr>
          <w:p>
            <w:pPr>
              <w:widowControl/>
              <w:spacing w:line="400" w:lineRule="exact"/>
              <w:jc w:val="center"/>
              <w:rPr>
                <w:rFonts w:ascii="宋体" w:hAnsi="宋体" w:cs="宋体"/>
                <w:kern w:val="0"/>
                <w:sz w:val="18"/>
                <w:szCs w:val="18"/>
              </w:rPr>
            </w:pPr>
          </w:p>
        </w:tc>
        <w:tc>
          <w:tcPr>
            <w:tcW w:w="1154" w:type="dxa"/>
            <w:gridSpan w:val="2"/>
            <w:vMerge w:val="continue"/>
            <w:noWrap w:val="0"/>
            <w:vAlign w:val="center"/>
          </w:tcPr>
          <w:p>
            <w:pPr>
              <w:spacing w:line="400" w:lineRule="exact"/>
              <w:jc w:val="center"/>
              <w:rPr>
                <w:rFonts w:ascii="宋体" w:hAnsi="宋体" w:cs="宋体"/>
                <w:kern w:val="0"/>
                <w:sz w:val="18"/>
                <w:szCs w:val="18"/>
              </w:rPr>
            </w:pPr>
          </w:p>
        </w:tc>
        <w:tc>
          <w:tcPr>
            <w:tcW w:w="1514" w:type="dxa"/>
            <w:gridSpan w:val="2"/>
            <w:vMerge w:val="continue"/>
            <w:noWrap w:val="0"/>
            <w:vAlign w:val="center"/>
          </w:tcPr>
          <w:p>
            <w:pPr>
              <w:widowControl/>
              <w:spacing w:line="400" w:lineRule="exact"/>
              <w:jc w:val="center"/>
              <w:rPr>
                <w:rFonts w:hint="eastAsia" w:ascii="宋体" w:hAnsi="宋体" w:cs="宋体"/>
                <w:kern w:val="0"/>
                <w:sz w:val="18"/>
                <w:szCs w:val="18"/>
              </w:rPr>
            </w:pPr>
          </w:p>
        </w:tc>
        <w:tc>
          <w:tcPr>
            <w:tcW w:w="1494" w:type="dxa"/>
            <w:gridSpan w:val="2"/>
            <w:vMerge w:val="continue"/>
            <w:noWrap w:val="0"/>
            <w:vAlign w:val="center"/>
          </w:tcPr>
          <w:p>
            <w:pPr>
              <w:widowControl/>
              <w:spacing w:line="400" w:lineRule="exact"/>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617" w:type="dxa"/>
            <w:vMerge w:val="continue"/>
            <w:noWrap w:val="0"/>
            <w:vAlign w:val="center"/>
          </w:tcPr>
          <w:p>
            <w:pPr>
              <w:widowControl/>
              <w:spacing w:line="400" w:lineRule="exact"/>
              <w:jc w:val="center"/>
              <w:rPr>
                <w:rFonts w:hint="eastAsia" w:ascii="宋体" w:hAnsi="宋体" w:cs="宋体"/>
                <w:kern w:val="0"/>
                <w:sz w:val="20"/>
                <w:szCs w:val="20"/>
              </w:rPr>
            </w:pPr>
          </w:p>
        </w:tc>
        <w:tc>
          <w:tcPr>
            <w:tcW w:w="758" w:type="dxa"/>
            <w:vMerge w:val="continue"/>
            <w:noWrap w:val="0"/>
            <w:vAlign w:val="center"/>
          </w:tcPr>
          <w:p>
            <w:pPr>
              <w:widowControl/>
              <w:spacing w:line="400" w:lineRule="exact"/>
              <w:jc w:val="center"/>
              <w:rPr>
                <w:rFonts w:hint="eastAsia" w:ascii="宋体" w:hAnsi="宋体" w:cs="宋体"/>
                <w:kern w:val="0"/>
                <w:sz w:val="18"/>
                <w:szCs w:val="18"/>
              </w:rPr>
            </w:pPr>
          </w:p>
        </w:tc>
        <w:tc>
          <w:tcPr>
            <w:tcW w:w="757" w:type="dxa"/>
            <w:vMerge w:val="continue"/>
            <w:noWrap w:val="0"/>
            <w:vAlign w:val="center"/>
          </w:tcPr>
          <w:p>
            <w:pPr>
              <w:widowControl/>
              <w:spacing w:line="400" w:lineRule="exact"/>
              <w:jc w:val="center"/>
              <w:rPr>
                <w:rFonts w:hint="eastAsia" w:ascii="宋体" w:hAnsi="宋体" w:cs="宋体"/>
                <w:kern w:val="0"/>
                <w:sz w:val="18"/>
                <w:szCs w:val="18"/>
              </w:rPr>
            </w:pPr>
          </w:p>
        </w:tc>
        <w:tc>
          <w:tcPr>
            <w:tcW w:w="667" w:type="dxa"/>
            <w:vMerge w:val="continue"/>
            <w:noWrap w:val="0"/>
            <w:vAlign w:val="center"/>
          </w:tcPr>
          <w:p>
            <w:pPr>
              <w:widowControl/>
              <w:spacing w:line="400" w:lineRule="exact"/>
              <w:jc w:val="center"/>
              <w:rPr>
                <w:rFonts w:hint="eastAsia" w:ascii="宋体" w:hAnsi="宋体" w:cs="宋体"/>
                <w:kern w:val="0"/>
                <w:sz w:val="18"/>
                <w:szCs w:val="18"/>
              </w:rPr>
            </w:pPr>
          </w:p>
        </w:tc>
        <w:tc>
          <w:tcPr>
            <w:tcW w:w="75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排查</w:t>
            </w:r>
          </w:p>
        </w:tc>
        <w:tc>
          <w:tcPr>
            <w:tcW w:w="75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已整治</w:t>
            </w:r>
          </w:p>
        </w:tc>
        <w:tc>
          <w:tcPr>
            <w:tcW w:w="66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整改率</w:t>
            </w:r>
          </w:p>
        </w:tc>
        <w:tc>
          <w:tcPr>
            <w:tcW w:w="757" w:type="dxa"/>
            <w:vMerge w:val="continue"/>
            <w:noWrap w:val="0"/>
            <w:vAlign w:val="center"/>
          </w:tcPr>
          <w:p>
            <w:pPr>
              <w:widowControl/>
              <w:spacing w:line="400" w:lineRule="exact"/>
              <w:jc w:val="center"/>
              <w:rPr>
                <w:rFonts w:ascii="宋体" w:hAnsi="宋体" w:cs="宋体"/>
                <w:kern w:val="0"/>
                <w:sz w:val="18"/>
                <w:szCs w:val="18"/>
              </w:rPr>
            </w:pP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20"/>
                <w:szCs w:val="20"/>
              </w:rPr>
              <w:t>关闭取缔</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20"/>
                <w:szCs w:val="20"/>
              </w:rPr>
              <w:t>停产整顿</w:t>
            </w:r>
          </w:p>
        </w:tc>
        <w:tc>
          <w:tcPr>
            <w:tcW w:w="757" w:type="dxa"/>
            <w:noWrap w:val="0"/>
            <w:vAlign w:val="center"/>
          </w:tcPr>
          <w:p>
            <w:pPr>
              <w:widowControl/>
              <w:spacing w:line="260" w:lineRule="exact"/>
              <w:jc w:val="center"/>
              <w:rPr>
                <w:rFonts w:ascii="SimSun-ExtB" w:hAnsi="SimSun-ExtB" w:eastAsia="SimSun-ExtB" w:cs="宋体"/>
                <w:kern w:val="0"/>
                <w:sz w:val="20"/>
                <w:szCs w:val="20"/>
              </w:rPr>
            </w:pPr>
            <w:r>
              <w:rPr>
                <w:rFonts w:hint="eastAsia" w:ascii="宋体" w:hAnsi="宋体" w:cs="宋体"/>
                <w:kern w:val="0"/>
                <w:sz w:val="20"/>
                <w:szCs w:val="20"/>
              </w:rPr>
              <w:t>暂扣吊销证照企业</w:t>
            </w:r>
          </w:p>
        </w:tc>
        <w:tc>
          <w:tcPr>
            <w:tcW w:w="676" w:type="dxa"/>
            <w:noWrap w:val="0"/>
            <w:vAlign w:val="center"/>
          </w:tcPr>
          <w:p>
            <w:pPr>
              <w:widowControl/>
              <w:spacing w:line="260" w:lineRule="exact"/>
              <w:jc w:val="center"/>
              <w:rPr>
                <w:rFonts w:ascii="SimSun-ExtB" w:hAnsi="SimSun-ExtB" w:eastAsia="SimSun-ExtB" w:cs="宋体"/>
                <w:kern w:val="0"/>
                <w:sz w:val="20"/>
                <w:szCs w:val="20"/>
              </w:rPr>
            </w:pPr>
            <w:r>
              <w:rPr>
                <w:rFonts w:hint="eastAsia" w:ascii="宋体" w:hAnsi="宋体" w:cs="宋体"/>
                <w:kern w:val="0"/>
                <w:sz w:val="20"/>
                <w:szCs w:val="20"/>
              </w:rPr>
              <w:t>处罚罚款</w:t>
            </w:r>
          </w:p>
        </w:tc>
        <w:tc>
          <w:tcPr>
            <w:tcW w:w="658" w:type="dxa"/>
            <w:noWrap w:val="0"/>
            <w:vAlign w:val="center"/>
          </w:tcPr>
          <w:p>
            <w:pPr>
              <w:widowControl/>
              <w:spacing w:line="260" w:lineRule="exact"/>
              <w:jc w:val="center"/>
              <w:rPr>
                <w:rFonts w:ascii="SimSun-ExtB" w:hAnsi="SimSun-ExtB" w:eastAsia="SimSun-ExtB" w:cs="宋体"/>
                <w:kern w:val="0"/>
                <w:sz w:val="20"/>
                <w:szCs w:val="20"/>
              </w:rPr>
            </w:pPr>
            <w:r>
              <w:rPr>
                <w:rFonts w:hint="eastAsia" w:ascii="宋体" w:hAnsi="宋体" w:cs="宋体"/>
                <w:kern w:val="0"/>
                <w:sz w:val="20"/>
                <w:szCs w:val="20"/>
              </w:rPr>
              <w:t>追究刑事责任</w:t>
            </w:r>
          </w:p>
        </w:tc>
        <w:tc>
          <w:tcPr>
            <w:tcW w:w="57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单位</w:t>
            </w:r>
          </w:p>
        </w:tc>
        <w:tc>
          <w:tcPr>
            <w:tcW w:w="57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个人</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20"/>
                <w:szCs w:val="20"/>
              </w:rPr>
              <w:t>单位</w:t>
            </w:r>
          </w:p>
        </w:tc>
        <w:tc>
          <w:tcPr>
            <w:tcW w:w="75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20"/>
                <w:szCs w:val="20"/>
              </w:rPr>
              <w:t>人员</w:t>
            </w:r>
          </w:p>
        </w:tc>
        <w:tc>
          <w:tcPr>
            <w:tcW w:w="75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班次</w:t>
            </w:r>
          </w:p>
        </w:tc>
        <w:tc>
          <w:tcPr>
            <w:tcW w:w="73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vMerge w:val="continue"/>
            <w:noWrap w:val="0"/>
            <w:vAlign w:val="center"/>
          </w:tcPr>
          <w:p>
            <w:pPr>
              <w:widowControl/>
              <w:spacing w:line="400" w:lineRule="exact"/>
              <w:jc w:val="center"/>
              <w:rPr>
                <w:rFonts w:hint="eastAsia" w:ascii="宋体" w:hAnsi="宋体" w:cs="宋体"/>
                <w:kern w:val="0"/>
                <w:sz w:val="20"/>
                <w:szCs w:val="20"/>
              </w:rPr>
            </w:pPr>
          </w:p>
        </w:tc>
        <w:tc>
          <w:tcPr>
            <w:tcW w:w="758"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（项）</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（项）</w:t>
            </w:r>
          </w:p>
        </w:tc>
        <w:tc>
          <w:tcPr>
            <w:tcW w:w="66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（项）</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（项）</w:t>
            </w:r>
          </w:p>
        </w:tc>
        <w:tc>
          <w:tcPr>
            <w:tcW w:w="66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（起）</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（家）</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（家）</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（家）</w:t>
            </w:r>
          </w:p>
        </w:tc>
        <w:tc>
          <w:tcPr>
            <w:tcW w:w="676" w:type="dxa"/>
            <w:noWrap w:val="0"/>
            <w:vAlign w:val="center"/>
          </w:tcPr>
          <w:p>
            <w:pPr>
              <w:widowControl/>
              <w:spacing w:line="400" w:lineRule="exact"/>
              <w:jc w:val="center"/>
              <w:rPr>
                <w:rFonts w:ascii="宋体" w:hAnsi="宋体" w:cs="宋体"/>
                <w:spacing w:val="-30"/>
                <w:kern w:val="0"/>
                <w:sz w:val="18"/>
                <w:szCs w:val="18"/>
              </w:rPr>
            </w:pPr>
            <w:r>
              <w:rPr>
                <w:rFonts w:hint="eastAsia" w:ascii="宋体" w:hAnsi="宋体" w:cs="宋体"/>
                <w:spacing w:val="-30"/>
                <w:kern w:val="0"/>
                <w:sz w:val="18"/>
                <w:szCs w:val="18"/>
              </w:rPr>
              <w:t>（万元）</w:t>
            </w:r>
          </w:p>
        </w:tc>
        <w:tc>
          <w:tcPr>
            <w:tcW w:w="658"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spacing w:val="-30"/>
                <w:kern w:val="0"/>
                <w:sz w:val="18"/>
                <w:szCs w:val="18"/>
              </w:rPr>
              <w:t>（人）</w:t>
            </w:r>
          </w:p>
        </w:tc>
        <w:tc>
          <w:tcPr>
            <w:tcW w:w="57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(家</w:t>
            </w:r>
            <w:r>
              <w:rPr>
                <w:rFonts w:ascii="宋体" w:hAnsi="宋体" w:cs="宋体"/>
                <w:kern w:val="0"/>
                <w:sz w:val="18"/>
                <w:szCs w:val="18"/>
              </w:rPr>
              <w:t>）</w:t>
            </w:r>
          </w:p>
        </w:tc>
        <w:tc>
          <w:tcPr>
            <w:tcW w:w="57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(人)</w:t>
            </w:r>
          </w:p>
        </w:tc>
        <w:tc>
          <w:tcPr>
            <w:tcW w:w="757" w:type="dxa"/>
            <w:noWrap w:val="0"/>
            <w:vAlign w:val="center"/>
          </w:tcPr>
          <w:p>
            <w:pPr>
              <w:widowControl/>
              <w:spacing w:line="400" w:lineRule="exact"/>
              <w:jc w:val="center"/>
              <w:rPr>
                <w:rFonts w:ascii="宋体" w:hAnsi="宋体" w:cs="宋体"/>
                <w:kern w:val="0"/>
                <w:sz w:val="18"/>
                <w:szCs w:val="18"/>
              </w:rPr>
            </w:pPr>
            <w:r>
              <w:rPr>
                <w:rFonts w:hint="eastAsia" w:ascii="宋体" w:hAnsi="宋体" w:cs="宋体"/>
                <w:kern w:val="0"/>
                <w:sz w:val="18"/>
                <w:szCs w:val="18"/>
              </w:rPr>
              <w:t>（家）</w:t>
            </w:r>
          </w:p>
        </w:tc>
        <w:tc>
          <w:tcPr>
            <w:tcW w:w="75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（人）</w:t>
            </w:r>
          </w:p>
        </w:tc>
        <w:tc>
          <w:tcPr>
            <w:tcW w:w="75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（次）</w:t>
            </w:r>
          </w:p>
        </w:tc>
        <w:tc>
          <w:tcPr>
            <w:tcW w:w="737" w:type="dxa"/>
            <w:noWrap w:val="0"/>
            <w:vAlign w:val="center"/>
          </w:tcPr>
          <w:p>
            <w:pPr>
              <w:widowControl/>
              <w:spacing w:line="400" w:lineRule="exact"/>
              <w:jc w:val="center"/>
              <w:rPr>
                <w:rFonts w:hint="eastAsia"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noWrap/>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合  计</w:t>
            </w:r>
          </w:p>
        </w:tc>
        <w:tc>
          <w:tcPr>
            <w:tcW w:w="758"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hint="eastAsia" w:ascii="宋体" w:hAnsi="宋体" w:cs="宋体"/>
                <w:kern w:val="0"/>
                <w:sz w:val="20"/>
                <w:szCs w:val="20"/>
              </w:rPr>
            </w:pPr>
          </w:p>
        </w:tc>
        <w:tc>
          <w:tcPr>
            <w:tcW w:w="667"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6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76" w:type="dxa"/>
            <w:noWrap w:val="0"/>
            <w:vAlign w:val="center"/>
          </w:tcPr>
          <w:p>
            <w:pPr>
              <w:widowControl/>
              <w:spacing w:line="400" w:lineRule="exact"/>
              <w:jc w:val="center"/>
              <w:rPr>
                <w:rFonts w:ascii="宋体" w:hAnsi="宋体" w:cs="宋体"/>
                <w:kern w:val="0"/>
                <w:sz w:val="20"/>
                <w:szCs w:val="20"/>
              </w:rPr>
            </w:pPr>
          </w:p>
        </w:tc>
        <w:tc>
          <w:tcPr>
            <w:tcW w:w="658"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757" w:type="dxa"/>
            <w:noWrap/>
            <w:vAlign w:val="center"/>
          </w:tcPr>
          <w:p>
            <w:pPr>
              <w:widowControl/>
              <w:spacing w:line="400" w:lineRule="exact"/>
              <w:jc w:val="center"/>
              <w:rPr>
                <w:rFonts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37" w:type="dxa"/>
            <w:noWrap w:val="0"/>
            <w:vAlign w:val="center"/>
          </w:tcPr>
          <w:p>
            <w:pPr>
              <w:widowControl/>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noWrap/>
            <w:vAlign w:val="center"/>
          </w:tcPr>
          <w:p>
            <w:pPr>
              <w:widowControl/>
              <w:spacing w:line="400" w:lineRule="exact"/>
              <w:rPr>
                <w:rFonts w:ascii="宋体" w:hAnsi="宋体" w:cs="宋体"/>
                <w:kern w:val="0"/>
                <w:sz w:val="20"/>
                <w:szCs w:val="20"/>
              </w:rPr>
            </w:pPr>
            <w:r>
              <w:rPr>
                <w:rFonts w:hint="eastAsia" w:ascii="宋体" w:hAnsi="宋体" w:cs="宋体"/>
                <w:kern w:val="0"/>
                <w:sz w:val="20"/>
                <w:szCs w:val="20"/>
              </w:rPr>
              <w:t>1.危险化学品</w:t>
            </w:r>
          </w:p>
        </w:tc>
        <w:tc>
          <w:tcPr>
            <w:tcW w:w="758"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hint="eastAsia" w:ascii="宋体" w:hAnsi="宋体" w:cs="宋体"/>
                <w:kern w:val="0"/>
                <w:sz w:val="20"/>
                <w:szCs w:val="20"/>
              </w:rPr>
            </w:pPr>
          </w:p>
        </w:tc>
        <w:tc>
          <w:tcPr>
            <w:tcW w:w="667"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6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76" w:type="dxa"/>
            <w:noWrap w:val="0"/>
            <w:vAlign w:val="center"/>
          </w:tcPr>
          <w:p>
            <w:pPr>
              <w:widowControl/>
              <w:spacing w:line="400" w:lineRule="exact"/>
              <w:jc w:val="center"/>
              <w:rPr>
                <w:rFonts w:ascii="宋体" w:hAnsi="宋体" w:cs="宋体"/>
                <w:kern w:val="0"/>
                <w:sz w:val="20"/>
                <w:szCs w:val="20"/>
              </w:rPr>
            </w:pPr>
          </w:p>
        </w:tc>
        <w:tc>
          <w:tcPr>
            <w:tcW w:w="658"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757" w:type="dxa"/>
            <w:noWrap/>
            <w:vAlign w:val="center"/>
          </w:tcPr>
          <w:p>
            <w:pPr>
              <w:widowControl/>
              <w:spacing w:line="400" w:lineRule="exact"/>
              <w:jc w:val="center"/>
              <w:rPr>
                <w:rFonts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37" w:type="dxa"/>
            <w:noWrap w:val="0"/>
            <w:vAlign w:val="center"/>
          </w:tcPr>
          <w:p>
            <w:pPr>
              <w:widowControl/>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noWrap/>
            <w:vAlign w:val="center"/>
          </w:tcPr>
          <w:p>
            <w:pPr>
              <w:widowControl/>
              <w:spacing w:line="400" w:lineRule="exact"/>
              <w:rPr>
                <w:rFonts w:ascii="宋体" w:hAnsi="宋体" w:cs="宋体"/>
                <w:kern w:val="0"/>
                <w:sz w:val="20"/>
                <w:szCs w:val="20"/>
              </w:rPr>
            </w:pPr>
            <w:r>
              <w:rPr>
                <w:rFonts w:hint="eastAsia" w:ascii="宋体" w:hAnsi="宋体" w:cs="宋体"/>
                <w:kern w:val="0"/>
                <w:sz w:val="20"/>
                <w:szCs w:val="20"/>
              </w:rPr>
              <w:t>2.煤矿</w:t>
            </w:r>
          </w:p>
        </w:tc>
        <w:tc>
          <w:tcPr>
            <w:tcW w:w="758"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hint="eastAsia" w:ascii="宋体" w:hAnsi="宋体" w:cs="宋体"/>
                <w:kern w:val="0"/>
                <w:sz w:val="20"/>
                <w:szCs w:val="20"/>
              </w:rPr>
            </w:pPr>
          </w:p>
        </w:tc>
        <w:tc>
          <w:tcPr>
            <w:tcW w:w="667"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6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76" w:type="dxa"/>
            <w:noWrap w:val="0"/>
            <w:vAlign w:val="center"/>
          </w:tcPr>
          <w:p>
            <w:pPr>
              <w:widowControl/>
              <w:spacing w:line="400" w:lineRule="exact"/>
              <w:jc w:val="center"/>
              <w:rPr>
                <w:rFonts w:ascii="宋体" w:hAnsi="宋体" w:cs="宋体"/>
                <w:kern w:val="0"/>
                <w:sz w:val="20"/>
                <w:szCs w:val="20"/>
              </w:rPr>
            </w:pPr>
          </w:p>
        </w:tc>
        <w:tc>
          <w:tcPr>
            <w:tcW w:w="658"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757" w:type="dxa"/>
            <w:noWrap/>
            <w:vAlign w:val="center"/>
          </w:tcPr>
          <w:p>
            <w:pPr>
              <w:widowControl/>
              <w:spacing w:line="400" w:lineRule="exact"/>
              <w:jc w:val="center"/>
              <w:rPr>
                <w:rFonts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37" w:type="dxa"/>
            <w:noWrap w:val="0"/>
            <w:vAlign w:val="center"/>
          </w:tcPr>
          <w:p>
            <w:pPr>
              <w:widowControl/>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noWrap/>
            <w:vAlign w:val="center"/>
          </w:tcPr>
          <w:p>
            <w:pPr>
              <w:widowControl/>
              <w:spacing w:line="400" w:lineRule="exact"/>
              <w:rPr>
                <w:rFonts w:ascii="宋体" w:hAnsi="宋体" w:cs="宋体"/>
                <w:kern w:val="0"/>
                <w:sz w:val="20"/>
                <w:szCs w:val="20"/>
              </w:rPr>
            </w:pPr>
            <w:r>
              <w:rPr>
                <w:rFonts w:hint="eastAsia" w:ascii="宋体" w:hAnsi="宋体" w:cs="宋体"/>
                <w:kern w:val="0"/>
                <w:sz w:val="20"/>
                <w:szCs w:val="20"/>
              </w:rPr>
              <w:t>3.非煤矿山</w:t>
            </w:r>
          </w:p>
        </w:tc>
        <w:tc>
          <w:tcPr>
            <w:tcW w:w="758"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hint="eastAsia" w:ascii="宋体" w:hAnsi="宋体" w:cs="宋体"/>
                <w:kern w:val="0"/>
                <w:sz w:val="20"/>
                <w:szCs w:val="20"/>
              </w:rPr>
            </w:pPr>
          </w:p>
        </w:tc>
        <w:tc>
          <w:tcPr>
            <w:tcW w:w="667"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6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76" w:type="dxa"/>
            <w:noWrap w:val="0"/>
            <w:vAlign w:val="center"/>
          </w:tcPr>
          <w:p>
            <w:pPr>
              <w:widowControl/>
              <w:spacing w:line="400" w:lineRule="exact"/>
              <w:jc w:val="center"/>
              <w:rPr>
                <w:rFonts w:ascii="宋体" w:hAnsi="宋体" w:cs="宋体"/>
                <w:kern w:val="0"/>
                <w:sz w:val="20"/>
                <w:szCs w:val="20"/>
              </w:rPr>
            </w:pPr>
          </w:p>
        </w:tc>
        <w:tc>
          <w:tcPr>
            <w:tcW w:w="658"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757" w:type="dxa"/>
            <w:noWrap/>
            <w:vAlign w:val="center"/>
          </w:tcPr>
          <w:p>
            <w:pPr>
              <w:widowControl/>
              <w:spacing w:line="400" w:lineRule="exact"/>
              <w:jc w:val="center"/>
              <w:rPr>
                <w:rFonts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37" w:type="dxa"/>
            <w:noWrap w:val="0"/>
            <w:vAlign w:val="center"/>
          </w:tcPr>
          <w:p>
            <w:pPr>
              <w:widowControl/>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noWrap/>
            <w:vAlign w:val="center"/>
          </w:tcPr>
          <w:p>
            <w:pPr>
              <w:widowControl/>
              <w:spacing w:line="400" w:lineRule="exact"/>
              <w:rPr>
                <w:rFonts w:ascii="宋体" w:hAnsi="宋体" w:cs="宋体"/>
                <w:kern w:val="0"/>
                <w:sz w:val="20"/>
                <w:szCs w:val="20"/>
              </w:rPr>
            </w:pPr>
            <w:r>
              <w:rPr>
                <w:rFonts w:hint="eastAsia" w:ascii="宋体" w:hAnsi="宋体" w:cs="宋体"/>
                <w:kern w:val="0"/>
                <w:sz w:val="20"/>
                <w:szCs w:val="20"/>
              </w:rPr>
              <w:t>4.消防</w:t>
            </w:r>
          </w:p>
        </w:tc>
        <w:tc>
          <w:tcPr>
            <w:tcW w:w="758"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hint="eastAsia" w:ascii="宋体" w:hAnsi="宋体" w:cs="宋体"/>
                <w:kern w:val="0"/>
                <w:sz w:val="20"/>
                <w:szCs w:val="20"/>
              </w:rPr>
            </w:pPr>
          </w:p>
        </w:tc>
        <w:tc>
          <w:tcPr>
            <w:tcW w:w="667"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6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76" w:type="dxa"/>
            <w:noWrap w:val="0"/>
            <w:vAlign w:val="center"/>
          </w:tcPr>
          <w:p>
            <w:pPr>
              <w:widowControl/>
              <w:spacing w:line="400" w:lineRule="exact"/>
              <w:jc w:val="center"/>
              <w:rPr>
                <w:rFonts w:ascii="宋体" w:hAnsi="宋体" w:cs="宋体"/>
                <w:kern w:val="0"/>
                <w:sz w:val="20"/>
                <w:szCs w:val="20"/>
              </w:rPr>
            </w:pPr>
          </w:p>
        </w:tc>
        <w:tc>
          <w:tcPr>
            <w:tcW w:w="658"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757" w:type="dxa"/>
            <w:noWrap/>
            <w:vAlign w:val="center"/>
          </w:tcPr>
          <w:p>
            <w:pPr>
              <w:widowControl/>
              <w:spacing w:line="400" w:lineRule="exact"/>
              <w:jc w:val="center"/>
              <w:rPr>
                <w:rFonts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37" w:type="dxa"/>
            <w:noWrap w:val="0"/>
            <w:vAlign w:val="center"/>
          </w:tcPr>
          <w:p>
            <w:pPr>
              <w:widowControl/>
              <w:spacing w:line="4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noWrap/>
            <w:vAlign w:val="center"/>
          </w:tcPr>
          <w:p>
            <w:pPr>
              <w:widowControl/>
              <w:spacing w:line="400" w:lineRule="exact"/>
              <w:rPr>
                <w:rFonts w:ascii="宋体" w:hAnsi="宋体" w:cs="宋体"/>
                <w:kern w:val="0"/>
                <w:sz w:val="20"/>
                <w:szCs w:val="20"/>
              </w:rPr>
            </w:pPr>
            <w:r>
              <w:rPr>
                <w:rFonts w:hint="eastAsia" w:ascii="宋体" w:hAnsi="宋体" w:cs="宋体"/>
                <w:kern w:val="0"/>
                <w:sz w:val="20"/>
                <w:szCs w:val="20"/>
              </w:rPr>
              <w:t>5.其他行业领域</w:t>
            </w:r>
          </w:p>
        </w:tc>
        <w:tc>
          <w:tcPr>
            <w:tcW w:w="758"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hint="eastAsia" w:ascii="宋体" w:hAnsi="宋体" w:cs="宋体"/>
                <w:kern w:val="0"/>
                <w:sz w:val="20"/>
                <w:szCs w:val="20"/>
              </w:rPr>
            </w:pPr>
          </w:p>
        </w:tc>
        <w:tc>
          <w:tcPr>
            <w:tcW w:w="667" w:type="dxa"/>
            <w:noWrap w:val="0"/>
            <w:vAlign w:val="center"/>
          </w:tcPr>
          <w:p>
            <w:pPr>
              <w:widowControl/>
              <w:spacing w:line="400" w:lineRule="exact"/>
              <w:jc w:val="center"/>
              <w:rPr>
                <w:rFonts w:hint="eastAsia"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6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757" w:type="dxa"/>
            <w:noWrap w:val="0"/>
            <w:vAlign w:val="center"/>
          </w:tcPr>
          <w:p>
            <w:pPr>
              <w:widowControl/>
              <w:spacing w:line="400" w:lineRule="exact"/>
              <w:jc w:val="center"/>
              <w:rPr>
                <w:rFonts w:ascii="宋体" w:hAnsi="宋体" w:cs="宋体"/>
                <w:kern w:val="0"/>
                <w:sz w:val="20"/>
                <w:szCs w:val="20"/>
              </w:rPr>
            </w:pPr>
          </w:p>
        </w:tc>
        <w:tc>
          <w:tcPr>
            <w:tcW w:w="676" w:type="dxa"/>
            <w:noWrap w:val="0"/>
            <w:vAlign w:val="center"/>
          </w:tcPr>
          <w:p>
            <w:pPr>
              <w:widowControl/>
              <w:spacing w:line="400" w:lineRule="exact"/>
              <w:jc w:val="center"/>
              <w:rPr>
                <w:rFonts w:ascii="宋体" w:hAnsi="宋体" w:cs="宋体"/>
                <w:kern w:val="0"/>
                <w:sz w:val="20"/>
                <w:szCs w:val="20"/>
              </w:rPr>
            </w:pPr>
          </w:p>
        </w:tc>
        <w:tc>
          <w:tcPr>
            <w:tcW w:w="658"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577" w:type="dxa"/>
            <w:noWrap w:val="0"/>
            <w:vAlign w:val="center"/>
          </w:tcPr>
          <w:p>
            <w:pPr>
              <w:widowControl/>
              <w:spacing w:line="400" w:lineRule="exact"/>
              <w:jc w:val="center"/>
              <w:rPr>
                <w:rFonts w:ascii="宋体" w:hAnsi="宋体" w:cs="宋体"/>
                <w:kern w:val="0"/>
                <w:sz w:val="20"/>
                <w:szCs w:val="20"/>
              </w:rPr>
            </w:pPr>
          </w:p>
        </w:tc>
        <w:tc>
          <w:tcPr>
            <w:tcW w:w="757" w:type="dxa"/>
            <w:noWrap/>
            <w:vAlign w:val="center"/>
          </w:tcPr>
          <w:p>
            <w:pPr>
              <w:widowControl/>
              <w:spacing w:line="400" w:lineRule="exact"/>
              <w:jc w:val="center"/>
              <w:rPr>
                <w:rFonts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57" w:type="dxa"/>
            <w:noWrap w:val="0"/>
            <w:vAlign w:val="center"/>
          </w:tcPr>
          <w:p>
            <w:pPr>
              <w:widowControl/>
              <w:spacing w:line="400" w:lineRule="exact"/>
              <w:jc w:val="center"/>
              <w:rPr>
                <w:rFonts w:hint="eastAsia" w:ascii="宋体" w:hAnsi="宋体" w:cs="宋体"/>
                <w:kern w:val="0"/>
                <w:sz w:val="24"/>
              </w:rPr>
            </w:pPr>
          </w:p>
        </w:tc>
        <w:tc>
          <w:tcPr>
            <w:tcW w:w="737" w:type="dxa"/>
            <w:noWrap w:val="0"/>
            <w:vAlign w:val="center"/>
          </w:tcPr>
          <w:p>
            <w:pPr>
              <w:widowControl/>
              <w:spacing w:line="400" w:lineRule="exact"/>
              <w:jc w:val="center"/>
              <w:rPr>
                <w:rFonts w:hint="eastAsia" w:ascii="宋体" w:hAnsi="宋体" w:cs="宋体"/>
                <w:kern w:val="0"/>
                <w:sz w:val="24"/>
              </w:rPr>
            </w:pPr>
          </w:p>
        </w:tc>
      </w:tr>
    </w:tbl>
    <w:p>
      <w:pPr>
        <w:rPr>
          <w:rFonts w:hint="eastAsia" w:ascii="仿宋_GB2312" w:hAnsi="宋体" w:eastAsia="仿宋_GB2312" w:cs="宋体"/>
          <w:kern w:val="0"/>
        </w:rPr>
      </w:pPr>
      <w:r>
        <w:rPr>
          <w:rFonts w:hint="eastAsia" w:ascii="仿宋_GB2312" w:hAnsi="宋体" w:eastAsia="仿宋_GB2312" w:cs="宋体"/>
          <w:kern w:val="0"/>
        </w:rPr>
        <w:t>填报人：              联系电话：                      填报日期：2019年4月   日</w:t>
      </w:r>
    </w:p>
    <w:p>
      <w:pPr>
        <w:rPr>
          <w:rFonts w:hint="eastAsia" w:ascii="黑体" w:hAnsi="黑体" w:eastAsia="黑体" w:cs="宋体"/>
          <w:kern w:val="0"/>
        </w:rPr>
      </w:pPr>
      <w:r>
        <w:rPr>
          <w:rFonts w:hint="eastAsia" w:ascii="黑体" w:hAnsi="黑体" w:eastAsia="黑体" w:cs="宋体"/>
          <w:kern w:val="0"/>
        </w:rPr>
        <w:t>附件6</w:t>
      </w:r>
    </w:p>
    <w:p>
      <w:pPr>
        <w:spacing w:line="600" w:lineRule="exact"/>
        <w:rPr>
          <w:rFonts w:hint="eastAsia" w:ascii="仿宋_GB2312" w:hAnsi="宋体" w:cs="宋体"/>
          <w:kern w:val="0"/>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排查治理重大隐患情况表</w:t>
      </w:r>
    </w:p>
    <w:p>
      <w:pPr>
        <w:spacing w:line="600" w:lineRule="exact"/>
        <w:rPr>
          <w:rFonts w:ascii="方正小标宋简体" w:eastAsia="方正小标宋简体"/>
          <w:sz w:val="44"/>
          <w:szCs w:val="44"/>
        </w:rPr>
      </w:pPr>
      <w:r>
        <w:rPr>
          <w:rFonts w:hint="eastAsia" w:ascii="仿宋_GB2312" w:hAnsi="仿宋" w:cs="宋体"/>
          <w:kern w:val="0"/>
          <w:sz w:val="28"/>
          <w:szCs w:val="28"/>
        </w:rPr>
        <w:t>填报单位（加盖公章）：</w:t>
      </w:r>
    </w:p>
    <w:tbl>
      <w:tblPr>
        <w:tblStyle w:val="4"/>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024"/>
        <w:gridCol w:w="2160"/>
        <w:gridCol w:w="901"/>
        <w:gridCol w:w="4860"/>
        <w:gridCol w:w="1518"/>
        <w:gridCol w:w="1013"/>
        <w:gridCol w:w="1013"/>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序号</w:t>
            </w:r>
          </w:p>
        </w:tc>
        <w:tc>
          <w:tcPr>
            <w:tcW w:w="1024"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所在地区（市、县）</w:t>
            </w:r>
          </w:p>
        </w:tc>
        <w:tc>
          <w:tcPr>
            <w:tcW w:w="216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存在重大隐患的</w:t>
            </w:r>
          </w:p>
          <w:p>
            <w:pPr>
              <w:spacing w:line="300" w:lineRule="exact"/>
              <w:jc w:val="center"/>
              <w:rPr>
                <w:rFonts w:hint="eastAsia" w:ascii="黑体" w:hAnsi="黑体" w:eastAsia="黑体"/>
                <w:sz w:val="21"/>
                <w:szCs w:val="21"/>
              </w:rPr>
            </w:pPr>
            <w:r>
              <w:rPr>
                <w:rFonts w:hint="eastAsia" w:ascii="黑体" w:hAnsi="黑体" w:eastAsia="黑体"/>
                <w:sz w:val="21"/>
                <w:szCs w:val="21"/>
              </w:rPr>
              <w:t>单位名称</w:t>
            </w:r>
          </w:p>
        </w:tc>
        <w:tc>
          <w:tcPr>
            <w:tcW w:w="901"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行业</w:t>
            </w:r>
          </w:p>
          <w:p>
            <w:pPr>
              <w:spacing w:line="300" w:lineRule="exact"/>
              <w:jc w:val="center"/>
              <w:rPr>
                <w:rFonts w:hint="eastAsia" w:ascii="黑体" w:hAnsi="黑体" w:eastAsia="黑体"/>
                <w:sz w:val="21"/>
                <w:szCs w:val="21"/>
              </w:rPr>
            </w:pPr>
            <w:r>
              <w:rPr>
                <w:rFonts w:hint="eastAsia" w:ascii="黑体" w:hAnsi="黑体" w:eastAsia="黑体"/>
                <w:sz w:val="21"/>
                <w:szCs w:val="21"/>
              </w:rPr>
              <w:t>领域</w:t>
            </w:r>
          </w:p>
        </w:tc>
        <w:tc>
          <w:tcPr>
            <w:tcW w:w="486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重大隐患简况</w:t>
            </w:r>
          </w:p>
        </w:tc>
        <w:tc>
          <w:tcPr>
            <w:tcW w:w="1518"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重大隐患整改挂牌督办文号</w:t>
            </w:r>
          </w:p>
        </w:tc>
        <w:tc>
          <w:tcPr>
            <w:tcW w:w="1013"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整治完成时限</w:t>
            </w:r>
          </w:p>
        </w:tc>
        <w:tc>
          <w:tcPr>
            <w:tcW w:w="1013"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整改落实情况</w:t>
            </w:r>
          </w:p>
        </w:tc>
        <w:tc>
          <w:tcPr>
            <w:tcW w:w="639"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524" w:type="dxa"/>
            <w:noWrap w:val="0"/>
            <w:vAlign w:val="center"/>
          </w:tcPr>
          <w:p>
            <w:pPr>
              <w:spacing w:line="300" w:lineRule="exact"/>
              <w:jc w:val="center"/>
              <w:rPr>
                <w:rFonts w:hint="eastAsia" w:ascii="仿宋_GB2312"/>
                <w:sz w:val="21"/>
                <w:szCs w:val="21"/>
              </w:rPr>
            </w:pPr>
            <w:r>
              <w:rPr>
                <w:rFonts w:hint="eastAsia" w:ascii="仿宋_GB2312"/>
                <w:sz w:val="21"/>
                <w:szCs w:val="21"/>
              </w:rPr>
              <w:t>1</w:t>
            </w:r>
          </w:p>
        </w:tc>
        <w:tc>
          <w:tcPr>
            <w:tcW w:w="1024" w:type="dxa"/>
            <w:noWrap w:val="0"/>
            <w:vAlign w:val="center"/>
          </w:tcPr>
          <w:p>
            <w:pPr>
              <w:spacing w:line="300" w:lineRule="exact"/>
              <w:rPr>
                <w:rFonts w:hint="eastAsia" w:ascii="仿宋_GB2312"/>
                <w:sz w:val="21"/>
                <w:szCs w:val="21"/>
              </w:rPr>
            </w:pPr>
          </w:p>
        </w:tc>
        <w:tc>
          <w:tcPr>
            <w:tcW w:w="2160" w:type="dxa"/>
            <w:noWrap w:val="0"/>
            <w:vAlign w:val="center"/>
          </w:tcPr>
          <w:p>
            <w:pPr>
              <w:spacing w:line="300" w:lineRule="exact"/>
              <w:rPr>
                <w:rFonts w:hint="eastAsia" w:ascii="仿宋_GB2312"/>
                <w:sz w:val="21"/>
                <w:szCs w:val="21"/>
              </w:rPr>
            </w:pPr>
          </w:p>
        </w:tc>
        <w:tc>
          <w:tcPr>
            <w:tcW w:w="901" w:type="dxa"/>
            <w:noWrap w:val="0"/>
            <w:vAlign w:val="top"/>
          </w:tcPr>
          <w:p>
            <w:pPr>
              <w:spacing w:line="300" w:lineRule="exact"/>
              <w:rPr>
                <w:rFonts w:hint="eastAsia" w:ascii="仿宋_GB2312"/>
                <w:sz w:val="21"/>
                <w:szCs w:val="21"/>
              </w:rPr>
            </w:pPr>
          </w:p>
        </w:tc>
        <w:tc>
          <w:tcPr>
            <w:tcW w:w="4860" w:type="dxa"/>
            <w:noWrap w:val="0"/>
            <w:vAlign w:val="center"/>
          </w:tcPr>
          <w:p>
            <w:pPr>
              <w:spacing w:line="300" w:lineRule="exact"/>
              <w:rPr>
                <w:rFonts w:hint="eastAsia" w:ascii="仿宋_GB2312"/>
                <w:sz w:val="21"/>
                <w:szCs w:val="21"/>
              </w:rPr>
            </w:pPr>
          </w:p>
        </w:tc>
        <w:tc>
          <w:tcPr>
            <w:tcW w:w="1518" w:type="dxa"/>
            <w:noWrap w:val="0"/>
            <w:vAlign w:val="top"/>
          </w:tcPr>
          <w:p>
            <w:pPr>
              <w:spacing w:line="300" w:lineRule="exact"/>
              <w:rPr>
                <w:rFonts w:hint="eastAsia" w:ascii="仿宋_GB2312"/>
                <w:sz w:val="21"/>
                <w:szCs w:val="21"/>
              </w:rPr>
            </w:pPr>
          </w:p>
        </w:tc>
        <w:tc>
          <w:tcPr>
            <w:tcW w:w="1013" w:type="dxa"/>
            <w:noWrap w:val="0"/>
            <w:vAlign w:val="top"/>
          </w:tcPr>
          <w:p>
            <w:pPr>
              <w:spacing w:line="300" w:lineRule="exact"/>
              <w:rPr>
                <w:rFonts w:hint="eastAsia" w:ascii="仿宋_GB2312"/>
                <w:sz w:val="21"/>
                <w:szCs w:val="21"/>
              </w:rPr>
            </w:pPr>
          </w:p>
        </w:tc>
        <w:tc>
          <w:tcPr>
            <w:tcW w:w="1013" w:type="dxa"/>
            <w:noWrap w:val="0"/>
            <w:vAlign w:val="top"/>
          </w:tcPr>
          <w:p>
            <w:pPr>
              <w:spacing w:line="300" w:lineRule="exact"/>
              <w:rPr>
                <w:rFonts w:hint="eastAsia" w:ascii="仿宋_GB2312"/>
                <w:sz w:val="21"/>
                <w:szCs w:val="21"/>
              </w:rPr>
            </w:pPr>
          </w:p>
        </w:tc>
        <w:tc>
          <w:tcPr>
            <w:tcW w:w="639"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4" w:type="dxa"/>
            <w:noWrap w:val="0"/>
            <w:vAlign w:val="center"/>
          </w:tcPr>
          <w:p>
            <w:pPr>
              <w:spacing w:line="300" w:lineRule="exact"/>
              <w:jc w:val="center"/>
              <w:rPr>
                <w:rFonts w:hint="eastAsia" w:ascii="仿宋_GB2312"/>
                <w:sz w:val="21"/>
                <w:szCs w:val="21"/>
              </w:rPr>
            </w:pPr>
            <w:r>
              <w:rPr>
                <w:rFonts w:hint="eastAsia" w:ascii="仿宋_GB2312"/>
                <w:sz w:val="21"/>
                <w:szCs w:val="21"/>
              </w:rPr>
              <w:t>2</w:t>
            </w:r>
          </w:p>
        </w:tc>
        <w:tc>
          <w:tcPr>
            <w:tcW w:w="1024" w:type="dxa"/>
            <w:noWrap w:val="0"/>
            <w:vAlign w:val="center"/>
          </w:tcPr>
          <w:p>
            <w:pPr>
              <w:spacing w:line="300" w:lineRule="exact"/>
              <w:rPr>
                <w:rFonts w:hint="eastAsia" w:ascii="仿宋_GB2312"/>
                <w:sz w:val="21"/>
                <w:szCs w:val="21"/>
              </w:rPr>
            </w:pPr>
          </w:p>
        </w:tc>
        <w:tc>
          <w:tcPr>
            <w:tcW w:w="2160" w:type="dxa"/>
            <w:noWrap w:val="0"/>
            <w:vAlign w:val="center"/>
          </w:tcPr>
          <w:p>
            <w:pPr>
              <w:spacing w:line="300" w:lineRule="exact"/>
              <w:rPr>
                <w:rFonts w:hint="eastAsia" w:ascii="仿宋_GB2312"/>
                <w:sz w:val="21"/>
                <w:szCs w:val="21"/>
              </w:rPr>
            </w:pPr>
          </w:p>
        </w:tc>
        <w:tc>
          <w:tcPr>
            <w:tcW w:w="901" w:type="dxa"/>
            <w:noWrap w:val="0"/>
            <w:vAlign w:val="top"/>
          </w:tcPr>
          <w:p>
            <w:pPr>
              <w:spacing w:line="300" w:lineRule="exact"/>
              <w:rPr>
                <w:rFonts w:hint="eastAsia" w:ascii="仿宋_GB2312"/>
                <w:sz w:val="21"/>
                <w:szCs w:val="21"/>
              </w:rPr>
            </w:pPr>
          </w:p>
        </w:tc>
        <w:tc>
          <w:tcPr>
            <w:tcW w:w="4860" w:type="dxa"/>
            <w:noWrap w:val="0"/>
            <w:vAlign w:val="center"/>
          </w:tcPr>
          <w:p>
            <w:pPr>
              <w:spacing w:line="300" w:lineRule="exact"/>
              <w:rPr>
                <w:rFonts w:hint="eastAsia" w:ascii="仿宋_GB2312"/>
                <w:sz w:val="21"/>
                <w:szCs w:val="21"/>
              </w:rPr>
            </w:pPr>
          </w:p>
        </w:tc>
        <w:tc>
          <w:tcPr>
            <w:tcW w:w="1518" w:type="dxa"/>
            <w:noWrap w:val="0"/>
            <w:vAlign w:val="top"/>
          </w:tcPr>
          <w:p>
            <w:pPr>
              <w:spacing w:line="300" w:lineRule="exact"/>
              <w:rPr>
                <w:rFonts w:hint="eastAsia" w:ascii="仿宋_GB2312"/>
                <w:sz w:val="21"/>
                <w:szCs w:val="21"/>
              </w:rPr>
            </w:pPr>
          </w:p>
        </w:tc>
        <w:tc>
          <w:tcPr>
            <w:tcW w:w="1013" w:type="dxa"/>
            <w:noWrap w:val="0"/>
            <w:vAlign w:val="top"/>
          </w:tcPr>
          <w:p>
            <w:pPr>
              <w:spacing w:line="300" w:lineRule="exact"/>
              <w:rPr>
                <w:rFonts w:hint="eastAsia" w:ascii="仿宋_GB2312"/>
                <w:sz w:val="21"/>
                <w:szCs w:val="21"/>
              </w:rPr>
            </w:pPr>
          </w:p>
        </w:tc>
        <w:tc>
          <w:tcPr>
            <w:tcW w:w="1013" w:type="dxa"/>
            <w:noWrap w:val="0"/>
            <w:vAlign w:val="top"/>
          </w:tcPr>
          <w:p>
            <w:pPr>
              <w:spacing w:line="300" w:lineRule="exact"/>
              <w:rPr>
                <w:rFonts w:hint="eastAsia" w:ascii="仿宋_GB2312"/>
                <w:sz w:val="21"/>
                <w:szCs w:val="21"/>
              </w:rPr>
            </w:pPr>
          </w:p>
        </w:tc>
        <w:tc>
          <w:tcPr>
            <w:tcW w:w="639"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4" w:type="dxa"/>
            <w:noWrap w:val="0"/>
            <w:vAlign w:val="center"/>
          </w:tcPr>
          <w:p>
            <w:pPr>
              <w:spacing w:line="300" w:lineRule="exact"/>
              <w:jc w:val="center"/>
              <w:rPr>
                <w:rFonts w:hint="eastAsia" w:ascii="仿宋_GB2312"/>
                <w:sz w:val="21"/>
                <w:szCs w:val="21"/>
              </w:rPr>
            </w:pPr>
            <w:r>
              <w:rPr>
                <w:rFonts w:hint="eastAsia" w:ascii="仿宋_GB2312"/>
                <w:sz w:val="21"/>
                <w:szCs w:val="21"/>
              </w:rPr>
              <w:t>…</w:t>
            </w:r>
          </w:p>
        </w:tc>
        <w:tc>
          <w:tcPr>
            <w:tcW w:w="1024" w:type="dxa"/>
            <w:noWrap w:val="0"/>
            <w:vAlign w:val="center"/>
          </w:tcPr>
          <w:p>
            <w:pPr>
              <w:spacing w:line="300" w:lineRule="exact"/>
              <w:rPr>
                <w:rFonts w:hint="eastAsia" w:ascii="仿宋_GB2312"/>
                <w:sz w:val="21"/>
                <w:szCs w:val="21"/>
              </w:rPr>
            </w:pPr>
          </w:p>
        </w:tc>
        <w:tc>
          <w:tcPr>
            <w:tcW w:w="2160" w:type="dxa"/>
            <w:noWrap w:val="0"/>
            <w:vAlign w:val="center"/>
          </w:tcPr>
          <w:p>
            <w:pPr>
              <w:spacing w:line="300" w:lineRule="exact"/>
              <w:rPr>
                <w:rFonts w:hint="eastAsia" w:ascii="仿宋_GB2312"/>
                <w:sz w:val="21"/>
                <w:szCs w:val="21"/>
              </w:rPr>
            </w:pPr>
          </w:p>
        </w:tc>
        <w:tc>
          <w:tcPr>
            <w:tcW w:w="901" w:type="dxa"/>
            <w:noWrap w:val="0"/>
            <w:vAlign w:val="top"/>
          </w:tcPr>
          <w:p>
            <w:pPr>
              <w:spacing w:line="300" w:lineRule="exact"/>
              <w:rPr>
                <w:rFonts w:hint="eastAsia" w:ascii="仿宋_GB2312"/>
                <w:sz w:val="21"/>
                <w:szCs w:val="21"/>
              </w:rPr>
            </w:pPr>
          </w:p>
        </w:tc>
        <w:tc>
          <w:tcPr>
            <w:tcW w:w="4860" w:type="dxa"/>
            <w:noWrap w:val="0"/>
            <w:vAlign w:val="center"/>
          </w:tcPr>
          <w:p>
            <w:pPr>
              <w:spacing w:line="300" w:lineRule="exact"/>
              <w:rPr>
                <w:rFonts w:hint="eastAsia" w:ascii="仿宋_GB2312"/>
                <w:sz w:val="21"/>
                <w:szCs w:val="21"/>
              </w:rPr>
            </w:pPr>
          </w:p>
        </w:tc>
        <w:tc>
          <w:tcPr>
            <w:tcW w:w="1518" w:type="dxa"/>
            <w:noWrap w:val="0"/>
            <w:vAlign w:val="top"/>
          </w:tcPr>
          <w:p>
            <w:pPr>
              <w:spacing w:line="300" w:lineRule="exact"/>
              <w:rPr>
                <w:rFonts w:hint="eastAsia" w:ascii="仿宋_GB2312"/>
                <w:sz w:val="21"/>
                <w:szCs w:val="21"/>
              </w:rPr>
            </w:pPr>
          </w:p>
        </w:tc>
        <w:tc>
          <w:tcPr>
            <w:tcW w:w="1013" w:type="dxa"/>
            <w:noWrap w:val="0"/>
            <w:vAlign w:val="top"/>
          </w:tcPr>
          <w:p>
            <w:pPr>
              <w:spacing w:line="300" w:lineRule="exact"/>
              <w:rPr>
                <w:rFonts w:hint="eastAsia" w:ascii="仿宋_GB2312"/>
                <w:sz w:val="21"/>
                <w:szCs w:val="21"/>
              </w:rPr>
            </w:pPr>
          </w:p>
        </w:tc>
        <w:tc>
          <w:tcPr>
            <w:tcW w:w="1013" w:type="dxa"/>
            <w:noWrap w:val="0"/>
            <w:vAlign w:val="top"/>
          </w:tcPr>
          <w:p>
            <w:pPr>
              <w:spacing w:line="300" w:lineRule="exact"/>
              <w:rPr>
                <w:rFonts w:hint="eastAsia" w:ascii="仿宋_GB2312"/>
                <w:sz w:val="21"/>
                <w:szCs w:val="21"/>
              </w:rPr>
            </w:pPr>
          </w:p>
        </w:tc>
        <w:tc>
          <w:tcPr>
            <w:tcW w:w="639" w:type="dxa"/>
            <w:noWrap w:val="0"/>
            <w:vAlign w:val="top"/>
          </w:tcPr>
          <w:p>
            <w:pPr>
              <w:spacing w:line="300" w:lineRule="exact"/>
              <w:jc w:val="center"/>
              <w:rPr>
                <w:rFonts w:hint="eastAsia" w:ascii="仿宋_GB2312"/>
                <w:sz w:val="21"/>
                <w:szCs w:val="21"/>
              </w:rPr>
            </w:pPr>
          </w:p>
        </w:tc>
      </w:tr>
    </w:tbl>
    <w:p/>
    <w:p>
      <w:pPr>
        <w:rPr>
          <w:rFonts w:hint="eastAsia" w:ascii="仿宋_GB2312" w:hAnsi="宋体" w:eastAsia="仿宋_GB2312" w:cs="宋体"/>
          <w:kern w:val="0"/>
        </w:rPr>
      </w:pPr>
      <w:r>
        <w:rPr>
          <w:rFonts w:hint="eastAsia" w:ascii="仿宋_GB2312" w:hAnsi="宋体" w:eastAsia="仿宋_GB2312" w:cs="宋体"/>
          <w:kern w:val="0"/>
        </w:rPr>
        <w:t>填报人：              联系电话：                         填报日期：2019年4月   日</w:t>
      </w:r>
    </w:p>
    <w:p>
      <w:pPr>
        <w:rPr>
          <w:rFonts w:hint="eastAsia" w:ascii="仿宋_GB2312" w:hAnsi="宋体" w:eastAsia="仿宋_GB2312" w:cs="宋体"/>
          <w:kern w:val="0"/>
        </w:rPr>
      </w:pPr>
    </w:p>
    <w:p>
      <w:pPr>
        <w:rPr>
          <w:rFonts w:hint="eastAsia" w:ascii="仿宋_GB2312" w:hAnsi="宋体" w:cs="宋体"/>
          <w:kern w:val="0"/>
        </w:rPr>
      </w:pPr>
      <w:r>
        <w:rPr>
          <w:rFonts w:hint="eastAsia" w:ascii="仿宋_GB2312" w:hAnsi="宋体" w:eastAsia="仿宋_GB2312" w:cs="宋体"/>
          <w:kern w:val="0"/>
        </w:rPr>
        <w:t>说明：行业领域填写危险化学品、煤矿、非煤矿山、消防、其它共五类</w:t>
      </w:r>
      <w:r>
        <w:rPr>
          <w:rFonts w:hint="eastAsia" w:ascii="仿宋_GB2312" w:hAnsi="宋体" w:cs="宋体"/>
          <w:kern w:val="0"/>
        </w:rPr>
        <w:t>。</w:t>
      </w:r>
    </w:p>
    <w:p>
      <w:pPr>
        <w:rPr>
          <w:rFonts w:hint="eastAsia" w:ascii="宋体" w:hAnsi="宋体" w:cs="宋体"/>
          <w:kern w:val="0"/>
          <w:sz w:val="20"/>
          <w:szCs w:val="20"/>
        </w:rPr>
      </w:pPr>
    </w:p>
    <w:p>
      <w:pPr>
        <w:rPr>
          <w:rFonts w:hint="eastAsia" w:ascii="黑体" w:hAnsi="黑体" w:eastAsia="黑体"/>
        </w:rPr>
      </w:pPr>
      <w:r>
        <w:rPr>
          <w:rFonts w:hint="eastAsia" w:ascii="黑体" w:hAnsi="黑体" w:eastAsia="黑体"/>
        </w:rPr>
        <w:t>附件7</w:t>
      </w: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关闭取缔单位情况表</w:t>
      </w:r>
    </w:p>
    <w:p>
      <w:pPr>
        <w:spacing w:line="600" w:lineRule="exact"/>
        <w:rPr>
          <w:rFonts w:hint="eastAsia" w:ascii="仿宋_GB2312" w:hAnsi="仿宋" w:cs="宋体"/>
          <w:kern w:val="0"/>
          <w:sz w:val="28"/>
          <w:szCs w:val="28"/>
        </w:rPr>
      </w:pPr>
    </w:p>
    <w:p>
      <w:pPr>
        <w:spacing w:line="600" w:lineRule="exact"/>
        <w:rPr>
          <w:rFonts w:hint="eastAsia" w:ascii="方正小标宋简体" w:eastAsia="方正小标宋简体"/>
          <w:sz w:val="44"/>
          <w:szCs w:val="44"/>
        </w:rPr>
      </w:pPr>
      <w:r>
        <w:rPr>
          <w:rFonts w:hint="eastAsia" w:ascii="仿宋_GB2312" w:hAnsi="仿宋" w:cs="宋体"/>
          <w:kern w:val="0"/>
          <w:sz w:val="28"/>
          <w:szCs w:val="28"/>
        </w:rPr>
        <w:t>填报单位（加盖公章）：</w:t>
      </w:r>
    </w:p>
    <w:tbl>
      <w:tblPr>
        <w:tblStyle w:val="4"/>
        <w:tblW w:w="13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024"/>
        <w:gridCol w:w="2359"/>
        <w:gridCol w:w="913"/>
        <w:gridCol w:w="6080"/>
        <w:gridCol w:w="162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序号</w:t>
            </w:r>
          </w:p>
        </w:tc>
        <w:tc>
          <w:tcPr>
            <w:tcW w:w="1024"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所在地区（市、县）</w:t>
            </w:r>
          </w:p>
        </w:tc>
        <w:tc>
          <w:tcPr>
            <w:tcW w:w="2359"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被关闭取缔的单位名称</w:t>
            </w:r>
          </w:p>
        </w:tc>
        <w:tc>
          <w:tcPr>
            <w:tcW w:w="913"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行业</w:t>
            </w:r>
          </w:p>
          <w:p>
            <w:pPr>
              <w:spacing w:line="300" w:lineRule="exact"/>
              <w:jc w:val="center"/>
              <w:rPr>
                <w:rFonts w:hint="eastAsia" w:ascii="黑体" w:hAnsi="黑体" w:eastAsia="黑体"/>
                <w:sz w:val="21"/>
                <w:szCs w:val="21"/>
              </w:rPr>
            </w:pPr>
            <w:r>
              <w:rPr>
                <w:rFonts w:hint="eastAsia" w:ascii="黑体" w:hAnsi="黑体" w:eastAsia="黑体"/>
                <w:sz w:val="21"/>
                <w:szCs w:val="21"/>
              </w:rPr>
              <w:t>领域</w:t>
            </w:r>
          </w:p>
        </w:tc>
        <w:tc>
          <w:tcPr>
            <w:tcW w:w="608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被关闭取缔单位的地址</w:t>
            </w:r>
          </w:p>
        </w:tc>
        <w:tc>
          <w:tcPr>
            <w:tcW w:w="1627"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关闭取缔时间</w:t>
            </w:r>
          </w:p>
        </w:tc>
        <w:tc>
          <w:tcPr>
            <w:tcW w:w="90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525" w:type="dxa"/>
            <w:noWrap w:val="0"/>
            <w:vAlign w:val="center"/>
          </w:tcPr>
          <w:p>
            <w:pPr>
              <w:spacing w:line="300" w:lineRule="exact"/>
              <w:jc w:val="center"/>
              <w:rPr>
                <w:rFonts w:hint="eastAsia" w:ascii="仿宋_GB2312"/>
                <w:sz w:val="21"/>
                <w:szCs w:val="21"/>
              </w:rPr>
            </w:pPr>
            <w:r>
              <w:rPr>
                <w:rFonts w:hint="eastAsia" w:ascii="仿宋_GB2312"/>
                <w:sz w:val="21"/>
                <w:szCs w:val="21"/>
              </w:rPr>
              <w:t>1</w:t>
            </w:r>
          </w:p>
        </w:tc>
        <w:tc>
          <w:tcPr>
            <w:tcW w:w="1024" w:type="dxa"/>
            <w:noWrap w:val="0"/>
            <w:vAlign w:val="center"/>
          </w:tcPr>
          <w:p>
            <w:pPr>
              <w:spacing w:line="300" w:lineRule="exact"/>
              <w:rPr>
                <w:rFonts w:hint="eastAsia" w:ascii="仿宋_GB2312"/>
                <w:sz w:val="21"/>
                <w:szCs w:val="21"/>
              </w:rPr>
            </w:pPr>
          </w:p>
        </w:tc>
        <w:tc>
          <w:tcPr>
            <w:tcW w:w="2359" w:type="dxa"/>
            <w:noWrap w:val="0"/>
            <w:vAlign w:val="center"/>
          </w:tcPr>
          <w:p>
            <w:pPr>
              <w:spacing w:line="300" w:lineRule="exact"/>
              <w:rPr>
                <w:rFonts w:hint="eastAsia" w:ascii="仿宋_GB2312"/>
                <w:sz w:val="21"/>
                <w:szCs w:val="21"/>
              </w:rPr>
            </w:pPr>
          </w:p>
        </w:tc>
        <w:tc>
          <w:tcPr>
            <w:tcW w:w="913" w:type="dxa"/>
            <w:noWrap w:val="0"/>
            <w:vAlign w:val="top"/>
          </w:tcPr>
          <w:p>
            <w:pPr>
              <w:spacing w:line="300" w:lineRule="exact"/>
              <w:rPr>
                <w:rFonts w:hint="eastAsia" w:ascii="仿宋_GB2312"/>
                <w:sz w:val="21"/>
                <w:szCs w:val="21"/>
              </w:rPr>
            </w:pPr>
          </w:p>
        </w:tc>
        <w:tc>
          <w:tcPr>
            <w:tcW w:w="6080" w:type="dxa"/>
            <w:noWrap w:val="0"/>
            <w:vAlign w:val="center"/>
          </w:tcPr>
          <w:p>
            <w:pPr>
              <w:spacing w:line="300" w:lineRule="exact"/>
              <w:rPr>
                <w:rFonts w:hint="eastAsia" w:ascii="仿宋_GB2312"/>
                <w:sz w:val="21"/>
                <w:szCs w:val="21"/>
              </w:rPr>
            </w:pPr>
          </w:p>
        </w:tc>
        <w:tc>
          <w:tcPr>
            <w:tcW w:w="1627"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5" w:type="dxa"/>
            <w:noWrap w:val="0"/>
            <w:vAlign w:val="center"/>
          </w:tcPr>
          <w:p>
            <w:pPr>
              <w:spacing w:line="300" w:lineRule="exact"/>
              <w:jc w:val="center"/>
              <w:rPr>
                <w:rFonts w:hint="eastAsia" w:ascii="仿宋_GB2312"/>
                <w:sz w:val="21"/>
                <w:szCs w:val="21"/>
              </w:rPr>
            </w:pPr>
            <w:r>
              <w:rPr>
                <w:rFonts w:hint="eastAsia" w:ascii="仿宋_GB2312"/>
                <w:sz w:val="21"/>
                <w:szCs w:val="21"/>
              </w:rPr>
              <w:t>2</w:t>
            </w:r>
          </w:p>
        </w:tc>
        <w:tc>
          <w:tcPr>
            <w:tcW w:w="1024" w:type="dxa"/>
            <w:noWrap w:val="0"/>
            <w:vAlign w:val="center"/>
          </w:tcPr>
          <w:p>
            <w:pPr>
              <w:spacing w:line="300" w:lineRule="exact"/>
              <w:rPr>
                <w:rFonts w:hint="eastAsia" w:ascii="仿宋_GB2312"/>
                <w:sz w:val="21"/>
                <w:szCs w:val="21"/>
              </w:rPr>
            </w:pPr>
          </w:p>
        </w:tc>
        <w:tc>
          <w:tcPr>
            <w:tcW w:w="2359" w:type="dxa"/>
            <w:noWrap w:val="0"/>
            <w:vAlign w:val="center"/>
          </w:tcPr>
          <w:p>
            <w:pPr>
              <w:spacing w:line="300" w:lineRule="exact"/>
              <w:rPr>
                <w:rFonts w:hint="eastAsia" w:ascii="仿宋_GB2312"/>
                <w:sz w:val="21"/>
                <w:szCs w:val="21"/>
              </w:rPr>
            </w:pPr>
          </w:p>
        </w:tc>
        <w:tc>
          <w:tcPr>
            <w:tcW w:w="913" w:type="dxa"/>
            <w:noWrap w:val="0"/>
            <w:vAlign w:val="top"/>
          </w:tcPr>
          <w:p>
            <w:pPr>
              <w:spacing w:line="300" w:lineRule="exact"/>
              <w:rPr>
                <w:rFonts w:hint="eastAsia" w:ascii="仿宋_GB2312"/>
                <w:sz w:val="21"/>
                <w:szCs w:val="21"/>
              </w:rPr>
            </w:pPr>
          </w:p>
        </w:tc>
        <w:tc>
          <w:tcPr>
            <w:tcW w:w="6080" w:type="dxa"/>
            <w:noWrap w:val="0"/>
            <w:vAlign w:val="center"/>
          </w:tcPr>
          <w:p>
            <w:pPr>
              <w:spacing w:line="300" w:lineRule="exact"/>
              <w:rPr>
                <w:rFonts w:hint="eastAsia" w:ascii="仿宋_GB2312"/>
                <w:sz w:val="21"/>
                <w:szCs w:val="21"/>
              </w:rPr>
            </w:pPr>
          </w:p>
        </w:tc>
        <w:tc>
          <w:tcPr>
            <w:tcW w:w="1627"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5" w:type="dxa"/>
            <w:noWrap w:val="0"/>
            <w:vAlign w:val="center"/>
          </w:tcPr>
          <w:p>
            <w:pPr>
              <w:spacing w:line="300" w:lineRule="exact"/>
              <w:jc w:val="center"/>
              <w:rPr>
                <w:rFonts w:hint="eastAsia" w:ascii="仿宋_GB2312"/>
                <w:sz w:val="21"/>
                <w:szCs w:val="21"/>
              </w:rPr>
            </w:pPr>
            <w:r>
              <w:rPr>
                <w:rFonts w:hint="eastAsia" w:ascii="仿宋_GB2312"/>
                <w:sz w:val="21"/>
                <w:szCs w:val="21"/>
              </w:rPr>
              <w:t>…</w:t>
            </w:r>
          </w:p>
        </w:tc>
        <w:tc>
          <w:tcPr>
            <w:tcW w:w="1024" w:type="dxa"/>
            <w:noWrap w:val="0"/>
            <w:vAlign w:val="center"/>
          </w:tcPr>
          <w:p>
            <w:pPr>
              <w:spacing w:line="300" w:lineRule="exact"/>
              <w:rPr>
                <w:rFonts w:hint="eastAsia" w:ascii="仿宋_GB2312"/>
                <w:sz w:val="21"/>
                <w:szCs w:val="21"/>
              </w:rPr>
            </w:pPr>
          </w:p>
        </w:tc>
        <w:tc>
          <w:tcPr>
            <w:tcW w:w="2359" w:type="dxa"/>
            <w:noWrap w:val="0"/>
            <w:vAlign w:val="center"/>
          </w:tcPr>
          <w:p>
            <w:pPr>
              <w:spacing w:line="300" w:lineRule="exact"/>
              <w:rPr>
                <w:rFonts w:hint="eastAsia" w:ascii="仿宋_GB2312"/>
                <w:sz w:val="21"/>
                <w:szCs w:val="21"/>
              </w:rPr>
            </w:pPr>
          </w:p>
        </w:tc>
        <w:tc>
          <w:tcPr>
            <w:tcW w:w="913" w:type="dxa"/>
            <w:noWrap w:val="0"/>
            <w:vAlign w:val="top"/>
          </w:tcPr>
          <w:p>
            <w:pPr>
              <w:spacing w:line="300" w:lineRule="exact"/>
              <w:rPr>
                <w:rFonts w:hint="eastAsia" w:ascii="仿宋_GB2312"/>
                <w:sz w:val="21"/>
                <w:szCs w:val="21"/>
              </w:rPr>
            </w:pPr>
          </w:p>
        </w:tc>
        <w:tc>
          <w:tcPr>
            <w:tcW w:w="6080" w:type="dxa"/>
            <w:noWrap w:val="0"/>
            <w:vAlign w:val="center"/>
          </w:tcPr>
          <w:p>
            <w:pPr>
              <w:spacing w:line="300" w:lineRule="exact"/>
              <w:rPr>
                <w:rFonts w:hint="eastAsia" w:ascii="仿宋_GB2312"/>
                <w:sz w:val="21"/>
                <w:szCs w:val="21"/>
              </w:rPr>
            </w:pPr>
          </w:p>
        </w:tc>
        <w:tc>
          <w:tcPr>
            <w:tcW w:w="1627"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bl>
    <w:p/>
    <w:p>
      <w:pPr>
        <w:rPr>
          <w:rFonts w:hint="eastAsia" w:ascii="仿宋_GB2312" w:hAnsi="宋体" w:eastAsia="仿宋_GB2312" w:cs="宋体"/>
          <w:kern w:val="0"/>
        </w:rPr>
      </w:pPr>
      <w:r>
        <w:rPr>
          <w:rFonts w:hint="eastAsia" w:ascii="仿宋_GB2312" w:hAnsi="宋体" w:eastAsia="仿宋_GB2312" w:cs="宋体"/>
          <w:kern w:val="0"/>
        </w:rPr>
        <w:t>填报人：              联系电话：                         填报日期：2019年4月   日</w:t>
      </w:r>
    </w:p>
    <w:p>
      <w:pPr>
        <w:rPr>
          <w:rFonts w:hint="eastAsia" w:ascii="仿宋_GB2312" w:hAnsi="宋体" w:eastAsia="仿宋_GB2312" w:cs="宋体"/>
          <w:kern w:val="0"/>
        </w:rPr>
      </w:pPr>
    </w:p>
    <w:p>
      <w:pPr>
        <w:rPr>
          <w:rFonts w:hint="eastAsia" w:ascii="仿宋_GB2312" w:hAnsi="宋体" w:eastAsia="仿宋_GB2312" w:cs="宋体"/>
          <w:kern w:val="0"/>
        </w:rPr>
      </w:pPr>
      <w:r>
        <w:rPr>
          <w:rFonts w:hint="eastAsia" w:ascii="仿宋_GB2312" w:hAnsi="宋体" w:eastAsia="仿宋_GB2312" w:cs="宋体"/>
          <w:kern w:val="0"/>
        </w:rPr>
        <w:t>说明：行业领域填写危险化学品、煤矿、非煤矿山、消防、其它共五类。</w:t>
      </w:r>
    </w:p>
    <w:p>
      <w:pPr>
        <w:rPr>
          <w:rFonts w:hint="eastAsia" w:ascii="黑体" w:hAnsi="黑体" w:eastAsia="黑体"/>
        </w:rPr>
      </w:pPr>
      <w:r>
        <w:rPr>
          <w:rFonts w:hint="eastAsia" w:ascii="黑体" w:hAnsi="黑体" w:eastAsia="黑体"/>
        </w:rPr>
        <w:t>附件8</w:t>
      </w:r>
    </w:p>
    <w:p>
      <w:pPr>
        <w:spacing w:line="600" w:lineRule="exact"/>
        <w:jc w:val="center"/>
        <w:rPr>
          <w:rFonts w:hint="eastAsia" w:ascii="方正小标宋简体" w:eastAsia="方正小标宋简体"/>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停产整顿单位情况表</w:t>
      </w:r>
    </w:p>
    <w:p>
      <w:pPr>
        <w:spacing w:line="600" w:lineRule="exact"/>
        <w:rPr>
          <w:rFonts w:hint="eastAsia" w:ascii="仿宋_GB2312" w:hAnsi="仿宋" w:cs="宋体"/>
          <w:kern w:val="0"/>
          <w:sz w:val="28"/>
          <w:szCs w:val="28"/>
        </w:rPr>
      </w:pPr>
    </w:p>
    <w:p>
      <w:pPr>
        <w:spacing w:line="600" w:lineRule="exact"/>
        <w:rPr>
          <w:rFonts w:ascii="方正小标宋简体" w:eastAsia="方正小标宋简体"/>
          <w:sz w:val="44"/>
          <w:szCs w:val="44"/>
        </w:rPr>
      </w:pPr>
      <w:r>
        <w:rPr>
          <w:rFonts w:hint="eastAsia" w:ascii="仿宋_GB2312" w:hAnsi="仿宋" w:cs="宋体"/>
          <w:kern w:val="0"/>
          <w:sz w:val="28"/>
          <w:szCs w:val="28"/>
        </w:rPr>
        <w:t>填报单位（加盖公章）：</w:t>
      </w:r>
    </w:p>
    <w:tbl>
      <w:tblPr>
        <w:tblStyle w:val="4"/>
        <w:tblW w:w="13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023"/>
        <w:gridCol w:w="2366"/>
        <w:gridCol w:w="910"/>
        <w:gridCol w:w="4643"/>
        <w:gridCol w:w="1805"/>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序号</w:t>
            </w:r>
          </w:p>
        </w:tc>
        <w:tc>
          <w:tcPr>
            <w:tcW w:w="1023"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所在地区（市、县）</w:t>
            </w:r>
          </w:p>
        </w:tc>
        <w:tc>
          <w:tcPr>
            <w:tcW w:w="2366"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被停产整顿的单位名称</w:t>
            </w:r>
          </w:p>
        </w:tc>
        <w:tc>
          <w:tcPr>
            <w:tcW w:w="91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行业</w:t>
            </w:r>
          </w:p>
          <w:p>
            <w:pPr>
              <w:spacing w:line="300" w:lineRule="exact"/>
              <w:jc w:val="center"/>
              <w:rPr>
                <w:rFonts w:hint="eastAsia" w:ascii="黑体" w:hAnsi="黑体" w:eastAsia="黑体"/>
                <w:sz w:val="21"/>
                <w:szCs w:val="21"/>
              </w:rPr>
            </w:pPr>
            <w:r>
              <w:rPr>
                <w:rFonts w:hint="eastAsia" w:ascii="黑体" w:hAnsi="黑体" w:eastAsia="黑体"/>
                <w:sz w:val="21"/>
                <w:szCs w:val="21"/>
              </w:rPr>
              <w:t>领域</w:t>
            </w:r>
          </w:p>
        </w:tc>
        <w:tc>
          <w:tcPr>
            <w:tcW w:w="4643"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存在的主要问题</w:t>
            </w:r>
          </w:p>
        </w:tc>
        <w:tc>
          <w:tcPr>
            <w:tcW w:w="1805"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责令停产整顿的执法文字编号</w:t>
            </w:r>
          </w:p>
        </w:tc>
        <w:tc>
          <w:tcPr>
            <w:tcW w:w="126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停产整顿时限</w:t>
            </w:r>
          </w:p>
        </w:tc>
        <w:tc>
          <w:tcPr>
            <w:tcW w:w="90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521" w:type="dxa"/>
            <w:noWrap w:val="0"/>
            <w:vAlign w:val="center"/>
          </w:tcPr>
          <w:p>
            <w:pPr>
              <w:spacing w:line="300" w:lineRule="exact"/>
              <w:jc w:val="center"/>
              <w:rPr>
                <w:rFonts w:hint="eastAsia" w:ascii="仿宋_GB2312"/>
                <w:sz w:val="21"/>
                <w:szCs w:val="21"/>
              </w:rPr>
            </w:pPr>
            <w:r>
              <w:rPr>
                <w:rFonts w:hint="eastAsia" w:ascii="仿宋_GB2312"/>
                <w:sz w:val="21"/>
                <w:szCs w:val="21"/>
              </w:rPr>
              <w:t>1</w:t>
            </w:r>
          </w:p>
        </w:tc>
        <w:tc>
          <w:tcPr>
            <w:tcW w:w="1023" w:type="dxa"/>
            <w:noWrap w:val="0"/>
            <w:vAlign w:val="center"/>
          </w:tcPr>
          <w:p>
            <w:pPr>
              <w:spacing w:line="300" w:lineRule="exact"/>
              <w:rPr>
                <w:rFonts w:hint="eastAsia" w:ascii="仿宋_GB2312"/>
                <w:sz w:val="21"/>
                <w:szCs w:val="21"/>
              </w:rPr>
            </w:pPr>
          </w:p>
        </w:tc>
        <w:tc>
          <w:tcPr>
            <w:tcW w:w="2366" w:type="dxa"/>
            <w:noWrap w:val="0"/>
            <w:vAlign w:val="center"/>
          </w:tcPr>
          <w:p>
            <w:pPr>
              <w:spacing w:line="300" w:lineRule="exact"/>
              <w:rPr>
                <w:rFonts w:hint="eastAsia" w:ascii="仿宋_GB2312"/>
                <w:sz w:val="21"/>
                <w:szCs w:val="21"/>
              </w:rPr>
            </w:pPr>
          </w:p>
        </w:tc>
        <w:tc>
          <w:tcPr>
            <w:tcW w:w="910" w:type="dxa"/>
            <w:noWrap w:val="0"/>
            <w:vAlign w:val="top"/>
          </w:tcPr>
          <w:p>
            <w:pPr>
              <w:spacing w:line="300" w:lineRule="exact"/>
              <w:rPr>
                <w:rFonts w:hint="eastAsia" w:ascii="仿宋_GB2312"/>
                <w:sz w:val="21"/>
                <w:szCs w:val="21"/>
              </w:rPr>
            </w:pPr>
          </w:p>
        </w:tc>
        <w:tc>
          <w:tcPr>
            <w:tcW w:w="4643" w:type="dxa"/>
            <w:noWrap w:val="0"/>
            <w:vAlign w:val="center"/>
          </w:tcPr>
          <w:p>
            <w:pPr>
              <w:spacing w:line="300" w:lineRule="exact"/>
              <w:rPr>
                <w:rFonts w:hint="eastAsia" w:ascii="仿宋_GB2312"/>
                <w:sz w:val="21"/>
                <w:szCs w:val="21"/>
              </w:rPr>
            </w:pPr>
          </w:p>
        </w:tc>
        <w:tc>
          <w:tcPr>
            <w:tcW w:w="1805" w:type="dxa"/>
            <w:noWrap w:val="0"/>
            <w:vAlign w:val="top"/>
          </w:tcPr>
          <w:p>
            <w:pPr>
              <w:spacing w:line="300" w:lineRule="exact"/>
              <w:rPr>
                <w:rFonts w:hint="eastAsia" w:ascii="仿宋_GB2312"/>
                <w:sz w:val="21"/>
                <w:szCs w:val="21"/>
              </w:rPr>
            </w:pPr>
          </w:p>
        </w:tc>
        <w:tc>
          <w:tcPr>
            <w:tcW w:w="1260"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1" w:type="dxa"/>
            <w:noWrap w:val="0"/>
            <w:vAlign w:val="center"/>
          </w:tcPr>
          <w:p>
            <w:pPr>
              <w:spacing w:line="300" w:lineRule="exact"/>
              <w:jc w:val="center"/>
              <w:rPr>
                <w:rFonts w:hint="eastAsia" w:ascii="仿宋_GB2312"/>
                <w:sz w:val="21"/>
                <w:szCs w:val="21"/>
              </w:rPr>
            </w:pPr>
            <w:r>
              <w:rPr>
                <w:rFonts w:hint="eastAsia" w:ascii="仿宋_GB2312"/>
                <w:sz w:val="21"/>
                <w:szCs w:val="21"/>
              </w:rPr>
              <w:t>2</w:t>
            </w:r>
          </w:p>
        </w:tc>
        <w:tc>
          <w:tcPr>
            <w:tcW w:w="1023" w:type="dxa"/>
            <w:noWrap w:val="0"/>
            <w:vAlign w:val="center"/>
          </w:tcPr>
          <w:p>
            <w:pPr>
              <w:spacing w:line="300" w:lineRule="exact"/>
              <w:rPr>
                <w:rFonts w:hint="eastAsia" w:ascii="仿宋_GB2312"/>
                <w:sz w:val="21"/>
                <w:szCs w:val="21"/>
              </w:rPr>
            </w:pPr>
          </w:p>
        </w:tc>
        <w:tc>
          <w:tcPr>
            <w:tcW w:w="2366" w:type="dxa"/>
            <w:noWrap w:val="0"/>
            <w:vAlign w:val="center"/>
          </w:tcPr>
          <w:p>
            <w:pPr>
              <w:spacing w:line="300" w:lineRule="exact"/>
              <w:rPr>
                <w:rFonts w:hint="eastAsia" w:ascii="仿宋_GB2312"/>
                <w:sz w:val="21"/>
                <w:szCs w:val="21"/>
              </w:rPr>
            </w:pPr>
          </w:p>
        </w:tc>
        <w:tc>
          <w:tcPr>
            <w:tcW w:w="910" w:type="dxa"/>
            <w:noWrap w:val="0"/>
            <w:vAlign w:val="top"/>
          </w:tcPr>
          <w:p>
            <w:pPr>
              <w:spacing w:line="300" w:lineRule="exact"/>
              <w:rPr>
                <w:rFonts w:hint="eastAsia" w:ascii="仿宋_GB2312"/>
                <w:sz w:val="21"/>
                <w:szCs w:val="21"/>
              </w:rPr>
            </w:pPr>
          </w:p>
        </w:tc>
        <w:tc>
          <w:tcPr>
            <w:tcW w:w="4643" w:type="dxa"/>
            <w:noWrap w:val="0"/>
            <w:vAlign w:val="center"/>
          </w:tcPr>
          <w:p>
            <w:pPr>
              <w:spacing w:line="300" w:lineRule="exact"/>
              <w:rPr>
                <w:rFonts w:hint="eastAsia" w:ascii="仿宋_GB2312"/>
                <w:sz w:val="21"/>
                <w:szCs w:val="21"/>
              </w:rPr>
            </w:pPr>
          </w:p>
        </w:tc>
        <w:tc>
          <w:tcPr>
            <w:tcW w:w="1805" w:type="dxa"/>
            <w:noWrap w:val="0"/>
            <w:vAlign w:val="top"/>
          </w:tcPr>
          <w:p>
            <w:pPr>
              <w:spacing w:line="300" w:lineRule="exact"/>
              <w:rPr>
                <w:rFonts w:hint="eastAsia" w:ascii="仿宋_GB2312"/>
                <w:sz w:val="21"/>
                <w:szCs w:val="21"/>
              </w:rPr>
            </w:pPr>
          </w:p>
        </w:tc>
        <w:tc>
          <w:tcPr>
            <w:tcW w:w="1260"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1" w:type="dxa"/>
            <w:noWrap w:val="0"/>
            <w:vAlign w:val="center"/>
          </w:tcPr>
          <w:p>
            <w:pPr>
              <w:spacing w:line="300" w:lineRule="exact"/>
              <w:jc w:val="center"/>
              <w:rPr>
                <w:rFonts w:hint="eastAsia" w:ascii="仿宋_GB2312"/>
                <w:sz w:val="21"/>
                <w:szCs w:val="21"/>
              </w:rPr>
            </w:pPr>
            <w:r>
              <w:rPr>
                <w:rFonts w:hint="eastAsia" w:ascii="仿宋_GB2312"/>
                <w:sz w:val="21"/>
                <w:szCs w:val="21"/>
              </w:rPr>
              <w:t>…</w:t>
            </w:r>
          </w:p>
        </w:tc>
        <w:tc>
          <w:tcPr>
            <w:tcW w:w="1023" w:type="dxa"/>
            <w:noWrap w:val="0"/>
            <w:vAlign w:val="center"/>
          </w:tcPr>
          <w:p>
            <w:pPr>
              <w:spacing w:line="300" w:lineRule="exact"/>
              <w:rPr>
                <w:rFonts w:hint="eastAsia" w:ascii="仿宋_GB2312"/>
                <w:sz w:val="21"/>
                <w:szCs w:val="21"/>
              </w:rPr>
            </w:pPr>
          </w:p>
        </w:tc>
        <w:tc>
          <w:tcPr>
            <w:tcW w:w="2366" w:type="dxa"/>
            <w:noWrap w:val="0"/>
            <w:vAlign w:val="center"/>
          </w:tcPr>
          <w:p>
            <w:pPr>
              <w:spacing w:line="300" w:lineRule="exact"/>
              <w:rPr>
                <w:rFonts w:hint="eastAsia" w:ascii="仿宋_GB2312"/>
                <w:sz w:val="21"/>
                <w:szCs w:val="21"/>
              </w:rPr>
            </w:pPr>
          </w:p>
        </w:tc>
        <w:tc>
          <w:tcPr>
            <w:tcW w:w="910" w:type="dxa"/>
            <w:noWrap w:val="0"/>
            <w:vAlign w:val="top"/>
          </w:tcPr>
          <w:p>
            <w:pPr>
              <w:spacing w:line="300" w:lineRule="exact"/>
              <w:rPr>
                <w:rFonts w:hint="eastAsia" w:ascii="仿宋_GB2312"/>
                <w:sz w:val="21"/>
                <w:szCs w:val="21"/>
              </w:rPr>
            </w:pPr>
          </w:p>
        </w:tc>
        <w:tc>
          <w:tcPr>
            <w:tcW w:w="4643" w:type="dxa"/>
            <w:noWrap w:val="0"/>
            <w:vAlign w:val="center"/>
          </w:tcPr>
          <w:p>
            <w:pPr>
              <w:spacing w:line="300" w:lineRule="exact"/>
              <w:rPr>
                <w:rFonts w:hint="eastAsia" w:ascii="仿宋_GB2312"/>
                <w:sz w:val="21"/>
                <w:szCs w:val="21"/>
              </w:rPr>
            </w:pPr>
          </w:p>
        </w:tc>
        <w:tc>
          <w:tcPr>
            <w:tcW w:w="1805" w:type="dxa"/>
            <w:noWrap w:val="0"/>
            <w:vAlign w:val="top"/>
          </w:tcPr>
          <w:p>
            <w:pPr>
              <w:spacing w:line="300" w:lineRule="exact"/>
              <w:rPr>
                <w:rFonts w:hint="eastAsia" w:ascii="仿宋_GB2312"/>
                <w:sz w:val="21"/>
                <w:szCs w:val="21"/>
              </w:rPr>
            </w:pPr>
          </w:p>
        </w:tc>
        <w:tc>
          <w:tcPr>
            <w:tcW w:w="1260"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bl>
    <w:p/>
    <w:p>
      <w:pPr>
        <w:rPr>
          <w:rFonts w:hint="eastAsia" w:ascii="仿宋_GB2312" w:hAnsi="宋体" w:eastAsia="仿宋_GB2312" w:cs="宋体"/>
          <w:kern w:val="0"/>
        </w:rPr>
      </w:pPr>
      <w:r>
        <w:rPr>
          <w:rFonts w:hint="eastAsia" w:ascii="仿宋_GB2312" w:hAnsi="宋体" w:eastAsia="仿宋_GB2312" w:cs="宋体"/>
          <w:kern w:val="0"/>
        </w:rPr>
        <w:t>填报人：              联系电话：                         填报日期：2019年4月   日</w:t>
      </w:r>
    </w:p>
    <w:p>
      <w:pPr>
        <w:rPr>
          <w:rFonts w:hint="eastAsia" w:ascii="仿宋_GB2312" w:hAnsi="宋体" w:eastAsia="仿宋_GB2312" w:cs="宋体"/>
          <w:kern w:val="0"/>
        </w:rPr>
      </w:pPr>
    </w:p>
    <w:p>
      <w:pPr>
        <w:rPr>
          <w:rFonts w:hint="eastAsia" w:ascii="仿宋_GB2312" w:hAnsi="宋体" w:eastAsia="仿宋_GB2312" w:cs="宋体"/>
          <w:kern w:val="0"/>
        </w:rPr>
      </w:pPr>
      <w:r>
        <w:rPr>
          <w:rFonts w:hint="eastAsia" w:ascii="仿宋_GB2312" w:hAnsi="宋体" w:eastAsia="仿宋_GB2312" w:cs="宋体"/>
          <w:kern w:val="0"/>
        </w:rPr>
        <w:t>说明：行业领域填写危险化学品、煤矿、非煤矿山、消防、其它共五类。</w:t>
      </w:r>
    </w:p>
    <w:p>
      <w:pPr>
        <w:rPr>
          <w:rFonts w:hint="eastAsia" w:ascii="黑体" w:hAnsi="黑体" w:eastAsia="黑体"/>
        </w:rPr>
      </w:pPr>
      <w:r>
        <w:rPr>
          <w:rFonts w:hint="eastAsia" w:ascii="黑体" w:hAnsi="黑体" w:eastAsia="黑体"/>
        </w:rPr>
        <w:t>附件9</w:t>
      </w: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联合惩戒失信单位（个人）情况表</w:t>
      </w:r>
    </w:p>
    <w:p>
      <w:pPr>
        <w:spacing w:line="600" w:lineRule="exact"/>
        <w:rPr>
          <w:rFonts w:hint="eastAsia" w:ascii="仿宋_GB2312" w:hAnsi="仿宋" w:cs="宋体"/>
          <w:kern w:val="0"/>
          <w:sz w:val="28"/>
          <w:szCs w:val="28"/>
        </w:rPr>
      </w:pPr>
    </w:p>
    <w:p>
      <w:pPr>
        <w:spacing w:line="600" w:lineRule="exact"/>
        <w:rPr>
          <w:rFonts w:ascii="方正小标宋简体" w:eastAsia="方正小标宋简体"/>
          <w:sz w:val="44"/>
          <w:szCs w:val="44"/>
        </w:rPr>
      </w:pPr>
      <w:r>
        <w:rPr>
          <w:rFonts w:hint="eastAsia" w:ascii="仿宋_GB2312" w:hAnsi="仿宋" w:cs="宋体"/>
          <w:kern w:val="0"/>
          <w:sz w:val="28"/>
          <w:szCs w:val="28"/>
        </w:rPr>
        <w:t>填报单位（加盖公章）：</w:t>
      </w:r>
    </w:p>
    <w:tbl>
      <w:tblPr>
        <w:tblStyle w:val="4"/>
        <w:tblW w:w="13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023"/>
        <w:gridCol w:w="2159"/>
        <w:gridCol w:w="900"/>
        <w:gridCol w:w="4861"/>
        <w:gridCol w:w="1805"/>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序号</w:t>
            </w:r>
          </w:p>
        </w:tc>
        <w:tc>
          <w:tcPr>
            <w:tcW w:w="1023"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所在地区（市、县）</w:t>
            </w:r>
          </w:p>
        </w:tc>
        <w:tc>
          <w:tcPr>
            <w:tcW w:w="2159"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失信单位（个人）</w:t>
            </w:r>
          </w:p>
          <w:p>
            <w:pPr>
              <w:spacing w:line="300" w:lineRule="exact"/>
              <w:jc w:val="center"/>
              <w:rPr>
                <w:rFonts w:hint="eastAsia" w:ascii="黑体" w:hAnsi="黑体" w:eastAsia="黑体"/>
                <w:sz w:val="21"/>
                <w:szCs w:val="21"/>
              </w:rPr>
            </w:pPr>
            <w:r>
              <w:rPr>
                <w:rFonts w:hint="eastAsia" w:ascii="黑体" w:hAnsi="黑体" w:eastAsia="黑体"/>
                <w:sz w:val="21"/>
                <w:szCs w:val="21"/>
              </w:rPr>
              <w:t>名称</w:t>
            </w:r>
          </w:p>
        </w:tc>
        <w:tc>
          <w:tcPr>
            <w:tcW w:w="90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行业</w:t>
            </w:r>
          </w:p>
          <w:p>
            <w:pPr>
              <w:spacing w:line="300" w:lineRule="exact"/>
              <w:jc w:val="center"/>
              <w:rPr>
                <w:rFonts w:hint="eastAsia" w:ascii="黑体" w:hAnsi="黑体" w:eastAsia="黑体"/>
                <w:sz w:val="21"/>
                <w:szCs w:val="21"/>
              </w:rPr>
            </w:pPr>
            <w:r>
              <w:rPr>
                <w:rFonts w:hint="eastAsia" w:ascii="黑体" w:hAnsi="黑体" w:eastAsia="黑体"/>
                <w:sz w:val="21"/>
                <w:szCs w:val="21"/>
              </w:rPr>
              <w:t>领域</w:t>
            </w:r>
          </w:p>
        </w:tc>
        <w:tc>
          <w:tcPr>
            <w:tcW w:w="4861"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存在的安全生产领域失信行为</w:t>
            </w:r>
          </w:p>
        </w:tc>
        <w:tc>
          <w:tcPr>
            <w:tcW w:w="1805" w:type="dxa"/>
            <w:noWrap w:val="0"/>
            <w:vAlign w:val="top"/>
          </w:tcPr>
          <w:p>
            <w:pPr>
              <w:spacing w:line="300" w:lineRule="exact"/>
              <w:jc w:val="center"/>
              <w:rPr>
                <w:rFonts w:hint="eastAsia" w:ascii="黑体" w:hAnsi="黑体" w:eastAsia="黑体"/>
                <w:sz w:val="21"/>
                <w:szCs w:val="21"/>
              </w:rPr>
            </w:pPr>
            <w:r>
              <w:rPr>
                <w:rFonts w:hint="eastAsia" w:ascii="黑体" w:hAnsi="黑体" w:eastAsia="黑体"/>
                <w:sz w:val="21"/>
                <w:szCs w:val="21"/>
              </w:rPr>
              <w:t>实施失信联合惩戒的文号</w:t>
            </w:r>
          </w:p>
        </w:tc>
        <w:tc>
          <w:tcPr>
            <w:tcW w:w="1260" w:type="dxa"/>
            <w:noWrap w:val="0"/>
            <w:vAlign w:val="top"/>
          </w:tcPr>
          <w:p>
            <w:pPr>
              <w:spacing w:line="300" w:lineRule="exact"/>
              <w:jc w:val="center"/>
              <w:rPr>
                <w:rFonts w:hint="eastAsia" w:ascii="黑体" w:hAnsi="黑体" w:eastAsia="黑体"/>
                <w:sz w:val="21"/>
                <w:szCs w:val="21"/>
              </w:rPr>
            </w:pPr>
            <w:r>
              <w:rPr>
                <w:rFonts w:hint="eastAsia" w:ascii="黑体" w:hAnsi="黑体" w:eastAsia="黑体"/>
                <w:sz w:val="21"/>
                <w:szCs w:val="21"/>
              </w:rPr>
              <w:t>失信惩戒时限</w:t>
            </w:r>
          </w:p>
        </w:tc>
        <w:tc>
          <w:tcPr>
            <w:tcW w:w="90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520" w:type="dxa"/>
            <w:noWrap w:val="0"/>
            <w:vAlign w:val="center"/>
          </w:tcPr>
          <w:p>
            <w:pPr>
              <w:spacing w:line="300" w:lineRule="exact"/>
              <w:jc w:val="center"/>
              <w:rPr>
                <w:rFonts w:hint="eastAsia" w:ascii="仿宋_GB2312"/>
                <w:sz w:val="21"/>
                <w:szCs w:val="21"/>
              </w:rPr>
            </w:pPr>
            <w:r>
              <w:rPr>
                <w:rFonts w:hint="eastAsia" w:ascii="仿宋_GB2312"/>
                <w:sz w:val="21"/>
                <w:szCs w:val="21"/>
              </w:rPr>
              <w:t>1</w:t>
            </w:r>
          </w:p>
        </w:tc>
        <w:tc>
          <w:tcPr>
            <w:tcW w:w="1023" w:type="dxa"/>
            <w:noWrap w:val="0"/>
            <w:vAlign w:val="center"/>
          </w:tcPr>
          <w:p>
            <w:pPr>
              <w:spacing w:line="300" w:lineRule="exact"/>
              <w:rPr>
                <w:rFonts w:hint="eastAsia" w:ascii="仿宋_GB2312"/>
                <w:sz w:val="21"/>
                <w:szCs w:val="21"/>
              </w:rPr>
            </w:pPr>
          </w:p>
        </w:tc>
        <w:tc>
          <w:tcPr>
            <w:tcW w:w="2159" w:type="dxa"/>
            <w:noWrap w:val="0"/>
            <w:vAlign w:val="center"/>
          </w:tcPr>
          <w:p>
            <w:pPr>
              <w:spacing w:line="300" w:lineRule="exact"/>
              <w:rPr>
                <w:rFonts w:hint="eastAsia" w:ascii="仿宋_GB2312"/>
                <w:sz w:val="21"/>
                <w:szCs w:val="21"/>
              </w:rPr>
            </w:pPr>
          </w:p>
        </w:tc>
        <w:tc>
          <w:tcPr>
            <w:tcW w:w="900" w:type="dxa"/>
            <w:noWrap w:val="0"/>
            <w:vAlign w:val="top"/>
          </w:tcPr>
          <w:p>
            <w:pPr>
              <w:spacing w:line="300" w:lineRule="exact"/>
              <w:rPr>
                <w:rFonts w:hint="eastAsia" w:ascii="仿宋_GB2312"/>
                <w:sz w:val="21"/>
                <w:szCs w:val="21"/>
              </w:rPr>
            </w:pPr>
          </w:p>
        </w:tc>
        <w:tc>
          <w:tcPr>
            <w:tcW w:w="4861" w:type="dxa"/>
            <w:noWrap w:val="0"/>
            <w:vAlign w:val="center"/>
          </w:tcPr>
          <w:p>
            <w:pPr>
              <w:spacing w:line="300" w:lineRule="exact"/>
              <w:rPr>
                <w:rFonts w:hint="eastAsia" w:ascii="仿宋_GB2312"/>
                <w:sz w:val="21"/>
                <w:szCs w:val="21"/>
              </w:rPr>
            </w:pPr>
          </w:p>
        </w:tc>
        <w:tc>
          <w:tcPr>
            <w:tcW w:w="1805" w:type="dxa"/>
            <w:noWrap w:val="0"/>
            <w:vAlign w:val="top"/>
          </w:tcPr>
          <w:p>
            <w:pPr>
              <w:spacing w:line="300" w:lineRule="exact"/>
              <w:rPr>
                <w:rFonts w:hint="eastAsia" w:ascii="仿宋_GB2312"/>
                <w:sz w:val="21"/>
                <w:szCs w:val="21"/>
              </w:rPr>
            </w:pPr>
          </w:p>
        </w:tc>
        <w:tc>
          <w:tcPr>
            <w:tcW w:w="1260"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0" w:type="dxa"/>
            <w:noWrap w:val="0"/>
            <w:vAlign w:val="center"/>
          </w:tcPr>
          <w:p>
            <w:pPr>
              <w:spacing w:line="300" w:lineRule="exact"/>
              <w:jc w:val="center"/>
              <w:rPr>
                <w:rFonts w:hint="eastAsia" w:ascii="仿宋_GB2312"/>
                <w:sz w:val="21"/>
                <w:szCs w:val="21"/>
              </w:rPr>
            </w:pPr>
            <w:r>
              <w:rPr>
                <w:rFonts w:hint="eastAsia" w:ascii="仿宋_GB2312"/>
                <w:sz w:val="21"/>
                <w:szCs w:val="21"/>
              </w:rPr>
              <w:t>2</w:t>
            </w:r>
          </w:p>
        </w:tc>
        <w:tc>
          <w:tcPr>
            <w:tcW w:w="1023" w:type="dxa"/>
            <w:noWrap w:val="0"/>
            <w:vAlign w:val="center"/>
          </w:tcPr>
          <w:p>
            <w:pPr>
              <w:spacing w:line="300" w:lineRule="exact"/>
              <w:rPr>
                <w:rFonts w:hint="eastAsia" w:ascii="仿宋_GB2312"/>
                <w:sz w:val="21"/>
                <w:szCs w:val="21"/>
              </w:rPr>
            </w:pPr>
          </w:p>
        </w:tc>
        <w:tc>
          <w:tcPr>
            <w:tcW w:w="2159" w:type="dxa"/>
            <w:noWrap w:val="0"/>
            <w:vAlign w:val="center"/>
          </w:tcPr>
          <w:p>
            <w:pPr>
              <w:spacing w:line="300" w:lineRule="exact"/>
              <w:rPr>
                <w:rFonts w:hint="eastAsia" w:ascii="仿宋_GB2312"/>
                <w:sz w:val="21"/>
                <w:szCs w:val="21"/>
              </w:rPr>
            </w:pPr>
          </w:p>
        </w:tc>
        <w:tc>
          <w:tcPr>
            <w:tcW w:w="900" w:type="dxa"/>
            <w:noWrap w:val="0"/>
            <w:vAlign w:val="top"/>
          </w:tcPr>
          <w:p>
            <w:pPr>
              <w:spacing w:line="300" w:lineRule="exact"/>
              <w:rPr>
                <w:rFonts w:hint="eastAsia" w:ascii="仿宋_GB2312"/>
                <w:sz w:val="21"/>
                <w:szCs w:val="21"/>
              </w:rPr>
            </w:pPr>
          </w:p>
        </w:tc>
        <w:tc>
          <w:tcPr>
            <w:tcW w:w="4861" w:type="dxa"/>
            <w:noWrap w:val="0"/>
            <w:vAlign w:val="center"/>
          </w:tcPr>
          <w:p>
            <w:pPr>
              <w:spacing w:line="300" w:lineRule="exact"/>
              <w:rPr>
                <w:rFonts w:hint="eastAsia" w:ascii="仿宋_GB2312"/>
                <w:sz w:val="21"/>
                <w:szCs w:val="21"/>
              </w:rPr>
            </w:pPr>
          </w:p>
        </w:tc>
        <w:tc>
          <w:tcPr>
            <w:tcW w:w="1805" w:type="dxa"/>
            <w:noWrap w:val="0"/>
            <w:vAlign w:val="top"/>
          </w:tcPr>
          <w:p>
            <w:pPr>
              <w:spacing w:line="300" w:lineRule="exact"/>
              <w:rPr>
                <w:rFonts w:hint="eastAsia" w:ascii="仿宋_GB2312"/>
                <w:sz w:val="21"/>
                <w:szCs w:val="21"/>
              </w:rPr>
            </w:pPr>
          </w:p>
        </w:tc>
        <w:tc>
          <w:tcPr>
            <w:tcW w:w="1260"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0" w:type="dxa"/>
            <w:noWrap w:val="0"/>
            <w:vAlign w:val="center"/>
          </w:tcPr>
          <w:p>
            <w:pPr>
              <w:spacing w:line="300" w:lineRule="exact"/>
              <w:jc w:val="center"/>
              <w:rPr>
                <w:rFonts w:hint="eastAsia" w:ascii="仿宋_GB2312"/>
                <w:sz w:val="21"/>
                <w:szCs w:val="21"/>
              </w:rPr>
            </w:pPr>
            <w:r>
              <w:rPr>
                <w:rFonts w:hint="eastAsia" w:ascii="仿宋_GB2312"/>
                <w:sz w:val="21"/>
                <w:szCs w:val="21"/>
              </w:rPr>
              <w:t>…</w:t>
            </w:r>
          </w:p>
        </w:tc>
        <w:tc>
          <w:tcPr>
            <w:tcW w:w="1023" w:type="dxa"/>
            <w:noWrap w:val="0"/>
            <w:vAlign w:val="center"/>
          </w:tcPr>
          <w:p>
            <w:pPr>
              <w:spacing w:line="300" w:lineRule="exact"/>
              <w:rPr>
                <w:rFonts w:hint="eastAsia" w:ascii="仿宋_GB2312"/>
                <w:sz w:val="21"/>
                <w:szCs w:val="21"/>
              </w:rPr>
            </w:pPr>
          </w:p>
        </w:tc>
        <w:tc>
          <w:tcPr>
            <w:tcW w:w="2159" w:type="dxa"/>
            <w:noWrap w:val="0"/>
            <w:vAlign w:val="center"/>
          </w:tcPr>
          <w:p>
            <w:pPr>
              <w:spacing w:line="300" w:lineRule="exact"/>
              <w:rPr>
                <w:rFonts w:hint="eastAsia" w:ascii="仿宋_GB2312"/>
                <w:sz w:val="21"/>
                <w:szCs w:val="21"/>
              </w:rPr>
            </w:pPr>
          </w:p>
        </w:tc>
        <w:tc>
          <w:tcPr>
            <w:tcW w:w="900" w:type="dxa"/>
            <w:noWrap w:val="0"/>
            <w:vAlign w:val="top"/>
          </w:tcPr>
          <w:p>
            <w:pPr>
              <w:spacing w:line="300" w:lineRule="exact"/>
              <w:rPr>
                <w:rFonts w:hint="eastAsia" w:ascii="仿宋_GB2312"/>
                <w:sz w:val="21"/>
                <w:szCs w:val="21"/>
              </w:rPr>
            </w:pPr>
          </w:p>
        </w:tc>
        <w:tc>
          <w:tcPr>
            <w:tcW w:w="4861" w:type="dxa"/>
            <w:noWrap w:val="0"/>
            <w:vAlign w:val="center"/>
          </w:tcPr>
          <w:p>
            <w:pPr>
              <w:spacing w:line="300" w:lineRule="exact"/>
              <w:rPr>
                <w:rFonts w:hint="eastAsia" w:ascii="仿宋_GB2312"/>
                <w:sz w:val="21"/>
                <w:szCs w:val="21"/>
              </w:rPr>
            </w:pPr>
          </w:p>
        </w:tc>
        <w:tc>
          <w:tcPr>
            <w:tcW w:w="1805" w:type="dxa"/>
            <w:noWrap w:val="0"/>
            <w:vAlign w:val="top"/>
          </w:tcPr>
          <w:p>
            <w:pPr>
              <w:spacing w:line="300" w:lineRule="exact"/>
              <w:rPr>
                <w:rFonts w:hint="eastAsia" w:ascii="仿宋_GB2312"/>
                <w:sz w:val="21"/>
                <w:szCs w:val="21"/>
              </w:rPr>
            </w:pPr>
          </w:p>
        </w:tc>
        <w:tc>
          <w:tcPr>
            <w:tcW w:w="1260"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bl>
    <w:p/>
    <w:p>
      <w:pPr>
        <w:rPr>
          <w:rFonts w:hint="eastAsia" w:ascii="仿宋_GB2312" w:hAnsi="宋体" w:eastAsia="仿宋_GB2312" w:cs="宋体"/>
          <w:kern w:val="0"/>
        </w:rPr>
      </w:pPr>
      <w:r>
        <w:rPr>
          <w:rFonts w:hint="eastAsia" w:ascii="仿宋_GB2312" w:hAnsi="宋体" w:eastAsia="仿宋_GB2312" w:cs="宋体"/>
          <w:kern w:val="0"/>
        </w:rPr>
        <w:t>填报人：              联系电话：                         填报日期：2019年4月   日</w:t>
      </w:r>
    </w:p>
    <w:p>
      <w:pPr>
        <w:rPr>
          <w:rFonts w:hint="eastAsia" w:ascii="仿宋_GB2312" w:hAnsi="宋体" w:eastAsia="仿宋_GB2312" w:cs="宋体"/>
          <w:kern w:val="0"/>
        </w:rPr>
      </w:pPr>
    </w:p>
    <w:p>
      <w:pPr>
        <w:rPr>
          <w:rFonts w:hint="eastAsia" w:ascii="仿宋_GB2312" w:hAnsi="宋体" w:eastAsia="仿宋_GB2312" w:cs="宋体"/>
          <w:kern w:val="0"/>
        </w:rPr>
      </w:pPr>
      <w:r>
        <w:rPr>
          <w:rFonts w:hint="eastAsia" w:ascii="仿宋_GB2312" w:hAnsi="宋体" w:eastAsia="仿宋_GB2312" w:cs="宋体"/>
          <w:kern w:val="0"/>
        </w:rPr>
        <w:t>说明：行业领域填写危险化学品、煤矿、非煤矿山、消防、其它共五类。</w:t>
      </w:r>
    </w:p>
    <w:p>
      <w:pPr>
        <w:rPr>
          <w:rFonts w:hint="eastAsia" w:ascii="黑体" w:hAnsi="黑体" w:eastAsia="黑体"/>
        </w:rPr>
      </w:pPr>
      <w:r>
        <w:rPr>
          <w:rFonts w:hint="eastAsia" w:ascii="黑体" w:hAnsi="黑体" w:eastAsia="黑体"/>
        </w:rPr>
        <w:t>附件10</w:t>
      </w: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问责曝光工作不力单位（个人）情况表</w:t>
      </w:r>
    </w:p>
    <w:p>
      <w:pPr>
        <w:spacing w:line="600" w:lineRule="exact"/>
        <w:rPr>
          <w:rFonts w:hint="eastAsia" w:ascii="仿宋_GB2312" w:hAnsi="仿宋" w:cs="宋体"/>
          <w:kern w:val="0"/>
          <w:sz w:val="28"/>
          <w:szCs w:val="28"/>
        </w:rPr>
      </w:pPr>
    </w:p>
    <w:p>
      <w:pPr>
        <w:spacing w:line="600" w:lineRule="exact"/>
        <w:rPr>
          <w:rFonts w:ascii="方正小标宋简体" w:eastAsia="方正小标宋简体"/>
          <w:sz w:val="44"/>
          <w:szCs w:val="44"/>
        </w:rPr>
      </w:pPr>
      <w:r>
        <w:rPr>
          <w:rFonts w:hint="eastAsia" w:ascii="仿宋_GB2312" w:hAnsi="仿宋" w:cs="宋体"/>
          <w:kern w:val="0"/>
          <w:sz w:val="28"/>
          <w:szCs w:val="28"/>
        </w:rPr>
        <w:t>填报单位（加盖公章）：</w:t>
      </w:r>
    </w:p>
    <w:tbl>
      <w:tblPr>
        <w:tblStyle w:val="4"/>
        <w:tblW w:w="13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023"/>
        <w:gridCol w:w="2159"/>
        <w:gridCol w:w="900"/>
        <w:gridCol w:w="4861"/>
        <w:gridCol w:w="1805"/>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序号</w:t>
            </w:r>
          </w:p>
        </w:tc>
        <w:tc>
          <w:tcPr>
            <w:tcW w:w="1023"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所在地区（市、县）</w:t>
            </w:r>
          </w:p>
        </w:tc>
        <w:tc>
          <w:tcPr>
            <w:tcW w:w="2159"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被问责曝光的</w:t>
            </w:r>
          </w:p>
          <w:p>
            <w:pPr>
              <w:spacing w:line="300" w:lineRule="exact"/>
              <w:jc w:val="center"/>
              <w:rPr>
                <w:rFonts w:hint="eastAsia" w:ascii="黑体" w:hAnsi="黑体" w:eastAsia="黑体"/>
                <w:sz w:val="21"/>
                <w:szCs w:val="21"/>
              </w:rPr>
            </w:pPr>
            <w:r>
              <w:rPr>
                <w:rFonts w:hint="eastAsia" w:ascii="黑体" w:hAnsi="黑体" w:eastAsia="黑体"/>
                <w:sz w:val="21"/>
                <w:szCs w:val="21"/>
              </w:rPr>
              <w:t>单位（个人）名称</w:t>
            </w:r>
          </w:p>
        </w:tc>
        <w:tc>
          <w:tcPr>
            <w:tcW w:w="90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行业</w:t>
            </w:r>
          </w:p>
          <w:p>
            <w:pPr>
              <w:spacing w:line="300" w:lineRule="exact"/>
              <w:jc w:val="center"/>
              <w:rPr>
                <w:rFonts w:hint="eastAsia" w:ascii="黑体" w:hAnsi="黑体" w:eastAsia="黑体"/>
                <w:sz w:val="21"/>
                <w:szCs w:val="21"/>
              </w:rPr>
            </w:pPr>
            <w:r>
              <w:rPr>
                <w:rFonts w:hint="eastAsia" w:ascii="黑体" w:hAnsi="黑体" w:eastAsia="黑体"/>
                <w:sz w:val="21"/>
                <w:szCs w:val="21"/>
              </w:rPr>
              <w:t>领域</w:t>
            </w:r>
          </w:p>
        </w:tc>
        <w:tc>
          <w:tcPr>
            <w:tcW w:w="4861"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存在的主要问题</w:t>
            </w:r>
          </w:p>
        </w:tc>
        <w:tc>
          <w:tcPr>
            <w:tcW w:w="1805"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媒体名称</w:t>
            </w:r>
          </w:p>
        </w:tc>
        <w:tc>
          <w:tcPr>
            <w:tcW w:w="126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问责曝光日期</w:t>
            </w:r>
          </w:p>
        </w:tc>
        <w:tc>
          <w:tcPr>
            <w:tcW w:w="90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520" w:type="dxa"/>
            <w:noWrap w:val="0"/>
            <w:vAlign w:val="center"/>
          </w:tcPr>
          <w:p>
            <w:pPr>
              <w:spacing w:line="300" w:lineRule="exact"/>
              <w:jc w:val="center"/>
              <w:rPr>
                <w:rFonts w:hint="eastAsia" w:ascii="仿宋_GB2312"/>
                <w:sz w:val="21"/>
                <w:szCs w:val="21"/>
              </w:rPr>
            </w:pPr>
            <w:r>
              <w:rPr>
                <w:rFonts w:hint="eastAsia" w:ascii="仿宋_GB2312"/>
                <w:sz w:val="21"/>
                <w:szCs w:val="21"/>
              </w:rPr>
              <w:t>1</w:t>
            </w:r>
          </w:p>
        </w:tc>
        <w:tc>
          <w:tcPr>
            <w:tcW w:w="1023" w:type="dxa"/>
            <w:noWrap w:val="0"/>
            <w:vAlign w:val="center"/>
          </w:tcPr>
          <w:p>
            <w:pPr>
              <w:spacing w:line="300" w:lineRule="exact"/>
              <w:rPr>
                <w:rFonts w:hint="eastAsia" w:ascii="仿宋_GB2312"/>
                <w:sz w:val="21"/>
                <w:szCs w:val="21"/>
              </w:rPr>
            </w:pPr>
          </w:p>
        </w:tc>
        <w:tc>
          <w:tcPr>
            <w:tcW w:w="2159" w:type="dxa"/>
            <w:noWrap w:val="0"/>
            <w:vAlign w:val="center"/>
          </w:tcPr>
          <w:p>
            <w:pPr>
              <w:spacing w:line="300" w:lineRule="exact"/>
              <w:rPr>
                <w:rFonts w:hint="eastAsia" w:ascii="仿宋_GB2312"/>
                <w:sz w:val="21"/>
                <w:szCs w:val="21"/>
              </w:rPr>
            </w:pPr>
          </w:p>
        </w:tc>
        <w:tc>
          <w:tcPr>
            <w:tcW w:w="900" w:type="dxa"/>
            <w:noWrap w:val="0"/>
            <w:vAlign w:val="top"/>
          </w:tcPr>
          <w:p>
            <w:pPr>
              <w:spacing w:line="300" w:lineRule="exact"/>
              <w:rPr>
                <w:rFonts w:hint="eastAsia" w:ascii="仿宋_GB2312"/>
                <w:sz w:val="21"/>
                <w:szCs w:val="21"/>
              </w:rPr>
            </w:pPr>
          </w:p>
        </w:tc>
        <w:tc>
          <w:tcPr>
            <w:tcW w:w="4861" w:type="dxa"/>
            <w:noWrap w:val="0"/>
            <w:vAlign w:val="center"/>
          </w:tcPr>
          <w:p>
            <w:pPr>
              <w:spacing w:line="300" w:lineRule="exact"/>
              <w:rPr>
                <w:rFonts w:hint="eastAsia" w:ascii="仿宋_GB2312"/>
                <w:sz w:val="21"/>
                <w:szCs w:val="21"/>
              </w:rPr>
            </w:pPr>
          </w:p>
        </w:tc>
        <w:tc>
          <w:tcPr>
            <w:tcW w:w="1805" w:type="dxa"/>
            <w:noWrap w:val="0"/>
            <w:vAlign w:val="top"/>
          </w:tcPr>
          <w:p>
            <w:pPr>
              <w:spacing w:line="300" w:lineRule="exact"/>
              <w:rPr>
                <w:rFonts w:hint="eastAsia" w:ascii="仿宋_GB2312"/>
                <w:sz w:val="21"/>
                <w:szCs w:val="21"/>
              </w:rPr>
            </w:pPr>
          </w:p>
        </w:tc>
        <w:tc>
          <w:tcPr>
            <w:tcW w:w="1260"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0" w:type="dxa"/>
            <w:noWrap w:val="0"/>
            <w:vAlign w:val="center"/>
          </w:tcPr>
          <w:p>
            <w:pPr>
              <w:spacing w:line="300" w:lineRule="exact"/>
              <w:jc w:val="center"/>
              <w:rPr>
                <w:rFonts w:hint="eastAsia" w:ascii="仿宋_GB2312"/>
                <w:sz w:val="21"/>
                <w:szCs w:val="21"/>
              </w:rPr>
            </w:pPr>
            <w:r>
              <w:rPr>
                <w:rFonts w:hint="eastAsia" w:ascii="仿宋_GB2312"/>
                <w:sz w:val="21"/>
                <w:szCs w:val="21"/>
              </w:rPr>
              <w:t>2</w:t>
            </w:r>
          </w:p>
        </w:tc>
        <w:tc>
          <w:tcPr>
            <w:tcW w:w="1023" w:type="dxa"/>
            <w:noWrap w:val="0"/>
            <w:vAlign w:val="center"/>
          </w:tcPr>
          <w:p>
            <w:pPr>
              <w:spacing w:line="300" w:lineRule="exact"/>
              <w:rPr>
                <w:rFonts w:hint="eastAsia" w:ascii="仿宋_GB2312"/>
                <w:sz w:val="21"/>
                <w:szCs w:val="21"/>
              </w:rPr>
            </w:pPr>
          </w:p>
        </w:tc>
        <w:tc>
          <w:tcPr>
            <w:tcW w:w="2159" w:type="dxa"/>
            <w:noWrap w:val="0"/>
            <w:vAlign w:val="center"/>
          </w:tcPr>
          <w:p>
            <w:pPr>
              <w:spacing w:line="300" w:lineRule="exact"/>
              <w:rPr>
                <w:rFonts w:hint="eastAsia" w:ascii="仿宋_GB2312"/>
                <w:sz w:val="21"/>
                <w:szCs w:val="21"/>
              </w:rPr>
            </w:pPr>
          </w:p>
        </w:tc>
        <w:tc>
          <w:tcPr>
            <w:tcW w:w="900" w:type="dxa"/>
            <w:noWrap w:val="0"/>
            <w:vAlign w:val="top"/>
          </w:tcPr>
          <w:p>
            <w:pPr>
              <w:spacing w:line="300" w:lineRule="exact"/>
              <w:rPr>
                <w:rFonts w:hint="eastAsia" w:ascii="仿宋_GB2312"/>
                <w:sz w:val="21"/>
                <w:szCs w:val="21"/>
              </w:rPr>
            </w:pPr>
          </w:p>
        </w:tc>
        <w:tc>
          <w:tcPr>
            <w:tcW w:w="4861" w:type="dxa"/>
            <w:noWrap w:val="0"/>
            <w:vAlign w:val="center"/>
          </w:tcPr>
          <w:p>
            <w:pPr>
              <w:spacing w:line="300" w:lineRule="exact"/>
              <w:rPr>
                <w:rFonts w:hint="eastAsia" w:ascii="仿宋_GB2312"/>
                <w:sz w:val="21"/>
                <w:szCs w:val="21"/>
              </w:rPr>
            </w:pPr>
          </w:p>
        </w:tc>
        <w:tc>
          <w:tcPr>
            <w:tcW w:w="1805" w:type="dxa"/>
            <w:noWrap w:val="0"/>
            <w:vAlign w:val="top"/>
          </w:tcPr>
          <w:p>
            <w:pPr>
              <w:spacing w:line="300" w:lineRule="exact"/>
              <w:rPr>
                <w:rFonts w:hint="eastAsia" w:ascii="仿宋_GB2312"/>
                <w:sz w:val="21"/>
                <w:szCs w:val="21"/>
              </w:rPr>
            </w:pPr>
          </w:p>
        </w:tc>
        <w:tc>
          <w:tcPr>
            <w:tcW w:w="1260"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0" w:type="dxa"/>
            <w:noWrap w:val="0"/>
            <w:vAlign w:val="center"/>
          </w:tcPr>
          <w:p>
            <w:pPr>
              <w:spacing w:line="300" w:lineRule="exact"/>
              <w:jc w:val="center"/>
              <w:rPr>
                <w:rFonts w:hint="eastAsia" w:ascii="仿宋_GB2312"/>
                <w:sz w:val="21"/>
                <w:szCs w:val="21"/>
              </w:rPr>
            </w:pPr>
            <w:r>
              <w:rPr>
                <w:rFonts w:hint="eastAsia" w:ascii="仿宋_GB2312"/>
                <w:sz w:val="21"/>
                <w:szCs w:val="21"/>
              </w:rPr>
              <w:t>…</w:t>
            </w:r>
          </w:p>
        </w:tc>
        <w:tc>
          <w:tcPr>
            <w:tcW w:w="1023" w:type="dxa"/>
            <w:noWrap w:val="0"/>
            <w:vAlign w:val="center"/>
          </w:tcPr>
          <w:p>
            <w:pPr>
              <w:spacing w:line="300" w:lineRule="exact"/>
              <w:rPr>
                <w:rFonts w:hint="eastAsia" w:ascii="仿宋_GB2312"/>
                <w:sz w:val="21"/>
                <w:szCs w:val="21"/>
              </w:rPr>
            </w:pPr>
          </w:p>
        </w:tc>
        <w:tc>
          <w:tcPr>
            <w:tcW w:w="2159" w:type="dxa"/>
            <w:noWrap w:val="0"/>
            <w:vAlign w:val="center"/>
          </w:tcPr>
          <w:p>
            <w:pPr>
              <w:spacing w:line="300" w:lineRule="exact"/>
              <w:rPr>
                <w:rFonts w:hint="eastAsia" w:ascii="仿宋_GB2312"/>
                <w:sz w:val="21"/>
                <w:szCs w:val="21"/>
              </w:rPr>
            </w:pPr>
          </w:p>
        </w:tc>
        <w:tc>
          <w:tcPr>
            <w:tcW w:w="900" w:type="dxa"/>
            <w:noWrap w:val="0"/>
            <w:vAlign w:val="top"/>
          </w:tcPr>
          <w:p>
            <w:pPr>
              <w:spacing w:line="300" w:lineRule="exact"/>
              <w:rPr>
                <w:rFonts w:hint="eastAsia" w:ascii="仿宋_GB2312"/>
                <w:sz w:val="21"/>
                <w:szCs w:val="21"/>
              </w:rPr>
            </w:pPr>
          </w:p>
        </w:tc>
        <w:tc>
          <w:tcPr>
            <w:tcW w:w="4861" w:type="dxa"/>
            <w:noWrap w:val="0"/>
            <w:vAlign w:val="center"/>
          </w:tcPr>
          <w:p>
            <w:pPr>
              <w:spacing w:line="300" w:lineRule="exact"/>
              <w:rPr>
                <w:rFonts w:hint="eastAsia" w:ascii="仿宋_GB2312"/>
                <w:sz w:val="21"/>
                <w:szCs w:val="21"/>
              </w:rPr>
            </w:pPr>
          </w:p>
        </w:tc>
        <w:tc>
          <w:tcPr>
            <w:tcW w:w="1805" w:type="dxa"/>
            <w:noWrap w:val="0"/>
            <w:vAlign w:val="top"/>
          </w:tcPr>
          <w:p>
            <w:pPr>
              <w:spacing w:line="300" w:lineRule="exact"/>
              <w:rPr>
                <w:rFonts w:hint="eastAsia" w:ascii="仿宋_GB2312"/>
                <w:sz w:val="21"/>
                <w:szCs w:val="21"/>
              </w:rPr>
            </w:pPr>
          </w:p>
        </w:tc>
        <w:tc>
          <w:tcPr>
            <w:tcW w:w="1260" w:type="dxa"/>
            <w:noWrap w:val="0"/>
            <w:vAlign w:val="top"/>
          </w:tcPr>
          <w:p>
            <w:pPr>
              <w:spacing w:line="300" w:lineRule="exact"/>
              <w:rPr>
                <w:rFonts w:hint="eastAsia" w:ascii="仿宋_GB2312"/>
                <w:sz w:val="21"/>
                <w:szCs w:val="21"/>
              </w:rPr>
            </w:pPr>
          </w:p>
        </w:tc>
        <w:tc>
          <w:tcPr>
            <w:tcW w:w="900" w:type="dxa"/>
            <w:noWrap w:val="0"/>
            <w:vAlign w:val="top"/>
          </w:tcPr>
          <w:p>
            <w:pPr>
              <w:spacing w:line="300" w:lineRule="exact"/>
              <w:jc w:val="center"/>
              <w:rPr>
                <w:rFonts w:hint="eastAsia" w:ascii="仿宋_GB2312"/>
                <w:sz w:val="21"/>
                <w:szCs w:val="21"/>
              </w:rPr>
            </w:pPr>
          </w:p>
        </w:tc>
      </w:tr>
    </w:tbl>
    <w:p>
      <w:pPr>
        <w:rPr>
          <w:rFonts w:hint="eastAsia" w:ascii="仿宋_GB2312" w:hAnsi="宋体" w:eastAsia="仿宋_GB2312" w:cs="宋体"/>
          <w:kern w:val="0"/>
        </w:rPr>
      </w:pPr>
      <w:r>
        <w:rPr>
          <w:rFonts w:hint="eastAsia" w:ascii="仿宋_GB2312" w:hAnsi="宋体" w:eastAsia="仿宋_GB2312" w:cs="宋体"/>
          <w:kern w:val="0"/>
        </w:rPr>
        <w:t>填报人：              联系电话：                         填报日期：2019年4月   日</w:t>
      </w:r>
    </w:p>
    <w:p>
      <w:pPr>
        <w:rPr>
          <w:rFonts w:hint="eastAsia" w:ascii="仿宋_GB2312" w:hAnsi="宋体" w:eastAsia="仿宋_GB2312" w:cs="宋体"/>
          <w:kern w:val="0"/>
        </w:rPr>
      </w:pPr>
    </w:p>
    <w:p>
      <w:pPr>
        <w:rPr>
          <w:rFonts w:hint="eastAsia" w:ascii="仿宋_GB2312" w:hAnsi="宋体" w:eastAsia="仿宋_GB2312" w:cs="宋体"/>
          <w:kern w:val="0"/>
        </w:rPr>
      </w:pPr>
      <w:r>
        <w:rPr>
          <w:rFonts w:hint="eastAsia" w:ascii="仿宋_GB2312" w:hAnsi="宋体" w:eastAsia="仿宋_GB2312" w:cs="宋体"/>
          <w:kern w:val="0"/>
        </w:rPr>
        <w:t>说明：1.行业领域填写危险化学品、煤矿、非煤矿山、消防、其它共五类。</w:t>
      </w:r>
    </w:p>
    <w:p>
      <w:pPr>
        <w:rPr>
          <w:rFonts w:hint="eastAsia" w:ascii="仿宋_GB2312" w:hAnsi="宋体" w:eastAsia="仿宋_GB2312" w:cs="宋体"/>
          <w:kern w:val="0"/>
        </w:rPr>
      </w:pPr>
      <w:r>
        <w:rPr>
          <w:rFonts w:hint="eastAsia" w:ascii="仿宋_GB2312" w:hAnsi="宋体" w:eastAsia="仿宋_GB2312" w:cs="宋体"/>
          <w:kern w:val="0"/>
        </w:rPr>
        <w:t xml:space="preserve">      2.媒体名称填写公告曝光被问责单位、个人有关情况的媒体全称。</w:t>
      </w:r>
    </w:p>
    <w:p>
      <w:pPr>
        <w:rPr>
          <w:rFonts w:hint="eastAsia" w:ascii="黑体" w:hAnsi="黑体" w:eastAsia="黑体"/>
        </w:rPr>
      </w:pPr>
      <w:r>
        <w:rPr>
          <w:rFonts w:hint="eastAsia" w:ascii="黑体" w:hAnsi="黑体" w:eastAsia="黑体"/>
        </w:rPr>
        <w:t>附件11</w:t>
      </w:r>
    </w:p>
    <w:p>
      <w:pPr>
        <w:spacing w:line="600" w:lineRule="exact"/>
        <w:jc w:val="center"/>
        <w:rPr>
          <w:rFonts w:hint="eastAsia" w:ascii="方正小标宋简体" w:eastAsia="方正小标宋简体"/>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开展集中教育工作情况表</w:t>
      </w:r>
    </w:p>
    <w:p>
      <w:pPr>
        <w:spacing w:line="600" w:lineRule="exact"/>
        <w:rPr>
          <w:rFonts w:hint="eastAsia" w:ascii="仿宋_GB2312" w:hAnsi="仿宋" w:cs="宋体"/>
          <w:kern w:val="0"/>
          <w:sz w:val="28"/>
          <w:szCs w:val="28"/>
        </w:rPr>
      </w:pPr>
    </w:p>
    <w:p>
      <w:pPr>
        <w:spacing w:line="600" w:lineRule="exact"/>
        <w:rPr>
          <w:rFonts w:ascii="方正小标宋简体" w:eastAsia="方正小标宋简体"/>
          <w:sz w:val="44"/>
          <w:szCs w:val="44"/>
        </w:rPr>
      </w:pPr>
      <w:r>
        <w:rPr>
          <w:rFonts w:hint="eastAsia" w:ascii="仿宋_GB2312" w:hAnsi="仿宋" w:cs="宋体"/>
          <w:kern w:val="0"/>
          <w:sz w:val="28"/>
          <w:szCs w:val="28"/>
        </w:rPr>
        <w:t>填报单位（加盖公章）：</w:t>
      </w:r>
    </w:p>
    <w:tbl>
      <w:tblPr>
        <w:tblStyle w:val="4"/>
        <w:tblW w:w="13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023"/>
        <w:gridCol w:w="2159"/>
        <w:gridCol w:w="900"/>
        <w:gridCol w:w="4861"/>
        <w:gridCol w:w="1590"/>
        <w:gridCol w:w="147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序号</w:t>
            </w:r>
          </w:p>
        </w:tc>
        <w:tc>
          <w:tcPr>
            <w:tcW w:w="1023"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所在地区（市、县）</w:t>
            </w:r>
          </w:p>
        </w:tc>
        <w:tc>
          <w:tcPr>
            <w:tcW w:w="2159"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参加集中教育</w:t>
            </w:r>
          </w:p>
          <w:p>
            <w:pPr>
              <w:spacing w:line="300" w:lineRule="exact"/>
              <w:jc w:val="center"/>
              <w:rPr>
                <w:rFonts w:hint="eastAsia" w:ascii="黑体" w:hAnsi="黑体" w:eastAsia="黑体"/>
                <w:sz w:val="21"/>
                <w:szCs w:val="21"/>
              </w:rPr>
            </w:pPr>
            <w:r>
              <w:rPr>
                <w:rFonts w:hint="eastAsia" w:ascii="黑体" w:hAnsi="黑体" w:eastAsia="黑体"/>
                <w:sz w:val="21"/>
                <w:szCs w:val="21"/>
              </w:rPr>
              <w:t>的人员姓名</w:t>
            </w:r>
          </w:p>
        </w:tc>
        <w:tc>
          <w:tcPr>
            <w:tcW w:w="90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行业</w:t>
            </w:r>
          </w:p>
          <w:p>
            <w:pPr>
              <w:spacing w:line="300" w:lineRule="exact"/>
              <w:jc w:val="center"/>
              <w:rPr>
                <w:rFonts w:hint="eastAsia" w:ascii="黑体" w:hAnsi="黑体" w:eastAsia="黑体"/>
                <w:sz w:val="21"/>
                <w:szCs w:val="21"/>
              </w:rPr>
            </w:pPr>
            <w:r>
              <w:rPr>
                <w:rFonts w:hint="eastAsia" w:ascii="黑体" w:hAnsi="黑体" w:eastAsia="黑体"/>
                <w:sz w:val="21"/>
                <w:szCs w:val="21"/>
              </w:rPr>
              <w:t>领域</w:t>
            </w:r>
          </w:p>
        </w:tc>
        <w:tc>
          <w:tcPr>
            <w:tcW w:w="4861"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所在单位名称</w:t>
            </w:r>
          </w:p>
        </w:tc>
        <w:tc>
          <w:tcPr>
            <w:tcW w:w="1590"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职务</w:t>
            </w:r>
          </w:p>
        </w:tc>
        <w:tc>
          <w:tcPr>
            <w:tcW w:w="1477"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举办集中教育的单位名称</w:t>
            </w:r>
          </w:p>
        </w:tc>
        <w:tc>
          <w:tcPr>
            <w:tcW w:w="897" w:type="dxa"/>
            <w:noWrap w:val="0"/>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521" w:type="dxa"/>
            <w:noWrap w:val="0"/>
            <w:vAlign w:val="center"/>
          </w:tcPr>
          <w:p>
            <w:pPr>
              <w:spacing w:line="300" w:lineRule="exact"/>
              <w:jc w:val="center"/>
              <w:rPr>
                <w:rFonts w:hint="eastAsia" w:ascii="仿宋_GB2312"/>
                <w:sz w:val="21"/>
                <w:szCs w:val="21"/>
              </w:rPr>
            </w:pPr>
            <w:r>
              <w:rPr>
                <w:rFonts w:hint="eastAsia" w:ascii="仿宋_GB2312"/>
                <w:sz w:val="21"/>
                <w:szCs w:val="21"/>
              </w:rPr>
              <w:t>1</w:t>
            </w:r>
          </w:p>
        </w:tc>
        <w:tc>
          <w:tcPr>
            <w:tcW w:w="1023" w:type="dxa"/>
            <w:noWrap w:val="0"/>
            <w:vAlign w:val="center"/>
          </w:tcPr>
          <w:p>
            <w:pPr>
              <w:spacing w:line="300" w:lineRule="exact"/>
              <w:rPr>
                <w:rFonts w:hint="eastAsia" w:ascii="仿宋_GB2312"/>
                <w:sz w:val="21"/>
                <w:szCs w:val="21"/>
              </w:rPr>
            </w:pPr>
          </w:p>
        </w:tc>
        <w:tc>
          <w:tcPr>
            <w:tcW w:w="2159" w:type="dxa"/>
            <w:noWrap w:val="0"/>
            <w:vAlign w:val="center"/>
          </w:tcPr>
          <w:p>
            <w:pPr>
              <w:spacing w:line="300" w:lineRule="exact"/>
              <w:rPr>
                <w:rFonts w:hint="eastAsia" w:ascii="仿宋_GB2312"/>
                <w:sz w:val="21"/>
                <w:szCs w:val="21"/>
              </w:rPr>
            </w:pPr>
          </w:p>
        </w:tc>
        <w:tc>
          <w:tcPr>
            <w:tcW w:w="900" w:type="dxa"/>
            <w:noWrap w:val="0"/>
            <w:vAlign w:val="top"/>
          </w:tcPr>
          <w:p>
            <w:pPr>
              <w:spacing w:line="300" w:lineRule="exact"/>
              <w:rPr>
                <w:rFonts w:hint="eastAsia" w:ascii="仿宋_GB2312"/>
                <w:sz w:val="21"/>
                <w:szCs w:val="21"/>
              </w:rPr>
            </w:pPr>
          </w:p>
        </w:tc>
        <w:tc>
          <w:tcPr>
            <w:tcW w:w="4861" w:type="dxa"/>
            <w:noWrap w:val="0"/>
            <w:vAlign w:val="center"/>
          </w:tcPr>
          <w:p>
            <w:pPr>
              <w:spacing w:line="300" w:lineRule="exact"/>
              <w:rPr>
                <w:rFonts w:hint="eastAsia" w:ascii="仿宋_GB2312"/>
                <w:sz w:val="21"/>
                <w:szCs w:val="21"/>
              </w:rPr>
            </w:pPr>
          </w:p>
        </w:tc>
        <w:tc>
          <w:tcPr>
            <w:tcW w:w="1590" w:type="dxa"/>
            <w:noWrap w:val="0"/>
            <w:vAlign w:val="top"/>
          </w:tcPr>
          <w:p>
            <w:pPr>
              <w:spacing w:line="300" w:lineRule="exact"/>
              <w:rPr>
                <w:rFonts w:hint="eastAsia" w:ascii="仿宋_GB2312"/>
                <w:sz w:val="21"/>
                <w:szCs w:val="21"/>
              </w:rPr>
            </w:pPr>
          </w:p>
        </w:tc>
        <w:tc>
          <w:tcPr>
            <w:tcW w:w="1477" w:type="dxa"/>
            <w:noWrap w:val="0"/>
            <w:vAlign w:val="top"/>
          </w:tcPr>
          <w:p>
            <w:pPr>
              <w:spacing w:line="300" w:lineRule="exact"/>
              <w:rPr>
                <w:rFonts w:hint="eastAsia" w:ascii="仿宋_GB2312"/>
                <w:sz w:val="21"/>
                <w:szCs w:val="21"/>
              </w:rPr>
            </w:pPr>
          </w:p>
        </w:tc>
        <w:tc>
          <w:tcPr>
            <w:tcW w:w="897"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1" w:type="dxa"/>
            <w:noWrap w:val="0"/>
            <w:vAlign w:val="center"/>
          </w:tcPr>
          <w:p>
            <w:pPr>
              <w:spacing w:line="300" w:lineRule="exact"/>
              <w:jc w:val="center"/>
              <w:rPr>
                <w:rFonts w:hint="eastAsia" w:ascii="仿宋_GB2312"/>
                <w:sz w:val="21"/>
                <w:szCs w:val="21"/>
              </w:rPr>
            </w:pPr>
            <w:r>
              <w:rPr>
                <w:rFonts w:hint="eastAsia" w:ascii="仿宋_GB2312"/>
                <w:sz w:val="21"/>
                <w:szCs w:val="21"/>
              </w:rPr>
              <w:t>2</w:t>
            </w:r>
          </w:p>
        </w:tc>
        <w:tc>
          <w:tcPr>
            <w:tcW w:w="1023" w:type="dxa"/>
            <w:noWrap w:val="0"/>
            <w:vAlign w:val="center"/>
          </w:tcPr>
          <w:p>
            <w:pPr>
              <w:spacing w:line="300" w:lineRule="exact"/>
              <w:rPr>
                <w:rFonts w:hint="eastAsia" w:ascii="仿宋_GB2312"/>
                <w:sz w:val="21"/>
                <w:szCs w:val="21"/>
              </w:rPr>
            </w:pPr>
          </w:p>
        </w:tc>
        <w:tc>
          <w:tcPr>
            <w:tcW w:w="2159" w:type="dxa"/>
            <w:noWrap w:val="0"/>
            <w:vAlign w:val="center"/>
          </w:tcPr>
          <w:p>
            <w:pPr>
              <w:spacing w:line="300" w:lineRule="exact"/>
              <w:rPr>
                <w:rFonts w:hint="eastAsia" w:ascii="仿宋_GB2312"/>
                <w:sz w:val="21"/>
                <w:szCs w:val="21"/>
              </w:rPr>
            </w:pPr>
          </w:p>
        </w:tc>
        <w:tc>
          <w:tcPr>
            <w:tcW w:w="900" w:type="dxa"/>
            <w:noWrap w:val="0"/>
            <w:vAlign w:val="top"/>
          </w:tcPr>
          <w:p>
            <w:pPr>
              <w:spacing w:line="300" w:lineRule="exact"/>
              <w:rPr>
                <w:rFonts w:hint="eastAsia" w:ascii="仿宋_GB2312"/>
                <w:sz w:val="21"/>
                <w:szCs w:val="21"/>
              </w:rPr>
            </w:pPr>
          </w:p>
        </w:tc>
        <w:tc>
          <w:tcPr>
            <w:tcW w:w="4861" w:type="dxa"/>
            <w:noWrap w:val="0"/>
            <w:vAlign w:val="center"/>
          </w:tcPr>
          <w:p>
            <w:pPr>
              <w:spacing w:line="300" w:lineRule="exact"/>
              <w:rPr>
                <w:rFonts w:hint="eastAsia" w:ascii="仿宋_GB2312"/>
                <w:sz w:val="21"/>
                <w:szCs w:val="21"/>
              </w:rPr>
            </w:pPr>
          </w:p>
        </w:tc>
        <w:tc>
          <w:tcPr>
            <w:tcW w:w="1590" w:type="dxa"/>
            <w:noWrap w:val="0"/>
            <w:vAlign w:val="top"/>
          </w:tcPr>
          <w:p>
            <w:pPr>
              <w:spacing w:line="300" w:lineRule="exact"/>
              <w:rPr>
                <w:rFonts w:hint="eastAsia" w:ascii="仿宋_GB2312"/>
                <w:sz w:val="21"/>
                <w:szCs w:val="21"/>
              </w:rPr>
            </w:pPr>
          </w:p>
        </w:tc>
        <w:tc>
          <w:tcPr>
            <w:tcW w:w="1477" w:type="dxa"/>
            <w:noWrap w:val="0"/>
            <w:vAlign w:val="top"/>
          </w:tcPr>
          <w:p>
            <w:pPr>
              <w:spacing w:line="300" w:lineRule="exact"/>
              <w:rPr>
                <w:rFonts w:hint="eastAsia" w:ascii="仿宋_GB2312"/>
                <w:sz w:val="21"/>
                <w:szCs w:val="21"/>
              </w:rPr>
            </w:pPr>
          </w:p>
        </w:tc>
        <w:tc>
          <w:tcPr>
            <w:tcW w:w="897" w:type="dxa"/>
            <w:noWrap w:val="0"/>
            <w:vAlign w:val="top"/>
          </w:tcPr>
          <w:p>
            <w:pPr>
              <w:spacing w:line="300" w:lineRule="exact"/>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1" w:type="dxa"/>
            <w:noWrap w:val="0"/>
            <w:vAlign w:val="center"/>
          </w:tcPr>
          <w:p>
            <w:pPr>
              <w:spacing w:line="300" w:lineRule="exact"/>
              <w:jc w:val="center"/>
              <w:rPr>
                <w:rFonts w:hint="eastAsia" w:ascii="仿宋_GB2312"/>
                <w:sz w:val="21"/>
                <w:szCs w:val="21"/>
              </w:rPr>
            </w:pPr>
            <w:r>
              <w:rPr>
                <w:rFonts w:hint="eastAsia" w:ascii="仿宋_GB2312"/>
                <w:sz w:val="21"/>
                <w:szCs w:val="21"/>
              </w:rPr>
              <w:t>…</w:t>
            </w:r>
          </w:p>
        </w:tc>
        <w:tc>
          <w:tcPr>
            <w:tcW w:w="1023" w:type="dxa"/>
            <w:noWrap w:val="0"/>
            <w:vAlign w:val="center"/>
          </w:tcPr>
          <w:p>
            <w:pPr>
              <w:spacing w:line="300" w:lineRule="exact"/>
              <w:rPr>
                <w:rFonts w:hint="eastAsia" w:ascii="仿宋_GB2312"/>
                <w:sz w:val="21"/>
                <w:szCs w:val="21"/>
              </w:rPr>
            </w:pPr>
          </w:p>
        </w:tc>
        <w:tc>
          <w:tcPr>
            <w:tcW w:w="2159" w:type="dxa"/>
            <w:noWrap w:val="0"/>
            <w:vAlign w:val="center"/>
          </w:tcPr>
          <w:p>
            <w:pPr>
              <w:spacing w:line="300" w:lineRule="exact"/>
              <w:rPr>
                <w:rFonts w:hint="eastAsia" w:ascii="仿宋_GB2312"/>
                <w:sz w:val="21"/>
                <w:szCs w:val="21"/>
              </w:rPr>
            </w:pPr>
          </w:p>
        </w:tc>
        <w:tc>
          <w:tcPr>
            <w:tcW w:w="900" w:type="dxa"/>
            <w:noWrap w:val="0"/>
            <w:vAlign w:val="top"/>
          </w:tcPr>
          <w:p>
            <w:pPr>
              <w:spacing w:line="300" w:lineRule="exact"/>
              <w:rPr>
                <w:rFonts w:hint="eastAsia" w:ascii="仿宋_GB2312"/>
                <w:sz w:val="21"/>
                <w:szCs w:val="21"/>
              </w:rPr>
            </w:pPr>
          </w:p>
        </w:tc>
        <w:tc>
          <w:tcPr>
            <w:tcW w:w="4861" w:type="dxa"/>
            <w:noWrap w:val="0"/>
            <w:vAlign w:val="center"/>
          </w:tcPr>
          <w:p>
            <w:pPr>
              <w:spacing w:line="300" w:lineRule="exact"/>
              <w:rPr>
                <w:rFonts w:hint="eastAsia" w:ascii="仿宋_GB2312"/>
                <w:sz w:val="21"/>
                <w:szCs w:val="21"/>
              </w:rPr>
            </w:pPr>
          </w:p>
        </w:tc>
        <w:tc>
          <w:tcPr>
            <w:tcW w:w="1590" w:type="dxa"/>
            <w:noWrap w:val="0"/>
            <w:vAlign w:val="top"/>
          </w:tcPr>
          <w:p>
            <w:pPr>
              <w:spacing w:line="300" w:lineRule="exact"/>
              <w:rPr>
                <w:rFonts w:hint="eastAsia" w:ascii="仿宋_GB2312"/>
                <w:sz w:val="21"/>
                <w:szCs w:val="21"/>
              </w:rPr>
            </w:pPr>
          </w:p>
        </w:tc>
        <w:tc>
          <w:tcPr>
            <w:tcW w:w="1477" w:type="dxa"/>
            <w:noWrap w:val="0"/>
            <w:vAlign w:val="top"/>
          </w:tcPr>
          <w:p>
            <w:pPr>
              <w:spacing w:line="300" w:lineRule="exact"/>
              <w:rPr>
                <w:rFonts w:hint="eastAsia" w:ascii="仿宋_GB2312"/>
                <w:sz w:val="21"/>
                <w:szCs w:val="21"/>
              </w:rPr>
            </w:pPr>
          </w:p>
        </w:tc>
        <w:tc>
          <w:tcPr>
            <w:tcW w:w="897" w:type="dxa"/>
            <w:noWrap w:val="0"/>
            <w:vAlign w:val="top"/>
          </w:tcPr>
          <w:p>
            <w:pPr>
              <w:spacing w:line="300" w:lineRule="exact"/>
              <w:jc w:val="center"/>
              <w:rPr>
                <w:rFonts w:hint="eastAsia" w:ascii="仿宋_GB2312"/>
                <w:sz w:val="21"/>
                <w:szCs w:val="21"/>
              </w:rPr>
            </w:pPr>
          </w:p>
        </w:tc>
      </w:tr>
    </w:tbl>
    <w:p>
      <w:pPr>
        <w:rPr>
          <w:rFonts w:hint="eastAsia" w:ascii="仿宋_GB2312" w:hAnsi="宋体" w:eastAsia="仿宋_GB2312" w:cs="宋体"/>
          <w:kern w:val="0"/>
        </w:rPr>
      </w:pPr>
      <w:r>
        <w:rPr>
          <w:rFonts w:hint="eastAsia" w:ascii="仿宋_GB2312" w:hAnsi="宋体" w:eastAsia="仿宋_GB2312" w:cs="宋体"/>
          <w:kern w:val="0"/>
        </w:rPr>
        <w:t>填报人：              联系电话：                         填报日期：2019年4月   日</w:t>
      </w:r>
    </w:p>
    <w:p>
      <w:pPr>
        <w:rPr>
          <w:rFonts w:hint="eastAsia" w:ascii="仿宋_GB2312" w:hAnsi="宋体" w:eastAsia="仿宋_GB2312" w:cs="宋体"/>
          <w:kern w:val="0"/>
        </w:rPr>
      </w:pPr>
    </w:p>
    <w:p>
      <w:pPr>
        <w:rPr>
          <w:rFonts w:hint="eastAsia" w:ascii="仿宋_GB2312" w:hAnsi="宋体" w:eastAsia="仿宋_GB2312" w:cs="宋体"/>
          <w:kern w:val="0"/>
        </w:rPr>
      </w:pPr>
      <w:r>
        <w:rPr>
          <w:rFonts w:hint="eastAsia" w:ascii="仿宋_GB2312" w:hAnsi="宋体" w:eastAsia="仿宋_GB2312" w:cs="宋体"/>
          <w:kern w:val="0"/>
        </w:rPr>
        <w:t>说明：1.行业领域填写危险化学品、煤矿、非煤矿山、消防、其它共五类。</w:t>
      </w:r>
    </w:p>
    <w:p>
      <w:pPr>
        <w:rPr>
          <w:rFonts w:ascii="仿宋_GB2312" w:hAnsi="宋体" w:cs="宋体"/>
          <w:kern w:val="0"/>
        </w:rPr>
        <w:sectPr>
          <w:footerReference r:id="rId6" w:type="default"/>
          <w:footerReference r:id="rId7" w:type="even"/>
          <w:pgSz w:w="16838" w:h="11906" w:orient="landscape"/>
          <w:pgMar w:top="1701" w:right="1701" w:bottom="1701" w:left="1701" w:header="851" w:footer="992" w:gutter="0"/>
          <w:pgNumType w:fmt="numberInDash"/>
          <w:cols w:space="720" w:num="1"/>
          <w:docGrid w:type="lines" w:linePitch="610" w:charSpace="-3336"/>
        </w:sectPr>
      </w:pPr>
      <w:r>
        <w:rPr>
          <w:rFonts w:hint="eastAsia" w:ascii="仿宋_GB2312" w:hAnsi="宋体" w:eastAsia="仿宋_GB2312" w:cs="宋体"/>
          <w:kern w:val="0"/>
        </w:rPr>
        <w:t xml:space="preserve">      2.职务栏填写参加集中教育人员所在单位担任的职务</w:t>
      </w:r>
    </w:p>
    <w:p>
      <w:pPr>
        <w:rPr>
          <w:rFonts w:hint="eastAsia" w:ascii="仿宋_GB2312"/>
        </w:rPr>
      </w:pPr>
    </w:p>
    <w:p>
      <w:pPr>
        <w:rPr>
          <w:rFonts w:hint="eastAsia" w:ascii="仿宋_GB2312"/>
        </w:rPr>
      </w:pPr>
    </w:p>
    <w:p>
      <w:pPr>
        <w:rPr>
          <w:rFonts w:hint="eastAsia" w:ascii="仿宋_GB2312"/>
        </w:rPr>
      </w:pPr>
    </w:p>
    <w:p>
      <w:pPr>
        <w:spacing w:line="600" w:lineRule="exact"/>
        <w:rPr>
          <w:rFonts w:hint="eastAsia" w:ascii="方正小标宋简体" w:eastAsia="方正小标宋简体"/>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tbl>
      <w:tblPr>
        <w:tblStyle w:val="4"/>
        <w:tblpPr w:leftFromText="180" w:rightFromText="180" w:vertAnchor="text" w:horzAnchor="page" w:tblpX="1225" w:tblpY="1647"/>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0" w:type="dxa"/>
            <w:tcBorders>
              <w:left w:val="nil"/>
              <w:right w:val="nil"/>
            </w:tcBorders>
            <w:noWrap w:val="0"/>
            <w:vAlign w:val="top"/>
          </w:tcPr>
          <w:p>
            <w:pPr>
              <w:wordWrap w:val="0"/>
              <w:spacing w:line="500" w:lineRule="exact"/>
              <w:rPr>
                <w:rFonts w:hint="eastAsia" w:ascii="仿宋_GB2312" w:hAnsi="宋体" w:eastAsia="仿宋_GB2312" w:cs="仿宋_GB2312"/>
                <w:sz w:val="30"/>
                <w:szCs w:val="30"/>
                <w:lang w:val="en-US" w:eastAsia="zh-CN"/>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夏阳乡党政办公室</w:t>
            </w:r>
            <w:r>
              <w:rPr>
                <w:rFonts w:ascii="仿宋_GB2312" w:hAnsi="宋体" w:eastAsia="仿宋_GB2312" w:cs="仿宋_GB2312"/>
                <w:sz w:val="30"/>
                <w:szCs w:val="30"/>
              </w:rPr>
              <w:t xml:space="preserve">            </w:t>
            </w:r>
            <w:r>
              <w:rPr>
                <w:rFonts w:hint="eastAsia" w:ascii="仿宋_GB2312" w:hAnsi="宋体" w:eastAsia="仿宋_GB2312" w:cs="仿宋_GB2312"/>
                <w:sz w:val="30"/>
                <w:szCs w:val="30"/>
                <w:lang w:val="en-US" w:eastAsia="zh-CN"/>
              </w:rPr>
              <w:t xml:space="preserve">        </w:t>
            </w:r>
            <w:r>
              <w:rPr>
                <w:rFonts w:ascii="仿宋_GB2312" w:hAnsi="宋体" w:eastAsia="仿宋_GB2312" w:cs="仿宋_GB2312"/>
                <w:sz w:val="30"/>
                <w:szCs w:val="30"/>
              </w:rPr>
              <w:t xml:space="preserve">    20</w:t>
            </w:r>
            <w:r>
              <w:rPr>
                <w:rFonts w:hint="eastAsia" w:ascii="仿宋_GB2312" w:hAnsi="宋体" w:eastAsia="仿宋_GB2312" w:cs="仿宋_GB2312"/>
                <w:sz w:val="30"/>
                <w:szCs w:val="30"/>
                <w:lang w:val="en-US" w:eastAsia="zh-CN"/>
              </w:rPr>
              <w:t>19</w:t>
            </w:r>
            <w:r>
              <w:rPr>
                <w:rFonts w:hint="eastAsia" w:ascii="仿宋_GB2312" w:hAnsi="宋体" w:eastAsia="仿宋_GB2312" w:cs="仿宋_GB2312"/>
                <w:sz w:val="30"/>
                <w:szCs w:val="30"/>
              </w:rPr>
              <w:t>年</w:t>
            </w:r>
            <w:r>
              <w:rPr>
                <w:rFonts w:hint="eastAsia" w:ascii="仿宋_GB2312" w:hAnsi="宋体" w:eastAsia="仿宋_GB2312" w:cs="仿宋_GB2312"/>
                <w:sz w:val="30"/>
                <w:szCs w:val="30"/>
                <w:lang w:val="en-US" w:eastAsia="zh-CN"/>
              </w:rPr>
              <w:t>4</w:t>
            </w:r>
            <w:r>
              <w:rPr>
                <w:rFonts w:hint="eastAsia" w:ascii="仿宋_GB2312" w:hAnsi="宋体" w:eastAsia="仿宋_GB2312" w:cs="仿宋_GB2312"/>
                <w:sz w:val="30"/>
                <w:szCs w:val="30"/>
              </w:rPr>
              <w:t>月</w:t>
            </w:r>
            <w:r>
              <w:rPr>
                <w:rFonts w:hint="eastAsia" w:ascii="仿宋_GB2312" w:hAnsi="宋体" w:eastAsia="仿宋_GB2312" w:cs="仿宋_GB2312"/>
                <w:sz w:val="30"/>
                <w:szCs w:val="30"/>
                <w:lang w:val="en-US" w:eastAsia="zh-CN"/>
              </w:rPr>
              <w:t>10</w:t>
            </w:r>
            <w:r>
              <w:rPr>
                <w:rFonts w:hint="eastAsia" w:ascii="仿宋_GB2312" w:hAnsi="宋体" w:eastAsia="仿宋_GB2312" w:cs="仿宋_GB2312"/>
                <w:sz w:val="30"/>
                <w:szCs w:val="30"/>
              </w:rPr>
              <w:t>日印发</w:t>
            </w:r>
            <w:r>
              <w:rPr>
                <w:rFonts w:hint="eastAsia" w:ascii="仿宋_GB2312" w:hAnsi="宋体" w:eastAsia="仿宋_GB2312" w:cs="仿宋_GB2312"/>
                <w:sz w:val="30"/>
                <w:szCs w:val="30"/>
                <w:lang w:val="en-US" w:eastAsia="zh-CN"/>
              </w:rPr>
              <w:t xml:space="preserve">  </w:t>
            </w:r>
          </w:p>
        </w:tc>
      </w:tr>
    </w:tbl>
    <w:p>
      <w:pPr>
        <w:spacing w:line="600" w:lineRule="exact"/>
        <w:rPr>
          <w:rFonts w:hint="eastAsia" w:ascii="仿宋_GB2312" w:eastAsia="仿宋_GB2312"/>
          <w:snapToGrid w:val="0"/>
          <w:kern w:val="0"/>
        </w:rPr>
      </w:pPr>
    </w:p>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t>—</w:t>
    </w:r>
    <w:r>
      <w:rPr>
        <w:rStyle w:val="6"/>
        <w:rFonts w:hint="eastAsia"/>
        <w:sz w:val="28"/>
        <w:szCs w:val="28"/>
      </w:rPr>
      <w:t xml:space="preserve"> </w:t>
    </w:r>
    <w:r>
      <w:rPr>
        <w:sz w:val="28"/>
        <w:szCs w:val="28"/>
      </w:rPr>
      <w:fldChar w:fldCharType="begin"/>
    </w:r>
    <w:r>
      <w:rPr>
        <w:rStyle w:val="6"/>
        <w:sz w:val="28"/>
        <w:szCs w:val="28"/>
      </w:rPr>
      <w:instrText xml:space="preserve"> PAGE  \* Arabic </w:instrText>
    </w:r>
    <w:r>
      <w:rPr>
        <w:sz w:val="28"/>
        <w:szCs w:val="28"/>
      </w:rPr>
      <w:fldChar w:fldCharType="separate"/>
    </w:r>
    <w:r>
      <w:rPr>
        <w:rStyle w:val="6"/>
        <w:sz w:val="28"/>
        <w:szCs w:val="28"/>
      </w:rPr>
      <w:t>45</w:t>
    </w:r>
    <w:r>
      <w:rPr>
        <w:sz w:val="28"/>
        <w:szCs w:val="28"/>
      </w:rPr>
      <w:fldChar w:fldCharType="end"/>
    </w:r>
    <w:r>
      <w:rPr>
        <w:rStyle w:val="6"/>
        <w:rFonts w:hint="eastAsia"/>
        <w:sz w:val="28"/>
        <w:szCs w:val="28"/>
      </w:rPr>
      <w:t xml:space="preserve"> </w:t>
    </w:r>
    <w:r>
      <w:rPr>
        <w:rStyle w:val="6"/>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t>—</w:t>
    </w:r>
    <w:r>
      <w:rPr>
        <w:rStyle w:val="6"/>
        <w:rFonts w:hint="eastAsia"/>
        <w:sz w:val="28"/>
        <w:szCs w:val="28"/>
      </w:rPr>
      <w:t xml:space="preserve"> </w:t>
    </w:r>
    <w:r>
      <w:rPr>
        <w:sz w:val="28"/>
        <w:szCs w:val="28"/>
      </w:rPr>
      <w:fldChar w:fldCharType="begin"/>
    </w:r>
    <w:r>
      <w:rPr>
        <w:rStyle w:val="6"/>
        <w:sz w:val="28"/>
        <w:szCs w:val="28"/>
      </w:rPr>
      <w:instrText xml:space="preserve"> PAGE  \* Arabic </w:instrText>
    </w:r>
    <w:r>
      <w:rPr>
        <w:sz w:val="28"/>
        <w:szCs w:val="28"/>
      </w:rPr>
      <w:fldChar w:fldCharType="separate"/>
    </w:r>
    <w:r>
      <w:rPr>
        <w:rStyle w:val="6"/>
        <w:sz w:val="28"/>
        <w:szCs w:val="28"/>
      </w:rPr>
      <w:t>53</w:t>
    </w:r>
    <w:r>
      <w:rPr>
        <w:sz w:val="28"/>
        <w:szCs w:val="28"/>
      </w:rPr>
      <w:fldChar w:fldCharType="end"/>
    </w:r>
    <w:r>
      <w:rPr>
        <w:rStyle w:val="6"/>
        <w:rFonts w:hint="eastAsia"/>
        <w:sz w:val="28"/>
        <w:szCs w:val="28"/>
      </w:rPr>
      <w:t xml:space="preserve"> </w:t>
    </w:r>
    <w:r>
      <w:rPr>
        <w:rStyle w:val="6"/>
        <w:sz w:val="28"/>
        <w:szCs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95769"/>
    <w:rsid w:val="3DB95769"/>
    <w:rsid w:val="6A775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仿宋_GB231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仿宋_GB2312"/>
      <w:sz w:val="18"/>
      <w:szCs w:val="18"/>
    </w:rPr>
  </w:style>
  <w:style w:type="character" w:styleId="6">
    <w:name w:val="page number"/>
    <w:basedOn w:val="5"/>
    <w:qFormat/>
    <w:uiPriority w:val="0"/>
  </w:style>
  <w:style w:type="character" w:customStyle="1" w:styleId="7">
    <w:name w:val="样式 仿宋_GB23121"/>
    <w:uiPriority w:val="0"/>
    <w:rPr>
      <w:rFonts w:ascii="仿宋_GB2312" w:hAns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2019-04-15T03:58:00Z</dcterms:created>
  <dc:creator>绿毛水怪</dc:creator>
  <cp:lastModifiedBy>绿毛水怪</cp:lastModifiedBy>
  <dcterms:modified xsi:type="dcterms:W3CDTF">2019-04-15T04:00:51Z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