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问责曝光工作不力单位（个人）情况表</w:t>
      </w:r>
    </w:p>
    <w:p>
      <w:pPr>
        <w:spacing w:line="600" w:lineRule="exac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72"/>
        <w:gridCol w:w="2051"/>
        <w:gridCol w:w="855"/>
        <w:gridCol w:w="4618"/>
        <w:gridCol w:w="1715"/>
        <w:gridCol w:w="119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被问责曝光的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单位（个人）名称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存在的主要问题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媒体名称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问责曝光日期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</w:rPr>
        <w:t>说明：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1.行业领域填写危险化学品、煤矿、非煤矿山、交通运输、建筑施工、消防、其它共七类。</w:t>
      </w:r>
    </w:p>
    <w:p>
      <w:pPr>
        <w:ind w:firstLine="980" w:firstLineChars="3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2.媒体名称填写公告曝光被问责单位、个人有关情况的媒体全称。</w:t>
      </w: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50B4"/>
    <w:rsid w:val="179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2019-04-15T02:38:00Z</dcterms:created>
  <dc:creator>绿毛水怪</dc:creator>
  <cp:lastModifiedBy>绿毛水怪</cp:lastModifiedBy>
  <dcterms:modified xsi:type="dcterms:W3CDTF">2019-04-15T02:38:29Z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