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专项执法检查</w:t>
      </w:r>
      <w:r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  <w:t>情况统计表</w:t>
      </w:r>
    </w:p>
    <w:p>
      <w:pPr>
        <w:spacing w:line="600" w:lineRule="exact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4"/>
        <w:tblW w:w="14400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721"/>
        <w:gridCol w:w="721"/>
        <w:gridCol w:w="634"/>
        <w:gridCol w:w="721"/>
        <w:gridCol w:w="721"/>
        <w:gridCol w:w="634"/>
        <w:gridCol w:w="721"/>
        <w:gridCol w:w="721"/>
        <w:gridCol w:w="721"/>
        <w:gridCol w:w="721"/>
        <w:gridCol w:w="643"/>
        <w:gridCol w:w="626"/>
        <w:gridCol w:w="706"/>
        <w:gridCol w:w="720"/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415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排查治理隐患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打击严重违法违规行为</w:t>
            </w:r>
          </w:p>
        </w:tc>
        <w:tc>
          <w:tcPr>
            <w:tcW w:w="3432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执法处罚</w:t>
            </w:r>
          </w:p>
        </w:tc>
        <w:tc>
          <w:tcPr>
            <w:tcW w:w="1426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联合惩戒失信单位（个人）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问责曝光工作不力的单位和个人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集中教育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排查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已整治</w:t>
            </w:r>
          </w:p>
        </w:tc>
        <w:tc>
          <w:tcPr>
            <w:tcW w:w="63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整改率</w:t>
            </w:r>
          </w:p>
        </w:tc>
        <w:tc>
          <w:tcPr>
            <w:tcW w:w="20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其中重大隐患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3432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排查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已整治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整改率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关闭取缔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停产整顿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暂扣吊销证照企业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处罚罚款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追究刑事责任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个人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班次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（%）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（起）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spacing w:val="-3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pacing w:val="-3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spacing w:val="-30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(家）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(人)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（次）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合  计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1.危险化学品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2.煤矿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3.非煤矿山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4.交通运输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5.建筑施工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6.消防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8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7.其他行业领域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kern w:val="0"/>
        </w:rPr>
        <w:t>填报人：              联系电话：                      填报日期：</w:t>
      </w:r>
    </w:p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57FB0"/>
    <w:rsid w:val="546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2019-04-15T02:34:00Z</dcterms:created>
  <dc:creator>绿毛水怪</dc:creator>
  <cp:lastModifiedBy>绿毛水怪</cp:lastModifiedBy>
  <dcterms:modified xsi:type="dcterms:W3CDTF">2019-04-15T02:35:53Z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