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baseline"/>
        <w:rPr>
          <w:rFonts w:hint="eastAsia" w:ascii="方正小标宋简体" w:hAnsi="方正小标宋简体" w:eastAsia="方正小标宋简体" w:cs="方正小标宋简体"/>
          <w:i w:val="0"/>
          <w:caps w:val="0"/>
          <w:color w:val="282828"/>
          <w:spacing w:val="0"/>
          <w:sz w:val="44"/>
          <w:szCs w:val="44"/>
          <w:highlight w:val="none"/>
          <w:shd w:val="clear" w:fill="FFFFFF"/>
          <w:vertAlign w:val="baseli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baseline"/>
        <w:rPr>
          <w:rFonts w:hint="eastAsia" w:ascii="方正小标宋简体" w:hAnsi="方正小标宋简体" w:eastAsia="方正小标宋简体" w:cs="方正小标宋简体"/>
          <w:i w:val="0"/>
          <w:caps w:val="0"/>
          <w:color w:val="282828"/>
          <w:spacing w:val="0"/>
          <w:sz w:val="44"/>
          <w:szCs w:val="44"/>
          <w:highlight w:val="none"/>
          <w:shd w:val="clear" w:fill="FFFFFF"/>
          <w:vertAlign w:val="baseline"/>
          <w:lang w:eastAsia="zh-CN"/>
        </w:rPr>
      </w:pPr>
    </w:p>
    <w:p>
      <w:pPr>
        <w:jc w:val="distribute"/>
        <w:rPr>
          <w:rFonts w:hint="eastAsia" w:ascii="方正小标宋简体" w:hAnsi="方正小标宋简体" w:eastAsia="方正小标宋简体" w:cs="方正小标宋简体"/>
          <w:i w:val="0"/>
          <w:caps w:val="0"/>
          <w:color w:val="282828"/>
          <w:spacing w:val="0"/>
          <w:sz w:val="44"/>
          <w:szCs w:val="44"/>
          <w:highlight w:val="none"/>
          <w:shd w:val="clear" w:fill="FFFFFF"/>
          <w:vertAlign w:val="baseline"/>
          <w:lang w:eastAsia="zh-CN"/>
        </w:rPr>
      </w:pPr>
      <w:r>
        <w:rPr>
          <w:rFonts w:hint="eastAsia" w:ascii="方正小标宋简体" w:hAnsi="方正小标宋简体" w:eastAsia="方正小标宋简体" w:cs="方正小标宋简体"/>
          <w:i w:val="0"/>
          <w:caps w:val="0"/>
          <w:color w:val="FF0000"/>
          <w:spacing w:val="0"/>
          <w:sz w:val="84"/>
          <w:szCs w:val="84"/>
          <w:highlight w:val="none"/>
          <w:shd w:val="clear" w:fill="FFFFFF"/>
          <w:vertAlign w:val="baseline"/>
          <w:lang w:eastAsia="zh-CN"/>
        </w:rPr>
        <w:t>明溪县旅游局文件</w:t>
      </w:r>
    </w:p>
    <w:p>
      <w:pPr>
        <w:jc w:val="both"/>
        <w:rPr>
          <w:rFonts w:hint="eastAsia" w:ascii="仿宋" w:hAnsi="仿宋" w:eastAsia="仿宋" w:cs="仿宋"/>
          <w:i w:val="0"/>
          <w:caps w:val="0"/>
          <w:color w:val="282828"/>
          <w:spacing w:val="0"/>
          <w:sz w:val="32"/>
          <w:szCs w:val="32"/>
          <w:highlight w:val="none"/>
          <w:shd w:val="clear" w:fill="FFFFFF"/>
          <w:vertAlign w:val="baseline"/>
          <w:lang w:eastAsia="zh-CN"/>
        </w:rPr>
      </w:pPr>
    </w:p>
    <w:p>
      <w:pPr>
        <w:jc w:val="both"/>
        <w:rPr>
          <w:rFonts w:hint="eastAsia" w:ascii="仿宋" w:hAnsi="仿宋" w:eastAsia="仿宋" w:cs="仿宋"/>
          <w:i w:val="0"/>
          <w:caps w:val="0"/>
          <w:color w:val="282828"/>
          <w:spacing w:val="0"/>
          <w:sz w:val="32"/>
          <w:szCs w:val="32"/>
          <w:highlight w:val="none"/>
          <w:shd w:val="clear" w:fill="FFFFFF"/>
          <w:vertAlign w:val="baseline"/>
          <w:lang w:eastAsia="zh-CN"/>
        </w:rPr>
      </w:pPr>
      <w:bookmarkStart w:id="0" w:name="_GoBack"/>
      <w:bookmarkEnd w:id="0"/>
    </w:p>
    <w:p>
      <w:pPr>
        <w:jc w:val="center"/>
        <w:rPr>
          <w:rFonts w:hint="eastAsia" w:ascii="仿宋" w:hAnsi="仿宋" w:eastAsia="仿宋" w:cs="仿宋"/>
          <w:i w:val="0"/>
          <w:caps w:val="0"/>
          <w:color w:val="282828"/>
          <w:spacing w:val="0"/>
          <w:sz w:val="32"/>
          <w:szCs w:val="32"/>
          <w:highlight w:val="none"/>
          <w:shd w:val="clear" w:fill="FFFFFF"/>
          <w:vertAlign w:val="baseline"/>
          <w:lang w:val="en-US" w:eastAsia="zh-CN"/>
        </w:rPr>
      </w:pPr>
      <w:r>
        <w:rPr>
          <w:rFonts w:hint="eastAsia" w:ascii="仿宋" w:hAnsi="仿宋" w:eastAsia="仿宋" w:cs="仿宋"/>
          <w:i w:val="0"/>
          <w:caps w:val="0"/>
          <w:color w:val="282828"/>
          <w:spacing w:val="0"/>
          <w:sz w:val="32"/>
          <w:szCs w:val="32"/>
          <w:highlight w:val="none"/>
          <w:shd w:val="clear" w:fill="FFFFFF"/>
          <w:vertAlign w:val="baseline"/>
          <w:lang w:eastAsia="zh-CN"/>
        </w:rPr>
        <w:t>明旅﹝</w:t>
      </w:r>
      <w:r>
        <w:rPr>
          <w:rFonts w:hint="eastAsia" w:ascii="仿宋" w:hAnsi="仿宋" w:eastAsia="仿宋" w:cs="仿宋"/>
          <w:i w:val="0"/>
          <w:caps w:val="0"/>
          <w:color w:val="282828"/>
          <w:spacing w:val="0"/>
          <w:sz w:val="32"/>
          <w:szCs w:val="32"/>
          <w:highlight w:val="none"/>
          <w:shd w:val="clear" w:fill="FFFFFF"/>
          <w:vertAlign w:val="baseline"/>
          <w:lang w:val="en-US" w:eastAsia="zh-CN"/>
        </w:rPr>
        <w:t>2018﹞23号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baseline"/>
        <w:rPr>
          <w:rFonts w:hint="eastAsia" w:ascii="方正小标宋简体" w:hAnsi="方正小标宋简体" w:eastAsia="方正小标宋简体" w:cs="方正小标宋简体"/>
          <w:i w:val="0"/>
          <w:caps w:val="0"/>
          <w:color w:val="282828"/>
          <w:spacing w:val="0"/>
          <w:sz w:val="28"/>
          <w:szCs w:val="28"/>
          <w:highlight w:val="none"/>
          <w:shd w:val="clear" w:fill="FFFFFF"/>
          <w:vertAlign w:val="baseline"/>
          <w:lang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165100</wp:posOffset>
                </wp:positionV>
                <wp:extent cx="5486400" cy="0"/>
                <wp:effectExtent l="0" t="19050" r="0" b="19050"/>
                <wp:wrapNone/>
                <wp:docPr id="2" name="直接连接符 2"/>
                <wp:cNvGraphicFramePr/>
                <a:graphic xmlns:a="http://schemas.openxmlformats.org/drawingml/2006/main">
                  <a:graphicData uri="http://schemas.microsoft.com/office/word/2010/wordprocessingShape">
                    <wps:wsp>
                      <wps:cNvCnPr/>
                      <wps:spPr>
                        <a:xfrm>
                          <a:off x="1151255" y="3982720"/>
                          <a:ext cx="548640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pt;margin-top:13pt;height:0pt;width:432pt;z-index:251658240;mso-width-relative:page;mso-height-relative:page;" filled="f" stroked="t" coordsize="21600,21600" o:gfxdata="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TDnUO1QAAAAkBAAAPAAAAAAAAAAEA&#10;IAAAACIAAABkcnMvZG93bnJldi54bWxQSwECFAAUAAAACACHTuJAIInN6tkBAABwAwAADgAAAAAA&#10;AAABACAAAAAkAQAAZHJzL2Uyb0RvYy54bWxQSwUGAAAAAAYABgBZAQAAbwUAAAAA&#10;">
                <v:fill on="f" focussize="0,0"/>
                <v:stroke weight="3pt" color="#FF0000 [3204]" miterlimit="8" joinstyle="miter"/>
                <v:imagedata o:title=""/>
                <o:lock v:ext="edit" aspectratio="f"/>
              </v:line>
            </w:pict>
          </mc:Fallback>
        </mc:AlternateConten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i w:val="0"/>
          <w:caps w:val="0"/>
          <w:color w:val="282828"/>
          <w:spacing w:val="0"/>
          <w:sz w:val="44"/>
          <w:szCs w:val="44"/>
          <w:highlight w:val="none"/>
          <w:shd w:val="clear" w:fill="FFFFFF"/>
          <w:vertAlign w:val="baseline"/>
          <w:lang w:eastAsia="zh-CN"/>
        </w:rPr>
      </w:pPr>
      <w:r>
        <w:rPr>
          <w:rFonts w:hint="eastAsia" w:ascii="方正小标宋简体" w:hAnsi="方正小标宋简体" w:eastAsia="方正小标宋简体" w:cs="方正小标宋简体"/>
          <w:b/>
          <w:bCs/>
          <w:i w:val="0"/>
          <w:caps w:val="0"/>
          <w:color w:val="282828"/>
          <w:spacing w:val="0"/>
          <w:sz w:val="44"/>
          <w:szCs w:val="44"/>
          <w:highlight w:val="none"/>
          <w:shd w:val="clear" w:fill="FFFFFF"/>
          <w:vertAlign w:val="baseline"/>
          <w:lang w:eastAsia="zh-CN"/>
        </w:rPr>
        <w:t>关于印发《明溪县旅游厕所建设管理新三年行动计划（2018-2020）实施方案》的通知</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b/>
          <w:bCs/>
          <w:i w:val="0"/>
          <w:caps w:val="0"/>
          <w:color w:val="282828"/>
          <w:spacing w:val="0"/>
          <w:sz w:val="44"/>
          <w:szCs w:val="44"/>
          <w:highlight w:val="none"/>
          <w:shd w:val="clear" w:fill="FFFFFF"/>
          <w:vertAlign w:val="baseline"/>
          <w:lang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i w:val="0"/>
          <w:caps w:val="0"/>
          <w:color w:val="282828"/>
          <w:spacing w:val="0"/>
          <w:sz w:val="32"/>
          <w:szCs w:val="32"/>
          <w:highlight w:val="none"/>
          <w:shd w:val="clear" w:fill="FFFFFF"/>
          <w:vertAlign w:val="baseline"/>
          <w:lang w:eastAsia="zh-CN"/>
        </w:rPr>
      </w:pPr>
      <w:r>
        <w:rPr>
          <w:rFonts w:hint="eastAsia" w:ascii="仿宋" w:hAnsi="仿宋" w:eastAsia="仿宋" w:cs="仿宋"/>
          <w:i w:val="0"/>
          <w:caps w:val="0"/>
          <w:color w:val="282828"/>
          <w:spacing w:val="0"/>
          <w:sz w:val="32"/>
          <w:szCs w:val="32"/>
          <w:highlight w:val="none"/>
          <w:shd w:val="clear" w:fill="FFFFFF"/>
          <w:vertAlign w:val="baseline"/>
          <w:lang w:eastAsia="zh-CN"/>
        </w:rPr>
        <w:t>局各股室、旅游质量监督所：</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i w:val="0"/>
          <w:caps w:val="0"/>
          <w:color w:val="282828"/>
          <w:spacing w:val="0"/>
          <w:sz w:val="32"/>
          <w:szCs w:val="32"/>
          <w:highlight w:val="none"/>
          <w:shd w:val="clear" w:fill="FFFFFF"/>
          <w:vertAlign w:val="baseline"/>
          <w:lang w:eastAsia="zh-CN"/>
        </w:rPr>
      </w:pPr>
      <w:r>
        <w:rPr>
          <w:rFonts w:hint="eastAsia" w:ascii="仿宋" w:hAnsi="仿宋" w:eastAsia="仿宋" w:cs="仿宋"/>
          <w:i w:val="0"/>
          <w:caps w:val="0"/>
          <w:color w:val="282828"/>
          <w:spacing w:val="0"/>
          <w:sz w:val="32"/>
          <w:szCs w:val="32"/>
          <w:highlight w:val="none"/>
          <w:shd w:val="clear" w:fill="FFFFFF"/>
          <w:vertAlign w:val="baseline"/>
          <w:lang w:eastAsia="zh-CN"/>
        </w:rPr>
        <w:t>现将《明溪县旅游厕所建设管理新三年行动计划（2018-2020）实施方案》印发给你们，请结合日常工作，认真组织实施。</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i w:val="0"/>
          <w:caps w:val="0"/>
          <w:color w:val="282828"/>
          <w:spacing w:val="0"/>
          <w:sz w:val="32"/>
          <w:szCs w:val="32"/>
          <w:highlight w:val="none"/>
          <w:shd w:val="clear" w:fill="FFFFFF"/>
          <w:vertAlign w:val="baseline"/>
          <w:lang w:eastAsia="zh-CN"/>
        </w:rPr>
      </w:pP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rPr>
          <w:rFonts w:hint="eastAsia" w:ascii="仿宋" w:hAnsi="仿宋" w:eastAsia="仿宋" w:cs="仿宋"/>
          <w:i w:val="0"/>
          <w:caps w:val="0"/>
          <w:color w:val="282828"/>
          <w:spacing w:val="0"/>
          <w:sz w:val="32"/>
          <w:szCs w:val="32"/>
          <w:highlight w:val="none"/>
          <w:shd w:val="clear" w:fill="FFFFFF"/>
          <w:vertAlign w:val="baseline"/>
          <w:lang w:eastAsia="zh-CN"/>
        </w:rPr>
      </w:pPr>
      <w:r>
        <w:rPr>
          <w:rFonts w:hint="eastAsia" w:ascii="仿宋" w:hAnsi="仿宋" w:eastAsia="仿宋" w:cs="仿宋"/>
          <w:i w:val="0"/>
          <w:caps w:val="0"/>
          <w:color w:val="282828"/>
          <w:spacing w:val="0"/>
          <w:sz w:val="32"/>
          <w:szCs w:val="32"/>
          <w:highlight w:val="none"/>
          <w:shd w:val="clear" w:fill="FFFFFF"/>
          <w:vertAlign w:val="baseline"/>
          <w:lang w:eastAsia="zh-CN"/>
        </w:rPr>
        <w:t>附件：《明溪县旅游厕所建设管理新三年行动计划（2018-2020）实施方案》</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rPr>
          <w:rFonts w:hint="eastAsia" w:ascii="仿宋" w:hAnsi="仿宋" w:eastAsia="仿宋" w:cs="仿宋"/>
          <w:i w:val="0"/>
          <w:caps w:val="0"/>
          <w:color w:val="282828"/>
          <w:spacing w:val="0"/>
          <w:sz w:val="32"/>
          <w:szCs w:val="32"/>
          <w:highlight w:val="none"/>
          <w:shd w:val="clear" w:fill="FFFFFF"/>
          <w:vertAlign w:val="baseline"/>
          <w:lang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aps w:val="0"/>
          <w:color w:val="282828"/>
          <w:spacing w:val="0"/>
          <w:sz w:val="32"/>
          <w:szCs w:val="32"/>
          <w:highlight w:val="none"/>
          <w:shd w:val="clear" w:fill="FFFFFF"/>
          <w:vertAlign w:val="baseline"/>
          <w:lang w:val="en-US" w:eastAsia="zh-CN"/>
        </w:rPr>
      </w:pPr>
      <w:r>
        <w:rPr>
          <w:rFonts w:hint="eastAsia" w:ascii="仿宋" w:hAnsi="仿宋" w:eastAsia="仿宋" w:cs="仿宋"/>
          <w:i w:val="0"/>
          <w:caps w:val="0"/>
          <w:color w:val="282828"/>
          <w:spacing w:val="0"/>
          <w:sz w:val="32"/>
          <w:szCs w:val="32"/>
          <w:highlight w:val="none"/>
          <w:shd w:val="clear" w:fill="FFFFFF"/>
          <w:vertAlign w:val="baseline"/>
          <w:lang w:val="en-US" w:eastAsia="zh-CN"/>
        </w:rPr>
        <w:t xml:space="preserve">                          明溪县旅游局 </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aps w:val="0"/>
          <w:color w:val="282828"/>
          <w:spacing w:val="0"/>
          <w:sz w:val="32"/>
          <w:szCs w:val="32"/>
          <w:highlight w:val="none"/>
          <w:shd w:val="clear" w:fill="FFFFFF"/>
          <w:vertAlign w:val="baseline"/>
          <w:lang w:val="en-US" w:eastAsia="zh-CN"/>
        </w:rPr>
      </w:pPr>
      <w:r>
        <w:rPr>
          <w:rFonts w:hint="eastAsia" w:ascii="仿宋" w:hAnsi="仿宋" w:eastAsia="仿宋" w:cs="仿宋"/>
          <w:i w:val="0"/>
          <w:caps w:val="0"/>
          <w:color w:val="282828"/>
          <w:spacing w:val="0"/>
          <w:sz w:val="32"/>
          <w:szCs w:val="32"/>
          <w:highlight w:val="none"/>
          <w:shd w:val="clear" w:fill="FFFFFF"/>
          <w:vertAlign w:val="baseline"/>
          <w:lang w:val="en-US" w:eastAsia="zh-CN"/>
        </w:rPr>
        <w:t xml:space="preserve">                           2018年7月31日</w:t>
      </w:r>
    </w:p>
    <w:p>
      <w:pPr>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i w:val="0"/>
          <w:caps w:val="0"/>
          <w:color w:val="282828"/>
          <w:spacing w:val="0"/>
          <w:sz w:val="44"/>
          <w:szCs w:val="44"/>
          <w:highlight w:val="none"/>
          <w:shd w:val="clear" w:fill="FFFFFF"/>
          <w:vertAlign w:val="baseline"/>
          <w:lang w:eastAsia="zh-CN"/>
        </w:rPr>
        <w:br w:type="page"/>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明溪县旅游厕所建设管理</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新三年行动计划（2018-2020）实施方案</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党的十九大精神和习近平总书记关于厕所革命的重要指示，持续推进明溪县旅游厕所革命，有效扩大旅游公共服务供给，根据《福建省旅游厕所建设管理新三年行动计划（2018-2020）》和《明溪县推进“厕所革命”实施方案》，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一、总体思路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习近平新时代中国特色社会主义思想为指导，将旅游“厕所革命”与满足人民群众美好生活向往结合起来，与大力推进全域生态旅游结合起来，与优化以“放心游福建”旅游服务承诺为核心的旅游监管服务体系结合起来，按照“布局合理、功能实用、管理规范、群众满意”的目标，全面提升厕所建设质量与管理服务质量，带动旅游公共服务体系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A级景区、乡村旅游“十镇百村”和露营公园（自驾车营地）为重点，重点开展厕所革命建设、管理服务、科技、文明四大提升行动。其中，力争3A级及以上景区内全部旅游厕所达到AA级标准；四星级以上休闲集镇和特色村至少有一个AA级旅游厕所；其他A级景区、休闲集镇和特色村、露营公园（自驾车营地）的旅游厕所全部达到A级标准。积极推动全县3A级景区和重要旅游场所建设第三卫生间，全县3A级景区至少有一个第三卫生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三、行动任务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（一）“厕所革命”建设提升行动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一是推动厕所建设范围拓展。</w:t>
      </w:r>
      <w:r>
        <w:rPr>
          <w:rFonts w:hint="eastAsia" w:ascii="仿宋" w:hAnsi="仿宋" w:eastAsia="仿宋" w:cs="仿宋"/>
          <w:sz w:val="32"/>
          <w:szCs w:val="32"/>
          <w:lang w:eastAsia="zh-CN"/>
        </w:rPr>
        <w:t>推动旅游厕所建设范围向A级景区、乡村旅游“十镇百村”和露营公园（自驾车营地）等涉旅项目拓展，更大范围的推动旅游“厕所革命”建设，促进旅游公共服务建设均衡发展。</w:t>
      </w:r>
      <w:r>
        <w:rPr>
          <w:rFonts w:hint="eastAsia" w:ascii="仿宋" w:hAnsi="仿宋" w:eastAsia="仿宋" w:cs="仿宋"/>
          <w:b/>
          <w:bCs/>
          <w:sz w:val="32"/>
          <w:szCs w:val="32"/>
          <w:lang w:eastAsia="zh-CN"/>
        </w:rPr>
        <w:t>二是推动厕所标准提升。</w:t>
      </w:r>
      <w:r>
        <w:rPr>
          <w:rFonts w:hint="eastAsia" w:ascii="仿宋" w:hAnsi="仿宋" w:eastAsia="仿宋" w:cs="仿宋"/>
          <w:sz w:val="32"/>
          <w:szCs w:val="32"/>
          <w:lang w:eastAsia="zh-CN"/>
        </w:rPr>
        <w:t>在贯彻执行《旅游厕所质量等级的划分与评定》（GB/T 18973-2016）标准的基础上鼓励有条件的地方根据游客的增量和容量因地制宜进一步提升建设水平。在旅游重大节假日、大型节庆活动期间，鼓励设置移动厕所。</w:t>
      </w:r>
      <w:r>
        <w:rPr>
          <w:rFonts w:hint="eastAsia" w:ascii="仿宋" w:hAnsi="仿宋" w:eastAsia="仿宋" w:cs="仿宋"/>
          <w:b/>
          <w:bCs/>
          <w:sz w:val="32"/>
          <w:szCs w:val="32"/>
          <w:lang w:eastAsia="zh-CN"/>
        </w:rPr>
        <w:t>三是推动厕所建设品质提升。</w:t>
      </w:r>
      <w:r>
        <w:rPr>
          <w:rFonts w:hint="eastAsia" w:ascii="仿宋" w:hAnsi="仿宋" w:eastAsia="仿宋" w:cs="仿宋"/>
          <w:sz w:val="32"/>
          <w:szCs w:val="32"/>
          <w:lang w:eastAsia="zh-CN"/>
        </w:rPr>
        <w:t>厕所建设要提倡实用、避免奢华。要坚持科学规划、合理布局、方便实用、节能节水、保护环境。外部设计注重与周边和城乡整体环境布局协调，尽量体现地域文化特色，设计有创新性；内部配套设施干净整洁，功能齐全，人性化、生态化。重视人文关怀，加快第三卫生间建设步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（二）“厕所革命”管理服务提升行动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一是健全长效管理机制。</w:t>
      </w:r>
      <w:r>
        <w:rPr>
          <w:rFonts w:hint="eastAsia" w:ascii="仿宋" w:hAnsi="仿宋" w:eastAsia="仿宋" w:cs="仿宋"/>
          <w:sz w:val="32"/>
          <w:szCs w:val="32"/>
          <w:lang w:eastAsia="zh-CN"/>
        </w:rPr>
        <w:t>坚持政府统筹、属地管理基本原则，积极推动建立旅游厕所项目“公厕长”负责制，建立健全厕所管理服务长效机制，制定管理服务制度，使厕所管理服务长效运行。</w:t>
      </w:r>
      <w:r>
        <w:rPr>
          <w:rFonts w:hint="eastAsia" w:ascii="仿宋" w:hAnsi="仿宋" w:eastAsia="仿宋" w:cs="仿宋"/>
          <w:b/>
          <w:bCs/>
          <w:sz w:val="32"/>
          <w:szCs w:val="32"/>
          <w:lang w:eastAsia="zh-CN"/>
        </w:rPr>
        <w:t>二是落实日常管理要求。</w:t>
      </w:r>
      <w:r>
        <w:rPr>
          <w:rFonts w:hint="eastAsia" w:ascii="仿宋" w:hAnsi="仿宋" w:eastAsia="仿宋" w:cs="仿宋"/>
          <w:sz w:val="32"/>
          <w:szCs w:val="32"/>
          <w:lang w:eastAsia="zh-CN"/>
        </w:rPr>
        <w:t>将管理责任落实到人头。落实厕所服务保洁质量、安全管理、清运作业等操作规范和巡查记录，标明厕所开放时间、服务电话，接受游客监督。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（三）“厕所革命”科技提升行动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一是提升厕所建设科技水平。</w:t>
      </w:r>
      <w:r>
        <w:rPr>
          <w:rFonts w:hint="eastAsia" w:ascii="仿宋" w:hAnsi="仿宋" w:eastAsia="仿宋" w:cs="仿宋"/>
          <w:sz w:val="32"/>
          <w:szCs w:val="32"/>
          <w:lang w:eastAsia="zh-CN"/>
        </w:rPr>
        <w:t>根据不同地区环境特征，落实《厕所革命技术与设备指南》要求，积极引进推广厕所建设的先进技术，使新建、改扩建旅游厕所符合节水、节能、环保等技术要求。在保证实用性的基础上，鼓励采用先进技术，鼓励使用绿色环保材料。</w:t>
      </w:r>
      <w:r>
        <w:rPr>
          <w:rFonts w:hint="eastAsia" w:ascii="仿宋" w:hAnsi="仿宋" w:eastAsia="仿宋" w:cs="仿宋"/>
          <w:b/>
          <w:bCs/>
          <w:sz w:val="32"/>
          <w:szCs w:val="32"/>
          <w:lang w:eastAsia="zh-CN"/>
        </w:rPr>
        <w:t>二是提升厕所管理科技水平。</w:t>
      </w:r>
      <w:r>
        <w:rPr>
          <w:rFonts w:hint="eastAsia" w:ascii="仿宋" w:hAnsi="仿宋" w:eastAsia="仿宋" w:cs="仿宋"/>
          <w:sz w:val="32"/>
          <w:szCs w:val="32"/>
          <w:lang w:eastAsia="zh-CN"/>
        </w:rPr>
        <w:t>积极探索创新应用“互联网+”信息技术，推广厕所数字地图等管理服务创新手段，加强厕所管理相关大数据分析与运用，实现智能化管理。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（四）“厕所革命”文明提升行动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一是开展文明如厕教育活动。</w:t>
      </w:r>
      <w:r>
        <w:rPr>
          <w:rFonts w:hint="eastAsia" w:ascii="仿宋" w:hAnsi="仿宋" w:eastAsia="仿宋" w:cs="仿宋"/>
          <w:sz w:val="32"/>
          <w:szCs w:val="32"/>
          <w:lang w:eastAsia="zh-CN"/>
        </w:rPr>
        <w:t>深入开展游客、群众文明如厕教育，推动文明如厕进景区、进农村，引导广大游客、群众养成自觉爱护厕所设备、保持卫生，培育文明如厕的良好习惯，坚决抵制粗鄙丑陋的如厕行为。</w:t>
      </w:r>
      <w:r>
        <w:rPr>
          <w:rFonts w:hint="eastAsia" w:ascii="仿宋" w:hAnsi="仿宋" w:eastAsia="仿宋" w:cs="仿宋"/>
          <w:b/>
          <w:bCs/>
          <w:sz w:val="32"/>
          <w:szCs w:val="32"/>
          <w:lang w:eastAsia="zh-CN"/>
        </w:rPr>
        <w:t>二是开展厕所公益宣传。</w:t>
      </w:r>
      <w:r>
        <w:rPr>
          <w:rFonts w:hint="eastAsia" w:ascii="仿宋" w:hAnsi="仿宋" w:eastAsia="仿宋" w:cs="仿宋"/>
          <w:sz w:val="32"/>
          <w:szCs w:val="32"/>
          <w:lang w:eastAsia="zh-CN"/>
        </w:rPr>
        <w:t>积极组织开展“厕所革命”公益宣传活动，配合深入开展“百城万众厕所文明大行动”，在“世界厕所日”“中国旅游日”“五一”“十一”等重点时间窗口，在游客集中场所进行文明如厕宣传。</w:t>
      </w:r>
      <w:r>
        <w:rPr>
          <w:rFonts w:hint="eastAsia" w:ascii="仿宋" w:hAnsi="仿宋" w:eastAsia="仿宋" w:cs="仿宋"/>
          <w:b/>
          <w:bCs/>
          <w:sz w:val="32"/>
          <w:szCs w:val="32"/>
          <w:lang w:eastAsia="zh-CN"/>
        </w:rPr>
        <w:t>三是开展志愿服务活动。</w:t>
      </w:r>
      <w:r>
        <w:rPr>
          <w:rFonts w:hint="eastAsia" w:ascii="仿宋" w:hAnsi="仿宋" w:eastAsia="仿宋" w:cs="仿宋"/>
          <w:sz w:val="32"/>
          <w:szCs w:val="32"/>
          <w:lang w:eastAsia="zh-CN"/>
        </w:rPr>
        <w:t>充分发挥“厕所革命”志愿者的作用，深入景区、乡村旅游点等游客集中场所宣传文明如厕，带动全社会形成积极、健康、向上的厕所文化。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四、行动保障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（一）强化组织保障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深入贯彻落实习近平总书记重要指示，切实把厕所革命作为提升旅游品质和民生福祉的务实之举。进一步加强对“厕所革命”工作的领导和组织，推动健全各级协调领导机构，强化党政领导对厕所建设领导力度。县旅游局作为责任主体，负责督促宾馆、旅游景点景区等旅游厕所的建设管理，指导督促各乡镇按照计划抓好旅游厕所建设工作落实，确保新三年行动计划有序推进、取得实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（二）积极落实资金补助政策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积极落实市级相关补助政策：按照新建1座6万、改扩建1座3万的标准补助；明溪作为省级扶贫开发工作重点县的旅游厕所每座增加1万元；4A级及以上旅游景区第三卫生间每座另补助2万元。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（三）强化进度督查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加强对“厕所革命”工作的进度督查，推动落实旅游厕所建设项目月报告制度，对“厕所革命”进展不快、问题较多的地区，限期督促整改。对于厕所因保洁等管理服务方面问题受到投诉的，视情节严重程度，对项目业主采取提醒、约谈改正等措施。将旅游厕所建设管理情况和A级景区、乡村旅游休闲集镇和特色村、等评定事项结合起来，作为评定、检查、考核的重要内容，实行厕所不达标一票否决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（四）强化宣传引导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持续加大宣传力度，把“厕所革命”当作推进旅游文明和社会文明的重要抓手，重点宣传“厕所革命”对于改善人居环境、增进人民福祉的重要意义，加强文明如厕、卫生防病等知识教育，提升公众对“厕所革命”的认知度和参与度。鼓励各界人士为“厕所革命”建言献策，鼓励引导社会各界参与到“厕所革命”中来。为“厕所革命”新三年计划顺利开展营造舆论环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附件：明溪县2018-2020年旅游厕所建设计划表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E1FD8"/>
    <w:rsid w:val="080B6596"/>
    <w:rsid w:val="08A20083"/>
    <w:rsid w:val="0A091B35"/>
    <w:rsid w:val="0ACA2AAD"/>
    <w:rsid w:val="10CB52DE"/>
    <w:rsid w:val="18A64886"/>
    <w:rsid w:val="1A7D6F39"/>
    <w:rsid w:val="1B881401"/>
    <w:rsid w:val="1C2061EC"/>
    <w:rsid w:val="1C4E6030"/>
    <w:rsid w:val="23BC356C"/>
    <w:rsid w:val="24C35EDA"/>
    <w:rsid w:val="27AB45BF"/>
    <w:rsid w:val="29317955"/>
    <w:rsid w:val="2AAF35E7"/>
    <w:rsid w:val="2B352530"/>
    <w:rsid w:val="2F012B7C"/>
    <w:rsid w:val="310E1FD8"/>
    <w:rsid w:val="320E0DA2"/>
    <w:rsid w:val="321A22F4"/>
    <w:rsid w:val="33C42F55"/>
    <w:rsid w:val="34680FE8"/>
    <w:rsid w:val="34CC1651"/>
    <w:rsid w:val="35084498"/>
    <w:rsid w:val="359E1F1B"/>
    <w:rsid w:val="383477D1"/>
    <w:rsid w:val="3A7F3DF9"/>
    <w:rsid w:val="3D053504"/>
    <w:rsid w:val="40820245"/>
    <w:rsid w:val="454168FB"/>
    <w:rsid w:val="45FC6172"/>
    <w:rsid w:val="48904D9B"/>
    <w:rsid w:val="497C443B"/>
    <w:rsid w:val="49DE02C9"/>
    <w:rsid w:val="4E221DE3"/>
    <w:rsid w:val="4ECB0258"/>
    <w:rsid w:val="4F2007BE"/>
    <w:rsid w:val="50BE10F7"/>
    <w:rsid w:val="548051E3"/>
    <w:rsid w:val="588E5700"/>
    <w:rsid w:val="694B42DC"/>
    <w:rsid w:val="6BF6593D"/>
    <w:rsid w:val="6D535020"/>
    <w:rsid w:val="787C2CB0"/>
    <w:rsid w:val="7CA24DE4"/>
    <w:rsid w:val="7FF9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BY-20171123TAOW\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2018-07-30T08:02:00Z</dcterms:created>
  <dc:creator>Administrator</dc:creator>
  <cp:lastModifiedBy>MeloDy丶L_vQ</cp:lastModifiedBy>
  <cp:lastPrinted>2018-08-15T02:49:51Z</cp:lastPrinted>
  <dcterms:modified xsi:type="dcterms:W3CDTF">2018-08-15T02:51:40Z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