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C6E0E">
      <w:pPr>
        <w:adjustRightInd/>
        <w:snapToGrid/>
        <w:spacing w:line="1200" w:lineRule="exact"/>
        <w:ind w:firstLine="0" w:firstLineChars="0"/>
        <w:jc w:val="center"/>
        <w:rPr>
          <w:rFonts w:hint="eastAsia" w:ascii="方正小标宋简体" w:hAnsi="方正小标宋简体" w:eastAsia="方正小标宋简体" w:cs="方正小标宋简体"/>
          <w:color w:val="000000"/>
          <w:kern w:val="2"/>
          <w:sz w:val="52"/>
          <w:szCs w:val="52"/>
          <w:lang w:val="en-US" w:eastAsia="zh-CN" w:bidi="ar-SA"/>
        </w:rPr>
      </w:pPr>
      <w:r>
        <w:rPr>
          <w:rFonts w:hint="eastAsia" w:ascii="方正小标宋简体" w:hAnsi="方正小标宋简体" w:eastAsia="方正小标宋简体" w:cs="方正小标宋简体"/>
          <w:color w:val="000000"/>
          <w:kern w:val="2"/>
          <w:sz w:val="52"/>
          <w:szCs w:val="52"/>
          <w:lang w:val="en-US" w:eastAsia="zh-CN" w:bidi="ar-SA"/>
        </w:rPr>
        <w:t>三明市  明溪县</w:t>
      </w:r>
    </w:p>
    <w:p w14:paraId="17D9CB58">
      <w:pPr>
        <w:adjustRightInd/>
        <w:snapToGrid/>
        <w:spacing w:line="1200" w:lineRule="exact"/>
        <w:ind w:firstLine="0" w:firstLineChars="0"/>
        <w:jc w:val="center"/>
        <w:rPr>
          <w:rFonts w:hint="eastAsia" w:ascii="方正小标宋简体" w:hAnsi="方正小标宋简体" w:eastAsia="方正小标宋简体" w:cs="方正小标宋简体"/>
          <w:color w:val="000000"/>
          <w:kern w:val="2"/>
          <w:sz w:val="52"/>
          <w:szCs w:val="52"/>
          <w:lang w:val="en-US" w:eastAsia="zh-CN" w:bidi="ar-SA"/>
        </w:rPr>
      </w:pPr>
      <w:r>
        <w:rPr>
          <w:rFonts w:hint="eastAsia" w:ascii="方正小标宋简体" w:hAnsi="方正小标宋简体" w:eastAsia="方正小标宋简体" w:cs="方正小标宋简体"/>
          <w:color w:val="000000"/>
          <w:kern w:val="2"/>
          <w:sz w:val="52"/>
          <w:szCs w:val="52"/>
          <w:lang w:val="en-US" w:eastAsia="zh-CN" w:bidi="ar-SA"/>
        </w:rPr>
        <w:t xml:space="preserve"> “十四五”水安全保障规划</w:t>
      </w:r>
    </w:p>
    <w:p w14:paraId="1F0259F5">
      <w:pPr>
        <w:spacing w:line="800" w:lineRule="exact"/>
        <w:ind w:firstLine="0" w:firstLineChars="0"/>
        <w:jc w:val="both"/>
        <w:rPr>
          <w:b/>
          <w:sz w:val="44"/>
        </w:rPr>
      </w:pPr>
    </w:p>
    <w:p w14:paraId="1A73EB66">
      <w:pPr>
        <w:ind w:firstLine="600"/>
        <w:jc w:val="both"/>
      </w:pPr>
    </w:p>
    <w:p w14:paraId="3690F73C">
      <w:pPr>
        <w:ind w:firstLine="600"/>
        <w:jc w:val="both"/>
      </w:pPr>
    </w:p>
    <w:p w14:paraId="6A86C5A9">
      <w:pPr>
        <w:ind w:firstLine="600"/>
        <w:jc w:val="both"/>
      </w:pPr>
    </w:p>
    <w:p w14:paraId="4519C9F4">
      <w:pPr>
        <w:ind w:firstLine="600"/>
        <w:jc w:val="both"/>
      </w:pPr>
    </w:p>
    <w:p w14:paraId="076B423B">
      <w:pPr>
        <w:ind w:left="0" w:leftChars="0" w:firstLine="0" w:firstLineChars="0"/>
        <w:jc w:val="both"/>
      </w:pPr>
    </w:p>
    <w:p w14:paraId="0731EE91">
      <w:pPr>
        <w:ind w:firstLine="600"/>
        <w:jc w:val="both"/>
      </w:pPr>
    </w:p>
    <w:p w14:paraId="48700AC6">
      <w:pPr>
        <w:spacing w:line="240" w:lineRule="auto"/>
        <w:ind w:firstLine="0" w:firstLineChars="0"/>
        <w:jc w:val="both"/>
      </w:pPr>
    </w:p>
    <w:p w14:paraId="769BA33B">
      <w:pPr>
        <w:spacing w:line="240" w:lineRule="auto"/>
        <w:ind w:firstLine="0" w:firstLineChars="0"/>
        <w:jc w:val="both"/>
      </w:pPr>
    </w:p>
    <w:p w14:paraId="06FF9B59">
      <w:pPr>
        <w:spacing w:line="240" w:lineRule="auto"/>
        <w:ind w:firstLine="0" w:firstLineChars="0"/>
        <w:jc w:val="both"/>
      </w:pPr>
    </w:p>
    <w:p w14:paraId="412094AD">
      <w:pPr>
        <w:spacing w:line="240" w:lineRule="auto"/>
        <w:ind w:firstLine="0" w:firstLineChars="0"/>
        <w:jc w:val="both"/>
      </w:pPr>
    </w:p>
    <w:p w14:paraId="7E8BE437">
      <w:pPr>
        <w:spacing w:line="240" w:lineRule="auto"/>
        <w:ind w:firstLine="0" w:firstLineChars="0"/>
        <w:jc w:val="both"/>
      </w:pPr>
    </w:p>
    <w:p w14:paraId="399EF40D">
      <w:pPr>
        <w:pStyle w:val="2"/>
      </w:pPr>
    </w:p>
    <w:p w14:paraId="036F39C5">
      <w:pPr>
        <w:ind w:firstLine="0" w:firstLineChars="0"/>
        <w:jc w:val="center"/>
        <w:rPr>
          <w:rFonts w:hint="eastAsia"/>
          <w:b/>
          <w:sz w:val="36"/>
          <w:szCs w:val="36"/>
        </w:rPr>
      </w:pPr>
    </w:p>
    <w:p w14:paraId="7B013101">
      <w:pPr>
        <w:pStyle w:val="2"/>
        <w:rPr>
          <w:rFonts w:hint="eastAsia"/>
          <w:b/>
          <w:sz w:val="36"/>
          <w:szCs w:val="36"/>
        </w:rPr>
      </w:pPr>
    </w:p>
    <w:p w14:paraId="2AC034DC">
      <w:pPr>
        <w:pStyle w:val="2"/>
        <w:rPr>
          <w:rFonts w:hint="eastAsia"/>
          <w:b/>
          <w:sz w:val="36"/>
          <w:szCs w:val="36"/>
        </w:rPr>
      </w:pPr>
    </w:p>
    <w:p w14:paraId="44DD59B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明溪县水利局</w:t>
      </w:r>
    </w:p>
    <w:p w14:paraId="1338C2C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二〇二二年八月</w:t>
      </w:r>
    </w:p>
    <w:p w14:paraId="65345657">
      <w:pPr>
        <w:ind w:firstLine="0" w:firstLineChars="0"/>
        <w:jc w:val="center"/>
        <w:rPr>
          <w:b/>
          <w:sz w:val="36"/>
          <w:szCs w:val="36"/>
        </w:rPr>
      </w:pPr>
    </w:p>
    <w:p w14:paraId="05FD51C8">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0" w:name="_Toc37_WPSOffice_Type2"/>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0AEC27C0">
      <w:pPr>
        <w:pStyle w:val="2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_Toc29921_WPSOffice_Level1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前    言</w:t>
      </w:r>
      <w:r>
        <w:rPr>
          <w:rFonts w:hint="eastAsia" w:ascii="仿宋_GB2312" w:hAnsi="仿宋_GB2312" w:eastAsia="仿宋_GB2312" w:cs="仿宋_GB2312"/>
          <w:b/>
          <w:bCs/>
          <w:sz w:val="32"/>
          <w:szCs w:val="32"/>
        </w:rPr>
        <w:fldChar w:fldCharType="end"/>
      </w:r>
    </w:p>
    <w:p w14:paraId="4E4245D2">
      <w:pPr>
        <w:pStyle w:val="2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_Toc5373_WPSOffice_Level1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水安全保障现状</w:t>
      </w:r>
      <w:r>
        <w:rPr>
          <w:rFonts w:hint="eastAsia" w:ascii="仿宋_GB2312" w:hAnsi="仿宋_GB2312" w:eastAsia="仿宋_GB2312" w:cs="仿宋_GB2312"/>
          <w:b/>
          <w:bCs/>
          <w:sz w:val="32"/>
          <w:szCs w:val="32"/>
        </w:rPr>
        <w:tab/>
      </w:r>
      <w:bookmarkStart w:id="1" w:name="_Toc5373_WPSOffice_Level1Page"/>
      <w:r>
        <w:rPr>
          <w:rFonts w:hint="eastAsia" w:ascii="仿宋_GB2312" w:hAnsi="仿宋_GB2312" w:eastAsia="仿宋_GB2312" w:cs="仿宋_GB2312"/>
          <w:b/>
          <w:bCs/>
          <w:sz w:val="32"/>
          <w:szCs w:val="32"/>
        </w:rPr>
        <w:t>1</w:t>
      </w:r>
      <w:bookmarkEnd w:id="1"/>
      <w:r>
        <w:rPr>
          <w:rFonts w:hint="eastAsia" w:ascii="仿宋_GB2312" w:hAnsi="仿宋_GB2312" w:eastAsia="仿宋_GB2312" w:cs="仿宋_GB2312"/>
          <w:b/>
          <w:bCs/>
          <w:sz w:val="32"/>
          <w:szCs w:val="32"/>
        </w:rPr>
        <w:fldChar w:fldCharType="end"/>
      </w:r>
    </w:p>
    <w:p w14:paraId="67EC0C7C">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_Toc20652_WPSOffice_Level2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（一）“十三五”时期取得的主要成就</w:t>
      </w:r>
      <w:r>
        <w:rPr>
          <w:rFonts w:hint="eastAsia" w:ascii="仿宋_GB2312" w:hAnsi="仿宋_GB2312" w:eastAsia="仿宋_GB2312" w:cs="仿宋_GB2312"/>
          <w:sz w:val="32"/>
          <w:szCs w:val="32"/>
        </w:rPr>
        <w:tab/>
      </w:r>
      <w:bookmarkStart w:id="2" w:name="_Toc20652_WPSOffice_Level2Page"/>
      <w:r>
        <w:rPr>
          <w:rFonts w:hint="eastAsia" w:ascii="仿宋_GB2312" w:hAnsi="仿宋_GB2312" w:eastAsia="仿宋_GB2312" w:cs="仿宋_GB2312"/>
          <w:sz w:val="32"/>
          <w:szCs w:val="32"/>
        </w:rPr>
        <w:t>1</w:t>
      </w:r>
      <w:bookmarkEnd w:id="2"/>
      <w:r>
        <w:rPr>
          <w:rFonts w:hint="eastAsia" w:ascii="仿宋_GB2312" w:hAnsi="仿宋_GB2312" w:eastAsia="仿宋_GB2312" w:cs="仿宋_GB2312"/>
          <w:sz w:val="32"/>
          <w:szCs w:val="32"/>
        </w:rPr>
        <w:fldChar w:fldCharType="end"/>
      </w:r>
    </w:p>
    <w:p w14:paraId="66E06EAF">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_Toc1484_WPSOffice_Level2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（二）主要指标完成情况</w:t>
      </w:r>
      <w:r>
        <w:rPr>
          <w:rFonts w:hint="eastAsia" w:ascii="仿宋_GB2312" w:hAnsi="仿宋_GB2312" w:eastAsia="仿宋_GB2312" w:cs="仿宋_GB2312"/>
          <w:sz w:val="32"/>
          <w:szCs w:val="32"/>
        </w:rPr>
        <w:tab/>
      </w:r>
      <w:bookmarkStart w:id="3" w:name="_Toc1484_WPSOffice_Level2Page"/>
      <w:r>
        <w:rPr>
          <w:rFonts w:hint="eastAsia" w:ascii="仿宋_GB2312" w:hAnsi="仿宋_GB2312" w:eastAsia="仿宋_GB2312" w:cs="仿宋_GB2312"/>
          <w:sz w:val="32"/>
          <w:szCs w:val="32"/>
        </w:rPr>
        <w:t>10</w:t>
      </w:r>
      <w:bookmarkEnd w:id="3"/>
      <w:r>
        <w:rPr>
          <w:rFonts w:hint="eastAsia" w:ascii="仿宋_GB2312" w:hAnsi="仿宋_GB2312" w:eastAsia="仿宋_GB2312" w:cs="仿宋_GB2312"/>
          <w:sz w:val="32"/>
          <w:szCs w:val="32"/>
        </w:rPr>
        <w:fldChar w:fldCharType="end"/>
      </w:r>
    </w:p>
    <w:p w14:paraId="4DC22FB1">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_Toc14678_WPSOffice_Level2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（三）现状存在的主要问题</w:t>
      </w:r>
      <w:r>
        <w:rPr>
          <w:rFonts w:hint="eastAsia" w:ascii="仿宋_GB2312" w:hAnsi="仿宋_GB2312" w:eastAsia="仿宋_GB2312" w:cs="仿宋_GB2312"/>
          <w:sz w:val="32"/>
          <w:szCs w:val="32"/>
        </w:rPr>
        <w:tab/>
      </w:r>
      <w:bookmarkStart w:id="4" w:name="_Toc14678_WPSOffice_Level2Page"/>
      <w:r>
        <w:rPr>
          <w:rFonts w:hint="eastAsia" w:ascii="仿宋_GB2312" w:hAnsi="仿宋_GB2312" w:eastAsia="仿宋_GB2312" w:cs="仿宋_GB2312"/>
          <w:sz w:val="32"/>
          <w:szCs w:val="32"/>
        </w:rPr>
        <w:t>10</w:t>
      </w:r>
      <w:bookmarkEnd w:id="4"/>
      <w:r>
        <w:rPr>
          <w:rFonts w:hint="eastAsia" w:ascii="仿宋_GB2312" w:hAnsi="仿宋_GB2312" w:eastAsia="仿宋_GB2312" w:cs="仿宋_GB2312"/>
          <w:sz w:val="32"/>
          <w:szCs w:val="32"/>
        </w:rPr>
        <w:fldChar w:fldCharType="end"/>
      </w:r>
    </w:p>
    <w:p w14:paraId="00F7883F">
      <w:pPr>
        <w:pStyle w:val="2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_Toc17317_WPSOffice_Level1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第二章 面临形势</w:t>
      </w:r>
      <w:r>
        <w:rPr>
          <w:rFonts w:hint="eastAsia" w:ascii="仿宋_GB2312" w:hAnsi="仿宋_GB2312" w:eastAsia="仿宋_GB2312" w:cs="仿宋_GB2312"/>
          <w:b/>
          <w:bCs/>
          <w:sz w:val="32"/>
          <w:szCs w:val="32"/>
        </w:rPr>
        <w:tab/>
      </w:r>
      <w:bookmarkStart w:id="5" w:name="_Toc17317_WPSOffice_Level1Page"/>
      <w:r>
        <w:rPr>
          <w:rFonts w:hint="eastAsia" w:ascii="仿宋_GB2312" w:hAnsi="仿宋_GB2312" w:eastAsia="仿宋_GB2312" w:cs="仿宋_GB2312"/>
          <w:b/>
          <w:bCs/>
          <w:sz w:val="32"/>
          <w:szCs w:val="32"/>
        </w:rPr>
        <w:t>15</w:t>
      </w:r>
      <w:bookmarkEnd w:id="5"/>
      <w:r>
        <w:rPr>
          <w:rFonts w:hint="eastAsia" w:ascii="仿宋_GB2312" w:hAnsi="仿宋_GB2312" w:eastAsia="仿宋_GB2312" w:cs="仿宋_GB2312"/>
          <w:b/>
          <w:bCs/>
          <w:sz w:val="32"/>
          <w:szCs w:val="32"/>
        </w:rPr>
        <w:fldChar w:fldCharType="end"/>
      </w:r>
    </w:p>
    <w:p w14:paraId="7D83B856">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_Toc7393_WPSOffice_Level2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（一）新时代治水主要矛盾的深刻变化与治水思路转变对水利发展提出新要求</w:t>
      </w:r>
      <w:r>
        <w:rPr>
          <w:rFonts w:hint="eastAsia" w:ascii="仿宋_GB2312" w:hAnsi="仿宋_GB2312" w:eastAsia="仿宋_GB2312" w:cs="仿宋_GB2312"/>
          <w:sz w:val="32"/>
          <w:szCs w:val="32"/>
        </w:rPr>
        <w:tab/>
      </w:r>
      <w:bookmarkStart w:id="6" w:name="_Toc7393_WPSOffice_Level2Page"/>
      <w:r>
        <w:rPr>
          <w:rFonts w:hint="eastAsia" w:ascii="仿宋_GB2312" w:hAnsi="仿宋_GB2312" w:eastAsia="仿宋_GB2312" w:cs="仿宋_GB2312"/>
          <w:sz w:val="32"/>
          <w:szCs w:val="32"/>
        </w:rPr>
        <w:t>15</w:t>
      </w:r>
      <w:bookmarkEnd w:id="6"/>
      <w:r>
        <w:rPr>
          <w:rFonts w:hint="eastAsia" w:ascii="仿宋_GB2312" w:hAnsi="仿宋_GB2312" w:eastAsia="仿宋_GB2312" w:cs="仿宋_GB2312"/>
          <w:sz w:val="32"/>
          <w:szCs w:val="32"/>
        </w:rPr>
        <w:fldChar w:fldCharType="end"/>
      </w:r>
    </w:p>
    <w:p w14:paraId="3DAF4468">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_Toc13282_WPSOffice_Level2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（二）水利改革发展总基调提出新要求</w:t>
      </w:r>
      <w:r>
        <w:rPr>
          <w:rFonts w:hint="eastAsia" w:ascii="仿宋_GB2312" w:hAnsi="仿宋_GB2312" w:eastAsia="仿宋_GB2312" w:cs="仿宋_GB2312"/>
          <w:sz w:val="32"/>
          <w:szCs w:val="32"/>
        </w:rPr>
        <w:tab/>
      </w:r>
      <w:bookmarkStart w:id="7" w:name="_Toc13282_WPSOffice_Level2Page"/>
      <w:r>
        <w:rPr>
          <w:rFonts w:hint="eastAsia" w:ascii="仿宋_GB2312" w:hAnsi="仿宋_GB2312" w:eastAsia="仿宋_GB2312" w:cs="仿宋_GB2312"/>
          <w:sz w:val="32"/>
          <w:szCs w:val="32"/>
        </w:rPr>
        <w:t>15</w:t>
      </w:r>
      <w:bookmarkEnd w:id="7"/>
      <w:r>
        <w:rPr>
          <w:rFonts w:hint="eastAsia" w:ascii="仿宋_GB2312" w:hAnsi="仿宋_GB2312" w:eastAsia="仿宋_GB2312" w:cs="仿宋_GB2312"/>
          <w:sz w:val="32"/>
          <w:szCs w:val="32"/>
        </w:rPr>
        <w:fldChar w:fldCharType="end"/>
      </w:r>
    </w:p>
    <w:p w14:paraId="108556B4">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_Toc9521_WPSOffice_Level2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（三）新时代支持革命老区振兴发展提出新要求</w:t>
      </w:r>
      <w:r>
        <w:rPr>
          <w:rFonts w:hint="eastAsia" w:ascii="仿宋_GB2312" w:hAnsi="仿宋_GB2312" w:eastAsia="仿宋_GB2312" w:cs="仿宋_GB2312"/>
          <w:sz w:val="32"/>
          <w:szCs w:val="32"/>
        </w:rPr>
        <w:tab/>
      </w:r>
      <w:bookmarkStart w:id="8" w:name="_Toc9521_WPSOffice_Level2Page"/>
      <w:r>
        <w:rPr>
          <w:rFonts w:hint="eastAsia" w:ascii="仿宋_GB2312" w:hAnsi="仿宋_GB2312" w:eastAsia="仿宋_GB2312" w:cs="仿宋_GB2312"/>
          <w:sz w:val="32"/>
          <w:szCs w:val="32"/>
        </w:rPr>
        <w:t>16</w:t>
      </w:r>
      <w:bookmarkEnd w:id="8"/>
      <w:r>
        <w:rPr>
          <w:rFonts w:hint="eastAsia" w:ascii="仿宋_GB2312" w:hAnsi="仿宋_GB2312" w:eastAsia="仿宋_GB2312" w:cs="仿宋_GB2312"/>
          <w:sz w:val="32"/>
          <w:szCs w:val="32"/>
        </w:rPr>
        <w:fldChar w:fldCharType="end"/>
      </w:r>
    </w:p>
    <w:p w14:paraId="7B8D2DAA">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_Toc4863_WPSOffice_Level2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（四）建设国家生态文明试验区提出新要求</w:t>
      </w:r>
      <w:r>
        <w:rPr>
          <w:rFonts w:hint="eastAsia" w:ascii="仿宋_GB2312" w:hAnsi="仿宋_GB2312" w:eastAsia="仿宋_GB2312" w:cs="仿宋_GB2312"/>
          <w:sz w:val="32"/>
          <w:szCs w:val="32"/>
        </w:rPr>
        <w:tab/>
      </w:r>
      <w:bookmarkStart w:id="9" w:name="_Toc4863_WPSOffice_Level2Page"/>
      <w:r>
        <w:rPr>
          <w:rFonts w:hint="eastAsia" w:ascii="仿宋_GB2312" w:hAnsi="仿宋_GB2312" w:eastAsia="仿宋_GB2312" w:cs="仿宋_GB2312"/>
          <w:sz w:val="32"/>
          <w:szCs w:val="32"/>
        </w:rPr>
        <w:t>17</w:t>
      </w:r>
      <w:bookmarkEnd w:id="9"/>
      <w:r>
        <w:rPr>
          <w:rFonts w:hint="eastAsia" w:ascii="仿宋_GB2312" w:hAnsi="仿宋_GB2312" w:eastAsia="仿宋_GB2312" w:cs="仿宋_GB2312"/>
          <w:sz w:val="32"/>
          <w:szCs w:val="32"/>
        </w:rPr>
        <w:fldChar w:fldCharType="end"/>
      </w:r>
    </w:p>
    <w:p w14:paraId="4D2A7949">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_Toc5715_WPSOffice_Level2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（五）明溪县全方位推进高质量发展超越提出新要求</w:t>
      </w:r>
      <w:r>
        <w:rPr>
          <w:rFonts w:hint="eastAsia" w:ascii="仿宋_GB2312" w:hAnsi="仿宋_GB2312" w:eastAsia="仿宋_GB2312" w:cs="仿宋_GB2312"/>
          <w:sz w:val="32"/>
          <w:szCs w:val="32"/>
        </w:rPr>
        <w:tab/>
      </w:r>
      <w:bookmarkStart w:id="10" w:name="_Toc5715_WPSOffice_Level2Page"/>
      <w:r>
        <w:rPr>
          <w:rFonts w:hint="eastAsia" w:ascii="仿宋_GB2312" w:hAnsi="仿宋_GB2312" w:eastAsia="仿宋_GB2312" w:cs="仿宋_GB2312"/>
          <w:sz w:val="32"/>
          <w:szCs w:val="32"/>
        </w:rPr>
        <w:t>18</w:t>
      </w:r>
      <w:bookmarkEnd w:id="10"/>
      <w:r>
        <w:rPr>
          <w:rFonts w:hint="eastAsia" w:ascii="仿宋_GB2312" w:hAnsi="仿宋_GB2312" w:eastAsia="仿宋_GB2312" w:cs="仿宋_GB2312"/>
          <w:sz w:val="32"/>
          <w:szCs w:val="32"/>
        </w:rPr>
        <w:fldChar w:fldCharType="end"/>
      </w:r>
    </w:p>
    <w:p w14:paraId="6CA064EC">
      <w:pPr>
        <w:pStyle w:val="2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_Toc12368_WPSOffice_Level1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第三章  总体要求</w:t>
      </w:r>
      <w:r>
        <w:rPr>
          <w:rFonts w:hint="eastAsia" w:ascii="仿宋_GB2312" w:hAnsi="仿宋_GB2312" w:eastAsia="仿宋_GB2312" w:cs="仿宋_GB2312"/>
          <w:b/>
          <w:bCs/>
          <w:sz w:val="32"/>
          <w:szCs w:val="32"/>
        </w:rPr>
        <w:tab/>
      </w:r>
      <w:bookmarkStart w:id="11" w:name="_Toc12368_WPSOffice_Level1Page"/>
      <w:r>
        <w:rPr>
          <w:rFonts w:hint="eastAsia" w:ascii="仿宋_GB2312" w:hAnsi="仿宋_GB2312" w:eastAsia="仿宋_GB2312" w:cs="仿宋_GB2312"/>
          <w:b/>
          <w:bCs/>
          <w:sz w:val="32"/>
          <w:szCs w:val="32"/>
        </w:rPr>
        <w:t>20</w:t>
      </w:r>
      <w:bookmarkEnd w:id="11"/>
      <w:r>
        <w:rPr>
          <w:rFonts w:hint="eastAsia" w:ascii="仿宋_GB2312" w:hAnsi="仿宋_GB2312" w:eastAsia="仿宋_GB2312" w:cs="仿宋_GB2312"/>
          <w:b/>
          <w:bCs/>
          <w:sz w:val="32"/>
          <w:szCs w:val="32"/>
        </w:rPr>
        <w:fldChar w:fldCharType="end"/>
      </w:r>
    </w:p>
    <w:p w14:paraId="3F2BF7F4">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_Toc6107_WPSOffice_Level2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（一）指导思想</w:t>
      </w:r>
      <w:r>
        <w:rPr>
          <w:rFonts w:hint="eastAsia" w:ascii="仿宋_GB2312" w:hAnsi="仿宋_GB2312" w:eastAsia="仿宋_GB2312" w:cs="仿宋_GB2312"/>
          <w:sz w:val="32"/>
          <w:szCs w:val="32"/>
        </w:rPr>
        <w:tab/>
      </w:r>
      <w:bookmarkStart w:id="12" w:name="_Toc6107_WPSOffice_Level2Page"/>
      <w:r>
        <w:rPr>
          <w:rFonts w:hint="eastAsia" w:ascii="仿宋_GB2312" w:hAnsi="仿宋_GB2312" w:eastAsia="仿宋_GB2312" w:cs="仿宋_GB2312"/>
          <w:sz w:val="32"/>
          <w:szCs w:val="32"/>
        </w:rPr>
        <w:t>20</w:t>
      </w:r>
      <w:bookmarkEnd w:id="12"/>
      <w:r>
        <w:rPr>
          <w:rFonts w:hint="eastAsia" w:ascii="仿宋_GB2312" w:hAnsi="仿宋_GB2312" w:eastAsia="仿宋_GB2312" w:cs="仿宋_GB2312"/>
          <w:sz w:val="32"/>
          <w:szCs w:val="32"/>
        </w:rPr>
        <w:fldChar w:fldCharType="end"/>
      </w:r>
    </w:p>
    <w:p w14:paraId="28A0E874">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_Toc7264_WPSOffice_Level2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（二）基本原则</w:t>
      </w:r>
      <w:r>
        <w:rPr>
          <w:rFonts w:hint="eastAsia" w:ascii="仿宋_GB2312" w:hAnsi="仿宋_GB2312" w:eastAsia="仿宋_GB2312" w:cs="仿宋_GB2312"/>
          <w:sz w:val="32"/>
          <w:szCs w:val="32"/>
        </w:rPr>
        <w:tab/>
      </w:r>
      <w:bookmarkStart w:id="13" w:name="_Toc7264_WPSOffice_Level2Page"/>
      <w:r>
        <w:rPr>
          <w:rFonts w:hint="eastAsia" w:ascii="仿宋_GB2312" w:hAnsi="仿宋_GB2312" w:eastAsia="仿宋_GB2312" w:cs="仿宋_GB2312"/>
          <w:sz w:val="32"/>
          <w:szCs w:val="32"/>
        </w:rPr>
        <w:t>20</w:t>
      </w:r>
      <w:bookmarkEnd w:id="13"/>
      <w:r>
        <w:rPr>
          <w:rFonts w:hint="eastAsia" w:ascii="仿宋_GB2312" w:hAnsi="仿宋_GB2312" w:eastAsia="仿宋_GB2312" w:cs="仿宋_GB2312"/>
          <w:sz w:val="32"/>
          <w:szCs w:val="32"/>
        </w:rPr>
        <w:fldChar w:fldCharType="end"/>
      </w:r>
    </w:p>
    <w:p w14:paraId="5E99236E">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_Toc2639_WPSOffice_Level2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（三）发展目标</w:t>
      </w:r>
      <w:r>
        <w:rPr>
          <w:rFonts w:hint="eastAsia" w:ascii="仿宋_GB2312" w:hAnsi="仿宋_GB2312" w:eastAsia="仿宋_GB2312" w:cs="仿宋_GB2312"/>
          <w:sz w:val="32"/>
          <w:szCs w:val="32"/>
        </w:rPr>
        <w:tab/>
      </w:r>
      <w:bookmarkStart w:id="14" w:name="_Toc2639_WPSOffice_Level2Page"/>
      <w:r>
        <w:rPr>
          <w:rFonts w:hint="eastAsia" w:ascii="仿宋_GB2312" w:hAnsi="仿宋_GB2312" w:eastAsia="仿宋_GB2312" w:cs="仿宋_GB2312"/>
          <w:sz w:val="32"/>
          <w:szCs w:val="32"/>
        </w:rPr>
        <w:t>22</w:t>
      </w:r>
      <w:bookmarkEnd w:id="14"/>
      <w:r>
        <w:rPr>
          <w:rFonts w:hint="eastAsia" w:ascii="仿宋_GB2312" w:hAnsi="仿宋_GB2312" w:eastAsia="仿宋_GB2312" w:cs="仿宋_GB2312"/>
          <w:sz w:val="32"/>
          <w:szCs w:val="32"/>
        </w:rPr>
        <w:fldChar w:fldCharType="end"/>
      </w:r>
    </w:p>
    <w:p w14:paraId="573018DE">
      <w:pPr>
        <w:pStyle w:val="2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_Toc1854_WPSOffice_Level1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第四章 主要任务</w:t>
      </w:r>
      <w:r>
        <w:rPr>
          <w:rFonts w:hint="eastAsia" w:ascii="仿宋_GB2312" w:hAnsi="仿宋_GB2312" w:eastAsia="仿宋_GB2312" w:cs="仿宋_GB2312"/>
          <w:b/>
          <w:bCs/>
          <w:sz w:val="32"/>
          <w:szCs w:val="32"/>
        </w:rPr>
        <w:tab/>
      </w:r>
      <w:bookmarkStart w:id="15" w:name="_Toc1854_WPSOffice_Level1Page"/>
      <w:r>
        <w:rPr>
          <w:rFonts w:hint="eastAsia" w:ascii="仿宋_GB2312" w:hAnsi="仿宋_GB2312" w:eastAsia="仿宋_GB2312" w:cs="仿宋_GB2312"/>
          <w:b/>
          <w:bCs/>
          <w:sz w:val="32"/>
          <w:szCs w:val="32"/>
        </w:rPr>
        <w:t>26</w:t>
      </w:r>
      <w:bookmarkEnd w:id="15"/>
      <w:r>
        <w:rPr>
          <w:rFonts w:hint="eastAsia" w:ascii="仿宋_GB2312" w:hAnsi="仿宋_GB2312" w:eastAsia="仿宋_GB2312" w:cs="仿宋_GB2312"/>
          <w:b/>
          <w:bCs/>
          <w:sz w:val="32"/>
          <w:szCs w:val="32"/>
        </w:rPr>
        <w:fldChar w:fldCharType="end"/>
      </w:r>
    </w:p>
    <w:p w14:paraId="4BAFD20A">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_Toc20657_WPSOffice_Level2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（一）补齐短板，构建安全可靠的基础设施体系</w:t>
      </w:r>
      <w:r>
        <w:rPr>
          <w:rFonts w:hint="eastAsia" w:ascii="仿宋_GB2312" w:hAnsi="仿宋_GB2312" w:eastAsia="仿宋_GB2312" w:cs="仿宋_GB2312"/>
          <w:sz w:val="32"/>
          <w:szCs w:val="32"/>
        </w:rPr>
        <w:tab/>
      </w:r>
      <w:bookmarkStart w:id="16" w:name="_Toc20657_WPSOffice_Level2Page"/>
      <w:r>
        <w:rPr>
          <w:rFonts w:hint="eastAsia" w:ascii="仿宋_GB2312" w:hAnsi="仿宋_GB2312" w:eastAsia="仿宋_GB2312" w:cs="仿宋_GB2312"/>
          <w:sz w:val="32"/>
          <w:szCs w:val="32"/>
        </w:rPr>
        <w:t>26</w:t>
      </w:r>
      <w:bookmarkEnd w:id="16"/>
      <w:r>
        <w:rPr>
          <w:rFonts w:hint="eastAsia" w:ascii="仿宋_GB2312" w:hAnsi="仿宋_GB2312" w:eastAsia="仿宋_GB2312" w:cs="仿宋_GB2312"/>
          <w:sz w:val="32"/>
          <w:szCs w:val="32"/>
        </w:rPr>
        <w:fldChar w:fldCharType="end"/>
      </w:r>
    </w:p>
    <w:p w14:paraId="591A2A82">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_Toc13894_WPSOffice_Level2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（二）点面结合，构建管用高效的行业监管体系</w:t>
      </w:r>
      <w:r>
        <w:rPr>
          <w:rFonts w:hint="eastAsia" w:ascii="仿宋_GB2312" w:hAnsi="仿宋_GB2312" w:eastAsia="仿宋_GB2312" w:cs="仿宋_GB2312"/>
          <w:sz w:val="32"/>
          <w:szCs w:val="32"/>
        </w:rPr>
        <w:tab/>
      </w:r>
      <w:bookmarkStart w:id="17" w:name="_Toc13894_WPSOffice_Level2Page"/>
      <w:r>
        <w:rPr>
          <w:rFonts w:hint="eastAsia" w:ascii="仿宋_GB2312" w:hAnsi="仿宋_GB2312" w:eastAsia="仿宋_GB2312" w:cs="仿宋_GB2312"/>
          <w:sz w:val="32"/>
          <w:szCs w:val="32"/>
        </w:rPr>
        <w:t>34</w:t>
      </w:r>
      <w:bookmarkEnd w:id="17"/>
      <w:r>
        <w:rPr>
          <w:rFonts w:hint="eastAsia" w:ascii="仿宋_GB2312" w:hAnsi="仿宋_GB2312" w:eastAsia="仿宋_GB2312" w:cs="仿宋_GB2312"/>
          <w:sz w:val="32"/>
          <w:szCs w:val="32"/>
        </w:rPr>
        <w:fldChar w:fldCharType="end"/>
      </w:r>
    </w:p>
    <w:p w14:paraId="138039EC">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_Toc30639_WPSOffice_Level2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（三）提升能力，推动治水管水水平提档升级</w:t>
      </w:r>
      <w:r>
        <w:rPr>
          <w:rFonts w:hint="eastAsia" w:ascii="仿宋_GB2312" w:hAnsi="仿宋_GB2312" w:eastAsia="仿宋_GB2312" w:cs="仿宋_GB2312"/>
          <w:sz w:val="32"/>
          <w:szCs w:val="32"/>
        </w:rPr>
        <w:tab/>
      </w:r>
      <w:bookmarkStart w:id="18" w:name="_Toc30639_WPSOffice_Level2Page"/>
      <w:r>
        <w:rPr>
          <w:rFonts w:hint="eastAsia" w:ascii="仿宋_GB2312" w:hAnsi="仿宋_GB2312" w:eastAsia="仿宋_GB2312" w:cs="仿宋_GB2312"/>
          <w:sz w:val="32"/>
          <w:szCs w:val="32"/>
        </w:rPr>
        <w:t>36</w:t>
      </w:r>
      <w:bookmarkEnd w:id="18"/>
      <w:r>
        <w:rPr>
          <w:rFonts w:hint="eastAsia" w:ascii="仿宋_GB2312" w:hAnsi="仿宋_GB2312" w:eastAsia="仿宋_GB2312" w:cs="仿宋_GB2312"/>
          <w:sz w:val="32"/>
          <w:szCs w:val="32"/>
        </w:rPr>
        <w:fldChar w:fldCharType="end"/>
      </w:r>
    </w:p>
    <w:p w14:paraId="4CB2C2CD">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_Toc29994_WPSOffice_Level2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（四）多边发力，推动水安全保障项目与行业能力建设</w:t>
      </w:r>
      <w:r>
        <w:rPr>
          <w:rFonts w:hint="eastAsia" w:ascii="仿宋_GB2312" w:hAnsi="仿宋_GB2312" w:eastAsia="仿宋_GB2312" w:cs="仿宋_GB2312"/>
          <w:sz w:val="32"/>
          <w:szCs w:val="32"/>
        </w:rPr>
        <w:tab/>
      </w:r>
      <w:bookmarkStart w:id="19" w:name="_Toc29994_WPSOffice_Level2Page"/>
      <w:r>
        <w:rPr>
          <w:rFonts w:hint="eastAsia" w:ascii="仿宋_GB2312" w:hAnsi="仿宋_GB2312" w:eastAsia="仿宋_GB2312" w:cs="仿宋_GB2312"/>
          <w:sz w:val="32"/>
          <w:szCs w:val="32"/>
        </w:rPr>
        <w:t>39</w:t>
      </w:r>
      <w:bookmarkEnd w:id="19"/>
      <w:r>
        <w:rPr>
          <w:rFonts w:hint="eastAsia" w:ascii="仿宋_GB2312" w:hAnsi="仿宋_GB2312" w:eastAsia="仿宋_GB2312" w:cs="仿宋_GB2312"/>
          <w:sz w:val="32"/>
          <w:szCs w:val="32"/>
        </w:rPr>
        <w:fldChar w:fldCharType="end"/>
      </w:r>
    </w:p>
    <w:p w14:paraId="1D814F76">
      <w:pPr>
        <w:pStyle w:val="2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_Toc12036_WPSOffice_Level1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第五章 投资估算和资金筹措</w:t>
      </w:r>
      <w:r>
        <w:rPr>
          <w:rFonts w:hint="eastAsia" w:ascii="仿宋_GB2312" w:hAnsi="仿宋_GB2312" w:eastAsia="仿宋_GB2312" w:cs="仿宋_GB2312"/>
          <w:b/>
          <w:bCs/>
          <w:sz w:val="32"/>
          <w:szCs w:val="32"/>
        </w:rPr>
        <w:tab/>
      </w:r>
      <w:bookmarkStart w:id="20" w:name="_Toc12036_WPSOffice_Level1Page"/>
      <w:r>
        <w:rPr>
          <w:rFonts w:hint="eastAsia" w:ascii="仿宋_GB2312" w:hAnsi="仿宋_GB2312" w:eastAsia="仿宋_GB2312" w:cs="仿宋_GB2312"/>
          <w:b/>
          <w:bCs/>
          <w:sz w:val="32"/>
          <w:szCs w:val="32"/>
        </w:rPr>
        <w:t>44</w:t>
      </w:r>
      <w:bookmarkEnd w:id="20"/>
      <w:r>
        <w:rPr>
          <w:rFonts w:hint="eastAsia" w:ascii="仿宋_GB2312" w:hAnsi="仿宋_GB2312" w:eastAsia="仿宋_GB2312" w:cs="仿宋_GB2312"/>
          <w:b/>
          <w:bCs/>
          <w:sz w:val="32"/>
          <w:szCs w:val="32"/>
        </w:rPr>
        <w:fldChar w:fldCharType="end"/>
      </w:r>
    </w:p>
    <w:p w14:paraId="6F559795">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_Toc17478_WPSOffice_Level2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（一）测算依据</w:t>
      </w:r>
      <w:r>
        <w:rPr>
          <w:rFonts w:hint="eastAsia" w:ascii="仿宋_GB2312" w:hAnsi="仿宋_GB2312" w:eastAsia="仿宋_GB2312" w:cs="仿宋_GB2312"/>
          <w:sz w:val="32"/>
          <w:szCs w:val="32"/>
        </w:rPr>
        <w:tab/>
      </w:r>
      <w:bookmarkStart w:id="21" w:name="_Toc17478_WPSOffice_Level2Page"/>
      <w:r>
        <w:rPr>
          <w:rFonts w:hint="eastAsia" w:ascii="仿宋_GB2312" w:hAnsi="仿宋_GB2312" w:eastAsia="仿宋_GB2312" w:cs="仿宋_GB2312"/>
          <w:sz w:val="32"/>
          <w:szCs w:val="32"/>
        </w:rPr>
        <w:t>44</w:t>
      </w:r>
      <w:bookmarkEnd w:id="21"/>
      <w:r>
        <w:rPr>
          <w:rFonts w:hint="eastAsia" w:ascii="仿宋_GB2312" w:hAnsi="仿宋_GB2312" w:eastAsia="仿宋_GB2312" w:cs="仿宋_GB2312"/>
          <w:sz w:val="32"/>
          <w:szCs w:val="32"/>
        </w:rPr>
        <w:fldChar w:fldCharType="end"/>
      </w:r>
    </w:p>
    <w:p w14:paraId="4B48A3B1">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_Toc28417_WPSOffice_Level2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（二）投资规模</w:t>
      </w:r>
      <w:r>
        <w:rPr>
          <w:rFonts w:hint="eastAsia" w:ascii="仿宋_GB2312" w:hAnsi="仿宋_GB2312" w:eastAsia="仿宋_GB2312" w:cs="仿宋_GB2312"/>
          <w:sz w:val="32"/>
          <w:szCs w:val="32"/>
        </w:rPr>
        <w:tab/>
      </w:r>
      <w:bookmarkStart w:id="22" w:name="_Toc28417_WPSOffice_Level2Page"/>
      <w:r>
        <w:rPr>
          <w:rFonts w:hint="eastAsia" w:ascii="仿宋_GB2312" w:hAnsi="仿宋_GB2312" w:eastAsia="仿宋_GB2312" w:cs="仿宋_GB2312"/>
          <w:sz w:val="32"/>
          <w:szCs w:val="32"/>
        </w:rPr>
        <w:t>44</w:t>
      </w:r>
      <w:bookmarkEnd w:id="22"/>
      <w:r>
        <w:rPr>
          <w:rFonts w:hint="eastAsia" w:ascii="仿宋_GB2312" w:hAnsi="仿宋_GB2312" w:eastAsia="仿宋_GB2312" w:cs="仿宋_GB2312"/>
          <w:sz w:val="32"/>
          <w:szCs w:val="32"/>
        </w:rPr>
        <w:fldChar w:fldCharType="end"/>
      </w:r>
    </w:p>
    <w:p w14:paraId="0136A4D5">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_Toc22143_WPSOffice_Level2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（三）投资结构</w:t>
      </w:r>
      <w:r>
        <w:rPr>
          <w:rFonts w:hint="eastAsia" w:ascii="仿宋_GB2312" w:hAnsi="仿宋_GB2312" w:eastAsia="仿宋_GB2312" w:cs="仿宋_GB2312"/>
          <w:sz w:val="32"/>
          <w:szCs w:val="32"/>
        </w:rPr>
        <w:tab/>
      </w:r>
      <w:bookmarkStart w:id="23" w:name="_Toc22143_WPSOffice_Level2Page"/>
      <w:r>
        <w:rPr>
          <w:rFonts w:hint="eastAsia" w:ascii="仿宋_GB2312" w:hAnsi="仿宋_GB2312" w:eastAsia="仿宋_GB2312" w:cs="仿宋_GB2312"/>
          <w:sz w:val="32"/>
          <w:szCs w:val="32"/>
        </w:rPr>
        <w:t>45</w:t>
      </w:r>
      <w:bookmarkEnd w:id="23"/>
      <w:r>
        <w:rPr>
          <w:rFonts w:hint="eastAsia" w:ascii="仿宋_GB2312" w:hAnsi="仿宋_GB2312" w:eastAsia="仿宋_GB2312" w:cs="仿宋_GB2312"/>
          <w:sz w:val="32"/>
          <w:szCs w:val="32"/>
        </w:rPr>
        <w:fldChar w:fldCharType="end"/>
      </w:r>
    </w:p>
    <w:p w14:paraId="67C9590E">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_Toc13156_WPSOffice_Level2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（四）资金筹措</w:t>
      </w:r>
      <w:r>
        <w:rPr>
          <w:rFonts w:hint="eastAsia" w:ascii="仿宋_GB2312" w:hAnsi="仿宋_GB2312" w:eastAsia="仿宋_GB2312" w:cs="仿宋_GB2312"/>
          <w:sz w:val="32"/>
          <w:szCs w:val="32"/>
        </w:rPr>
        <w:tab/>
      </w:r>
      <w:bookmarkStart w:id="24" w:name="_Toc13156_WPSOffice_Level2Page"/>
      <w:r>
        <w:rPr>
          <w:rFonts w:hint="eastAsia" w:ascii="仿宋_GB2312" w:hAnsi="仿宋_GB2312" w:eastAsia="仿宋_GB2312" w:cs="仿宋_GB2312"/>
          <w:sz w:val="32"/>
          <w:szCs w:val="32"/>
        </w:rPr>
        <w:t>45</w:t>
      </w:r>
      <w:bookmarkEnd w:id="24"/>
      <w:r>
        <w:rPr>
          <w:rFonts w:hint="eastAsia" w:ascii="仿宋_GB2312" w:hAnsi="仿宋_GB2312" w:eastAsia="仿宋_GB2312" w:cs="仿宋_GB2312"/>
          <w:sz w:val="32"/>
          <w:szCs w:val="32"/>
        </w:rPr>
        <w:fldChar w:fldCharType="end"/>
      </w:r>
    </w:p>
    <w:p w14:paraId="10F5646B">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_Toc17221_WPSOffice_Level2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（五）项目实施计划</w:t>
      </w:r>
      <w:r>
        <w:rPr>
          <w:rFonts w:hint="eastAsia" w:ascii="仿宋_GB2312" w:hAnsi="仿宋_GB2312" w:eastAsia="仿宋_GB2312" w:cs="仿宋_GB2312"/>
          <w:sz w:val="32"/>
          <w:szCs w:val="32"/>
        </w:rPr>
        <w:tab/>
      </w:r>
      <w:bookmarkStart w:id="25" w:name="_Toc17221_WPSOffice_Level2Page"/>
      <w:r>
        <w:rPr>
          <w:rFonts w:hint="eastAsia" w:ascii="仿宋_GB2312" w:hAnsi="仿宋_GB2312" w:eastAsia="仿宋_GB2312" w:cs="仿宋_GB2312"/>
          <w:sz w:val="32"/>
          <w:szCs w:val="32"/>
        </w:rPr>
        <w:t>45</w:t>
      </w:r>
      <w:bookmarkEnd w:id="25"/>
      <w:r>
        <w:rPr>
          <w:rFonts w:hint="eastAsia" w:ascii="仿宋_GB2312" w:hAnsi="仿宋_GB2312" w:eastAsia="仿宋_GB2312" w:cs="仿宋_GB2312"/>
          <w:sz w:val="32"/>
          <w:szCs w:val="32"/>
        </w:rPr>
        <w:fldChar w:fldCharType="end"/>
      </w:r>
    </w:p>
    <w:p w14:paraId="3CF66755">
      <w:pPr>
        <w:pStyle w:val="2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_Toc15845_WPSOffice_Level1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第六章 保障措施</w:t>
      </w:r>
      <w:r>
        <w:rPr>
          <w:rFonts w:hint="eastAsia" w:ascii="仿宋_GB2312" w:hAnsi="仿宋_GB2312" w:eastAsia="仿宋_GB2312" w:cs="仿宋_GB2312"/>
          <w:b/>
          <w:bCs/>
          <w:sz w:val="32"/>
          <w:szCs w:val="32"/>
        </w:rPr>
        <w:tab/>
      </w:r>
      <w:bookmarkStart w:id="26" w:name="_Toc15845_WPSOffice_Level1Page"/>
      <w:r>
        <w:rPr>
          <w:rFonts w:hint="eastAsia" w:ascii="仿宋_GB2312" w:hAnsi="仿宋_GB2312" w:eastAsia="仿宋_GB2312" w:cs="仿宋_GB2312"/>
          <w:b/>
          <w:bCs/>
          <w:sz w:val="32"/>
          <w:szCs w:val="32"/>
        </w:rPr>
        <w:t>47</w:t>
      </w:r>
      <w:bookmarkEnd w:id="26"/>
      <w:r>
        <w:rPr>
          <w:rFonts w:hint="eastAsia" w:ascii="仿宋_GB2312" w:hAnsi="仿宋_GB2312" w:eastAsia="仿宋_GB2312" w:cs="仿宋_GB2312"/>
          <w:b/>
          <w:bCs/>
          <w:sz w:val="32"/>
          <w:szCs w:val="32"/>
        </w:rPr>
        <w:fldChar w:fldCharType="end"/>
      </w:r>
    </w:p>
    <w:p w14:paraId="591CEDB6">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_Toc13674_WPSOffice_Level2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（一）加强组织领导</w:t>
      </w:r>
      <w:r>
        <w:rPr>
          <w:rFonts w:hint="eastAsia" w:ascii="仿宋_GB2312" w:hAnsi="仿宋_GB2312" w:eastAsia="仿宋_GB2312" w:cs="仿宋_GB2312"/>
          <w:sz w:val="32"/>
          <w:szCs w:val="32"/>
        </w:rPr>
        <w:tab/>
      </w:r>
      <w:bookmarkStart w:id="27" w:name="_Toc13674_WPSOffice_Level2Page"/>
      <w:r>
        <w:rPr>
          <w:rFonts w:hint="eastAsia" w:ascii="仿宋_GB2312" w:hAnsi="仿宋_GB2312" w:eastAsia="仿宋_GB2312" w:cs="仿宋_GB2312"/>
          <w:sz w:val="32"/>
          <w:szCs w:val="32"/>
        </w:rPr>
        <w:t>47</w:t>
      </w:r>
      <w:bookmarkEnd w:id="27"/>
      <w:r>
        <w:rPr>
          <w:rFonts w:hint="eastAsia" w:ascii="仿宋_GB2312" w:hAnsi="仿宋_GB2312" w:eastAsia="仿宋_GB2312" w:cs="仿宋_GB2312"/>
          <w:sz w:val="32"/>
          <w:szCs w:val="32"/>
        </w:rPr>
        <w:fldChar w:fldCharType="end"/>
      </w:r>
    </w:p>
    <w:p w14:paraId="4897F01E">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_Toc9758_WPSOffice_Level2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（二）落实责任分工</w:t>
      </w:r>
      <w:r>
        <w:rPr>
          <w:rFonts w:hint="eastAsia" w:ascii="仿宋_GB2312" w:hAnsi="仿宋_GB2312" w:eastAsia="仿宋_GB2312" w:cs="仿宋_GB2312"/>
          <w:sz w:val="32"/>
          <w:szCs w:val="32"/>
        </w:rPr>
        <w:tab/>
      </w:r>
      <w:bookmarkStart w:id="28" w:name="_Toc9758_WPSOffice_Level2Page"/>
      <w:r>
        <w:rPr>
          <w:rFonts w:hint="eastAsia" w:ascii="仿宋_GB2312" w:hAnsi="仿宋_GB2312" w:eastAsia="仿宋_GB2312" w:cs="仿宋_GB2312"/>
          <w:sz w:val="32"/>
          <w:szCs w:val="32"/>
        </w:rPr>
        <w:t>47</w:t>
      </w:r>
      <w:bookmarkEnd w:id="28"/>
      <w:r>
        <w:rPr>
          <w:rFonts w:hint="eastAsia" w:ascii="仿宋_GB2312" w:hAnsi="仿宋_GB2312" w:eastAsia="仿宋_GB2312" w:cs="仿宋_GB2312"/>
          <w:sz w:val="32"/>
          <w:szCs w:val="32"/>
        </w:rPr>
        <w:fldChar w:fldCharType="end"/>
      </w:r>
    </w:p>
    <w:p w14:paraId="26A64216">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_Toc26091_WPSOffice_Level2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（三）保障资金落实</w:t>
      </w:r>
      <w:r>
        <w:rPr>
          <w:rFonts w:hint="eastAsia" w:ascii="仿宋_GB2312" w:hAnsi="仿宋_GB2312" w:eastAsia="仿宋_GB2312" w:cs="仿宋_GB2312"/>
          <w:sz w:val="32"/>
          <w:szCs w:val="32"/>
        </w:rPr>
        <w:tab/>
      </w:r>
      <w:bookmarkStart w:id="29" w:name="_Toc26091_WPSOffice_Level2Page"/>
      <w:r>
        <w:rPr>
          <w:rFonts w:hint="eastAsia" w:ascii="仿宋_GB2312" w:hAnsi="仿宋_GB2312" w:eastAsia="仿宋_GB2312" w:cs="仿宋_GB2312"/>
          <w:sz w:val="32"/>
          <w:szCs w:val="32"/>
        </w:rPr>
        <w:t>47</w:t>
      </w:r>
      <w:bookmarkEnd w:id="29"/>
      <w:r>
        <w:rPr>
          <w:rFonts w:hint="eastAsia" w:ascii="仿宋_GB2312" w:hAnsi="仿宋_GB2312" w:eastAsia="仿宋_GB2312" w:cs="仿宋_GB2312"/>
          <w:sz w:val="32"/>
          <w:szCs w:val="32"/>
        </w:rPr>
        <w:fldChar w:fldCharType="end"/>
      </w:r>
    </w:p>
    <w:p w14:paraId="754EA0EF">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_Toc27063_WPSOffice_Level2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（四）做好前期规划</w:t>
      </w:r>
      <w:r>
        <w:rPr>
          <w:rFonts w:hint="eastAsia" w:ascii="仿宋_GB2312" w:hAnsi="仿宋_GB2312" w:eastAsia="仿宋_GB2312" w:cs="仿宋_GB2312"/>
          <w:sz w:val="32"/>
          <w:szCs w:val="32"/>
        </w:rPr>
        <w:tab/>
      </w:r>
      <w:bookmarkStart w:id="30" w:name="_Toc27063_WPSOffice_Level2Page"/>
      <w:r>
        <w:rPr>
          <w:rFonts w:hint="eastAsia" w:ascii="仿宋_GB2312" w:hAnsi="仿宋_GB2312" w:eastAsia="仿宋_GB2312" w:cs="仿宋_GB2312"/>
          <w:sz w:val="32"/>
          <w:szCs w:val="32"/>
        </w:rPr>
        <w:t>48</w:t>
      </w:r>
      <w:bookmarkEnd w:id="30"/>
      <w:r>
        <w:rPr>
          <w:rFonts w:hint="eastAsia" w:ascii="仿宋_GB2312" w:hAnsi="仿宋_GB2312" w:eastAsia="仿宋_GB2312" w:cs="仿宋_GB2312"/>
          <w:sz w:val="32"/>
          <w:szCs w:val="32"/>
        </w:rPr>
        <w:fldChar w:fldCharType="end"/>
      </w:r>
    </w:p>
    <w:p w14:paraId="4D320EC3">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_Toc27113_WPSOffice_Level2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（五）深入宣传引导</w:t>
      </w:r>
      <w:r>
        <w:rPr>
          <w:rFonts w:hint="eastAsia" w:ascii="仿宋_GB2312" w:hAnsi="仿宋_GB2312" w:eastAsia="仿宋_GB2312" w:cs="仿宋_GB2312"/>
          <w:sz w:val="32"/>
          <w:szCs w:val="32"/>
        </w:rPr>
        <w:tab/>
      </w:r>
      <w:bookmarkStart w:id="31" w:name="_Toc27113_WPSOffice_Level2Page"/>
      <w:r>
        <w:rPr>
          <w:rFonts w:hint="eastAsia" w:ascii="仿宋_GB2312" w:hAnsi="仿宋_GB2312" w:eastAsia="仿宋_GB2312" w:cs="仿宋_GB2312"/>
          <w:sz w:val="32"/>
          <w:szCs w:val="32"/>
        </w:rPr>
        <w:t>48</w:t>
      </w:r>
      <w:bookmarkEnd w:id="31"/>
      <w:r>
        <w:rPr>
          <w:rFonts w:hint="eastAsia" w:ascii="仿宋_GB2312" w:hAnsi="仿宋_GB2312" w:eastAsia="仿宋_GB2312" w:cs="仿宋_GB2312"/>
          <w:sz w:val="32"/>
          <w:szCs w:val="32"/>
        </w:rPr>
        <w:fldChar w:fldCharType="end"/>
      </w:r>
    </w:p>
    <w:p w14:paraId="45117096">
      <w:pPr>
        <w:pStyle w:val="2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_Toc1795_WPSOffice_Level2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（六）建立考评机制</w:t>
      </w:r>
      <w:r>
        <w:rPr>
          <w:rFonts w:hint="eastAsia" w:ascii="仿宋_GB2312" w:hAnsi="仿宋_GB2312" w:eastAsia="仿宋_GB2312" w:cs="仿宋_GB2312"/>
          <w:sz w:val="32"/>
          <w:szCs w:val="32"/>
        </w:rPr>
        <w:tab/>
      </w:r>
      <w:bookmarkStart w:id="32" w:name="_Toc1795_WPSOffice_Level2Page"/>
      <w:r>
        <w:rPr>
          <w:rFonts w:hint="eastAsia" w:ascii="仿宋_GB2312" w:hAnsi="仿宋_GB2312" w:eastAsia="仿宋_GB2312" w:cs="仿宋_GB2312"/>
          <w:sz w:val="32"/>
          <w:szCs w:val="32"/>
        </w:rPr>
        <w:t>48</w:t>
      </w:r>
      <w:bookmarkEnd w:id="32"/>
      <w:r>
        <w:rPr>
          <w:rFonts w:hint="eastAsia" w:ascii="仿宋_GB2312" w:hAnsi="仿宋_GB2312" w:eastAsia="仿宋_GB2312" w:cs="仿宋_GB2312"/>
          <w:sz w:val="32"/>
          <w:szCs w:val="32"/>
        </w:rPr>
        <w:fldChar w:fldCharType="end"/>
      </w:r>
    </w:p>
    <w:p w14:paraId="21D396F1">
      <w:pPr>
        <w:pStyle w:val="2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_Toc21845_WPSOffice_Level1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附表</w:t>
      </w:r>
      <w:r>
        <w:rPr>
          <w:rFonts w:hint="eastAsia" w:ascii="仿宋_GB2312" w:hAnsi="仿宋_GB2312" w:eastAsia="仿宋_GB2312" w:cs="仿宋_GB2312"/>
          <w:b/>
          <w:bCs/>
          <w:sz w:val="32"/>
          <w:szCs w:val="32"/>
        </w:rPr>
        <w:tab/>
      </w:r>
      <w:bookmarkStart w:id="33" w:name="_Toc21845_WPSOffice_Level1Page"/>
      <w:r>
        <w:rPr>
          <w:rFonts w:hint="eastAsia" w:ascii="仿宋_GB2312" w:hAnsi="仿宋_GB2312" w:eastAsia="仿宋_GB2312" w:cs="仿宋_GB2312"/>
          <w:b/>
          <w:bCs/>
          <w:sz w:val="32"/>
          <w:szCs w:val="32"/>
        </w:rPr>
        <w:t>49</w:t>
      </w:r>
      <w:bookmarkEnd w:id="33"/>
      <w:r>
        <w:rPr>
          <w:rFonts w:hint="eastAsia" w:ascii="仿宋_GB2312" w:hAnsi="仿宋_GB2312" w:eastAsia="仿宋_GB2312" w:cs="仿宋_GB2312"/>
          <w:b/>
          <w:bCs/>
          <w:sz w:val="32"/>
          <w:szCs w:val="32"/>
        </w:rPr>
        <w:fldChar w:fldCharType="end"/>
      </w:r>
    </w:p>
    <w:bookmarkEnd w:id="0"/>
    <w:p w14:paraId="69FB453B">
      <w:pPr>
        <w:pStyle w:val="2"/>
        <w:rPr>
          <w:rFonts w:hint="eastAsia" w:ascii="仿宋_GB2312" w:hAnsi="仿宋_GB2312" w:eastAsia="仿宋_GB2312" w:cs="仿宋_GB2312"/>
          <w:sz w:val="32"/>
          <w:szCs w:val="32"/>
        </w:rPr>
      </w:pPr>
    </w:p>
    <w:p w14:paraId="19C7D13C">
      <w:pPr>
        <w:keepNext w:val="0"/>
        <w:keepLines w:val="0"/>
        <w:pageBreakBefore w:val="0"/>
        <w:widowControl/>
        <w:kinsoku/>
        <w:wordWrap/>
        <w:overflowPunct/>
        <w:bidi w:val="0"/>
        <w:adjustRightInd/>
        <w:snapToGrid/>
        <w:spacing w:line="560" w:lineRule="exact"/>
        <w:ind w:firstLine="0" w:firstLineChars="0"/>
        <w:jc w:val="center"/>
        <w:textAlignment w:val="auto"/>
        <w:rPr>
          <w:rFonts w:hint="eastAsia" w:ascii="黑体" w:hAnsi="黑体" w:eastAsia="黑体" w:cs="Times New Roman"/>
          <w:b w:val="0"/>
          <w:bCs w:val="0"/>
          <w:kern w:val="44"/>
          <w:sz w:val="44"/>
          <w:szCs w:val="44"/>
          <w:lang w:val="en-US" w:eastAsia="zh-CN" w:bidi="ar"/>
        </w:rPr>
      </w:pPr>
      <w:bookmarkStart w:id="34" w:name="_Toc58317170"/>
      <w:bookmarkStart w:id="35" w:name="_Toc69484823"/>
      <w:bookmarkStart w:id="36" w:name="_Toc59110018"/>
      <w:bookmarkStart w:id="37" w:name="_Toc69484824"/>
    </w:p>
    <w:p w14:paraId="065EC638">
      <w:pPr>
        <w:keepNext w:val="0"/>
        <w:keepLines w:val="0"/>
        <w:pageBreakBefore w:val="0"/>
        <w:widowControl/>
        <w:kinsoku/>
        <w:wordWrap/>
        <w:overflowPunct/>
        <w:bidi w:val="0"/>
        <w:adjustRightInd/>
        <w:snapToGrid/>
        <w:spacing w:line="560" w:lineRule="exact"/>
        <w:ind w:firstLine="0" w:firstLineChars="0"/>
        <w:jc w:val="center"/>
        <w:textAlignment w:val="auto"/>
        <w:rPr>
          <w:rFonts w:hint="eastAsia" w:ascii="黑体" w:hAnsi="黑体" w:eastAsia="黑体" w:cs="Times New Roman"/>
          <w:b w:val="0"/>
          <w:bCs w:val="0"/>
          <w:kern w:val="44"/>
          <w:sz w:val="44"/>
          <w:szCs w:val="44"/>
          <w:lang w:val="en-US" w:eastAsia="zh-CN" w:bidi="ar"/>
        </w:rPr>
      </w:pPr>
    </w:p>
    <w:p w14:paraId="0D815F24">
      <w:pPr>
        <w:pStyle w:val="2"/>
        <w:rPr>
          <w:rFonts w:hint="eastAsia"/>
          <w:lang w:val="en-US" w:eastAsia="zh-CN"/>
        </w:rPr>
      </w:pPr>
    </w:p>
    <w:p w14:paraId="596FE39F">
      <w:pPr>
        <w:pStyle w:val="2"/>
        <w:rPr>
          <w:rFonts w:hint="eastAsia"/>
          <w:lang w:val="en-US" w:eastAsia="zh-CN"/>
        </w:rPr>
      </w:pPr>
    </w:p>
    <w:p w14:paraId="1E19FBA0">
      <w:pPr>
        <w:pStyle w:val="2"/>
        <w:rPr>
          <w:rFonts w:hint="eastAsia"/>
          <w:lang w:val="en-US" w:eastAsia="zh-CN"/>
        </w:rPr>
      </w:pPr>
    </w:p>
    <w:p w14:paraId="3D16EF90">
      <w:pPr>
        <w:keepNext w:val="0"/>
        <w:keepLines w:val="0"/>
        <w:pageBreakBefore w:val="0"/>
        <w:widowControl/>
        <w:kinsoku/>
        <w:wordWrap/>
        <w:overflowPunct/>
        <w:bidi w:val="0"/>
        <w:adjustRightInd/>
        <w:snapToGrid/>
        <w:spacing w:line="560" w:lineRule="exact"/>
        <w:ind w:firstLine="0" w:firstLineChars="0"/>
        <w:jc w:val="center"/>
        <w:textAlignment w:val="auto"/>
        <w:rPr>
          <w:rFonts w:hint="eastAsia" w:ascii="黑体" w:hAnsi="黑体" w:eastAsia="黑体" w:cs="Times New Roman"/>
          <w:b w:val="0"/>
          <w:bCs w:val="0"/>
          <w:kern w:val="44"/>
          <w:sz w:val="44"/>
          <w:szCs w:val="44"/>
          <w:lang w:val="en-US" w:eastAsia="zh-CN" w:bidi="ar"/>
        </w:rPr>
      </w:pPr>
    </w:p>
    <w:p w14:paraId="2484F86F">
      <w:pPr>
        <w:keepNext w:val="0"/>
        <w:keepLines w:val="0"/>
        <w:pageBreakBefore w:val="0"/>
        <w:widowControl/>
        <w:kinsoku/>
        <w:wordWrap/>
        <w:overflowPunct/>
        <w:bidi w:val="0"/>
        <w:adjustRightInd/>
        <w:snapToGrid/>
        <w:spacing w:line="560" w:lineRule="exact"/>
        <w:ind w:firstLine="0" w:firstLineChars="0"/>
        <w:jc w:val="center"/>
        <w:textAlignment w:val="auto"/>
        <w:rPr>
          <w:rFonts w:hint="eastAsia" w:ascii="黑体" w:hAnsi="黑体" w:eastAsia="黑体" w:cs="Times New Roman"/>
          <w:b w:val="0"/>
          <w:bCs w:val="0"/>
          <w:kern w:val="44"/>
          <w:sz w:val="44"/>
          <w:szCs w:val="44"/>
          <w:lang w:val="en-US" w:eastAsia="zh-CN" w:bidi="ar"/>
        </w:rPr>
      </w:pPr>
    </w:p>
    <w:p w14:paraId="53300D9F">
      <w:pPr>
        <w:keepNext w:val="0"/>
        <w:keepLines w:val="0"/>
        <w:pageBreakBefore w:val="0"/>
        <w:widowControl/>
        <w:kinsoku/>
        <w:wordWrap/>
        <w:overflowPunct/>
        <w:bidi w:val="0"/>
        <w:adjustRightInd/>
        <w:snapToGrid/>
        <w:spacing w:line="560" w:lineRule="exact"/>
        <w:ind w:firstLine="0" w:firstLineChars="0"/>
        <w:jc w:val="both"/>
        <w:textAlignment w:val="auto"/>
        <w:rPr>
          <w:rFonts w:hint="eastAsia" w:ascii="黑体" w:hAnsi="黑体" w:eastAsia="黑体" w:cs="Times New Roman"/>
          <w:b w:val="0"/>
          <w:bCs w:val="0"/>
          <w:kern w:val="44"/>
          <w:sz w:val="44"/>
          <w:szCs w:val="44"/>
          <w:lang w:val="en-US" w:eastAsia="zh-CN" w:bidi="ar"/>
        </w:rPr>
      </w:pPr>
    </w:p>
    <w:p w14:paraId="26363FA3">
      <w:pPr>
        <w:keepNext w:val="0"/>
        <w:keepLines w:val="0"/>
        <w:pageBreakBefore w:val="0"/>
        <w:widowControl/>
        <w:kinsoku/>
        <w:wordWrap/>
        <w:overflowPunct/>
        <w:bidi w:val="0"/>
        <w:adjustRightInd/>
        <w:snapToGrid/>
        <w:spacing w:line="560" w:lineRule="exact"/>
        <w:ind w:firstLine="0" w:firstLineChars="0"/>
        <w:jc w:val="center"/>
        <w:textAlignment w:val="auto"/>
        <w:rPr>
          <w:rFonts w:hint="eastAsia" w:ascii="黑体" w:hAnsi="黑体" w:eastAsia="黑体" w:cs="Times New Roman"/>
          <w:b w:val="0"/>
          <w:bCs w:val="0"/>
          <w:kern w:val="44"/>
          <w:sz w:val="44"/>
          <w:szCs w:val="44"/>
          <w:lang w:val="en-US" w:eastAsia="zh-CN" w:bidi="ar"/>
        </w:rPr>
        <w:sectPr>
          <w:pgSz w:w="11906" w:h="16838"/>
          <w:pgMar w:top="2098" w:right="1474" w:bottom="1984" w:left="1587" w:header="851" w:footer="992" w:gutter="0"/>
          <w:pgNumType w:fmt="numberInDash" w:start="0"/>
          <w:cols w:space="720" w:num="1"/>
          <w:docGrid w:type="lines" w:linePitch="408" w:charSpace="0"/>
        </w:sectPr>
      </w:pPr>
    </w:p>
    <w:p w14:paraId="4CF14AAA">
      <w:pPr>
        <w:keepNext w:val="0"/>
        <w:keepLines w:val="0"/>
        <w:pageBreakBefore w:val="0"/>
        <w:widowControl/>
        <w:kinsoku/>
        <w:wordWrap/>
        <w:overflowPunct/>
        <w:bidi w:val="0"/>
        <w:adjustRightInd/>
        <w:snapToGrid/>
        <w:spacing w:line="560" w:lineRule="exact"/>
        <w:ind w:firstLine="0" w:firstLineChars="0"/>
        <w:jc w:val="center"/>
        <w:textAlignment w:val="auto"/>
        <w:rPr>
          <w:rFonts w:hint="eastAsia" w:ascii="黑体" w:hAnsi="黑体" w:eastAsia="黑体" w:cs="Times New Roman"/>
          <w:b w:val="0"/>
          <w:bCs w:val="0"/>
          <w:kern w:val="44"/>
          <w:sz w:val="44"/>
          <w:szCs w:val="44"/>
          <w:lang w:val="en-US" w:eastAsia="zh-CN" w:bidi="ar"/>
        </w:rPr>
      </w:pPr>
      <w:bookmarkStart w:id="38" w:name="_Toc29921_WPSOffice_Level1"/>
      <w:r>
        <w:rPr>
          <w:rFonts w:hint="eastAsia" w:ascii="黑体" w:hAnsi="黑体" w:eastAsia="黑体" w:cs="Times New Roman"/>
          <w:b w:val="0"/>
          <w:bCs w:val="0"/>
          <w:kern w:val="44"/>
          <w:sz w:val="44"/>
          <w:szCs w:val="44"/>
          <w:lang w:val="en-US" w:eastAsia="zh-CN" w:bidi="ar"/>
        </w:rPr>
        <w:t>前    言</w:t>
      </w:r>
      <w:bookmarkEnd w:id="34"/>
      <w:bookmarkEnd w:id="35"/>
      <w:bookmarkEnd w:id="36"/>
      <w:bookmarkEnd w:id="38"/>
    </w:p>
    <w:p w14:paraId="4B06F855">
      <w:pPr>
        <w:pStyle w:val="2"/>
        <w:keepNext w:val="0"/>
        <w:keepLines w:val="0"/>
        <w:pageBreakBefore w:val="0"/>
        <w:kinsoku/>
        <w:wordWrap/>
        <w:overflowPunct/>
        <w:bidi w:val="0"/>
        <w:spacing w:line="560" w:lineRule="exact"/>
        <w:textAlignment w:val="auto"/>
        <w:rPr>
          <w:rFonts w:hint="eastAsia"/>
          <w:lang w:val="en-US" w:eastAsia="zh-CN"/>
        </w:rPr>
      </w:pPr>
    </w:p>
    <w:p w14:paraId="67D7A292">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明溪旧称归化，县域位于三明市中部、武夷山脉东南麓。全县总面积1730km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辖4镇5乡，2020年末总人口11.8万人。2020年全县实现国内生产总值（GDP）111亿元，同比增长4.0%，农林牧渔业总产值34.93亿元，同比增长4.4%，规模以上工业总产值153.02亿元，同比增长6.5%，经济社会呈现“稳中有进、稳中向好、稳中提质”的良好发展态势。</w:t>
      </w:r>
    </w:p>
    <w:p w14:paraId="64C24DFF">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明溪县属中亚热带季风区，年平均气温18.4℃，年平均降雨量1887.5mm，年平均无霜期267天。明溪自然生态优越，全县森林覆盖率达81.9</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%，境内生态系统完善，生物多样性丰富，是国家生态文明建设示范县、国家级生态示范区。</w:t>
      </w:r>
    </w:p>
    <w:p w14:paraId="67AE8AC0">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“十三五”以来，我县水利部门深入贯彻落实习近平总书记关于治水工作的重要论述和重要指示批示精神，按照党中央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水利部、省市县等各级政府的重大决策部署，积极践行“节水优先、空间均衡、系统治理、两手发力”的治水思路，坚持水利改革发展总基调，围绕完善防洪排涝安全体系、水资源保障体系和水生态安全体系，按照“确有需要、生态安全、可以持续”的原则，在科学论证的前提下，集中力量建设一批打基础、管长远、促发展、惠民生的水利工程，着力增强水安全保障能力和水利服务能力。较好的完成了“十三五”规划确定的目标任务。</w:t>
      </w:r>
    </w:p>
    <w:p w14:paraId="5FA0FABD">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sectPr>
          <w:footerReference r:id="rId6" w:type="first"/>
          <w:footerReference r:id="rId5" w:type="default"/>
          <w:pgSz w:w="11906" w:h="16838"/>
          <w:pgMar w:top="2098" w:right="1474" w:bottom="1984" w:left="1587" w:header="851" w:footer="992" w:gutter="0"/>
          <w:pgNumType w:fmt="numberInDash" w:start="1"/>
          <w:cols w:space="0" w:num="1"/>
          <w:titlePg/>
          <w:rtlGutter w:val="0"/>
          <w:docGrid w:type="lines" w:linePitch="411" w:charSpace="0"/>
        </w:sectPr>
      </w:pPr>
      <w:r>
        <w:rPr>
          <w:rFonts w:hint="eastAsia" w:ascii="仿宋_GB2312" w:hAnsi="仿宋_GB2312" w:eastAsia="仿宋_GB2312" w:cs="仿宋_GB2312"/>
          <w:sz w:val="32"/>
          <w:szCs w:val="32"/>
        </w:rPr>
        <w:t>“</w:t>
      </w:r>
      <w:bookmarkStart w:id="135" w:name="_GoBack"/>
      <w:r>
        <w:rPr>
          <w:rFonts w:hint="eastAsia" w:ascii="仿宋_GB2312" w:hAnsi="仿宋_GB2312" w:eastAsia="仿宋_GB2312" w:cs="仿宋_GB2312"/>
          <w:sz w:val="32"/>
          <w:szCs w:val="32"/>
        </w:rPr>
        <w:t>十四五</w:t>
      </w:r>
      <w:bookmarkEnd w:id="135"/>
      <w:r>
        <w:rPr>
          <w:rFonts w:hint="eastAsia" w:ascii="仿宋_GB2312" w:hAnsi="仿宋_GB2312" w:eastAsia="仿宋_GB2312" w:cs="仿宋_GB2312"/>
          <w:sz w:val="32"/>
          <w:szCs w:val="32"/>
        </w:rPr>
        <w:t>”时期是我国全面建设社会主义现代化国家新征程</w:t>
      </w:r>
    </w:p>
    <w:p w14:paraId="5757DE2E">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开局起步期，也是明溪县加快经济社会建设、全方位推动高质量发展超越的关键期。要以习近平新时代中国特色社会主义思想为指导，紧紧围绕党的十九大提出的“两步走”战略目标，全面落实新发展理念和中央治水思路，坚定不移践行“水利工程补短板，水利行业强监管”的改革发展总基调，推进完善水利基础设施网络，更好满足人民群众对防洪保安全、优质水资源、健康水生态、宜居水环境、先进水文化的需求，为全县经济高质量发展和生态文明建设提供有力支撑。</w:t>
      </w:r>
    </w:p>
    <w:p w14:paraId="0CCD2076">
      <w:pPr>
        <w:keepNext w:val="0"/>
        <w:keepLines w:val="0"/>
        <w:pageBreakBefore w:val="0"/>
        <w:kinsoku/>
        <w:wordWrap/>
        <w:overflowPunct/>
        <w:bidi w:val="0"/>
        <w:spacing w:line="560" w:lineRule="exact"/>
        <w:ind w:firstLine="6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根</w:t>
      </w:r>
      <w:r>
        <w:rPr>
          <w:rFonts w:hint="eastAsia" w:ascii="仿宋_GB2312" w:hAnsi="仿宋_GB2312" w:eastAsia="仿宋_GB2312" w:cs="仿宋_GB2312"/>
          <w:spacing w:val="-6"/>
          <w:sz w:val="32"/>
          <w:szCs w:val="32"/>
        </w:rPr>
        <w:t>据福建省“十四五”水安全保障规划和三明市“十四五”水安全保障规划的总体部署与要求，</w:t>
      </w:r>
      <w:r>
        <w:rPr>
          <w:rFonts w:hint="eastAsia" w:ascii="仿宋_GB2312" w:hAnsi="仿宋_GB2312" w:cs="仿宋_GB2312"/>
          <w:spacing w:val="-6"/>
          <w:sz w:val="32"/>
          <w:szCs w:val="32"/>
          <w:lang w:eastAsia="zh-CN"/>
        </w:rPr>
        <w:t>县水利局</w:t>
      </w:r>
      <w:r>
        <w:rPr>
          <w:rFonts w:hint="eastAsia" w:ascii="仿宋_GB2312" w:hAnsi="仿宋_GB2312" w:eastAsia="仿宋_GB2312" w:cs="仿宋_GB2312"/>
          <w:spacing w:val="-6"/>
          <w:sz w:val="32"/>
          <w:szCs w:val="32"/>
        </w:rPr>
        <w:t>组织编制明溪县“十四五”水安全保障规划报告，充分听取各方意见，全面总结评估水利发展“十三五”规划实施情况，认真分析水利改革发展面临的形势，深入学习领悟习近平总书记新时期治水思路，贯彻落实新时期水利改革发展总基调，编制完成了《三明市明溪县“十四五”水安全保障规划》。报告明确了今后五年水利改革发展的总体思路和发展目标，制定了“补齐短板，构建安全可靠的基础设施体系”“点面结合，构建管用高效的行业监管体系”、“提升能力，推动治水管水水平提档升级”“多边发力，推动水安全保障项目与行业能力建设”的规划任务，提出了供水保障能力建设工程、防洪提升工程、河湖生态保护与修复工程、水利信息化工程、水利行业监管行动、水管理能力提升行动等重大工程和制度建设的内容。本规划是指导我县今后五年水利改革发展的重要依据。</w:t>
      </w:r>
    </w:p>
    <w:p w14:paraId="12F18F33">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sectPr>
          <w:footerReference r:id="rId8" w:type="first"/>
          <w:footerReference r:id="rId7" w:type="default"/>
          <w:pgSz w:w="11906" w:h="16838"/>
          <w:pgMar w:top="2098" w:right="1474" w:bottom="1984" w:left="1587" w:header="851" w:footer="992" w:gutter="0"/>
          <w:pgNumType w:fmt="numberInDash" w:start="1"/>
          <w:cols w:space="0" w:num="1"/>
          <w:titlePg/>
          <w:rtlGutter w:val="0"/>
          <w:docGrid w:type="lines" w:linePitch="411" w:charSpace="0"/>
        </w:sectPr>
      </w:pPr>
    </w:p>
    <w:p w14:paraId="16E95D09">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39" w:name="_Toc5373_WPSOffice_Level1"/>
      <w:r>
        <w:rPr>
          <w:rFonts w:hint="eastAsia" w:ascii="方正小标宋简体" w:hAnsi="方正小标宋简体" w:eastAsia="方正小标宋简体" w:cs="方正小标宋简体"/>
          <w:sz w:val="44"/>
          <w:szCs w:val="44"/>
          <w:lang w:eastAsia="zh-CN"/>
        </w:rPr>
        <w:t>第一章</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水安全保障现状</w:t>
      </w:r>
      <w:bookmarkEnd w:id="37"/>
      <w:bookmarkEnd w:id="39"/>
    </w:p>
    <w:p w14:paraId="3DEFE62F">
      <w:pPr>
        <w:pStyle w:val="2"/>
        <w:keepNext w:val="0"/>
        <w:keepLines w:val="0"/>
        <w:pageBreakBefore w:val="0"/>
        <w:kinsoku/>
        <w:wordWrap/>
        <w:overflowPunct/>
        <w:bidi w:val="0"/>
        <w:spacing w:line="560" w:lineRule="exact"/>
        <w:textAlignment w:val="auto"/>
      </w:pPr>
    </w:p>
    <w:p w14:paraId="06D6D9FA">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我县深入学习贯彻习近平新时代中国特色社会主义思想和党的十九大精神，按照习近平总书记“节水优先、空间均衡、系统治理、两手发力”治水思路和各级政府部署要求，围绕完善防洪排涝安全体系、水资源保障体系和水生态安全体系，按照“确有需要、生态安全、可以持续”的原则，在科学论证的前提下，集中力量建设一批打基础、管长远、促发展、惠民生的水利工程，着力增强水安全保障能力和水利服务能力。</w:t>
      </w:r>
    </w:p>
    <w:p w14:paraId="370FA468">
      <w:pPr>
        <w:pStyle w:val="4"/>
        <w:keepNext w:val="0"/>
        <w:keepLines w:val="0"/>
        <w:pageBreakBefore w:val="0"/>
        <w:kinsoku/>
        <w:wordWrap/>
        <w:overflowPunct/>
        <w:bidi w:val="0"/>
        <w:spacing w:line="560" w:lineRule="exact"/>
        <w:ind w:firstLine="602"/>
        <w:jc w:val="both"/>
        <w:textAlignment w:val="auto"/>
        <w:rPr>
          <w:rFonts w:hint="eastAsia" w:ascii="楷体_GB2312" w:hAnsi="楷体_GB2312" w:eastAsia="楷体_GB2312" w:cs="楷体_GB2312"/>
          <w:b/>
          <w:bCs/>
          <w:color w:val="000000"/>
          <w:kern w:val="0"/>
          <w:sz w:val="32"/>
          <w:szCs w:val="32"/>
          <w:lang w:val="en-US" w:eastAsia="zh-CN" w:bidi="ar"/>
        </w:rPr>
      </w:pPr>
      <w:bookmarkStart w:id="40" w:name="_Toc20652_WPSOffice_Level2"/>
      <w:bookmarkStart w:id="41" w:name="_Toc69484825"/>
      <w:bookmarkStart w:id="42" w:name="_Toc59110020"/>
      <w:r>
        <w:rPr>
          <w:rFonts w:hint="eastAsia" w:ascii="楷体_GB2312" w:hAnsi="楷体_GB2312" w:eastAsia="楷体_GB2312" w:cs="楷体_GB2312"/>
          <w:b/>
          <w:bCs/>
          <w:color w:val="000000"/>
          <w:kern w:val="0"/>
          <w:sz w:val="32"/>
          <w:szCs w:val="32"/>
          <w:lang w:val="en-US" w:eastAsia="zh-CN" w:bidi="ar"/>
        </w:rPr>
        <w:t>（一）“十三五”时期取得的主要成就</w:t>
      </w:r>
      <w:bookmarkEnd w:id="40"/>
      <w:bookmarkEnd w:id="41"/>
      <w:bookmarkEnd w:id="42"/>
    </w:p>
    <w:p w14:paraId="755FAECD">
      <w:pPr>
        <w:keepNext w:val="0"/>
        <w:keepLines w:val="0"/>
        <w:pageBreakBefore w:val="0"/>
        <w:kinsoku/>
        <w:wordWrap/>
        <w:overflowPunct/>
        <w:bidi w:val="0"/>
        <w:spacing w:line="560" w:lineRule="exact"/>
        <w:ind w:firstLine="600"/>
        <w:textAlignment w:val="auto"/>
        <w:rPr>
          <w:szCs w:val="30"/>
        </w:rPr>
      </w:pPr>
      <w:r>
        <w:rPr>
          <w:rFonts w:hint="eastAsia" w:ascii="仿宋_GB2312" w:hAnsi="仿宋_GB2312" w:eastAsia="仿宋_GB2312" w:cs="仿宋_GB2312"/>
          <w:sz w:val="32"/>
          <w:szCs w:val="32"/>
        </w:rPr>
        <w:t>五年来，在县委、县政府的正确领导下，高度重视水利工作。防洪排涝、水源供水、节水灌溉、安全饮水等水利基础设施全面加强；生态水系、电站生态改造、水土保持等水生态安全保护体系不断完善；河湖长制管理、水资源监管考核等制度及管理体制改革加快推进，为我县经济社会的可持续发展提供了有力保障。</w:t>
      </w:r>
    </w:p>
    <w:p w14:paraId="4074FDF3">
      <w:pPr>
        <w:keepNext w:val="0"/>
        <w:keepLines w:val="0"/>
        <w:pageBreakBefore w:val="0"/>
        <w:kinsoku/>
        <w:wordWrap/>
        <w:overflowPunct/>
        <w:bidi w:val="0"/>
        <w:spacing w:line="560" w:lineRule="exact"/>
        <w:ind w:firstLine="600"/>
        <w:textAlignment w:val="auto"/>
        <w:outlineLvl w:val="2"/>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1.防洪排涝安全体系进一步完善</w:t>
      </w:r>
    </w:p>
    <w:p w14:paraId="405895B7">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以堤防建设为重点，充分发挥蓄水工程的调洪作用，构筑“上调下防，库堤结合，疏挡并举，滞泄并重”的河流防洪排涝安全体系，保障区域流域防洪排涝安全。</w:t>
      </w:r>
    </w:p>
    <w:p w14:paraId="07573910">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继续推进重点河段防洪工程的开工建设，进一步提高流域防灾减灾能力。“十三五”期间，闽江上游沙溪流域防洪四期（明溪段）等重点防洪工程持续推进，项目总投资1.86亿元。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十三五”期间完成投资1.18亿元，共建设瑶奢、梓口坊及王陂3个堤段堤防总长9.5km，建设排涝涵洞21座。将吉口台商投资工业园区防洪标准提高至30年一遇，王桥、王陂段防洪标准提高至20年一遇，梓口坊段防洪标准提高至10年一遇。流域防洪能力显著提升。</w:t>
      </w:r>
    </w:p>
    <w:p w14:paraId="051024A0">
      <w:pPr>
        <w:keepNext w:val="0"/>
        <w:keepLines w:val="0"/>
        <w:pageBreakBefore w:val="0"/>
        <w:kinsoku/>
        <w:wordWrap/>
        <w:overflowPunct/>
        <w:bidi w:val="0"/>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继续推进中小河流重点河段治理工程，实施金溪、沙溪流域水系综合整治，治理河段防洪排涝能力得到显著提升，供水条件和人居环境得到明显改善。中小河流综合治理工程建设完成夏阳溪、胡贡溪、中溪溪、夏坊溪、城岚溪河道治理工程、渔塘溪黄丰板河段的建设实施，累计完成河道治理31.4 km，完成堤坊建设13 km，护岸5.32km，完成投资 28000 万元。</w:t>
      </w:r>
    </w:p>
    <w:p w14:paraId="6FA897C9">
      <w:pPr>
        <w:keepNext w:val="0"/>
        <w:keepLines w:val="0"/>
        <w:pageBreakBefore w:val="0"/>
        <w:kinsoku/>
        <w:wordWrap/>
        <w:overflowPunct/>
        <w:bidi w:val="0"/>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bCs/>
          <w:sz w:val="32"/>
          <w:szCs w:val="32"/>
        </w:rPr>
        <w:t>持续加强山洪灾害防御体系建设。</w:t>
      </w:r>
      <w:r>
        <w:rPr>
          <w:rFonts w:hint="eastAsia" w:ascii="仿宋_GB2312" w:hAnsi="仿宋_GB2312" w:eastAsia="仿宋_GB2312" w:cs="仿宋_GB2312"/>
          <w:sz w:val="32"/>
          <w:szCs w:val="32"/>
        </w:rPr>
        <w:t>“十三五”期间，进一步完善山洪灾害监测预警系统，强化信息共享和综合应用，扩大预警信息覆盖面。开展山洪灾害综合保障体系建设，增强重点地区应急抢险救援能力。加大重点山洪沟防洪治理力度，采取综合治理措施，进一步提高抗灾水平。基本建成非工程措施与工程措施相结合的山洪灾害综合防治体系。按照省上防汛抗旱指挥系统（二期）工程的部署，继续推进系统升级改造工作，不断提高现代化和信息化水平，满足防汛抗旱保安的需求。</w:t>
      </w:r>
    </w:p>
    <w:p w14:paraId="6CAED1A8">
      <w:pPr>
        <w:keepNext w:val="0"/>
        <w:keepLines w:val="0"/>
        <w:pageBreakBefore w:val="0"/>
        <w:kinsoku/>
        <w:wordWrap/>
        <w:overflowPunct/>
        <w:bidi w:val="0"/>
        <w:spacing w:line="560" w:lineRule="exact"/>
        <w:ind w:firstLine="602"/>
        <w:textAlignment w:val="auto"/>
        <w:outlineLvl w:val="2"/>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2.水资源保障体系加快完善</w:t>
      </w:r>
    </w:p>
    <w:p w14:paraId="1DD948FF">
      <w:pPr>
        <w:keepNext w:val="0"/>
        <w:keepLines w:val="0"/>
        <w:pageBreakBefore w:val="0"/>
        <w:kinsoku/>
        <w:wordWrap/>
        <w:overflow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以蓄水工程为支撑，推进节水供水重大水利工程建设，坚持人工连通与恢复自然连通相结合，构建分区配置、南北相接、纵横相济的水资源配置格局，提高水资源水环境承载能力，保障供水安全。</w:t>
      </w:r>
    </w:p>
    <w:p w14:paraId="0A5E340D">
      <w:pPr>
        <w:keepNext w:val="0"/>
        <w:keepLines w:val="0"/>
        <w:pageBreakBefore w:val="0"/>
        <w:kinsoku/>
        <w:wordWrap/>
        <w:overflowPunct/>
        <w:bidi w:val="0"/>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重大水库蓄水工程建设顺利完工。“十三五”期间，完成明溪县黄沙坑水库工程建设，目前已下闸蓄水进入运行管理阶段，新建水库总库容1717万m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。项目总投资3.4亿元，“十三五”期间计划投资3.25亿元，完成投资3.25亿元。</w:t>
      </w:r>
    </w:p>
    <w:p w14:paraId="3FE638BC">
      <w:pPr>
        <w:keepNext w:val="0"/>
        <w:keepLines w:val="0"/>
        <w:pageBreakBefore w:val="0"/>
        <w:kinsoku/>
        <w:wordWrap/>
        <w:overflowPunct/>
        <w:bidi w:val="0"/>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重要自来水厂工程建设有序推进。“十三五”期间，实施明源自来水厂工程及其配套管网项目，新建日供水规模5.0 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/d的水厂一座，铺设供水管道46km。项目总投资0.83亿元，“十三五”期间计划投资0.83亿元，完成投资0.30亿元。</w:t>
      </w:r>
    </w:p>
    <w:p w14:paraId="35827A75">
      <w:pPr>
        <w:keepNext w:val="0"/>
        <w:keepLines w:val="0"/>
        <w:pageBreakBefore w:val="0"/>
        <w:kinsoku/>
        <w:wordWrap/>
        <w:overflowPunct/>
        <w:topLinePunct/>
        <w:bidi w:val="0"/>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农村饮水安全巩固提升工程全面推进。“十三五”期间，通过工程改造、升级、配套、联网等方式，进一步提高农村自来水普及率、水质合格率和供水保证率。通过延伸城区供水管网，扩大供水范围，改善农村供水条件。在人口相对集中、有水源条件的地区，兴建一批跨村镇联片规模化集中供水工程，推进联村并网集中供水。实施小型集中供水和分散式供水工程的标准化改造。加强农村饮用水水源保护，加强水质检测能力建设，完善农村饮水工程水质检测监测体系，提升农村饮水安全监管水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十三五”期间，共完成29处农村饮水安全工程的巩固提升，受益人口19283人，完成投资689.4万元。</w:t>
      </w:r>
    </w:p>
    <w:p w14:paraId="67C26912">
      <w:pPr>
        <w:keepNext w:val="0"/>
        <w:keepLines w:val="0"/>
        <w:pageBreakBefore w:val="0"/>
        <w:kinsoku/>
        <w:wordWrap/>
        <w:overflowPunct/>
        <w:bidi w:val="0"/>
        <w:spacing w:line="560" w:lineRule="exact"/>
        <w:ind w:firstLine="602"/>
        <w:textAlignment w:val="auto"/>
        <w:outlineLvl w:val="2"/>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3.水资源节约力度逐步增强</w:t>
      </w:r>
    </w:p>
    <w:p w14:paraId="4D649A0E">
      <w:pPr>
        <w:keepNext w:val="0"/>
        <w:keepLines w:val="0"/>
        <w:pageBreakBefore w:val="0"/>
        <w:kinsoku/>
        <w:wordWrap/>
        <w:overflowPunct/>
        <w:bidi w:val="0"/>
        <w:spacing w:line="560" w:lineRule="exact"/>
        <w:ind w:firstLine="600"/>
        <w:jc w:val="both"/>
        <w:textAlignment w:val="auto"/>
        <w:rPr>
          <w:sz w:val="32"/>
          <w:szCs w:val="32"/>
        </w:rPr>
      </w:pPr>
      <w:r>
        <w:rPr>
          <w:sz w:val="32"/>
          <w:szCs w:val="32"/>
        </w:rPr>
        <w:t>以实施国家节水行动为契机，坚持节水优先方针，最严格水资源管理制度不断深入，各行业节水持续推进，建立健全节水机制，全民节水意识显著提高，节水型社会建设有所提升。</w:t>
      </w:r>
    </w:p>
    <w:p w14:paraId="210A3BAC">
      <w:pPr>
        <w:keepNext w:val="0"/>
        <w:keepLines w:val="0"/>
        <w:pageBreakBefore w:val="0"/>
        <w:kinsoku/>
        <w:wordWrap/>
        <w:overflowPunct/>
        <w:bidi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一是最严格水资源管理制度逐步落实。</w:t>
      </w:r>
      <w:r>
        <w:rPr>
          <w:rFonts w:hint="eastAsia" w:ascii="仿宋_GB2312" w:hAnsi="仿宋_GB2312" w:eastAsia="仿宋_GB2312" w:cs="仿宋_GB2312"/>
          <w:sz w:val="32"/>
          <w:szCs w:val="32"/>
        </w:rPr>
        <w:t>2013年，三明市人民政府下发了《关于下达水资源管理“三条红线”控制指标的通知》，明确了各县（市、区）用水总量控制目标要求；2015年，市政府下发《三明市实行最严格水资源管理制度考核工作实施方案（试行）》，明确各县（市、区）“十三五”期间实行最严格水资源管理制度考核控制目标，初步建立和完善了县（市、区）人民政府水资源管理控制目标体系和考核工作体系。明溪县严格执行三明市水资源管理相关制度及考核工作体系，至2020年末，全县用水总量控制在1.27亿m³以下，万元工业增加值用水量较2015年下降20%，万元国内生产总值用水量较2015年下降35%。全县用水总量控制指标、用水效率控制指标、水功能区限制纳污指标均满足考核要求。项目水资源论证管理制度全面落实。</w:t>
      </w:r>
    </w:p>
    <w:p w14:paraId="6BD3A287">
      <w:pPr>
        <w:keepNext w:val="0"/>
        <w:keepLines w:val="0"/>
        <w:pageBreakBefore w:val="0"/>
        <w:kinsoku/>
        <w:wordWrap/>
        <w:overflowPunct/>
        <w:autoSpaceDE w:val="0"/>
        <w:autoSpaceDN w:val="0"/>
        <w:bidi w:val="0"/>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二是农业灌溉节水不断加强。</w:t>
      </w:r>
      <w:r>
        <w:rPr>
          <w:rFonts w:hint="eastAsia" w:ascii="仿宋_GB2312" w:hAnsi="仿宋_GB2312" w:eastAsia="仿宋_GB2312" w:cs="仿宋_GB2312"/>
          <w:sz w:val="32"/>
          <w:szCs w:val="32"/>
        </w:rPr>
        <w:t>“十三五”期间共实施2处5万亩及以上的重点中型灌区续建配套和节水改造工程。开展第6批小型农田水利重点县工程建设及明溪县2017年高标准农田建设项目，加强灌区末级渠系、田间工程配套和小微型水源工程建设为重点，加大中小型农田水利设施建设力度，打通农田水利“最后一公里”。</w:t>
      </w:r>
    </w:p>
    <w:p w14:paraId="76F07E51">
      <w:pPr>
        <w:keepNext w:val="0"/>
        <w:keepLines w:val="0"/>
        <w:pageBreakBefore w:val="0"/>
        <w:kinsoku/>
        <w:wordWrap/>
        <w:overflowPunct/>
        <w:topLinePunct/>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新增恢复灌溉面积1.951万亩，发展节水灌溉面积0.55万亩。农田灌溉水利用系数由0.52提高至0.563，农业节水改造成效显著。全县灌区续建配套和节水改造等重点农田水利工程稳步推进，高效节水灌溉面积稳步提高，农田水利设施建设成效显著。</w:t>
      </w:r>
    </w:p>
    <w:p w14:paraId="46AAC69C">
      <w:pPr>
        <w:keepNext w:val="0"/>
        <w:keepLines w:val="0"/>
        <w:pageBreakBefore w:val="0"/>
        <w:kinsoku/>
        <w:wordWrap/>
        <w:overflowPunct/>
        <w:bidi w:val="0"/>
        <w:spacing w:line="560" w:lineRule="exact"/>
        <w:ind w:firstLine="602"/>
        <w:textAlignment w:val="auto"/>
        <w:outlineLvl w:val="2"/>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4.水生态安全保护体系加快完善</w:t>
      </w:r>
    </w:p>
    <w:p w14:paraId="187267CD">
      <w:pPr>
        <w:keepNext w:val="0"/>
        <w:keepLines w:val="0"/>
        <w:pageBreakBefore w:val="0"/>
        <w:shd w:val="clear" w:color="auto" w:fill="FFFFFF"/>
        <w:kinsoku/>
        <w:wordWrap/>
        <w:overflowPunct/>
        <w:bidi w:val="0"/>
        <w:spacing w:line="560" w:lineRule="exact"/>
        <w:ind w:firstLine="480" w:firstLineChars="150"/>
        <w:textAlignment w:val="auto"/>
        <w:rPr>
          <w:kern w:val="0"/>
          <w:sz w:val="32"/>
          <w:szCs w:val="32"/>
        </w:rPr>
      </w:pPr>
      <w:r>
        <w:rPr>
          <w:kern w:val="0"/>
          <w:sz w:val="32"/>
          <w:szCs w:val="32"/>
        </w:rPr>
        <w:t>以万里安全生态水系建设为重点，加大水资源保护工作力度，强化水土流失治理，加强水生态修复与保护</w:t>
      </w:r>
      <w:r>
        <w:rPr>
          <w:sz w:val="32"/>
          <w:szCs w:val="32"/>
        </w:rPr>
        <w:t>，大力推进水生态文明建设，</w:t>
      </w:r>
      <w:r>
        <w:rPr>
          <w:kern w:val="0"/>
          <w:sz w:val="32"/>
          <w:szCs w:val="32"/>
        </w:rPr>
        <w:t>打造人水和谐、环境优美的生态明溪。</w:t>
      </w:r>
    </w:p>
    <w:p w14:paraId="4CCE2C20">
      <w:pPr>
        <w:keepNext w:val="0"/>
        <w:keepLines w:val="0"/>
        <w:pageBreakBefore w:val="0"/>
        <w:kinsoku/>
        <w:wordWrap/>
        <w:overflowPunct/>
        <w:topLinePunct/>
        <w:bidi w:val="0"/>
        <w:spacing w:line="560" w:lineRule="exact"/>
        <w:ind w:firstLine="602"/>
        <w:textAlignment w:val="auto"/>
        <w:rPr>
          <w:sz w:val="32"/>
          <w:szCs w:val="32"/>
        </w:rPr>
      </w:pPr>
      <w:r>
        <w:rPr>
          <w:b/>
          <w:bCs/>
          <w:sz w:val="32"/>
          <w:szCs w:val="32"/>
        </w:rPr>
        <w:t>一是</w:t>
      </w:r>
      <w:r>
        <w:rPr>
          <w:sz w:val="32"/>
          <w:szCs w:val="32"/>
        </w:rPr>
        <w:t>积极开展万里安全生态水系建设。坚持“山水林田湖草是一个生命共同体”的系统思想，转变治水理念，兼顾行洪安全、生态自然。“十三五”期间，完成</w:t>
      </w:r>
      <w:r>
        <w:rPr>
          <w:rFonts w:hint="eastAsia" w:ascii="仿宋_GB2312" w:hAnsi="仿宋_GB2312" w:eastAsia="仿宋_GB2312" w:cs="仿宋_GB2312"/>
          <w:sz w:val="32"/>
          <w:szCs w:val="32"/>
        </w:rPr>
        <w:t>渔塘溪、画桥溪、夏阳溪3个生态水系治理工作，共治理河长29.4km。项目总投资0.39亿元，“十三五”期间计划投资0.39亿元，完成投资0.39亿元。</w:t>
      </w:r>
    </w:p>
    <w:p w14:paraId="0C441497">
      <w:pPr>
        <w:keepNext w:val="0"/>
        <w:keepLines w:val="0"/>
        <w:pageBreakBefore w:val="0"/>
        <w:kinsoku/>
        <w:wordWrap/>
        <w:overflowPunct/>
        <w:topLinePunct/>
        <w:bidi w:val="0"/>
        <w:spacing w:line="560" w:lineRule="exact"/>
        <w:ind w:firstLine="602"/>
        <w:textAlignment w:val="auto"/>
        <w:rPr>
          <w:sz w:val="32"/>
          <w:szCs w:val="32"/>
        </w:rPr>
      </w:pPr>
      <w:r>
        <w:rPr>
          <w:b/>
          <w:bCs/>
          <w:sz w:val="32"/>
          <w:szCs w:val="32"/>
        </w:rPr>
        <w:t>二是</w:t>
      </w:r>
      <w:r>
        <w:rPr>
          <w:bCs/>
          <w:sz w:val="32"/>
          <w:szCs w:val="32"/>
        </w:rPr>
        <w:t>水生态空间管控工作逐步开展。</w:t>
      </w:r>
      <w:r>
        <w:rPr>
          <w:sz w:val="32"/>
          <w:szCs w:val="32"/>
        </w:rPr>
        <w:t>“十三五”期间，已完成沙溪</w:t>
      </w:r>
      <w:r>
        <w:rPr>
          <w:rFonts w:hint="eastAsia"/>
          <w:sz w:val="32"/>
          <w:szCs w:val="32"/>
        </w:rPr>
        <w:t>流域四、五级河道以及</w:t>
      </w:r>
      <w:r>
        <w:rPr>
          <w:sz w:val="32"/>
          <w:szCs w:val="32"/>
        </w:rPr>
        <w:t>金溪</w:t>
      </w:r>
      <w:r>
        <w:rPr>
          <w:rFonts w:hint="eastAsia"/>
          <w:sz w:val="32"/>
          <w:szCs w:val="32"/>
        </w:rPr>
        <w:t>流域四、五级河道</w:t>
      </w:r>
      <w:r>
        <w:rPr>
          <w:sz w:val="32"/>
          <w:szCs w:val="32"/>
        </w:rPr>
        <w:t>岸线及河岸生态保护蓝线规划工作</w:t>
      </w:r>
      <w:r>
        <w:rPr>
          <w:rFonts w:hint="eastAsia"/>
          <w:sz w:val="32"/>
          <w:szCs w:val="32"/>
        </w:rPr>
        <w:t>，明确了明溪县主要河流重要河段岸线管理范围、责任和权限，为岸线利用保护和涉水建设项目的审批和管理提供了可靠依据</w:t>
      </w:r>
      <w:r>
        <w:rPr>
          <w:sz w:val="32"/>
          <w:szCs w:val="32"/>
        </w:rPr>
        <w:t>。河湖管理范围线及河湖岸线分区前期规划工作已逐步开展。</w:t>
      </w:r>
    </w:p>
    <w:p w14:paraId="63336B92">
      <w:pPr>
        <w:keepNext w:val="0"/>
        <w:keepLines w:val="0"/>
        <w:pageBreakBefore w:val="0"/>
        <w:kinsoku/>
        <w:wordWrap/>
        <w:overflowPunct/>
        <w:topLinePunct/>
        <w:bidi w:val="0"/>
        <w:spacing w:line="560" w:lineRule="exact"/>
        <w:ind w:firstLine="602"/>
        <w:textAlignment w:val="auto"/>
        <w:rPr>
          <w:sz w:val="32"/>
          <w:szCs w:val="32"/>
        </w:rPr>
      </w:pPr>
      <w:r>
        <w:rPr>
          <w:b/>
          <w:bCs/>
          <w:sz w:val="32"/>
          <w:szCs w:val="32"/>
        </w:rPr>
        <w:t>三是</w:t>
      </w:r>
      <w:r>
        <w:rPr>
          <w:rFonts w:hint="eastAsia" w:ascii="仿宋_GB2312" w:hAnsi="仿宋_GB2312" w:eastAsia="仿宋_GB2312" w:cs="仿宋_GB2312"/>
          <w:sz w:val="32"/>
          <w:szCs w:val="32"/>
        </w:rPr>
        <w:t>电站生态化改造有序实施。“十三五”期间，完成全县68座农村水电站生态化改造，已核定下泄流量68座，完成率100%，已编制整改方案68个，完成率100%，泄流设施改造68座，完成率100%，目前停退4座，退出1座，在线流量监控设施安装62座，完成率100%，生态泄流数据接入环保平台62座，完成率100%。</w:t>
      </w:r>
    </w:p>
    <w:p w14:paraId="480465A1">
      <w:pPr>
        <w:keepNext w:val="0"/>
        <w:keepLines w:val="0"/>
        <w:pageBreakBefore w:val="0"/>
        <w:kinsoku/>
        <w:wordWrap/>
        <w:overflowPunct/>
        <w:topLinePunct/>
        <w:bidi w:val="0"/>
        <w:spacing w:line="560" w:lineRule="exact"/>
        <w:ind w:firstLine="602"/>
        <w:textAlignment w:val="auto"/>
        <w:rPr>
          <w:sz w:val="32"/>
          <w:szCs w:val="32"/>
        </w:rPr>
      </w:pPr>
      <w:r>
        <w:rPr>
          <w:rFonts w:hint="eastAsia"/>
          <w:b/>
          <w:bCs/>
          <w:sz w:val="32"/>
          <w:szCs w:val="32"/>
        </w:rPr>
        <w:t>四是</w:t>
      </w:r>
      <w:r>
        <w:rPr>
          <w:rFonts w:hint="eastAsia" w:ascii="仿宋_GB2312" w:hAnsi="仿宋_GB2312" w:eastAsia="仿宋_GB2312" w:cs="仿宋_GB2312"/>
          <w:sz w:val="32"/>
          <w:szCs w:val="32"/>
        </w:rPr>
        <w:t>水土保持生态建设不断加强。“十三五”期间，共实施19个水土保持综合治理项目，涉及8个乡镇，21个行政村，综合治理面积10190hm2，其中封育管护9701.25hm2，造林 158.05hm2，补植267.7 hm2，坡改梯63hm2，生态治理河道总长25.11km，建设生态护岸 13.60 km，生态休闲步道4.77km，生产道路硬化3.65km，排水沟3.68km，护岸绿化4.77km，水保公园8个，以及缓冲带、亲水平台、蓄水池等。项目总投资0.47亿元，“十三五”期间计划投资0.47亿元，完成投资0.47亿元。每年可增加蓄水效益1126.2万m3，减少土壤侵蚀量21.49万t，有效减轻水土流失的危害，生态环境明显改善。同时，项目区群众生产生活条件得到较大改善。</w:t>
      </w:r>
    </w:p>
    <w:p w14:paraId="5A5F45B0">
      <w:pPr>
        <w:keepNext w:val="0"/>
        <w:keepLines w:val="0"/>
        <w:pageBreakBefore w:val="0"/>
        <w:kinsoku/>
        <w:wordWrap/>
        <w:overflowPunct/>
        <w:bidi w:val="0"/>
        <w:spacing w:line="560" w:lineRule="exact"/>
        <w:ind w:firstLine="602"/>
        <w:textAlignment w:val="auto"/>
        <w:outlineLvl w:val="2"/>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5.水利信息化水平稳步提高</w:t>
      </w:r>
    </w:p>
    <w:p w14:paraId="23441072">
      <w:pPr>
        <w:keepNext w:val="0"/>
        <w:keepLines w:val="0"/>
        <w:pageBreakBefore w:val="0"/>
        <w:kinsoku/>
        <w:wordWrap/>
        <w:overflowPunct/>
        <w:bidi w:val="0"/>
        <w:spacing w:line="560" w:lineRule="exact"/>
        <w:ind w:firstLine="600"/>
        <w:jc w:val="both"/>
        <w:textAlignment w:val="auto"/>
        <w:rPr>
          <w:sz w:val="32"/>
          <w:szCs w:val="32"/>
        </w:rPr>
      </w:pPr>
      <w:bookmarkStart w:id="43" w:name="_Toc33031817"/>
      <w:bookmarkStart w:id="44" w:name="_Toc33176046"/>
      <w:bookmarkStart w:id="45" w:name="_Toc33168604"/>
      <w:r>
        <w:rPr>
          <w:rFonts w:hint="eastAsia" w:ascii="仿宋_GB2312" w:hAnsi="仿宋_GB2312" w:eastAsia="仿宋_GB2312" w:cs="仿宋_GB2312"/>
          <w:sz w:val="32"/>
          <w:szCs w:val="32"/>
        </w:rPr>
        <w:t>“十三五”期间，明溪县全力打造数字水利平台，积极开展“智慧水利”建设，初步实现全县水文监测、山洪监测、防洪调度、水资源监控、水环境监测等涉水信息的互联互通。其中子项目“智慧河流”明溪县河长制指挥平台已在全县全面启用，开启了“智慧治水”新时代。</w:t>
      </w:r>
    </w:p>
    <w:p w14:paraId="28D94430">
      <w:pPr>
        <w:keepNext w:val="0"/>
        <w:keepLines w:val="0"/>
        <w:pageBreakBefore w:val="0"/>
        <w:kinsoku/>
        <w:wordWrap/>
        <w:overflowPunct/>
        <w:bidi w:val="0"/>
        <w:spacing w:line="560" w:lineRule="exact"/>
        <w:ind w:firstLine="602"/>
        <w:textAlignment w:val="auto"/>
        <w:outlineLvl w:val="2"/>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6.水利行业监管体系不断完善</w:t>
      </w:r>
    </w:p>
    <w:p w14:paraId="3D4864E5">
      <w:pPr>
        <w:keepNext w:val="0"/>
        <w:keepLines w:val="0"/>
        <w:pageBreakBefore w:val="0"/>
        <w:kinsoku/>
        <w:wordWrap/>
        <w:overflowPunct/>
        <w:bidi w:val="0"/>
        <w:spacing w:line="560" w:lineRule="exact"/>
        <w:ind w:firstLine="602"/>
        <w:jc w:val="both"/>
        <w:textAlignment w:val="auto"/>
        <w:rPr>
          <w:rFonts w:hint="eastAsia" w:ascii="仿宋_GB2312" w:hAnsi="仿宋_GB2312" w:eastAsia="仿宋_GB2312" w:cs="仿宋_GB2312"/>
          <w:sz w:val="32"/>
          <w:szCs w:val="32"/>
        </w:rPr>
      </w:pPr>
      <w:r>
        <w:rPr>
          <w:b/>
          <w:sz w:val="32"/>
          <w:szCs w:val="32"/>
        </w:rPr>
        <w:t>河长制监管不断强化。</w:t>
      </w:r>
      <w:r>
        <w:rPr>
          <w:rFonts w:hint="eastAsia" w:ascii="仿宋_GB2312" w:hAnsi="仿宋_GB2312" w:eastAsia="仿宋_GB2312" w:cs="仿宋_GB2312"/>
          <w:sz w:val="32"/>
          <w:szCs w:val="32"/>
        </w:rPr>
        <w:t>2017年，明溪县人民政府印发了《明溪县全面深化河长制实施方案》，并制定了《明溪县河长制工作2017~2020年行动方案》。将河长制各项工作任务分解落实到了县、乡，做到了全覆盖。初步建立起河长制会议制度、信息报送制度、督察制度、考核制度、信息共享制度、验收制度等六项工作制度。同时，明溪政府门户网开辟“深化河长制，建设新明溪”专栏，设立县河长办举报电话和邮箱，接受社会投诉举报；县检察院入驻县河长办，发挥生态保护司法利器作用，向破坏水环境的行为亮剑，取缔了朱南村、温庄村等地非法小炼油厂。为确保水质达标，县相关部门严格落实流域水质监测、小流域水质提升整治和水环境治理工作。全县共设置小流域水质监测断面24个，县境内渔塘溪、胡贡溪水质优于国家地表水III类标准，角溪达到II类标准，达标率为100%。</w:t>
      </w:r>
    </w:p>
    <w:p w14:paraId="4E4B6ADD">
      <w:pPr>
        <w:keepNext w:val="0"/>
        <w:keepLines w:val="0"/>
        <w:pageBreakBefore w:val="0"/>
        <w:kinsoku/>
        <w:wordWrap/>
        <w:overflowPunct/>
        <w:bidi w:val="0"/>
        <w:spacing w:line="560" w:lineRule="exact"/>
        <w:ind w:firstLine="602"/>
        <w:jc w:val="both"/>
        <w:textAlignment w:val="auto"/>
        <w:rPr>
          <w:rFonts w:hint="eastAsia" w:ascii="仿宋_GB2312" w:hAnsi="仿宋_GB2312" w:eastAsia="仿宋_GB2312" w:cs="仿宋_GB2312"/>
          <w:sz w:val="32"/>
          <w:szCs w:val="32"/>
        </w:rPr>
      </w:pPr>
      <w:r>
        <w:rPr>
          <w:b/>
          <w:sz w:val="32"/>
          <w:szCs w:val="32"/>
        </w:rPr>
        <w:t>水资源监管不断强化。</w:t>
      </w:r>
      <w:r>
        <w:rPr>
          <w:rFonts w:hint="eastAsia" w:ascii="仿宋_GB2312" w:hAnsi="仿宋_GB2312" w:eastAsia="仿宋_GB2312" w:cs="仿宋_GB2312"/>
          <w:sz w:val="32"/>
          <w:szCs w:val="32"/>
        </w:rPr>
        <w:t>落实最严格水资源管理制度，严格执行水资源论证、取水许可和水资源有偿使用制度，严控用水总量，促进水资源可持续利用。在取水许可审批中，严格建设项目水资源论证，合理配置项目水源，从严核定许可水量，对取用水总量已达到或超过控制指标的地区暂停审批新增取水。对无证取水、违法打井、拖欠水资源费等违法行为加大查处力度，全县水资源使用和管理秩序良好。</w:t>
      </w:r>
    </w:p>
    <w:p w14:paraId="6DE160A7">
      <w:pPr>
        <w:keepNext w:val="0"/>
        <w:keepLines w:val="0"/>
        <w:pageBreakBefore w:val="0"/>
        <w:kinsoku/>
        <w:wordWrap/>
        <w:overflowPunct/>
        <w:bidi w:val="0"/>
        <w:spacing w:line="560" w:lineRule="exact"/>
        <w:ind w:firstLine="602"/>
        <w:jc w:val="both"/>
        <w:textAlignment w:val="auto"/>
        <w:rPr>
          <w:rFonts w:hint="eastAsia" w:ascii="仿宋_GB2312" w:hAnsi="仿宋_GB2312" w:eastAsia="仿宋_GB2312" w:cs="仿宋_GB2312"/>
          <w:sz w:val="32"/>
          <w:szCs w:val="32"/>
        </w:rPr>
      </w:pPr>
      <w:r>
        <w:rPr>
          <w:b/>
          <w:sz w:val="32"/>
          <w:szCs w:val="32"/>
        </w:rPr>
        <w:t>水利工程监管不断强化。</w:t>
      </w:r>
      <w:r>
        <w:rPr>
          <w:rFonts w:hint="eastAsia" w:ascii="仿宋_GB2312" w:hAnsi="仿宋_GB2312" w:eastAsia="仿宋_GB2312" w:cs="仿宋_GB2312"/>
          <w:sz w:val="32"/>
          <w:szCs w:val="32"/>
        </w:rPr>
        <w:t>水利工程质量实行质量考核制度，对在建项目进行全面跟踪和督察，建立了约谈、不良记录上报、通报等制度，有效纠正了部分项目实施不规范、管理不达标的问题。全县水库严格落实“三个责任人”制度，对农田水利工程、堤防等工程实行标准化管理。</w:t>
      </w:r>
    </w:p>
    <w:p w14:paraId="5BCF80B9">
      <w:pPr>
        <w:keepNext w:val="0"/>
        <w:keepLines w:val="0"/>
        <w:pageBreakBefore w:val="0"/>
        <w:kinsoku/>
        <w:wordWrap/>
        <w:overflowPunct/>
        <w:bidi w:val="0"/>
        <w:spacing w:line="560" w:lineRule="exact"/>
        <w:ind w:firstLine="602"/>
        <w:jc w:val="both"/>
        <w:textAlignment w:val="auto"/>
        <w:rPr>
          <w:rFonts w:hint="eastAsia" w:ascii="仿宋_GB2312" w:hAnsi="仿宋_GB2312" w:eastAsia="仿宋_GB2312" w:cs="仿宋_GB2312"/>
          <w:sz w:val="32"/>
          <w:szCs w:val="32"/>
        </w:rPr>
      </w:pPr>
      <w:r>
        <w:rPr>
          <w:rFonts w:hint="eastAsia" w:cs="仿宋_GB2312"/>
          <w:b/>
          <w:sz w:val="32"/>
          <w:szCs w:val="32"/>
        </w:rPr>
        <w:t>水土保持监管不断强化。</w:t>
      </w:r>
      <w:r>
        <w:rPr>
          <w:rFonts w:hint="eastAsia" w:ascii="仿宋_GB2312" w:hAnsi="仿宋_GB2312" w:eastAsia="仿宋_GB2312" w:cs="仿宋_GB2312"/>
          <w:sz w:val="32"/>
          <w:szCs w:val="32"/>
        </w:rPr>
        <w:t>进一步深化“放管服”改革，全面加强生产建设项目水土保持监管，有效减少人为造成的水土流失。规范项目审批，共审批（许可、备案）水土保持方案48个；项目现场监督检查全覆盖，累计检查项目123个152次；水土保持补偿费及时征收，应收尽收，共征收水土保持补偿费295.8万元；严格落实水土保持设施自主验收“三同时”，同时设计，同时施工，同时投入使用。</w:t>
      </w:r>
    </w:p>
    <w:p w14:paraId="01D9C768">
      <w:pPr>
        <w:keepNext w:val="0"/>
        <w:keepLines w:val="0"/>
        <w:pageBreakBefore w:val="0"/>
        <w:kinsoku/>
        <w:wordWrap/>
        <w:overflowPunct/>
        <w:bidi w:val="0"/>
        <w:spacing w:line="560" w:lineRule="exact"/>
        <w:ind w:firstLine="602"/>
        <w:textAlignment w:val="auto"/>
        <w:outlineLvl w:val="2"/>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7.水利改革创新工作进一步深化</w:t>
      </w:r>
    </w:p>
    <w:p w14:paraId="510411BF">
      <w:pPr>
        <w:keepNext w:val="0"/>
        <w:keepLines w:val="0"/>
        <w:pageBreakBefore w:val="0"/>
        <w:kinsoku/>
        <w:wordWrap/>
        <w:overflowPunct/>
        <w:bidi w:val="0"/>
        <w:spacing w:line="560" w:lineRule="exact"/>
        <w:ind w:firstLine="602"/>
        <w:jc w:val="both"/>
        <w:textAlignment w:val="auto"/>
        <w:rPr>
          <w:sz w:val="32"/>
          <w:szCs w:val="32"/>
        </w:rPr>
      </w:pPr>
      <w:r>
        <w:rPr>
          <w:b/>
          <w:sz w:val="32"/>
          <w:szCs w:val="32"/>
        </w:rPr>
        <w:t>水域岸线用途管控趋于严格。</w:t>
      </w:r>
      <w:r>
        <w:rPr>
          <w:rFonts w:hint="eastAsia" w:ascii="仿宋_GB2312" w:hAnsi="仿宋_GB2312" w:eastAsia="仿宋_GB2312" w:cs="仿宋_GB2312"/>
          <w:sz w:val="32"/>
          <w:szCs w:val="32"/>
        </w:rPr>
        <w:t>“十三五”期间，编制完成沙溪流域四、五级河道岸线与生态保护蓝线规划报告及金溪流域四、五级河道岸线与生态保护蓝线规划报告，明确了明溪县主要河流重要河段岸线管理范围、责任和权限，为岸线利用保护和涉水建设项目的审批和管理提供了可靠依据。积极推动河湖“清四乱”专项行动，全县各乡镇大力排查 “四乱”问题，并全部整改到位。</w:t>
      </w:r>
    </w:p>
    <w:p w14:paraId="29DAF085">
      <w:pPr>
        <w:keepNext w:val="0"/>
        <w:keepLines w:val="0"/>
        <w:pageBreakBefore w:val="0"/>
        <w:kinsoku/>
        <w:wordWrap/>
        <w:overflowPunct/>
        <w:bidi w:val="0"/>
        <w:spacing w:line="560" w:lineRule="exact"/>
        <w:ind w:firstLine="602"/>
        <w:jc w:val="both"/>
        <w:textAlignment w:val="auto"/>
        <w:rPr>
          <w:sz w:val="32"/>
          <w:szCs w:val="32"/>
        </w:rPr>
      </w:pPr>
      <w:r>
        <w:rPr>
          <w:b/>
          <w:sz w:val="32"/>
          <w:szCs w:val="32"/>
        </w:rPr>
        <w:t>水资源有偿使用持续推进。</w:t>
      </w:r>
      <w:r>
        <w:rPr>
          <w:rFonts w:hint="eastAsia" w:ascii="仿宋_GB2312" w:hAnsi="仿宋_GB2312" w:eastAsia="仿宋_GB2312" w:cs="仿宋_GB2312"/>
          <w:sz w:val="32"/>
          <w:szCs w:val="32"/>
        </w:rPr>
        <w:t>“十三五”期间，明溪县编制完成农业水价综合改革实施方案，成立了农业水价综合改革领导小组，落实了新的农业水费标准和征收办法，积极推进水权交易。</w:t>
      </w:r>
    </w:p>
    <w:p w14:paraId="4526AB65">
      <w:pPr>
        <w:keepNext w:val="0"/>
        <w:keepLines w:val="0"/>
        <w:pageBreakBefore w:val="0"/>
        <w:kinsoku/>
        <w:wordWrap/>
        <w:overflowPunct/>
        <w:bidi w:val="0"/>
        <w:spacing w:line="560" w:lineRule="exact"/>
        <w:ind w:firstLine="602"/>
        <w:jc w:val="both"/>
        <w:textAlignment w:val="auto"/>
        <w:rPr>
          <w:sz w:val="32"/>
          <w:szCs w:val="32"/>
        </w:rPr>
      </w:pPr>
      <w:r>
        <w:rPr>
          <w:b/>
          <w:sz w:val="32"/>
          <w:szCs w:val="32"/>
        </w:rPr>
        <w:t>水利投融资机制不断完善。</w:t>
      </w:r>
      <w:r>
        <w:rPr>
          <w:rFonts w:hint="eastAsia" w:ascii="仿宋_GB2312" w:hAnsi="仿宋_GB2312" w:eastAsia="仿宋_GB2312" w:cs="仿宋_GB2312"/>
          <w:sz w:val="32"/>
          <w:szCs w:val="32"/>
        </w:rPr>
        <w:t>加大公共财政资金对水利投入力度，充分利用金融平台发行专项债券和贷款，鼓励和支持社会资金以多种方式参与水利基础建设。</w:t>
      </w:r>
    </w:p>
    <w:bookmarkEnd w:id="43"/>
    <w:bookmarkEnd w:id="44"/>
    <w:bookmarkEnd w:id="45"/>
    <w:p w14:paraId="21421D8C">
      <w:pPr>
        <w:keepNext w:val="0"/>
        <w:keepLines w:val="0"/>
        <w:pageBreakBefore w:val="0"/>
        <w:kinsoku/>
        <w:wordWrap/>
        <w:overflowPunct/>
        <w:topLinePunct/>
        <w:bidi w:val="0"/>
        <w:spacing w:line="560" w:lineRule="exact"/>
        <w:ind w:firstLine="602"/>
        <w:textAlignment w:val="auto"/>
        <w:rPr>
          <w:rFonts w:hint="eastAsia" w:ascii="仿宋_GB2312" w:hAnsi="仿宋_GB2312" w:eastAsia="仿宋_GB2312" w:cs="仿宋_GB2312"/>
          <w:sz w:val="32"/>
          <w:szCs w:val="32"/>
        </w:rPr>
      </w:pPr>
      <w:r>
        <w:rPr>
          <w:b/>
          <w:sz w:val="32"/>
          <w:szCs w:val="32"/>
        </w:rPr>
        <w:t>水利管理能力不断提升。</w:t>
      </w:r>
      <w:r>
        <w:rPr>
          <w:rFonts w:hint="eastAsia" w:ascii="仿宋_GB2312" w:hAnsi="仿宋_GB2312" w:eastAsia="仿宋_GB2312" w:cs="仿宋_GB2312"/>
          <w:sz w:val="32"/>
          <w:szCs w:val="32"/>
        </w:rPr>
        <w:t>“十三五”期间，信息化管理方面：2018年，明溪县河长制指挥平台全面启用。平台集河长、河道专管员履职、问题处置、信息综合等于一体，为各级河长提供有力的信息化支撑和服务，开启了“智慧治水”新时代。水资源管理方面：通过《三明市实行最严格水资源管理制度考核工作实施方案（试行）》，明确明溪县“十三五”期间实行最严格水资源管理制度考核控制目标，初步建立和完善了县人民政府水资源管理控制目标体系和考核工作体系。河湖长制方面：2017年，明溪县人民政府印发了《明溪县全面深化河长制实施方案》和《明溪县河长制工作2017~2020年任务计划》，建立河长会议、联席会议、河长制工作巡查、督导、考核、问责与激励等相关制度，初步建立起河长制会议制度、信息报送制度、督察制度、考核制度、信息共享制度、验收制度等六项工作制度。各乡镇因地制宜创新河道管护机制，如夏阳乡鼓励民间资本参与承包河道生态管养、率先实施工企河长制度，夏坊乡设立库区河长基金，雪峰镇以购买服务的方式管养河道，进一步落实水流域保护措施。生态环境保护：2017年，明溪县人民政府印发了《明溪县生态环境综合治理攻坚行动实施方案》，落实县委、县政府对生态文明建设的工作部署，以全面深化河长制工作为抓手，坚持问题导向，实施综合治理，加快实现“河畅、水清、岸绿、景美”。实施方案详细制定了《明溪县工业污染专项治理攻坚行动方案》《明溪县养殖业污染专项治理攻坚行动方案》《明溪县涉砂行为专项治理攻坚行动方案》《明溪县城乡生活污水垃圾治理攻坚行动方案》《明溪县小水电生态治理攻坚行动方案》。</w:t>
      </w:r>
    </w:p>
    <w:p w14:paraId="642BDF66">
      <w:pPr>
        <w:pStyle w:val="4"/>
        <w:keepNext w:val="0"/>
        <w:keepLines w:val="0"/>
        <w:pageBreakBefore w:val="0"/>
        <w:kinsoku/>
        <w:wordWrap/>
        <w:overflowPunct/>
        <w:bidi w:val="0"/>
        <w:spacing w:line="560" w:lineRule="exact"/>
        <w:ind w:firstLine="602"/>
        <w:jc w:val="both"/>
        <w:textAlignment w:val="auto"/>
        <w:rPr>
          <w:sz w:val="32"/>
          <w:szCs w:val="32"/>
        </w:rPr>
      </w:pPr>
      <w:bookmarkStart w:id="46" w:name="_Toc1484_WPSOffice_Level2"/>
      <w:bookmarkStart w:id="47" w:name="_Toc59110021"/>
      <w:bookmarkStart w:id="48" w:name="_Toc69484826"/>
      <w:r>
        <w:rPr>
          <w:rFonts w:hint="eastAsia"/>
          <w:sz w:val="32"/>
          <w:szCs w:val="32"/>
        </w:rPr>
        <w:t>（二）主要指标完成情况</w:t>
      </w:r>
      <w:bookmarkEnd w:id="46"/>
      <w:bookmarkEnd w:id="47"/>
      <w:bookmarkEnd w:id="48"/>
    </w:p>
    <w:p w14:paraId="1191F1BF">
      <w:pPr>
        <w:keepNext w:val="0"/>
        <w:keepLines w:val="0"/>
        <w:pageBreakBefore w:val="0"/>
        <w:kinsoku/>
        <w:wordWrap/>
        <w:overflowPunct/>
        <w:bidi w:val="0"/>
        <w:spacing w:line="560" w:lineRule="exact"/>
        <w:ind w:firstLine="600"/>
        <w:textAlignment w:val="auto"/>
        <w:rPr>
          <w:rFonts w:ascii="仿宋_GB231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十三五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期间，全县计划投资6.69亿元，实际完成投资4.756亿元，占任务的71.09%。用水总量、万元工业增加值用水量、农田灌溉水有效利用系数、新增恢复有效灌溉面积、水利工程新增年供水能力、农村自来水普及率、农村集中供水率、新增水土流失综合治理面积、水土流失率等指标均完成或基本完成设定的目标值。</w:t>
      </w:r>
    </w:p>
    <w:p w14:paraId="0AB8C60A">
      <w:pPr>
        <w:pStyle w:val="4"/>
        <w:keepNext w:val="0"/>
        <w:keepLines w:val="0"/>
        <w:pageBreakBefore w:val="0"/>
        <w:widowControl w:val="0"/>
        <w:kinsoku/>
        <w:wordWrap/>
        <w:overflowPunct/>
        <w:topLinePunct w:val="0"/>
        <w:autoSpaceDE/>
        <w:autoSpaceDN/>
        <w:bidi w:val="0"/>
        <w:adjustRightInd w:val="0"/>
        <w:snapToGrid w:val="0"/>
        <w:spacing w:line="360" w:lineRule="exact"/>
        <w:ind w:firstLine="602"/>
        <w:jc w:val="center"/>
        <w:textAlignment w:val="auto"/>
        <w:rPr>
          <w:rFonts w:hint="eastAsia"/>
          <w:sz w:val="32"/>
          <w:szCs w:val="32"/>
          <w:lang w:val="en-US" w:eastAsia="zh-CN"/>
        </w:rPr>
      </w:pPr>
      <w:r>
        <w:rPr>
          <w:rFonts w:hint="eastAsia"/>
          <w:sz w:val="32"/>
          <w:szCs w:val="32"/>
          <w:lang w:val="en-US" w:eastAsia="zh-CN"/>
        </w:rPr>
        <w:t>明溪县“十三五”水利规划主要指标完成情况表</w:t>
      </w:r>
    </w:p>
    <w:p w14:paraId="4B178408">
      <w:pPr>
        <w:keepNext w:val="0"/>
        <w:keepLines w:val="0"/>
        <w:pageBreakBefore w:val="0"/>
        <w:widowControl w:val="0"/>
        <w:kinsoku/>
        <w:wordWrap/>
        <w:overflowPunct/>
        <w:topLinePunct w:val="0"/>
        <w:autoSpaceDE/>
        <w:autoSpaceDN/>
        <w:bidi w:val="0"/>
        <w:adjustRightInd w:val="0"/>
        <w:snapToGrid w:val="0"/>
        <w:spacing w:line="3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表1</w:t>
      </w:r>
    </w:p>
    <w:tbl>
      <w:tblPr>
        <w:tblStyle w:val="1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214"/>
        <w:gridCol w:w="2074"/>
        <w:gridCol w:w="2074"/>
      </w:tblGrid>
      <w:tr w14:paraId="452D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F13B5A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发展目标</w:t>
            </w:r>
          </w:p>
        </w:tc>
        <w:tc>
          <w:tcPr>
            <w:tcW w:w="3214" w:type="dxa"/>
            <w:vAlign w:val="center"/>
          </w:tcPr>
          <w:p w14:paraId="0550C87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2074" w:type="dxa"/>
            <w:vAlign w:val="center"/>
          </w:tcPr>
          <w:p w14:paraId="53BFC1F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规划指标</w:t>
            </w:r>
          </w:p>
        </w:tc>
        <w:tc>
          <w:tcPr>
            <w:tcW w:w="2074" w:type="dxa"/>
            <w:vAlign w:val="center"/>
          </w:tcPr>
          <w:p w14:paraId="5F7219D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“十三五”完成情况</w:t>
            </w:r>
          </w:p>
        </w:tc>
      </w:tr>
      <w:tr w14:paraId="54F2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31E2436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节水</w:t>
            </w:r>
          </w:p>
        </w:tc>
        <w:tc>
          <w:tcPr>
            <w:tcW w:w="3214" w:type="dxa"/>
            <w:vAlign w:val="center"/>
          </w:tcPr>
          <w:p w14:paraId="0ED3CE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用水总量（亿立方米）</w:t>
            </w:r>
          </w:p>
        </w:tc>
        <w:tc>
          <w:tcPr>
            <w:tcW w:w="2074" w:type="dxa"/>
            <w:vAlign w:val="center"/>
          </w:tcPr>
          <w:p w14:paraId="50402F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&lt;1.27</w:t>
            </w:r>
          </w:p>
        </w:tc>
        <w:tc>
          <w:tcPr>
            <w:tcW w:w="2074" w:type="dxa"/>
            <w:vAlign w:val="center"/>
          </w:tcPr>
          <w:p w14:paraId="3B87BD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&lt;1.27</w:t>
            </w:r>
          </w:p>
        </w:tc>
      </w:tr>
      <w:tr w14:paraId="753D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31A497E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3214" w:type="dxa"/>
            <w:vAlign w:val="center"/>
          </w:tcPr>
          <w:p w14:paraId="317D0E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万元工业增加值用水量（立方米）</w:t>
            </w:r>
          </w:p>
        </w:tc>
        <w:tc>
          <w:tcPr>
            <w:tcW w:w="2074" w:type="dxa"/>
            <w:vAlign w:val="center"/>
          </w:tcPr>
          <w:p w14:paraId="3A49CB5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&lt;65</w:t>
            </w:r>
          </w:p>
        </w:tc>
        <w:tc>
          <w:tcPr>
            <w:tcW w:w="2074" w:type="dxa"/>
            <w:vAlign w:val="center"/>
          </w:tcPr>
          <w:p w14:paraId="21A0E9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r>
      <w:tr w14:paraId="7A2B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434F933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3214" w:type="dxa"/>
            <w:vAlign w:val="center"/>
          </w:tcPr>
          <w:p w14:paraId="2808BFC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农田灌溉水有效利用系数</w:t>
            </w:r>
          </w:p>
        </w:tc>
        <w:tc>
          <w:tcPr>
            <w:tcW w:w="2074" w:type="dxa"/>
            <w:vAlign w:val="center"/>
          </w:tcPr>
          <w:p w14:paraId="7137720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0.56</w:t>
            </w:r>
          </w:p>
        </w:tc>
        <w:tc>
          <w:tcPr>
            <w:tcW w:w="2074" w:type="dxa"/>
            <w:vAlign w:val="center"/>
          </w:tcPr>
          <w:p w14:paraId="2D22A52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0.563</w:t>
            </w:r>
          </w:p>
        </w:tc>
      </w:tr>
      <w:tr w14:paraId="13D1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528418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供水</w:t>
            </w:r>
          </w:p>
        </w:tc>
        <w:tc>
          <w:tcPr>
            <w:tcW w:w="3214" w:type="dxa"/>
            <w:vAlign w:val="center"/>
          </w:tcPr>
          <w:p w14:paraId="345A17A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新增供水能力（亿立方米）</w:t>
            </w:r>
          </w:p>
        </w:tc>
        <w:tc>
          <w:tcPr>
            <w:tcW w:w="2074" w:type="dxa"/>
            <w:vAlign w:val="center"/>
          </w:tcPr>
          <w:p w14:paraId="09DC7B8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w:t>
            </w:r>
          </w:p>
        </w:tc>
        <w:tc>
          <w:tcPr>
            <w:tcW w:w="2074" w:type="dxa"/>
            <w:vAlign w:val="center"/>
          </w:tcPr>
          <w:p w14:paraId="6DC397B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r>
      <w:tr w14:paraId="030C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66D9EB5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3214" w:type="dxa"/>
            <w:vAlign w:val="center"/>
          </w:tcPr>
          <w:p w14:paraId="5628EE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农村自来水普及率（%）</w:t>
            </w:r>
          </w:p>
        </w:tc>
        <w:tc>
          <w:tcPr>
            <w:tcW w:w="2074" w:type="dxa"/>
            <w:vAlign w:val="center"/>
          </w:tcPr>
          <w:p w14:paraId="0D20B9B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c>
          <w:tcPr>
            <w:tcW w:w="2074" w:type="dxa"/>
            <w:vAlign w:val="center"/>
          </w:tcPr>
          <w:p w14:paraId="7CE09A2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96.89</w:t>
            </w:r>
          </w:p>
        </w:tc>
      </w:tr>
      <w:tr w14:paraId="773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37BE26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3214" w:type="dxa"/>
            <w:vAlign w:val="center"/>
          </w:tcPr>
          <w:p w14:paraId="1387077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农村集中供水率（%）</w:t>
            </w:r>
          </w:p>
        </w:tc>
        <w:tc>
          <w:tcPr>
            <w:tcW w:w="2074" w:type="dxa"/>
            <w:vAlign w:val="center"/>
          </w:tcPr>
          <w:p w14:paraId="13D293F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c>
          <w:tcPr>
            <w:tcW w:w="2074" w:type="dxa"/>
            <w:vAlign w:val="center"/>
          </w:tcPr>
          <w:p w14:paraId="5388A85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96.89</w:t>
            </w:r>
          </w:p>
        </w:tc>
      </w:tr>
      <w:tr w14:paraId="5192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53B0E0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农村水利</w:t>
            </w:r>
          </w:p>
        </w:tc>
        <w:tc>
          <w:tcPr>
            <w:tcW w:w="3214" w:type="dxa"/>
            <w:vAlign w:val="center"/>
          </w:tcPr>
          <w:p w14:paraId="64D3ED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新增、恢复农田有效灌溉面积（万亩）</w:t>
            </w:r>
          </w:p>
        </w:tc>
        <w:tc>
          <w:tcPr>
            <w:tcW w:w="2074" w:type="dxa"/>
            <w:vAlign w:val="center"/>
          </w:tcPr>
          <w:p w14:paraId="01D6AFC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c>
          <w:tcPr>
            <w:tcW w:w="2074" w:type="dxa"/>
            <w:vAlign w:val="center"/>
          </w:tcPr>
          <w:p w14:paraId="5D7CF2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1.951</w:t>
            </w:r>
          </w:p>
        </w:tc>
      </w:tr>
      <w:tr w14:paraId="041C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10C11A7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3214" w:type="dxa"/>
            <w:vAlign w:val="center"/>
          </w:tcPr>
          <w:p w14:paraId="6461AA2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发展节水灌溉面积（万亩）</w:t>
            </w:r>
          </w:p>
        </w:tc>
        <w:tc>
          <w:tcPr>
            <w:tcW w:w="2074" w:type="dxa"/>
            <w:vAlign w:val="center"/>
          </w:tcPr>
          <w:p w14:paraId="00F2999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0.55</w:t>
            </w:r>
          </w:p>
        </w:tc>
        <w:tc>
          <w:tcPr>
            <w:tcW w:w="2074" w:type="dxa"/>
            <w:vAlign w:val="center"/>
          </w:tcPr>
          <w:p w14:paraId="594855E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0.55</w:t>
            </w:r>
          </w:p>
        </w:tc>
      </w:tr>
      <w:tr w14:paraId="7B35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0813407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水资源生态保护</w:t>
            </w:r>
          </w:p>
        </w:tc>
        <w:tc>
          <w:tcPr>
            <w:tcW w:w="3214" w:type="dxa"/>
            <w:vAlign w:val="center"/>
          </w:tcPr>
          <w:p w14:paraId="275C136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新增水土流失综合治理面积（万亩）</w:t>
            </w:r>
          </w:p>
        </w:tc>
        <w:tc>
          <w:tcPr>
            <w:tcW w:w="2074" w:type="dxa"/>
            <w:vAlign w:val="center"/>
          </w:tcPr>
          <w:p w14:paraId="5CC4A40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c>
          <w:tcPr>
            <w:tcW w:w="2074" w:type="dxa"/>
            <w:vAlign w:val="center"/>
          </w:tcPr>
          <w:p w14:paraId="39C6243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15.27</w:t>
            </w:r>
          </w:p>
        </w:tc>
      </w:tr>
      <w:tr w14:paraId="2B41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4420BE2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3214" w:type="dxa"/>
            <w:vAlign w:val="center"/>
          </w:tcPr>
          <w:p w14:paraId="33DB48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重要江河湖泊水功能区水质达标率（%）</w:t>
            </w:r>
          </w:p>
        </w:tc>
        <w:tc>
          <w:tcPr>
            <w:tcW w:w="2074" w:type="dxa"/>
            <w:vAlign w:val="center"/>
          </w:tcPr>
          <w:p w14:paraId="108904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&gt;86</w:t>
            </w:r>
          </w:p>
        </w:tc>
        <w:tc>
          <w:tcPr>
            <w:tcW w:w="2074" w:type="dxa"/>
            <w:vAlign w:val="center"/>
          </w:tcPr>
          <w:p w14:paraId="2C39A25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r>
    </w:tbl>
    <w:p w14:paraId="5D22EB4E">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楷体_GB2312" w:hAnsi="楷体_GB2312" w:eastAsia="楷体_GB2312" w:cs="楷体_GB2312"/>
          <w:sz w:val="32"/>
          <w:szCs w:val="32"/>
        </w:rPr>
      </w:pPr>
      <w:bookmarkStart w:id="49" w:name="_Toc14678_WPSOffice_Level2"/>
      <w:bookmarkStart w:id="50" w:name="_Toc59110022"/>
      <w:bookmarkStart w:id="51" w:name="_Toc69484827"/>
      <w:r>
        <w:rPr>
          <w:rFonts w:hint="eastAsia" w:ascii="楷体_GB2312" w:hAnsi="楷体_GB2312" w:eastAsia="楷体_GB2312" w:cs="楷体_GB2312"/>
          <w:sz w:val="32"/>
          <w:szCs w:val="32"/>
        </w:rPr>
        <w:t>（三）现状存在的主要问题</w:t>
      </w:r>
      <w:bookmarkEnd w:id="49"/>
      <w:bookmarkEnd w:id="50"/>
      <w:bookmarkEnd w:id="51"/>
    </w:p>
    <w:p w14:paraId="0114EB59">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供水保障体系依然薄弱</w:t>
      </w:r>
    </w:p>
    <w:p w14:paraId="492DCD89">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水资源时空分布不均。</w:t>
      </w:r>
      <w:r>
        <w:rPr>
          <w:rFonts w:hint="eastAsia" w:ascii="仿宋_GB2312" w:hAnsi="仿宋_GB2312" w:eastAsia="仿宋_GB2312" w:cs="仿宋_GB2312"/>
          <w:sz w:val="32"/>
          <w:szCs w:val="32"/>
        </w:rPr>
        <w:t>明溪县全县水资源总量丰富，多年平均降雨量1800mm，全县人均拥有水资源量远超福建省平均水平。由于受地形影响，降水时空分布不均，约70%降雨量集中在汛期，水资源天然利用条件较差。水资源开发程度不高，现有地表水调蓄工程不足导致我县还处于工程性缺水状态。</w:t>
      </w:r>
    </w:p>
    <w:p w14:paraId="324B320B">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骨干水源工程建设不足</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明溪县虽然境内河流较多，但受地形影响，目前水源工程以支流小型水源工程为主，且引水工程多，蓄水工程少，调蓄能力低。总供水量中，蓄水工程供水量占总供水量的33%。工程间供水片区相对独立，区域性多源互联互通供水格局尚未建立，城市供水安全保障尚存一定隐患。</w:t>
      </w:r>
    </w:p>
    <w:p w14:paraId="5E7C350B">
      <w:pPr>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2.防洪排涝形势依然严峻</w:t>
      </w:r>
    </w:p>
    <w:p w14:paraId="7F4819E1">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河道防洪工程体系尚未完全形成。</w:t>
      </w:r>
      <w:r>
        <w:rPr>
          <w:rFonts w:hint="eastAsia" w:ascii="仿宋_GB2312" w:hAnsi="仿宋_GB2312" w:eastAsia="仿宋_GB2312" w:cs="仿宋_GB2312"/>
          <w:sz w:val="32"/>
          <w:szCs w:val="32"/>
        </w:rPr>
        <w:t>全县河流众多，河道纵坡大，降雨易成灾。近年来虽然加大了中小河流治理力度，但受投资规模等因素的影响，防洪工程还处于相对零散分布状态，防洪体系具有工程偏少、标准偏低的特点。城市防洪体系尚不健全，城市防洪压力大。部分开发区、乡镇和重点农田保护区堤防没闭合甚至未设防，部分堤防标准较低，综合配套设施不够健全，以堤坝为主的河道防洪体系尚未完全形成。部分乡镇排涝标准低。例如盖洋镇遭受2019年“5.16”特大洪涝灾害，出现多路段积水被淹现象，房屋农田被毁，造成较大经济损失。城镇防洪隐患仍然存在，巩固提升空间较大。</w:t>
      </w:r>
    </w:p>
    <w:p w14:paraId="48F8992B">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山洪灾害潜在威胁大防御措施需提升。</w:t>
      </w:r>
      <w:r>
        <w:rPr>
          <w:rFonts w:hint="eastAsia" w:ascii="仿宋_GB2312" w:hAnsi="仿宋_GB2312" w:eastAsia="仿宋_GB2312" w:cs="仿宋_GB2312"/>
          <w:sz w:val="32"/>
          <w:szCs w:val="32"/>
        </w:rPr>
        <w:t>山洪灾害具有突发性，易造成局部性洪灾，因我县地处山区且水系发达，山洪沟众多，目前仅实施小部分山洪沟治理，仍需实施工程措施重点治理。此外，监测、通信、预报、预警等非工程措施仍需巩固提升，群众防灾减灾意识仍需提高。</w:t>
      </w:r>
    </w:p>
    <w:p w14:paraId="64F3AB99">
      <w:pPr>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水资源集约利用有待加强</w:t>
      </w:r>
    </w:p>
    <w:p w14:paraId="1FD874E0">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农业灌溉节水潜力大。</w:t>
      </w:r>
      <w:r>
        <w:rPr>
          <w:rFonts w:hint="eastAsia" w:ascii="仿宋_GB2312" w:hAnsi="仿宋_GB2312" w:eastAsia="仿宋_GB2312" w:cs="仿宋_GB2312"/>
          <w:sz w:val="32"/>
          <w:szCs w:val="32"/>
        </w:rPr>
        <w:t>明溪全县农业灌溉用水量占总用水量的74.79%，“十三五”期间发展节水灌溉面积占全县有效灌溉面积的23.1%。农田灌溉水利用系数不足0.6，与发达地区仍有一定差距。2019年三明市亩均灌溉用水量605.7m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/亩，高于全国平均的368m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/亩，节水潜力大。</w:t>
      </w:r>
    </w:p>
    <w:p w14:paraId="206D7086">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节水载体建设不足。</w:t>
      </w:r>
      <w:r>
        <w:rPr>
          <w:rFonts w:hint="eastAsia" w:ascii="仿宋_GB2312" w:hAnsi="仿宋_GB2312" w:eastAsia="仿宋_GB2312" w:cs="仿宋_GB2312"/>
          <w:sz w:val="32"/>
          <w:szCs w:val="32"/>
        </w:rPr>
        <w:t>节水型社会推进缓慢，用水粗放现象较普遍，节水型生产和生活方式尚未建立。工业用水和居民生活用水占总用水量的34%，企业和居民节约用水意识不强。节水载体建设激励政策和机制不健全；社会团体参与度不足，各行业协会横向协调的优势未能充分发挥；节水型单位、企业、居民小区等载体建设不足，用水大户尚未覆盖，引导带动作用尚未发挥。</w:t>
      </w:r>
    </w:p>
    <w:p w14:paraId="0697C97D">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促进节水的财税机制尚未形成。</w:t>
      </w:r>
      <w:r>
        <w:rPr>
          <w:rFonts w:hint="eastAsia" w:ascii="仿宋_GB2312" w:hAnsi="仿宋_GB2312" w:eastAsia="仿宋_GB2312" w:cs="仿宋_GB2312"/>
          <w:sz w:val="32"/>
          <w:szCs w:val="32"/>
        </w:rPr>
        <w:t>尚未形成完善的财税引导和激励政策，水价形成机制上不能全面客观反映水资源的稀缺性和供水成本，节水的内生动力不足，相应的机制体制不完善，亟需加大节水投资力度，不断完善节水技术，全面提升节水水平。</w:t>
      </w:r>
    </w:p>
    <w:p w14:paraId="166281BB">
      <w:pPr>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水生态安全保障能力有待提升</w:t>
      </w:r>
    </w:p>
    <w:p w14:paraId="40F74266">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水土保持有待加强。</w:t>
      </w:r>
      <w:r>
        <w:rPr>
          <w:rFonts w:hint="eastAsia" w:ascii="仿宋_GB2312" w:hAnsi="仿宋_GB2312" w:eastAsia="仿宋_GB2312" w:cs="仿宋_GB2312"/>
          <w:sz w:val="32"/>
          <w:szCs w:val="32"/>
        </w:rPr>
        <w:t>明溪县水土流失范围广，治理难度大，尤其是重要水源地和河源区，水生态仍较脆弱，水土保持治理任重道远。</w:t>
      </w:r>
    </w:p>
    <w:p w14:paraId="219C6630">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pPr>
      <w:r>
        <w:rPr>
          <w:rFonts w:hint="eastAsia" w:ascii="仿宋_GB2312" w:hAnsi="仿宋_GB2312" w:eastAsia="仿宋_GB2312" w:cs="仿宋_GB2312"/>
          <w:b/>
          <w:sz w:val="32"/>
          <w:szCs w:val="32"/>
        </w:rPr>
        <w:t>安全生态水系建设需继续推进。</w:t>
      </w:r>
      <w:r>
        <w:rPr>
          <w:rFonts w:hint="eastAsia" w:ascii="仿宋_GB2312" w:hAnsi="仿宋_GB2312" w:eastAsia="仿宋_GB2312" w:cs="仿宋_GB2312"/>
          <w:sz w:val="32"/>
          <w:szCs w:val="32"/>
        </w:rPr>
        <w:t>安全生态水系建设项目将生态措施与工程措施相结合的治理理念推广至河道治理工程，不仅解决了河流安全问题，也极大提升了河流生态环境，是“十三五”期间受到广大人民群众好评的水利工程项目。明溪县河流众多，仅实施了少部分河道的生态水系项目，各乡镇建设意愿强烈。</w:t>
      </w:r>
    </w:p>
    <w:p w14:paraId="6BFF899B">
      <w:pPr>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水利信息化水平亟待提升</w:t>
      </w:r>
    </w:p>
    <w:p w14:paraId="383654F2">
      <w:pPr>
        <w:keepNext w:val="0"/>
        <w:keepLines w:val="0"/>
        <w:pageBreakBefore w:val="0"/>
        <w:widowControl w:val="0"/>
        <w:kinsoku/>
        <w:wordWrap/>
        <w:overflowPunct/>
        <w:topLinePunct w:val="0"/>
        <w:autoSpaceDE/>
        <w:autoSpaceDN/>
        <w:bidi w:val="0"/>
        <w:adjustRightInd w:val="0"/>
        <w:snapToGrid w:val="0"/>
        <w:spacing w:line="560" w:lineRule="exact"/>
        <w:ind w:firstLine="600"/>
        <w:jc w:val="both"/>
        <w:textAlignment w:val="auto"/>
        <w:rPr>
          <w:sz w:val="32"/>
          <w:szCs w:val="32"/>
        </w:rPr>
      </w:pPr>
      <w:r>
        <w:rPr>
          <w:rFonts w:hint="eastAsia"/>
          <w:sz w:val="32"/>
          <w:szCs w:val="32"/>
          <w:lang w:eastAsia="zh-CN"/>
        </w:rPr>
        <w:t>“</w:t>
      </w:r>
      <w:r>
        <w:rPr>
          <w:rFonts w:hint="eastAsia"/>
          <w:sz w:val="32"/>
          <w:szCs w:val="32"/>
        </w:rPr>
        <w:t>十三五</w:t>
      </w:r>
      <w:r>
        <w:rPr>
          <w:rFonts w:hint="eastAsia"/>
          <w:sz w:val="32"/>
          <w:szCs w:val="32"/>
          <w:lang w:eastAsia="zh-CN"/>
        </w:rPr>
        <w:t>”</w:t>
      </w:r>
      <w:r>
        <w:rPr>
          <w:rFonts w:hint="eastAsia"/>
          <w:sz w:val="32"/>
          <w:szCs w:val="32"/>
        </w:rPr>
        <w:t>期间，全县水利信息化建设虽然取得了一定成绩，但与智慧水利建设的要求、实现水利现代化的要求相比，与其他部门的智慧化程度相比，总体处于起步状态，仍存在较大差距。灌区信息化工作滞后，目前只开展了中型灌区的用水量测和机电设备监测控制等基础性的信息化设备建设，小型灌区尚未开展。水土保持、下泄生态流量等感知能力严重不足。智慧应用还在不断完善，业务应用系统存在部分子系统尚未建立和没有统一管理的问题，大数据、人工智能等技术还基本没有得到广泛应用。</w:t>
      </w:r>
    </w:p>
    <w:p w14:paraId="46539BFB">
      <w:pPr>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6</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水利行业监管仍需进一步加强</w:t>
      </w:r>
    </w:p>
    <w:p w14:paraId="27258D7A">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涉水规章制度不完善，强监管思维意识不强。</w:t>
      </w:r>
      <w:r>
        <w:rPr>
          <w:rFonts w:hint="eastAsia" w:ascii="仿宋_GB2312" w:hAnsi="仿宋_GB2312" w:eastAsia="仿宋_GB2312" w:cs="仿宋_GB2312"/>
          <w:sz w:val="32"/>
          <w:szCs w:val="32"/>
        </w:rPr>
        <w:t>近年来，虽然最严格水资源管理制度、河湖长制等多项制度不断落实，监管工作取得一定成效，但明溪县目前在节约用水、农村安全饮水、河湖长制、河道管理等领域还未形式正式的管理办法，未形成水利监管工作的制度化、规范化。</w:t>
      </w:r>
    </w:p>
    <w:p w14:paraId="79912587">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顶层设计薄弱，专业人才紧缺。</w:t>
      </w:r>
      <w:r>
        <w:rPr>
          <w:rFonts w:hint="eastAsia" w:ascii="仿宋_GB2312" w:hAnsi="仿宋_GB2312" w:eastAsia="仿宋_GB2312" w:cs="仿宋_GB2312"/>
          <w:sz w:val="32"/>
          <w:szCs w:val="32"/>
        </w:rPr>
        <w:t>水利行业监管的顶层设计仍然薄弱，迫切需要运用“强监管”的手段来调整人的行为和纠正人的错误行为。水利工程专业管理人员紧缺，难以满足目前强监管的需要。</w:t>
      </w:r>
    </w:p>
    <w:p w14:paraId="4AF2D847">
      <w:pPr>
        <w:keepNext w:val="0"/>
        <w:keepLines w:val="0"/>
        <w:pageBreakBefore w:val="0"/>
        <w:widowControl w:val="0"/>
        <w:kinsoku/>
        <w:wordWrap/>
        <w:overflowPunct/>
        <w:topLinePunct w:val="0"/>
        <w:autoSpaceDE/>
        <w:autoSpaceDN/>
        <w:bidi w:val="0"/>
        <w:adjustRightInd w:val="0"/>
        <w:snapToGrid w:val="0"/>
        <w:spacing w:line="560" w:lineRule="exact"/>
        <w:ind w:firstLine="6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信息化监管体系薄弱。</w:t>
      </w:r>
      <w:r>
        <w:rPr>
          <w:rFonts w:hint="eastAsia" w:ascii="仿宋_GB2312" w:hAnsi="仿宋_GB2312" w:eastAsia="仿宋_GB2312" w:cs="仿宋_GB2312"/>
          <w:sz w:val="32"/>
          <w:szCs w:val="32"/>
        </w:rPr>
        <w:t>河流流量</w:t>
      </w:r>
      <w:r>
        <w:rPr>
          <w:rFonts w:hint="eastAsia" w:ascii="仿宋_GB2312" w:hAnsi="仿宋_GB2312" w:eastAsia="仿宋_GB2312" w:cs="仿宋_GB2312"/>
          <w:sz w:val="32"/>
          <w:szCs w:val="32"/>
          <w:lang w:eastAsia="zh-CN"/>
        </w:rPr>
        <w:t>断面</w:t>
      </w:r>
      <w:r>
        <w:rPr>
          <w:rFonts w:hint="eastAsia" w:ascii="仿宋_GB2312" w:hAnsi="仿宋_GB2312" w:eastAsia="仿宋_GB2312" w:cs="仿宋_GB2312"/>
          <w:sz w:val="32"/>
          <w:szCs w:val="32"/>
        </w:rPr>
        <w:t>监测点不足，</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取用水计量的自动化信息化程度低。</w:t>
      </w:r>
    </w:p>
    <w:p w14:paraId="7117A46E">
      <w:pPr>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水利工程安全运行监管机制不够完善。</w:t>
      </w:r>
      <w:r>
        <w:rPr>
          <w:rFonts w:hint="eastAsia" w:ascii="仿宋_GB2312" w:hAnsi="仿宋_GB2312" w:eastAsia="仿宋_GB2312" w:cs="仿宋_GB2312"/>
          <w:sz w:val="32"/>
          <w:szCs w:val="32"/>
        </w:rPr>
        <w:t>部分小型水库、灌溉渠道、农村饮水工程建设完成后，由于经费不足，管护主体不明确，造成重建轻管现象不断。</w:t>
      </w:r>
    </w:p>
    <w:p w14:paraId="5677512C">
      <w:pPr>
        <w:keepNext w:val="0"/>
        <w:keepLines w:val="0"/>
        <w:pageBreakBefore w:val="0"/>
        <w:kinsoku/>
        <w:wordWrap/>
        <w:overflowPunct/>
        <w:bidi w:val="0"/>
        <w:spacing w:line="560" w:lineRule="exact"/>
        <w:ind w:firstLine="600"/>
        <w:textAlignment w:val="auto"/>
      </w:pPr>
    </w:p>
    <w:p w14:paraId="172B16A4">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pPr>
      <w:r>
        <w:br w:type="page"/>
      </w:r>
      <w:bookmarkStart w:id="52" w:name="_Toc59110023"/>
      <w:bookmarkStart w:id="53" w:name="_Toc17317_WPSOffice_Level1"/>
      <w:bookmarkStart w:id="54" w:name="_Toc69484828"/>
      <w:r>
        <w:rPr>
          <w:rFonts w:hint="eastAsia" w:ascii="方正小标宋简体" w:hAnsi="方正小标宋简体" w:eastAsia="方正小标宋简体" w:cs="方正小标宋简体"/>
          <w:sz w:val="44"/>
          <w:szCs w:val="44"/>
          <w:lang w:eastAsia="zh-CN"/>
        </w:rPr>
        <w:t>第二章</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面临形势</w:t>
      </w:r>
      <w:bookmarkEnd w:id="52"/>
      <w:bookmarkEnd w:id="53"/>
      <w:bookmarkEnd w:id="54"/>
    </w:p>
    <w:p w14:paraId="3A8F0C63">
      <w:pPr>
        <w:pStyle w:val="2"/>
        <w:keepNext w:val="0"/>
        <w:keepLines w:val="0"/>
        <w:pageBreakBefore w:val="0"/>
        <w:kinsoku/>
        <w:wordWrap/>
        <w:overflowPunct/>
        <w:bidi w:val="0"/>
        <w:spacing w:line="560" w:lineRule="exact"/>
        <w:textAlignment w:val="auto"/>
      </w:pPr>
    </w:p>
    <w:p w14:paraId="5C75FA90">
      <w:pPr>
        <w:keepNext w:val="0"/>
        <w:keepLines w:val="0"/>
        <w:pageBreakBefore w:val="0"/>
        <w:kinsoku/>
        <w:wordWrap/>
        <w:overflowPunct/>
        <w:topLinePunct w:val="0"/>
        <w:autoSpaceDE/>
        <w:autoSpaceDN/>
        <w:bidi w:val="0"/>
        <w:spacing w:line="560" w:lineRule="exact"/>
        <w:ind w:firstLine="600"/>
        <w:textAlignment w:val="auto"/>
        <w:rPr>
          <w:sz w:val="32"/>
          <w:szCs w:val="32"/>
        </w:rPr>
      </w:pPr>
      <w:r>
        <w:rPr>
          <w:rFonts w:hint="eastAsia"/>
          <w:sz w:val="32"/>
          <w:szCs w:val="32"/>
        </w:rPr>
        <w:t>水是生命之源，生产之要，生态之基。“十四五”时期经济社会发展和生态文明建设对水利提出了新的更高要求，水利改革发展面临新形势和新挑战。</w:t>
      </w:r>
    </w:p>
    <w:p w14:paraId="0428E2C4">
      <w:pPr>
        <w:keepNext w:val="0"/>
        <w:keepLines w:val="0"/>
        <w:pageBreakBefore w:val="0"/>
        <w:kinsoku/>
        <w:wordWrap/>
        <w:overflowPunct/>
        <w:topLinePunct w:val="0"/>
        <w:autoSpaceDE/>
        <w:autoSpaceDN/>
        <w:bidi w:val="0"/>
        <w:spacing w:line="560" w:lineRule="exact"/>
        <w:ind w:firstLine="602"/>
        <w:textAlignment w:val="auto"/>
        <w:outlineLvl w:val="1"/>
        <w:rPr>
          <w:rFonts w:hint="eastAsia" w:ascii="楷体_GB2312" w:hAnsi="楷体_GB2312" w:eastAsia="楷体_GB2312" w:cs="楷体_GB2312"/>
          <w:b/>
          <w:bCs/>
          <w:sz w:val="32"/>
          <w:szCs w:val="32"/>
        </w:rPr>
      </w:pPr>
      <w:bookmarkStart w:id="55" w:name="_Toc7393_WPSOffice_Level2"/>
      <w:bookmarkStart w:id="56" w:name="_Toc69484829"/>
      <w:r>
        <w:rPr>
          <w:rFonts w:hint="eastAsia" w:ascii="楷体_GB2312" w:hAnsi="楷体_GB2312" w:eastAsia="楷体_GB2312" w:cs="楷体_GB2312"/>
          <w:b/>
          <w:bCs/>
          <w:sz w:val="32"/>
          <w:szCs w:val="32"/>
        </w:rPr>
        <w:t>（一）新时代治水主要矛盾的深刻变化与治水思路转变对水利发展提出新要求</w:t>
      </w:r>
      <w:bookmarkEnd w:id="55"/>
      <w:bookmarkEnd w:id="56"/>
    </w:p>
    <w:p w14:paraId="116B0323">
      <w:pPr>
        <w:keepNext w:val="0"/>
        <w:keepLines w:val="0"/>
        <w:pageBreakBefore w:val="0"/>
        <w:kinsoku/>
        <w:wordWrap/>
        <w:overflowPunct/>
        <w:topLinePunct w:val="0"/>
        <w:autoSpaceDE/>
        <w:autoSpaceDN/>
        <w:bidi w:val="0"/>
        <w:spacing w:line="560" w:lineRule="exact"/>
        <w:ind w:firstLine="600"/>
        <w:textAlignment w:val="auto"/>
        <w:rPr>
          <w:sz w:val="32"/>
          <w:szCs w:val="32"/>
        </w:rPr>
      </w:pPr>
      <w:r>
        <w:rPr>
          <w:rFonts w:hint="eastAsia"/>
          <w:sz w:val="32"/>
          <w:szCs w:val="32"/>
        </w:rPr>
        <w:t>中国特色社会主义进入新时代，水利事业发展也进入了新时代。党的十八大以来，习近平总书记多次就治水发表重要讲话、作出重要指示，深刻指出随着我国经济社会不断发展，水安全中的老问题仍有待解决，新问题越来越突出、越来越紧迫，明确提出了“节水优先、空间均衡、系统治理、两手发力”的治水方针，突出强调要从改变自然、征服自然转向调整人的行为、纠正人的错误行为。党的十九大作出我国社会主要矛盾已经转化为人民日益增长的美好生活需要和不平衡不充分的发展之间的矛盾的重大论断，把坚持人与自然和谐共生纳入新时代坚持和发展中国特色社会主义的基本方略，进一步深化了水利工作内涵，指明了水利发展方向。</w:t>
      </w:r>
    </w:p>
    <w:p w14:paraId="65FC430F">
      <w:pPr>
        <w:keepNext w:val="0"/>
        <w:keepLines w:val="0"/>
        <w:pageBreakBefore w:val="0"/>
        <w:kinsoku/>
        <w:wordWrap/>
        <w:overflowPunct/>
        <w:topLinePunct w:val="0"/>
        <w:autoSpaceDE/>
        <w:autoSpaceDN/>
        <w:bidi w:val="0"/>
        <w:spacing w:line="560" w:lineRule="exact"/>
        <w:ind w:firstLine="602"/>
        <w:textAlignment w:val="auto"/>
        <w:outlineLvl w:val="1"/>
        <w:rPr>
          <w:rFonts w:hint="eastAsia" w:ascii="楷体_GB2312" w:hAnsi="楷体_GB2312" w:eastAsia="楷体_GB2312" w:cs="楷体_GB2312"/>
          <w:b/>
          <w:bCs/>
          <w:sz w:val="32"/>
          <w:szCs w:val="32"/>
        </w:rPr>
      </w:pPr>
      <w:bookmarkStart w:id="57" w:name="_Toc69484830"/>
      <w:bookmarkStart w:id="58" w:name="_Toc13282_WPSOffice_Level2"/>
      <w:r>
        <w:rPr>
          <w:rFonts w:hint="eastAsia" w:ascii="楷体_GB2312" w:hAnsi="楷体_GB2312" w:eastAsia="楷体_GB2312" w:cs="楷体_GB2312"/>
          <w:b/>
          <w:bCs/>
          <w:sz w:val="32"/>
          <w:szCs w:val="32"/>
        </w:rPr>
        <w:t>（二）水利改革发展总基调提出新要求</w:t>
      </w:r>
      <w:bookmarkEnd w:id="57"/>
      <w:bookmarkEnd w:id="58"/>
    </w:p>
    <w:p w14:paraId="40A33DF2">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部在认真落实习近平新时代中国特色社会主义思想的基础上，提出我国治水的主要矛盾已经发生深刻变化，从人民群众对除水害兴水利的需求与水利工程能力不足的矛盾，转变为人民群众对水资源水生态水环境的需求与水利行业监管能力不足的矛盾，把</w:t>
      </w:r>
      <w:bookmarkStart w:id="59" w:name="_Hlk13043467"/>
      <w:r>
        <w:rPr>
          <w:rFonts w:hint="eastAsia" w:ascii="仿宋_GB2312" w:hAnsi="仿宋_GB2312" w:eastAsia="仿宋_GB2312" w:cs="仿宋_GB2312"/>
          <w:sz w:val="32"/>
          <w:szCs w:val="32"/>
        </w:rPr>
        <w:t>“水利工程补短板、水利行业强监管”</w:t>
      </w:r>
      <w:bookmarkEnd w:id="59"/>
      <w:r>
        <w:rPr>
          <w:rFonts w:hint="eastAsia" w:ascii="仿宋_GB2312" w:hAnsi="仿宋_GB2312" w:eastAsia="仿宋_GB2312" w:cs="仿宋_GB2312"/>
          <w:sz w:val="32"/>
          <w:szCs w:val="32"/>
        </w:rPr>
        <w:t>作为我国未来一段时期内水利改革发展总基调，标志着水利事业进入了新的发展阶段。</w:t>
      </w:r>
    </w:p>
    <w:p w14:paraId="07000C10">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溪县要以水安全保障规划编制为契机，加快转变治水思路和方式，重点破解水利事业发展存在的四个不平衡和四个不充分问题，进一步完善大中小微并举的现代水利基础设施网络，提高防洪、供水、生态等综合保障能力；从法制、体制、机制入手，建立一整套务实高效管用的监管体系，从根本上让水利行业监管“强起来”，形成水利行业齐心协力、同频共振的监管格局，推进水治理体系和治理能力现代化。</w:t>
      </w:r>
    </w:p>
    <w:p w14:paraId="7F95E3E7">
      <w:pPr>
        <w:keepNext w:val="0"/>
        <w:keepLines w:val="0"/>
        <w:pageBreakBefore w:val="0"/>
        <w:kinsoku/>
        <w:wordWrap/>
        <w:overflowPunct/>
        <w:topLinePunct w:val="0"/>
        <w:autoSpaceDE/>
        <w:autoSpaceDN/>
        <w:bidi w:val="0"/>
        <w:spacing w:line="560" w:lineRule="exact"/>
        <w:ind w:firstLine="602"/>
        <w:textAlignment w:val="auto"/>
        <w:outlineLvl w:val="1"/>
        <w:rPr>
          <w:rFonts w:hint="eastAsia" w:ascii="楷体_GB2312" w:hAnsi="楷体_GB2312" w:eastAsia="楷体_GB2312" w:cs="楷体_GB2312"/>
          <w:b/>
          <w:bCs/>
          <w:sz w:val="32"/>
          <w:szCs w:val="32"/>
        </w:rPr>
      </w:pPr>
      <w:bookmarkStart w:id="60" w:name="_Toc9521_WPSOffice_Level2"/>
      <w:r>
        <w:rPr>
          <w:rFonts w:hint="eastAsia" w:ascii="楷体_GB2312" w:hAnsi="楷体_GB2312" w:eastAsia="楷体_GB2312" w:cs="楷体_GB2312"/>
          <w:b/>
          <w:bCs/>
          <w:sz w:val="32"/>
          <w:szCs w:val="32"/>
        </w:rPr>
        <w:t>（三）新时代支持革命老区振兴发展提出新要求</w:t>
      </w:r>
      <w:bookmarkEnd w:id="60"/>
    </w:p>
    <w:p w14:paraId="2D2CA25A">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《国务院关于新时代支持革命老区振兴发展的意见》（国发〔2021〕3号）提出要把革命老区建设得更好，让革命老区人民过上更好生活，逐步实现共同富裕；</w:t>
      </w:r>
    </w:p>
    <w:p w14:paraId="26B6BBAF">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明溪县是重点革命老区县，是中央苏区21个基点县之一，全县有76个老区行政村（居）。明溪县应抓好新时代支持革命老区振兴发展的契机，加快推动新阶段水利高质量发展。一是推动巩固拓展脱贫攻坚成果同乡村振兴有效衔接，推进城乡供水一体化，建设改造一批规范化标准化小型供水工程，推动水利高质量发展示范区建设及两岸乡村融合发展水利项目建设。二是完善水利基础设施网络，加快建设一批重点水源工程，推进大中型灌区续建配套与现代化改造、中小河流治理、病险水库除险加固和山洪灾害防治等项目的建设。三是积极争取中央资金，用足用好国家对革命老区的资金支持政策，积极争取国家项目和资金支持，持续加大对水利的投入力度。</w:t>
      </w:r>
    </w:p>
    <w:p w14:paraId="7A9ACE9C">
      <w:pPr>
        <w:keepNext w:val="0"/>
        <w:keepLines w:val="0"/>
        <w:pageBreakBefore w:val="0"/>
        <w:kinsoku/>
        <w:wordWrap/>
        <w:overflowPunct/>
        <w:topLinePunct w:val="0"/>
        <w:autoSpaceDE/>
        <w:autoSpaceDN/>
        <w:bidi w:val="0"/>
        <w:spacing w:line="560" w:lineRule="exact"/>
        <w:ind w:firstLine="602"/>
        <w:textAlignment w:val="auto"/>
        <w:outlineLvl w:val="1"/>
        <w:rPr>
          <w:rFonts w:hint="eastAsia" w:ascii="楷体_GB2312" w:hAnsi="楷体_GB2312" w:eastAsia="楷体_GB2312" w:cs="楷体_GB2312"/>
          <w:b/>
          <w:bCs/>
          <w:sz w:val="32"/>
          <w:szCs w:val="32"/>
        </w:rPr>
      </w:pPr>
      <w:bookmarkStart w:id="61" w:name="_Toc69484831"/>
      <w:bookmarkStart w:id="62" w:name="_Toc4863_WPSOffice_Level2"/>
      <w:r>
        <w:rPr>
          <w:rFonts w:hint="eastAsia" w:ascii="楷体_GB2312" w:hAnsi="楷体_GB2312" w:eastAsia="楷体_GB2312" w:cs="楷体_GB2312"/>
          <w:b/>
          <w:bCs/>
          <w:sz w:val="32"/>
          <w:szCs w:val="32"/>
        </w:rPr>
        <w:t>（四）建设国家生态文明试验区提出新要求</w:t>
      </w:r>
      <w:bookmarkEnd w:id="61"/>
      <w:bookmarkEnd w:id="62"/>
    </w:p>
    <w:p w14:paraId="714FBC5D">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九大将生态文明提升为“千年大计”，将“美丽”纳入国家现代化目标之中，将提供更多“优质生态产品”纳入民生范畴，提出要牢固树立“社会主义生态文明观”。2016年8月，福建省被列为国家生态文明试验区，要求福建以率先推进生态文明领域治理体系和治理能力现代化为目标，以进一步改善生态环境质量、增强人民群众获得感为导向，集中开展生态文明体制改革综合试验，着力构建产权清晰、多元参与、激励约束并重、系统完整的生态文明制度体系。</w:t>
      </w:r>
    </w:p>
    <w:p w14:paraId="4876A31D">
      <w:pPr>
        <w:keepNext w:val="0"/>
        <w:keepLines w:val="0"/>
        <w:pageBreakBefore w:val="0"/>
        <w:kinsoku/>
        <w:wordWrap/>
        <w:overflowPunct/>
        <w:topLinePunct w:val="0"/>
        <w:autoSpaceDE/>
        <w:autoSpaceDN/>
        <w:bidi w:val="0"/>
        <w:spacing w:line="560" w:lineRule="exact"/>
        <w:ind w:firstLine="600"/>
        <w:textAlignment w:val="auto"/>
      </w:pPr>
      <w:r>
        <w:rPr>
          <w:rFonts w:hint="eastAsia" w:ascii="仿宋_GB2312" w:hAnsi="仿宋_GB2312" w:eastAsia="仿宋_GB2312" w:cs="仿宋_GB2312"/>
          <w:sz w:val="32"/>
          <w:szCs w:val="32"/>
        </w:rPr>
        <w:t>明溪县是中央苏区县，是福建省重点革命老区，也是国家级自然保护区君子峰的所在地，生态资源和自然基础条件较好。随着经济社会的快速发展，对水生态环境保护与修复提出了更高的要求。为落实福建建设国家生态文明试验区，适应区域发展战略，进一步改善水生态环境，提升生态环境质量，改善人居环境，保障明溪县经济社会环境的可持续协调发展，应深入学习和理解“水是生态之基”的重要意义，坚定不移走绿色发展之路，水利工作应进一步理清工作思路，更新治水理念，把生态文明理念贯穿水利改革发展全过程，坚持生态优先、绿色发展，全面贯彻落实“节水优先、空间均衡、系统治理、两手发力”的十六字治水思路和习近平总书记在黄河流域生态保护和高质量发展座谈会上的重要讲话精神，统筹考虑防洪、供水、灌溉等方面与自然生态要素需求的关系，以水而定、量水而行，科学调配水资源，推动经济社会发展与生态环境保护相协调，倡导绿色发展方式，推进生态文明建设，为落实福建省建设国家生态文明试验区建设提供有力支撑与保障。</w:t>
      </w:r>
    </w:p>
    <w:p w14:paraId="7BCAB1F5">
      <w:pPr>
        <w:keepNext w:val="0"/>
        <w:keepLines w:val="0"/>
        <w:pageBreakBefore w:val="0"/>
        <w:kinsoku/>
        <w:wordWrap/>
        <w:overflowPunct/>
        <w:topLinePunct w:val="0"/>
        <w:autoSpaceDE/>
        <w:autoSpaceDN/>
        <w:bidi w:val="0"/>
        <w:spacing w:line="560" w:lineRule="exact"/>
        <w:ind w:firstLine="602"/>
        <w:textAlignment w:val="auto"/>
        <w:outlineLvl w:val="1"/>
        <w:rPr>
          <w:rFonts w:hint="eastAsia" w:ascii="楷体_GB2312" w:hAnsi="楷体_GB2312" w:eastAsia="楷体_GB2312" w:cs="楷体_GB2312"/>
          <w:b/>
          <w:bCs/>
          <w:sz w:val="32"/>
          <w:szCs w:val="32"/>
        </w:rPr>
      </w:pPr>
      <w:bookmarkStart w:id="63" w:name="_Toc69484832"/>
      <w:bookmarkStart w:id="64" w:name="_Toc5715_WPSOffice_Level2"/>
      <w:r>
        <w:rPr>
          <w:rFonts w:hint="eastAsia" w:ascii="楷体_GB2312" w:hAnsi="楷体_GB2312" w:eastAsia="楷体_GB2312" w:cs="楷体_GB2312"/>
          <w:b/>
          <w:bCs/>
          <w:sz w:val="32"/>
          <w:szCs w:val="32"/>
        </w:rPr>
        <w:t>（五）明溪县全方位推</w:t>
      </w:r>
      <w:r>
        <w:rPr>
          <w:rFonts w:hint="eastAsia" w:ascii="楷体_GB2312" w:hAnsi="楷体_GB2312" w:eastAsia="楷体_GB2312" w:cs="楷体_GB2312"/>
          <w:b/>
          <w:bCs/>
          <w:sz w:val="32"/>
          <w:szCs w:val="32"/>
          <w:lang w:eastAsia="zh-CN"/>
        </w:rPr>
        <w:t>进</w:t>
      </w:r>
      <w:r>
        <w:rPr>
          <w:rFonts w:hint="eastAsia" w:ascii="楷体_GB2312" w:hAnsi="楷体_GB2312" w:eastAsia="楷体_GB2312" w:cs="楷体_GB2312"/>
          <w:b/>
          <w:bCs/>
          <w:sz w:val="32"/>
          <w:szCs w:val="32"/>
        </w:rPr>
        <w:t>高质量发展超越提出新要求</w:t>
      </w:r>
      <w:bookmarkEnd w:id="63"/>
      <w:bookmarkEnd w:id="64"/>
    </w:p>
    <w:p w14:paraId="73AE07F6">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“十四五”时期，是新时代新明溪建设的重大历史机遇，是加</w:t>
      </w:r>
      <w:r>
        <w:rPr>
          <w:rFonts w:hint="eastAsia" w:ascii="仿宋_GB2312" w:hAnsi="仿宋_GB2312" w:cs="仿宋_GB2312"/>
          <w:sz w:val="32"/>
          <w:szCs w:val="32"/>
          <w:lang w:val="en-US" w:eastAsia="zh-CN"/>
        </w:rPr>
        <w:t>强</w:t>
      </w:r>
      <w:r>
        <w:rPr>
          <w:rFonts w:hint="eastAsia" w:ascii="仿宋_GB2312" w:hAnsi="仿宋_GB2312" w:eastAsia="仿宋_GB2312" w:cs="仿宋_GB2312"/>
          <w:sz w:val="32"/>
          <w:szCs w:val="32"/>
        </w:rPr>
        <w:t>县域经济建设，落实全方位推</w:t>
      </w:r>
      <w:r>
        <w:rPr>
          <w:rFonts w:hint="eastAsia" w:ascii="仿宋_GB2312" w:hAnsi="仿宋_GB2312" w:cs="仿宋_GB2312"/>
          <w:sz w:val="32"/>
          <w:szCs w:val="32"/>
          <w:lang w:eastAsia="zh-CN"/>
        </w:rPr>
        <w:t>进</w:t>
      </w:r>
      <w:r>
        <w:rPr>
          <w:rFonts w:hint="eastAsia" w:ascii="仿宋_GB2312" w:hAnsi="仿宋_GB2312" w:eastAsia="仿宋_GB2312" w:cs="仿宋_GB2312"/>
          <w:sz w:val="32"/>
          <w:szCs w:val="32"/>
        </w:rPr>
        <w:t>高质量发展超越的关键时期。明溪县将紧紧围绕统筹推进“五位一体”总体布局和协调推进“四个全面”战略布局，主动融入以国内大循环为主体、国内国际双循环相互促进的新发展格局；坚持稳中求进总基调，坚持和加强党的全面领导，坚持新发展理念，坚持以供给侧结构性改革为主线，把握现代化建设规律，践行高质量发展要求，统筹做好稳增长、促改革、调结构、惠民生、防风险、保稳定工作，促进全县经济社会持续健康发展，巩固提升全面建成小康社会成果，加快推进机制活、产业优、百姓富、生态美的海西新侨乡建设。</w:t>
      </w:r>
    </w:p>
    <w:p w14:paraId="53D326A3">
      <w:pPr>
        <w:keepNext w:val="0"/>
        <w:keepLines w:val="0"/>
        <w:pageBreakBefore w:val="0"/>
        <w:kinsoku/>
        <w:wordWrap/>
        <w:overflowPunct/>
        <w:topLinePunct w:val="0"/>
        <w:autoSpaceDE/>
        <w:autoSpaceDN/>
        <w:bidi w:val="0"/>
        <w:spacing w:line="560" w:lineRule="exact"/>
        <w:ind w:firstLine="600"/>
        <w:textAlignment w:val="auto"/>
        <w:rPr>
          <w:szCs w:val="30"/>
        </w:rPr>
      </w:pPr>
      <w:r>
        <w:rPr>
          <w:rFonts w:hint="eastAsia" w:ascii="仿宋_GB2312" w:hAnsi="仿宋_GB2312" w:eastAsia="仿宋_GB2312" w:cs="仿宋_GB2312"/>
          <w:sz w:val="32"/>
          <w:szCs w:val="32"/>
        </w:rPr>
        <w:t>随着经济社会进入高质量发展阶段，明溪县水利工作应加快转变治水思路和方式，牢牢把握“水利工程补短板、水利行业强监管”的水利改革发展总基调，破解水利事业发展存在的四个不平衡和四个不充分问题，进一步完善大中小微并举的现代水利基础设施网络，提高防洪、供水、生态等综合保障能力，扭转水利监管宽松软局面，及时纠正用水浪费、过度开发、侵占河湖等错误行为，加强水利行业监管，使水资源、水生态、水环境真正成为刚性约束，以高效的水资源供给保障明溪县经济社会高质量发展。</w:t>
      </w:r>
    </w:p>
    <w:p w14:paraId="6B34CCE6">
      <w:pPr>
        <w:keepNext w:val="0"/>
        <w:keepLines w:val="0"/>
        <w:pageBreakBefore w:val="0"/>
        <w:kinsoku/>
        <w:wordWrap/>
        <w:overflowPunct/>
        <w:topLinePunct w:val="0"/>
        <w:autoSpaceDE/>
        <w:autoSpaceDN/>
        <w:bidi w:val="0"/>
        <w:spacing w:line="560" w:lineRule="exact"/>
        <w:ind w:firstLine="600"/>
        <w:textAlignment w:val="auto"/>
      </w:pPr>
    </w:p>
    <w:p w14:paraId="0D2541EC">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center"/>
        <w:textAlignment w:val="auto"/>
      </w:pPr>
      <w:r>
        <w:br w:type="page"/>
      </w:r>
      <w:bookmarkStart w:id="65" w:name="_Toc59110031"/>
      <w:bookmarkStart w:id="66" w:name="_Toc69484833"/>
      <w:bookmarkStart w:id="67" w:name="_Toc12368_WPSOffice_Level1"/>
      <w:r>
        <w:rPr>
          <w:rFonts w:hint="eastAsia" w:ascii="方正小标宋简体" w:hAnsi="方正小标宋简体" w:eastAsia="方正小标宋简体" w:cs="方正小标宋简体"/>
          <w:sz w:val="44"/>
          <w:szCs w:val="44"/>
          <w:lang w:eastAsia="zh-CN"/>
        </w:rPr>
        <w:t>第三章</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总体要求</w:t>
      </w:r>
      <w:bookmarkEnd w:id="65"/>
      <w:bookmarkEnd w:id="66"/>
      <w:bookmarkEnd w:id="67"/>
    </w:p>
    <w:p w14:paraId="2C2891A1">
      <w:pPr>
        <w:pStyle w:val="2"/>
        <w:keepNext w:val="0"/>
        <w:keepLines w:val="0"/>
        <w:pageBreakBefore w:val="0"/>
        <w:kinsoku/>
        <w:wordWrap/>
        <w:overflowPunct/>
        <w:bidi w:val="0"/>
        <w:spacing w:line="560" w:lineRule="exact"/>
        <w:textAlignment w:val="auto"/>
      </w:pPr>
    </w:p>
    <w:p w14:paraId="635DA674">
      <w:pPr>
        <w:pStyle w:val="4"/>
        <w:keepNext w:val="0"/>
        <w:keepLines w:val="0"/>
        <w:pageBreakBefore w:val="0"/>
        <w:kinsoku/>
        <w:wordWrap/>
        <w:overflowPunct/>
        <w:topLinePunct w:val="0"/>
        <w:autoSpaceDE/>
        <w:autoSpaceDN/>
        <w:bidi w:val="0"/>
        <w:spacing w:line="560" w:lineRule="exact"/>
        <w:ind w:firstLine="602"/>
        <w:jc w:val="both"/>
        <w:textAlignment w:val="auto"/>
        <w:rPr>
          <w:sz w:val="32"/>
          <w:szCs w:val="32"/>
        </w:rPr>
      </w:pPr>
      <w:bookmarkStart w:id="68" w:name="_Toc33031832"/>
      <w:bookmarkStart w:id="69" w:name="_Toc69484834"/>
      <w:bookmarkStart w:id="70" w:name="_Toc32505636"/>
      <w:bookmarkStart w:id="71" w:name="_Toc6107_WPSOffice_Level2"/>
      <w:bookmarkStart w:id="72" w:name="_Toc59110032"/>
      <w:bookmarkStart w:id="73" w:name="_Toc33176062"/>
      <w:bookmarkStart w:id="74" w:name="_Toc33168619"/>
      <w:r>
        <w:rPr>
          <w:rFonts w:hint="eastAsia"/>
          <w:sz w:val="32"/>
          <w:szCs w:val="32"/>
        </w:rPr>
        <w:t>（一）指导思想</w:t>
      </w:r>
      <w:bookmarkEnd w:id="68"/>
      <w:bookmarkEnd w:id="69"/>
      <w:bookmarkEnd w:id="70"/>
      <w:bookmarkEnd w:id="71"/>
      <w:bookmarkEnd w:id="72"/>
      <w:bookmarkEnd w:id="73"/>
      <w:bookmarkEnd w:id="74"/>
    </w:p>
    <w:p w14:paraId="25E5A199">
      <w:pPr>
        <w:keepNext w:val="0"/>
        <w:keepLines w:val="0"/>
        <w:pageBreakBefore w:val="0"/>
        <w:kinsoku/>
        <w:wordWrap/>
        <w:overflowPunct/>
        <w:topLinePunct w:val="0"/>
        <w:autoSpaceDE/>
        <w:autoSpaceDN/>
        <w:bidi w:val="0"/>
        <w:spacing w:line="560" w:lineRule="exact"/>
        <w:ind w:firstLine="600"/>
        <w:textAlignment w:val="auto"/>
      </w:pPr>
      <w:r>
        <w:rPr>
          <w:sz w:val="32"/>
          <w:szCs w:val="32"/>
        </w:rPr>
        <w:t>以习近平新时代中国特色社会主义思想为指导，全面贯彻党的十九大和十九届二中、三中、四中、五中全会精神，贯彻落实习近平总书记关于福建工作的重要讲话</w:t>
      </w:r>
      <w:r>
        <w:rPr>
          <w:rFonts w:hint="eastAsia"/>
          <w:sz w:val="32"/>
          <w:szCs w:val="32"/>
          <w:lang w:val="en-US" w:eastAsia="zh-CN"/>
        </w:rPr>
        <w:t>和</w:t>
      </w:r>
      <w:r>
        <w:rPr>
          <w:sz w:val="32"/>
          <w:szCs w:val="32"/>
        </w:rPr>
        <w:t>重要指示精神，落实新发展理念和中央、省市县重大决策部署，坚持“节水优先、空间均衡、系统治理、两手发力”的治水思路，适应治水主要矛盾变化，牢牢把握“水利工程补短板、水利行业强监管”的水利改革发展总基调，突出问题导向、目标导向，把水安全风险防控作为底线，把水资源作为刚性约束红线，把水生态保护修复作为重点领域，把智慧水利建设作为关键环节，着力补齐水利基础设施短板，强化涉水事务监管，全面提升水安全保障能力，筑牢明溪县长治久安的水利根基，促进明溪县生态保护和高质量发展，为明溪县</w:t>
      </w:r>
      <w:r>
        <w:rPr>
          <w:rFonts w:hint="eastAsia"/>
          <w:sz w:val="32"/>
          <w:szCs w:val="32"/>
        </w:rPr>
        <w:t>“十四五”时期经济社会发展</w:t>
      </w:r>
      <w:r>
        <w:rPr>
          <w:sz w:val="32"/>
          <w:szCs w:val="32"/>
        </w:rPr>
        <w:t>提供强有力的水</w:t>
      </w:r>
      <w:r>
        <w:rPr>
          <w:rFonts w:hint="eastAsia"/>
          <w:sz w:val="32"/>
          <w:szCs w:val="32"/>
        </w:rPr>
        <w:t>安全</w:t>
      </w:r>
      <w:r>
        <w:rPr>
          <w:sz w:val="32"/>
          <w:szCs w:val="32"/>
        </w:rPr>
        <w:t>支撑和保障。</w:t>
      </w:r>
    </w:p>
    <w:p w14:paraId="7584AC1D">
      <w:pPr>
        <w:pStyle w:val="4"/>
        <w:keepNext w:val="0"/>
        <w:keepLines w:val="0"/>
        <w:pageBreakBefore w:val="0"/>
        <w:kinsoku/>
        <w:wordWrap/>
        <w:overflowPunct/>
        <w:topLinePunct w:val="0"/>
        <w:autoSpaceDE/>
        <w:autoSpaceDN/>
        <w:bidi w:val="0"/>
        <w:spacing w:line="560" w:lineRule="exact"/>
        <w:ind w:firstLine="602"/>
        <w:jc w:val="both"/>
        <w:textAlignment w:val="auto"/>
        <w:rPr>
          <w:sz w:val="32"/>
          <w:szCs w:val="32"/>
        </w:rPr>
      </w:pPr>
      <w:bookmarkStart w:id="75" w:name="_Toc59110033"/>
      <w:bookmarkStart w:id="76" w:name="_Toc69484835"/>
      <w:bookmarkStart w:id="77" w:name="_Toc7264_WPSOffice_Level2"/>
      <w:r>
        <w:rPr>
          <w:rFonts w:hint="eastAsia"/>
          <w:sz w:val="32"/>
          <w:szCs w:val="32"/>
        </w:rPr>
        <w:t>（二）基本原则</w:t>
      </w:r>
      <w:bookmarkEnd w:id="75"/>
      <w:bookmarkEnd w:id="76"/>
      <w:bookmarkEnd w:id="77"/>
    </w:p>
    <w:p w14:paraId="10231141">
      <w:pPr>
        <w:keepNext w:val="0"/>
        <w:keepLines w:val="0"/>
        <w:pageBreakBefore w:val="0"/>
        <w:kinsoku/>
        <w:wordWrap/>
        <w:overflowPunct/>
        <w:topLinePunct w:val="0"/>
        <w:autoSpaceDE/>
        <w:autoSpaceDN/>
        <w:bidi w:val="0"/>
        <w:spacing w:line="560" w:lineRule="exact"/>
        <w:ind w:firstLine="602"/>
        <w:jc w:val="both"/>
        <w:textAlignment w:val="auto"/>
        <w:rPr>
          <w:rFonts w:ascii="仿宋_GB2312"/>
          <w:sz w:val="32"/>
          <w:szCs w:val="32"/>
        </w:rPr>
      </w:pPr>
      <w:r>
        <w:rPr>
          <w:rFonts w:hint="eastAsia" w:ascii="仿宋_GB2312"/>
          <w:b/>
          <w:sz w:val="32"/>
          <w:szCs w:val="32"/>
        </w:rPr>
        <w:t>坚持节水优先，高效利用</w:t>
      </w:r>
      <w:r>
        <w:rPr>
          <w:rFonts w:hint="eastAsia" w:ascii="仿宋_GB2312"/>
          <w:sz w:val="32"/>
          <w:szCs w:val="32"/>
        </w:rPr>
        <w:t>。把节水作为水资源开发、利用、保护、配置、调度的前提，大力推进节水行动。实行水资源消耗总量和强度双控，强化水资源承载能力刚性约束，以更大力度、更强举措加快推进用水方式由粗放向节约集约的根本性转变，全面提升水资源利用效率。</w:t>
      </w:r>
    </w:p>
    <w:p w14:paraId="5774F943">
      <w:pPr>
        <w:keepNext w:val="0"/>
        <w:keepLines w:val="0"/>
        <w:pageBreakBefore w:val="0"/>
        <w:kinsoku/>
        <w:wordWrap/>
        <w:overflowPunct/>
        <w:topLinePunct w:val="0"/>
        <w:autoSpaceDE/>
        <w:autoSpaceDN/>
        <w:bidi w:val="0"/>
        <w:spacing w:line="560" w:lineRule="exact"/>
        <w:ind w:firstLine="602"/>
        <w:jc w:val="both"/>
        <w:textAlignment w:val="auto"/>
        <w:rPr>
          <w:rFonts w:ascii="仿宋_GB2312"/>
          <w:sz w:val="32"/>
          <w:szCs w:val="32"/>
        </w:rPr>
      </w:pPr>
      <w:r>
        <w:rPr>
          <w:rFonts w:hint="eastAsia" w:ascii="仿宋_GB2312"/>
          <w:b/>
          <w:sz w:val="32"/>
          <w:szCs w:val="32"/>
        </w:rPr>
        <w:t>坚持空间均衡，协调发展</w:t>
      </w:r>
      <w:r>
        <w:rPr>
          <w:rFonts w:hint="eastAsia" w:ascii="仿宋_GB2312"/>
          <w:sz w:val="32"/>
          <w:szCs w:val="32"/>
        </w:rPr>
        <w:t>。坚持以水定需、量水而行，强化水资源承载能力的刚性约束。统筹流域与区域、城市与农村、上游与下游、干流与支流、左岸与右岸、地表与地下，正确把握当前与长远、需要与可能等重大关系，着力提升水利行业在空间上、时间上、内容上的均衡与协调发展水平。</w:t>
      </w:r>
    </w:p>
    <w:p w14:paraId="1825B167">
      <w:pPr>
        <w:keepNext w:val="0"/>
        <w:keepLines w:val="0"/>
        <w:pageBreakBefore w:val="0"/>
        <w:kinsoku/>
        <w:wordWrap/>
        <w:overflowPunct/>
        <w:topLinePunct w:val="0"/>
        <w:autoSpaceDE/>
        <w:autoSpaceDN/>
        <w:bidi w:val="0"/>
        <w:spacing w:line="560" w:lineRule="exact"/>
        <w:ind w:firstLine="602"/>
        <w:jc w:val="both"/>
        <w:textAlignment w:val="auto"/>
        <w:rPr>
          <w:rFonts w:ascii="仿宋_GB2312"/>
          <w:sz w:val="32"/>
          <w:szCs w:val="32"/>
        </w:rPr>
      </w:pPr>
      <w:r>
        <w:rPr>
          <w:rFonts w:hint="eastAsia" w:ascii="仿宋_GB2312"/>
          <w:b/>
          <w:sz w:val="32"/>
          <w:szCs w:val="32"/>
        </w:rPr>
        <w:t>坚持科学谋划，系统治理</w:t>
      </w:r>
      <w:r>
        <w:rPr>
          <w:rFonts w:hint="eastAsia" w:ascii="仿宋_GB2312"/>
          <w:sz w:val="32"/>
          <w:szCs w:val="32"/>
        </w:rPr>
        <w:t>。立足基本县情、水情以及水利发展面临的新形势、新要求，准确把握水利发展方向，科学制定水利发展的时间表和路线图。统筹城市农村、山水林田湖草各要素，对水资源、水灾害、水生态、水环境、水管理等各领域的问题进行系统治理，着力推进水利科学发展。</w:t>
      </w:r>
    </w:p>
    <w:p w14:paraId="48F46BE4">
      <w:pPr>
        <w:keepNext w:val="0"/>
        <w:keepLines w:val="0"/>
        <w:pageBreakBefore w:val="0"/>
        <w:kinsoku/>
        <w:wordWrap/>
        <w:overflowPunct/>
        <w:topLinePunct w:val="0"/>
        <w:autoSpaceDE/>
        <w:autoSpaceDN/>
        <w:bidi w:val="0"/>
        <w:spacing w:line="560" w:lineRule="exact"/>
        <w:ind w:firstLine="602"/>
        <w:jc w:val="both"/>
        <w:textAlignment w:val="auto"/>
        <w:rPr>
          <w:rFonts w:ascii="仿宋_GB2312"/>
          <w:sz w:val="32"/>
          <w:szCs w:val="32"/>
        </w:rPr>
      </w:pPr>
      <w:r>
        <w:rPr>
          <w:rFonts w:hint="eastAsia" w:ascii="仿宋_GB2312"/>
          <w:b/>
          <w:sz w:val="32"/>
          <w:szCs w:val="32"/>
        </w:rPr>
        <w:t>坚持生态友好，绿色发展</w:t>
      </w:r>
      <w:r>
        <w:rPr>
          <w:rFonts w:hint="eastAsia" w:ascii="仿宋_GB2312"/>
          <w:sz w:val="32"/>
          <w:szCs w:val="32"/>
        </w:rPr>
        <w:t>。树立并践行尊重自然、顺应自然、保护自然和绿水青山就是金山银山的理念，坚持节约资源和保护环境的基本国策，给水域以最适空间，给水资源以最低消耗，给水生态以最大保护，给水环境以最小污染，形成绿色发展方式，实现人与水和谐共生。</w:t>
      </w:r>
    </w:p>
    <w:p w14:paraId="1EF37A3B">
      <w:pPr>
        <w:keepNext w:val="0"/>
        <w:keepLines w:val="0"/>
        <w:pageBreakBefore w:val="0"/>
        <w:kinsoku/>
        <w:wordWrap/>
        <w:overflowPunct/>
        <w:topLinePunct w:val="0"/>
        <w:autoSpaceDE/>
        <w:autoSpaceDN/>
        <w:bidi w:val="0"/>
        <w:spacing w:line="560" w:lineRule="exact"/>
        <w:ind w:firstLine="602"/>
        <w:jc w:val="both"/>
        <w:textAlignment w:val="auto"/>
        <w:rPr>
          <w:rFonts w:ascii="仿宋_GB2312"/>
          <w:sz w:val="32"/>
          <w:szCs w:val="32"/>
        </w:rPr>
      </w:pPr>
      <w:r>
        <w:rPr>
          <w:rFonts w:hint="eastAsia" w:ascii="仿宋_GB2312"/>
          <w:b/>
          <w:sz w:val="32"/>
          <w:szCs w:val="32"/>
        </w:rPr>
        <w:t>坚持两手发力，强化监管</w:t>
      </w:r>
      <w:r>
        <w:rPr>
          <w:rFonts w:hint="eastAsia" w:ascii="仿宋_GB2312"/>
          <w:sz w:val="32"/>
          <w:szCs w:val="32"/>
        </w:rPr>
        <w:t>。充分发挥政府主导和市场配置作用，进一步解放思想，勇于创新，着力推进水权、水价、水利投融资等水利行业重要领域和关键环节的改革攻坚，引导全社会积极支持和参与水利建设与管理，全方位多角度地强化河湖、水资源、水利工程、水土保持、资金、政务等方面水利行业的监管。深化水利智慧化建设,构建系统完备的水治理制度体系。</w:t>
      </w:r>
    </w:p>
    <w:p w14:paraId="5FA0B480">
      <w:pPr>
        <w:keepNext w:val="0"/>
        <w:keepLines w:val="0"/>
        <w:pageBreakBefore w:val="0"/>
        <w:kinsoku/>
        <w:wordWrap/>
        <w:overflowPunct/>
        <w:topLinePunct w:val="0"/>
        <w:autoSpaceDE/>
        <w:autoSpaceDN/>
        <w:bidi w:val="0"/>
        <w:spacing w:line="560" w:lineRule="exact"/>
        <w:ind w:firstLine="602"/>
        <w:textAlignment w:val="auto"/>
        <w:rPr>
          <w:rFonts w:ascii="仿宋_GB2312"/>
          <w:sz w:val="32"/>
          <w:szCs w:val="32"/>
        </w:rPr>
      </w:pPr>
      <w:r>
        <w:rPr>
          <w:rFonts w:hint="eastAsia" w:ascii="仿宋_GB2312"/>
          <w:b/>
          <w:sz w:val="32"/>
          <w:szCs w:val="32"/>
        </w:rPr>
        <w:t>坚持确有需要，可以持续</w:t>
      </w:r>
      <w:r>
        <w:rPr>
          <w:rFonts w:hint="eastAsia" w:ascii="仿宋_GB2312"/>
          <w:sz w:val="32"/>
          <w:szCs w:val="32"/>
        </w:rPr>
        <w:t>。坚持科学论证，着眼长远发展，尊重自然规律，尊重水的自然属性，统筹把握好节流与开源的关系、水资源开发与保护的关系、政府与市场的关系，抓好供用水、水生态等工程建设、运行监管，让水利更好地支撑经济可持续发展。</w:t>
      </w:r>
    </w:p>
    <w:p w14:paraId="105CFDAC">
      <w:pPr>
        <w:pStyle w:val="4"/>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78" w:name="_Toc69484836"/>
      <w:bookmarkStart w:id="79" w:name="_Toc59110034"/>
      <w:bookmarkStart w:id="80" w:name="_Toc2639_WPSOffice_Level2"/>
      <w:r>
        <w:rPr>
          <w:rFonts w:hint="eastAsia" w:ascii="楷体_GB2312" w:hAnsi="楷体_GB2312" w:eastAsia="楷体_GB2312" w:cs="楷体_GB2312"/>
          <w:b/>
          <w:bCs/>
          <w:kern w:val="2"/>
          <w:sz w:val="32"/>
          <w:szCs w:val="32"/>
          <w:lang w:val="en-US" w:eastAsia="zh-CN" w:bidi="ar-SA"/>
        </w:rPr>
        <w:t>（三）发展目标</w:t>
      </w:r>
      <w:bookmarkEnd w:id="78"/>
      <w:bookmarkEnd w:id="79"/>
      <w:bookmarkEnd w:id="80"/>
    </w:p>
    <w:p w14:paraId="4F75BBBD">
      <w:pPr>
        <w:keepNext w:val="0"/>
        <w:keepLines w:val="0"/>
        <w:pageBreakBefore w:val="0"/>
        <w:kinsoku/>
        <w:wordWrap/>
        <w:overflowPunct/>
        <w:topLinePunct w:val="0"/>
        <w:autoSpaceDE/>
        <w:autoSpaceDN/>
        <w:bidi w:val="0"/>
        <w:spacing w:line="560" w:lineRule="exact"/>
        <w:ind w:firstLine="602"/>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总体目标</w:t>
      </w:r>
    </w:p>
    <w:p w14:paraId="4E5FDBE0">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到2025年，基本建成安全可靠的基础设施体系和管用高效的行业监管体系，推动治水管水水平提档升级，水资源利用效率和效益明显提高，城乡供水安全保障程度明显增强，河流防洪减灾能力全面提升，重要河湖水生态环境明显改善，水利基础设施提档升级取得明显成效，水利监管和风险防控全面增强，全县水安全保障能力显著提升，基本建成与明溪县经济社会发展要求相适应的水安全保障体系。</w:t>
      </w:r>
    </w:p>
    <w:p w14:paraId="21713694">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到2035年，全面建成高质量的基础设施体系和行业监管体系，全面提升水安全保障能力，为明溪基本实现社会主义现代化、实现全方位高质量发展超越提供坚实支撑。基本建立科学规范的涉水生态空间管控体系、健康稳定的水生态保障体系、节约高效的水资源调控体系、现代可靠的防洪除涝减灾体系、先进智能的水利管理体系，基本实现水利基础设施网络、水治理能力和管理现代化。具体</w:t>
      </w:r>
      <w:r>
        <w:rPr>
          <w:rFonts w:hint="eastAsia" w:ascii="仿宋_GB2312" w:hAnsi="仿宋_GB2312" w:cs="仿宋_GB2312"/>
          <w:color w:val="000000" w:themeColor="text1"/>
          <w:sz w:val="32"/>
          <w:szCs w:val="32"/>
          <w:lang w:val="en-US" w:eastAsia="zh-CN"/>
        </w:rPr>
        <w:t>体现</w:t>
      </w:r>
      <w:r>
        <w:rPr>
          <w:rFonts w:hint="eastAsia" w:ascii="仿宋_GB2312" w:hAnsi="仿宋_GB2312" w:eastAsia="仿宋_GB2312" w:cs="仿宋_GB2312"/>
          <w:color w:val="000000" w:themeColor="text1"/>
          <w:sz w:val="32"/>
          <w:szCs w:val="32"/>
        </w:rPr>
        <w:t>在以下几个方面：</w:t>
      </w:r>
    </w:p>
    <w:p w14:paraId="5D0FE3DF">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① 水生态环境质量根本好转，人水和谐共生空间格局基本稳定；</w:t>
      </w:r>
    </w:p>
    <w:p w14:paraId="5EA76C08">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② 水资源调控网络基本形成，根本解决水资源与经济社会发展之间的不平衡问题；</w:t>
      </w:r>
    </w:p>
    <w:p w14:paraId="69326F8C">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③ 防洪减灾工程体系基本完善，防洪保安能力全面达标；</w:t>
      </w:r>
    </w:p>
    <w:p w14:paraId="275A980E">
      <w:pPr>
        <w:keepNext w:val="0"/>
        <w:keepLines w:val="0"/>
        <w:pageBreakBefore w:val="0"/>
        <w:kinsoku/>
        <w:wordWrap/>
        <w:overflowPunct/>
        <w:topLinePunct w:val="0"/>
        <w:autoSpaceDE/>
        <w:autoSpaceDN/>
        <w:bidi w:val="0"/>
        <w:spacing w:line="560" w:lineRule="exact"/>
        <w:ind w:firstLine="600"/>
        <w:textAlignment w:val="auto"/>
        <w:rPr>
          <w:color w:val="00B0F0"/>
        </w:rPr>
      </w:pPr>
      <w:r>
        <w:rPr>
          <w:rFonts w:hint="eastAsia" w:ascii="仿宋_GB2312" w:hAnsi="仿宋_GB2312" w:eastAsia="仿宋_GB2312" w:cs="仿宋_GB2312"/>
          <w:color w:val="000000" w:themeColor="text1"/>
          <w:sz w:val="32"/>
          <w:szCs w:val="32"/>
        </w:rPr>
        <w:t>④ 基本实现水治理体系和治理能力现代化。</w:t>
      </w:r>
    </w:p>
    <w:p w14:paraId="4DE3C2BB">
      <w:pPr>
        <w:keepNext w:val="0"/>
        <w:keepLines w:val="0"/>
        <w:pageBreakBefore w:val="0"/>
        <w:kinsoku/>
        <w:wordWrap/>
        <w:overflowPunct/>
        <w:topLinePunct w:val="0"/>
        <w:autoSpaceDE/>
        <w:autoSpaceDN/>
        <w:bidi w:val="0"/>
        <w:spacing w:line="560" w:lineRule="exact"/>
        <w:ind w:firstLine="602"/>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具体目标</w:t>
      </w:r>
    </w:p>
    <w:p w14:paraId="38503BFE">
      <w:pPr>
        <w:keepNext w:val="0"/>
        <w:keepLines w:val="0"/>
        <w:pageBreakBefore w:val="0"/>
        <w:kinsoku/>
        <w:wordWrap/>
        <w:overflowPunct/>
        <w:topLinePunct w:val="0"/>
        <w:autoSpaceDE/>
        <w:autoSpaceDN/>
        <w:bidi w:val="0"/>
        <w:spacing w:line="560" w:lineRule="exact"/>
        <w:ind w:firstLine="602"/>
        <w:jc w:val="both"/>
        <w:textAlignment w:val="auto"/>
        <w:rPr>
          <w:rFonts w:hint="eastAsia" w:ascii="仿宋_GB2312" w:hAnsi="仿宋_GB2312" w:eastAsia="仿宋_GB2312" w:cs="仿宋_GB2312"/>
          <w:sz w:val="32"/>
          <w:szCs w:val="32"/>
        </w:rPr>
      </w:pPr>
      <w:r>
        <w:rPr>
          <w:b/>
          <w:sz w:val="32"/>
          <w:szCs w:val="32"/>
        </w:rPr>
        <w:t>城乡供水安全保障目标。</w:t>
      </w:r>
      <w:r>
        <w:rPr>
          <w:rFonts w:hint="eastAsia" w:ascii="仿宋_GB2312" w:hAnsi="仿宋_GB2312" w:eastAsia="仿宋_GB2312" w:cs="仿宋_GB2312"/>
          <w:sz w:val="32"/>
          <w:szCs w:val="32"/>
        </w:rPr>
        <w:t>全县水资源配置格局逐步完善。城镇供水保障能力稳步提升，用水总量得到有效控制，灌溉供水保障能力进一步加强。通过建设一批水资源配置工程和重点水源工程，构建引得进、蓄得住、覆盖广、可调控的水网体系，水利工程新增年供水能力0.107亿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，其中新增水库供水能力0.091亿m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w:t>
      </w:r>
    </w:p>
    <w:p w14:paraId="160B8D51">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通过城乡一体化供水网络建设，构建从“源头到龙头”的农村供水体系，农村自来水普及率和农村集中供水率分别达到88%和95%，千人以上工程水源保护区划定率达到100%。</w:t>
      </w:r>
    </w:p>
    <w:p w14:paraId="751247CB">
      <w:pPr>
        <w:keepNext w:val="0"/>
        <w:keepLines w:val="0"/>
        <w:pageBreakBefore w:val="0"/>
        <w:kinsoku/>
        <w:wordWrap/>
        <w:overflowPunct/>
        <w:topLinePunct w:val="0"/>
        <w:autoSpaceDE/>
        <w:autoSpaceDN/>
        <w:bidi w:val="0"/>
        <w:spacing w:line="560" w:lineRule="exact"/>
        <w:ind w:firstLine="602"/>
        <w:jc w:val="both"/>
        <w:textAlignment w:val="auto"/>
        <w:rPr>
          <w:sz w:val="32"/>
          <w:szCs w:val="32"/>
        </w:rPr>
      </w:pPr>
      <w:r>
        <w:rPr>
          <w:b/>
          <w:sz w:val="32"/>
          <w:szCs w:val="32"/>
        </w:rPr>
        <w:t>水资源高效利用目标：</w:t>
      </w:r>
      <w:r>
        <w:rPr>
          <w:rFonts w:hint="eastAsia" w:ascii="仿宋_GB2312" w:hAnsi="仿宋_GB2312" w:eastAsia="仿宋_GB2312" w:cs="仿宋_GB2312"/>
          <w:sz w:val="32"/>
          <w:szCs w:val="32"/>
        </w:rPr>
        <w:t>节水型生产和生活方式初步建立，用水效率和效益显著提高，全社会节水意识明显增强，用水满足用水总量的要求，完成三明市下达的县域节水型社会达标创建工作，建成全域节水型社会。到2025年，全县用水总量控制在1.50亿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以内，万元工业增加值用水量控制在56m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以内，农田灌溉水有效利用系数提高到0.578。</w:t>
      </w:r>
    </w:p>
    <w:p w14:paraId="56EA160A">
      <w:pPr>
        <w:keepNext w:val="0"/>
        <w:keepLines w:val="0"/>
        <w:pageBreakBefore w:val="0"/>
        <w:kinsoku/>
        <w:wordWrap/>
        <w:overflowPunct/>
        <w:topLinePunct w:val="0"/>
        <w:autoSpaceDE/>
        <w:autoSpaceDN/>
        <w:bidi w:val="0"/>
        <w:spacing w:line="560" w:lineRule="exact"/>
        <w:ind w:firstLine="602"/>
        <w:jc w:val="both"/>
        <w:textAlignment w:val="auto"/>
        <w:rPr>
          <w:sz w:val="32"/>
          <w:szCs w:val="32"/>
        </w:rPr>
      </w:pPr>
      <w:r>
        <w:rPr>
          <w:b/>
          <w:sz w:val="32"/>
          <w:szCs w:val="32"/>
        </w:rPr>
        <w:t>水旱灾害防御目标：</w:t>
      </w:r>
      <w:r>
        <w:rPr>
          <w:rFonts w:hint="eastAsia"/>
          <w:sz w:val="32"/>
          <w:szCs w:val="32"/>
        </w:rPr>
        <w:t>明溪县</w:t>
      </w:r>
      <w:r>
        <w:rPr>
          <w:sz w:val="32"/>
          <w:szCs w:val="32"/>
        </w:rPr>
        <w:t>城区及各</w:t>
      </w:r>
      <w:r>
        <w:rPr>
          <w:rFonts w:hint="eastAsia"/>
          <w:sz w:val="32"/>
          <w:szCs w:val="32"/>
        </w:rPr>
        <w:t>乡</w:t>
      </w:r>
      <w:r>
        <w:rPr>
          <w:sz w:val="32"/>
          <w:szCs w:val="32"/>
        </w:rPr>
        <w:t>镇区和重点河段防洪减灾体系进一步完善，防洪保障能力明显提高。基本消除病险水库、水闸、堤防安全隐患，水旱灾害风险防范化解能力进一步增强。</w:t>
      </w:r>
    </w:p>
    <w:p w14:paraId="4AF4319F">
      <w:pPr>
        <w:keepNext w:val="0"/>
        <w:keepLines w:val="0"/>
        <w:pageBreakBefore w:val="0"/>
        <w:kinsoku/>
        <w:wordWrap/>
        <w:overflowPunct/>
        <w:topLinePunct w:val="0"/>
        <w:autoSpaceDE/>
        <w:autoSpaceDN/>
        <w:bidi w:val="0"/>
        <w:spacing w:line="560" w:lineRule="exact"/>
        <w:ind w:firstLine="602"/>
        <w:jc w:val="both"/>
        <w:textAlignment w:val="auto"/>
        <w:rPr>
          <w:rFonts w:hint="eastAsia" w:ascii="仿宋_GB2312" w:hAnsi="仿宋_GB2312" w:eastAsia="仿宋_GB2312" w:cs="仿宋_GB2312"/>
          <w:sz w:val="32"/>
          <w:szCs w:val="32"/>
        </w:rPr>
      </w:pPr>
      <w:r>
        <w:rPr>
          <w:b/>
          <w:sz w:val="32"/>
          <w:szCs w:val="32"/>
        </w:rPr>
        <w:t>水资源保护与河湖生态健康保障目标。</w:t>
      </w:r>
      <w:r>
        <w:rPr>
          <w:rFonts w:hint="eastAsia"/>
          <w:sz w:val="32"/>
          <w:szCs w:val="32"/>
        </w:rPr>
        <w:t>乡镇级</w:t>
      </w:r>
      <w:r>
        <w:rPr>
          <w:sz w:val="32"/>
          <w:szCs w:val="32"/>
        </w:rPr>
        <w:t>以上供水水源地水质稳定达标，农村人饮水质达标率进一步提高，重要江河湖泊生态基流得到保障，河湖重要断面水质持续达标，水土保持、农</w:t>
      </w:r>
      <w:r>
        <w:rPr>
          <w:rFonts w:hint="eastAsia" w:ascii="仿宋_GB2312" w:hAnsi="仿宋_GB2312" w:eastAsia="仿宋_GB2312" w:cs="仿宋_GB2312"/>
          <w:sz w:val="32"/>
          <w:szCs w:val="32"/>
        </w:rPr>
        <w:t>村水系综合整治成效显著。</w:t>
      </w:r>
    </w:p>
    <w:p w14:paraId="72CA148C">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到2025年，集中式饮用水源地水质达标率达95%，农村饮用水水源地水质达标率稳步提高。水生态空间管控制度基本建立，全县已开发利用的主要河流和常年水面面积1km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以上湖泊管理范围基本划定。水土流失率控制在7.5%以内，预防水土流失面积182.04km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，新增水土流失综合治理面12.69km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14:paraId="7EAEDA5F">
      <w:pPr>
        <w:keepNext w:val="0"/>
        <w:keepLines w:val="0"/>
        <w:pageBreakBefore w:val="0"/>
        <w:kinsoku/>
        <w:wordWrap/>
        <w:overflowPunct/>
        <w:topLinePunct w:val="0"/>
        <w:autoSpaceDE/>
        <w:autoSpaceDN/>
        <w:bidi w:val="0"/>
        <w:spacing w:line="560" w:lineRule="exact"/>
        <w:ind w:firstLine="602"/>
        <w:jc w:val="both"/>
        <w:textAlignment w:val="auto"/>
        <w:rPr>
          <w:sz w:val="32"/>
          <w:szCs w:val="32"/>
        </w:rPr>
      </w:pPr>
      <w:r>
        <w:rPr>
          <w:b/>
          <w:sz w:val="32"/>
          <w:szCs w:val="32"/>
        </w:rPr>
        <w:t>水利信息化建设目标：</w:t>
      </w:r>
      <w:r>
        <w:rPr>
          <w:sz w:val="32"/>
          <w:szCs w:val="32"/>
        </w:rPr>
        <w:t>水利信息化水平显著提升，智慧水务建设持续推进，基础信息感知网与采集网日趋完善，大数据平台逐步建立，多部门信息共享共治的局面初步形成，涵盖洪水、干旱、水利工程安全运行、水利工程建设、水资源开发利用、城乡供水、节水、河湖管理、水土流失和水利监督等水利各领域的业务应用系统基本建成，水利行业网络安全整体防护水平有所提升，水利治理体系和治理能力现代化水平显著提升。</w:t>
      </w:r>
    </w:p>
    <w:p w14:paraId="3D8E4998">
      <w:pPr>
        <w:keepNext w:val="0"/>
        <w:keepLines w:val="0"/>
        <w:pageBreakBefore w:val="0"/>
        <w:kinsoku/>
        <w:wordWrap/>
        <w:overflowPunct/>
        <w:topLinePunct w:val="0"/>
        <w:autoSpaceDE/>
        <w:autoSpaceDN/>
        <w:bidi w:val="0"/>
        <w:spacing w:line="560" w:lineRule="exact"/>
        <w:ind w:firstLine="602"/>
        <w:jc w:val="both"/>
        <w:textAlignment w:val="auto"/>
        <w:rPr>
          <w:sz w:val="32"/>
          <w:szCs w:val="32"/>
        </w:rPr>
      </w:pPr>
      <w:r>
        <w:rPr>
          <w:b/>
          <w:sz w:val="32"/>
          <w:szCs w:val="32"/>
        </w:rPr>
        <w:t>水利行业监管目标。</w:t>
      </w:r>
      <w:r>
        <w:rPr>
          <w:sz w:val="32"/>
          <w:szCs w:val="32"/>
        </w:rPr>
        <w:t>水文水资源、水生态水环境、水土流失等监测体系基本建立，强监管工作取得突破，水法规制度体系不断健全，江河湖泊监管能力进一步提升，最严格水资源管理持续深入，水资源刚性约束增强，水利工程建设与运行更加安全稳定，水土保持监管能力与水安全风险防控能力不断增强。</w:t>
      </w:r>
    </w:p>
    <w:p w14:paraId="7029E660">
      <w:pPr>
        <w:keepNext w:val="0"/>
        <w:keepLines w:val="0"/>
        <w:pageBreakBefore w:val="0"/>
        <w:kinsoku/>
        <w:wordWrap/>
        <w:overflowPunct/>
        <w:topLinePunct w:val="0"/>
        <w:autoSpaceDE/>
        <w:autoSpaceDN/>
        <w:bidi w:val="0"/>
        <w:spacing w:line="560" w:lineRule="exact"/>
        <w:ind w:firstLine="602"/>
        <w:textAlignment w:val="auto"/>
        <w:rPr>
          <w:sz w:val="32"/>
          <w:szCs w:val="32"/>
        </w:rPr>
      </w:pPr>
      <w:r>
        <w:rPr>
          <w:b/>
          <w:sz w:val="32"/>
          <w:szCs w:val="32"/>
        </w:rPr>
        <w:t>水管理改革创新目标。</w:t>
      </w:r>
      <w:r>
        <w:rPr>
          <w:sz w:val="32"/>
          <w:szCs w:val="32"/>
        </w:rPr>
        <w:t>重要领域和关键环节水利改革取得阶段性成果，逐步建立合理的水利工程供水价格机制，基本形成水利工程良性运行机制。节水制度体系逐步健全，节水型生产和生活方式初步建立，河湖管理体制机制进一步完善，水价、水权、水市场改革稳步推进，水利投融资体制机制进一步创新。</w:t>
      </w:r>
    </w:p>
    <w:p w14:paraId="01E3F91A">
      <w:pPr>
        <w:keepNext w:val="0"/>
        <w:keepLines w:val="0"/>
        <w:pageBreakBefore w:val="0"/>
        <w:kinsoku/>
        <w:wordWrap/>
        <w:overflowPunct/>
        <w:bidi w:val="0"/>
        <w:spacing w:line="560" w:lineRule="exact"/>
        <w:ind w:firstLine="0" w:firstLineChars="0"/>
        <w:jc w:val="center"/>
        <w:textAlignment w:val="auto"/>
        <w:rPr>
          <w:rFonts w:hint="eastAsia"/>
          <w:b/>
          <w:szCs w:val="30"/>
        </w:rPr>
      </w:pPr>
    </w:p>
    <w:p w14:paraId="768FB47B">
      <w:pPr>
        <w:keepNext w:val="0"/>
        <w:keepLines w:val="0"/>
        <w:pageBreakBefore w:val="0"/>
        <w:kinsoku/>
        <w:wordWrap/>
        <w:overflowPunct/>
        <w:bidi w:val="0"/>
        <w:spacing w:line="560" w:lineRule="exact"/>
        <w:ind w:firstLine="0" w:firstLineChars="0"/>
        <w:jc w:val="center"/>
        <w:textAlignment w:val="auto"/>
        <w:rPr>
          <w:rFonts w:hint="eastAsia" w:ascii="楷体_GB2312" w:hAnsi="楷体_GB2312" w:eastAsia="楷体_GB2312" w:cs="楷体_GB2312"/>
          <w:b/>
          <w:sz w:val="32"/>
          <w:szCs w:val="32"/>
        </w:rPr>
      </w:pPr>
      <w:bookmarkStart w:id="81" w:name="_Toc23019_WPSOffice_Level1"/>
      <w:r>
        <w:rPr>
          <w:rFonts w:hint="eastAsia" w:ascii="楷体_GB2312" w:hAnsi="楷体_GB2312" w:eastAsia="楷体_GB2312" w:cs="楷体_GB2312"/>
          <w:b/>
          <w:sz w:val="32"/>
          <w:szCs w:val="32"/>
        </w:rPr>
        <w:t>明溪县 “十四五”水安全保障规划主要指标表</w:t>
      </w:r>
      <w:bookmarkEnd w:id="81"/>
    </w:p>
    <w:p w14:paraId="702B7CF8">
      <w:pPr>
        <w:keepNext w:val="0"/>
        <w:keepLines w:val="0"/>
        <w:pageBreakBefore w:val="0"/>
        <w:widowControl w:val="0"/>
        <w:kinsoku/>
        <w:wordWrap/>
        <w:overflowPunct/>
        <w:topLinePunct w:val="0"/>
        <w:autoSpaceDE/>
        <w:autoSpaceDN/>
        <w:bidi w:val="0"/>
        <w:adjustRightInd w:val="0"/>
        <w:snapToGrid w:val="0"/>
        <w:spacing w:line="360" w:lineRule="exact"/>
        <w:ind w:firstLine="320" w:firstLineChars="100"/>
        <w:textAlignment w:val="auto"/>
        <w:rPr>
          <w:rFonts w:hint="eastAsia" w:ascii="仿宋_GB2312" w:hAnsi="仿宋_GB2312" w:eastAsia="仿宋_GB2312" w:cs="仿宋_GB2312"/>
          <w:sz w:val="32"/>
          <w:szCs w:val="32"/>
        </w:rPr>
      </w:pPr>
      <w:bookmarkStart w:id="82" w:name="_Toc31057_WPSOffice_Level1"/>
      <w:r>
        <w:rPr>
          <w:rFonts w:hint="eastAsia" w:ascii="仿宋_GB2312" w:hAnsi="仿宋_GB2312" w:eastAsia="仿宋_GB2312" w:cs="仿宋_GB2312"/>
          <w:sz w:val="32"/>
          <w:szCs w:val="32"/>
        </w:rPr>
        <w:t>表2</w:t>
      </w:r>
      <w:bookmarkEnd w:id="82"/>
    </w:p>
    <w:tbl>
      <w:tblPr>
        <w:tblStyle w:val="13"/>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544"/>
        <w:gridCol w:w="1671"/>
        <w:gridCol w:w="1671"/>
        <w:gridCol w:w="1670"/>
      </w:tblGrid>
      <w:tr w14:paraId="73CB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801" w:type="dxa"/>
            <w:vAlign w:val="center"/>
          </w:tcPr>
          <w:p w14:paraId="220D25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b/>
                <w:bCs/>
                <w:sz w:val="24"/>
                <w:szCs w:val="24"/>
              </w:rPr>
            </w:pPr>
            <w:r>
              <w:rPr>
                <w:b/>
                <w:bCs/>
                <w:sz w:val="24"/>
                <w:szCs w:val="24"/>
              </w:rPr>
              <w:t>发展目标</w:t>
            </w:r>
          </w:p>
        </w:tc>
        <w:tc>
          <w:tcPr>
            <w:tcW w:w="2544" w:type="dxa"/>
            <w:vAlign w:val="center"/>
          </w:tcPr>
          <w:p w14:paraId="61643BD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b/>
                <w:bCs/>
                <w:sz w:val="24"/>
                <w:szCs w:val="24"/>
              </w:rPr>
            </w:pPr>
            <w:r>
              <w:rPr>
                <w:b/>
                <w:bCs/>
                <w:sz w:val="24"/>
                <w:szCs w:val="24"/>
              </w:rPr>
              <w:t>指标</w:t>
            </w:r>
          </w:p>
        </w:tc>
        <w:tc>
          <w:tcPr>
            <w:tcW w:w="1671" w:type="dxa"/>
            <w:vAlign w:val="center"/>
          </w:tcPr>
          <w:p w14:paraId="0D79739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b/>
                <w:bCs/>
                <w:sz w:val="24"/>
                <w:szCs w:val="24"/>
              </w:rPr>
            </w:pPr>
            <w:r>
              <w:rPr>
                <w:rFonts w:hint="eastAsia"/>
                <w:b/>
                <w:bCs/>
                <w:sz w:val="24"/>
                <w:szCs w:val="24"/>
              </w:rPr>
              <w:t>“十三五”规划指标</w:t>
            </w:r>
          </w:p>
        </w:tc>
        <w:tc>
          <w:tcPr>
            <w:tcW w:w="1671" w:type="dxa"/>
            <w:vAlign w:val="center"/>
          </w:tcPr>
          <w:p w14:paraId="3EC3C99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b/>
                <w:bCs/>
                <w:sz w:val="24"/>
                <w:szCs w:val="24"/>
              </w:rPr>
            </w:pPr>
            <w:r>
              <w:rPr>
                <w:rFonts w:hint="eastAsia"/>
                <w:b/>
                <w:bCs/>
                <w:sz w:val="24"/>
                <w:szCs w:val="24"/>
              </w:rPr>
              <w:t>“十四五”规划指标</w:t>
            </w:r>
          </w:p>
        </w:tc>
        <w:tc>
          <w:tcPr>
            <w:tcW w:w="1670" w:type="dxa"/>
            <w:vAlign w:val="center"/>
          </w:tcPr>
          <w:p w14:paraId="21CE55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b/>
                <w:bCs/>
                <w:sz w:val="24"/>
                <w:szCs w:val="24"/>
              </w:rPr>
            </w:pPr>
            <w:r>
              <w:rPr>
                <w:rFonts w:hint="eastAsia"/>
                <w:b/>
                <w:bCs/>
                <w:sz w:val="24"/>
                <w:szCs w:val="24"/>
              </w:rPr>
              <w:t>备注</w:t>
            </w:r>
          </w:p>
        </w:tc>
      </w:tr>
      <w:tr w14:paraId="44EE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1" w:type="dxa"/>
            <w:vMerge w:val="restart"/>
            <w:vAlign w:val="center"/>
          </w:tcPr>
          <w:p w14:paraId="799D8C9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节水</w:t>
            </w:r>
          </w:p>
        </w:tc>
        <w:tc>
          <w:tcPr>
            <w:tcW w:w="2544" w:type="dxa"/>
            <w:vAlign w:val="center"/>
          </w:tcPr>
          <w:p w14:paraId="11D3113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用水总量（亿立方米）</w:t>
            </w:r>
          </w:p>
        </w:tc>
        <w:tc>
          <w:tcPr>
            <w:tcW w:w="1671" w:type="dxa"/>
            <w:vAlign w:val="center"/>
          </w:tcPr>
          <w:p w14:paraId="3529402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1.27</w:t>
            </w:r>
          </w:p>
        </w:tc>
        <w:tc>
          <w:tcPr>
            <w:tcW w:w="1671" w:type="dxa"/>
            <w:vAlign w:val="center"/>
          </w:tcPr>
          <w:p w14:paraId="275E8C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c>
          <w:tcPr>
            <w:tcW w:w="1670" w:type="dxa"/>
            <w:vAlign w:val="center"/>
          </w:tcPr>
          <w:p w14:paraId="1405994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14:paraId="4CA4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01" w:type="dxa"/>
            <w:vMerge w:val="continue"/>
            <w:vAlign w:val="center"/>
          </w:tcPr>
          <w:p w14:paraId="634D2BB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2544" w:type="dxa"/>
            <w:vAlign w:val="center"/>
          </w:tcPr>
          <w:p w14:paraId="37CC42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万元工业增加值用水量（立方米）</w:t>
            </w:r>
          </w:p>
        </w:tc>
        <w:tc>
          <w:tcPr>
            <w:tcW w:w="1671" w:type="dxa"/>
            <w:vAlign w:val="center"/>
          </w:tcPr>
          <w:p w14:paraId="069F6B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1671" w:type="dxa"/>
            <w:vAlign w:val="center"/>
          </w:tcPr>
          <w:p w14:paraId="1171EC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1670" w:type="dxa"/>
            <w:vAlign w:val="center"/>
          </w:tcPr>
          <w:p w14:paraId="11CE00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14:paraId="52B7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1" w:type="dxa"/>
            <w:vMerge w:val="continue"/>
            <w:vAlign w:val="center"/>
          </w:tcPr>
          <w:p w14:paraId="3195FA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2544" w:type="dxa"/>
            <w:vAlign w:val="center"/>
          </w:tcPr>
          <w:p w14:paraId="62D3A3D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农田灌溉水有效利用系数</w:t>
            </w:r>
          </w:p>
        </w:tc>
        <w:tc>
          <w:tcPr>
            <w:tcW w:w="1671" w:type="dxa"/>
            <w:vAlign w:val="center"/>
          </w:tcPr>
          <w:p w14:paraId="70029BD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0.56</w:t>
            </w:r>
          </w:p>
        </w:tc>
        <w:tc>
          <w:tcPr>
            <w:tcW w:w="1671" w:type="dxa"/>
            <w:vAlign w:val="center"/>
          </w:tcPr>
          <w:p w14:paraId="74776E2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0.578</w:t>
            </w:r>
          </w:p>
        </w:tc>
        <w:tc>
          <w:tcPr>
            <w:tcW w:w="1670" w:type="dxa"/>
            <w:vAlign w:val="center"/>
          </w:tcPr>
          <w:p w14:paraId="359B245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14:paraId="7923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1" w:type="dxa"/>
            <w:vMerge w:val="restart"/>
            <w:vAlign w:val="center"/>
          </w:tcPr>
          <w:p w14:paraId="0DE7AAF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供水</w:t>
            </w:r>
          </w:p>
        </w:tc>
        <w:tc>
          <w:tcPr>
            <w:tcW w:w="2544" w:type="dxa"/>
            <w:vAlign w:val="center"/>
          </w:tcPr>
          <w:p w14:paraId="262DA83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新增供水能力（亿立方米）</w:t>
            </w:r>
          </w:p>
        </w:tc>
        <w:tc>
          <w:tcPr>
            <w:tcW w:w="1671" w:type="dxa"/>
            <w:vAlign w:val="center"/>
          </w:tcPr>
          <w:p w14:paraId="1919BFC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w:t>
            </w:r>
          </w:p>
        </w:tc>
        <w:tc>
          <w:tcPr>
            <w:tcW w:w="1671" w:type="dxa"/>
            <w:vAlign w:val="center"/>
          </w:tcPr>
          <w:p w14:paraId="56B72F6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0.107</w:t>
            </w:r>
          </w:p>
        </w:tc>
        <w:tc>
          <w:tcPr>
            <w:tcW w:w="1670" w:type="dxa"/>
            <w:vAlign w:val="center"/>
          </w:tcPr>
          <w:p w14:paraId="01F759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14:paraId="1611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1" w:type="dxa"/>
            <w:vMerge w:val="continue"/>
            <w:vAlign w:val="center"/>
          </w:tcPr>
          <w:p w14:paraId="706F9FF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2544" w:type="dxa"/>
            <w:vAlign w:val="center"/>
          </w:tcPr>
          <w:p w14:paraId="3816374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农村自来水普及率（%）</w:t>
            </w:r>
          </w:p>
        </w:tc>
        <w:tc>
          <w:tcPr>
            <w:tcW w:w="1671" w:type="dxa"/>
            <w:vAlign w:val="center"/>
          </w:tcPr>
          <w:p w14:paraId="33ABB0A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671" w:type="dxa"/>
            <w:vAlign w:val="center"/>
          </w:tcPr>
          <w:p w14:paraId="599914E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1670" w:type="dxa"/>
            <w:vAlign w:val="center"/>
          </w:tcPr>
          <w:p w14:paraId="010F18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14:paraId="2527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1" w:type="dxa"/>
            <w:vMerge w:val="continue"/>
            <w:vAlign w:val="center"/>
          </w:tcPr>
          <w:p w14:paraId="309FB5E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2544" w:type="dxa"/>
            <w:vAlign w:val="center"/>
          </w:tcPr>
          <w:p w14:paraId="002F4D7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农村集中供水率（%）</w:t>
            </w:r>
          </w:p>
        </w:tc>
        <w:tc>
          <w:tcPr>
            <w:tcW w:w="1671" w:type="dxa"/>
            <w:vAlign w:val="center"/>
          </w:tcPr>
          <w:p w14:paraId="4B1103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1671" w:type="dxa"/>
            <w:vAlign w:val="center"/>
          </w:tcPr>
          <w:p w14:paraId="098B396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670" w:type="dxa"/>
            <w:vAlign w:val="center"/>
          </w:tcPr>
          <w:p w14:paraId="0B12043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14:paraId="524E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1" w:type="dxa"/>
            <w:vMerge w:val="restart"/>
            <w:vAlign w:val="center"/>
          </w:tcPr>
          <w:p w14:paraId="53BFD9D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农村水利</w:t>
            </w:r>
          </w:p>
        </w:tc>
        <w:tc>
          <w:tcPr>
            <w:tcW w:w="2544" w:type="dxa"/>
            <w:vAlign w:val="center"/>
          </w:tcPr>
          <w:p w14:paraId="7F6314E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新增、恢复农田有效灌溉面积（万亩）</w:t>
            </w:r>
          </w:p>
        </w:tc>
        <w:tc>
          <w:tcPr>
            <w:tcW w:w="1671" w:type="dxa"/>
            <w:vAlign w:val="center"/>
          </w:tcPr>
          <w:p w14:paraId="7E8423A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c>
          <w:tcPr>
            <w:tcW w:w="1671" w:type="dxa"/>
            <w:vAlign w:val="center"/>
          </w:tcPr>
          <w:p w14:paraId="0129E16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0.95</w:t>
            </w:r>
          </w:p>
        </w:tc>
        <w:tc>
          <w:tcPr>
            <w:tcW w:w="1670" w:type="dxa"/>
            <w:vAlign w:val="center"/>
          </w:tcPr>
          <w:p w14:paraId="6E5976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14:paraId="3E6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1" w:type="dxa"/>
            <w:vMerge w:val="continue"/>
            <w:vAlign w:val="center"/>
          </w:tcPr>
          <w:p w14:paraId="54C806D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2544" w:type="dxa"/>
            <w:vAlign w:val="center"/>
          </w:tcPr>
          <w:p w14:paraId="0583AB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发展节水灌溉面积（万亩）</w:t>
            </w:r>
          </w:p>
        </w:tc>
        <w:tc>
          <w:tcPr>
            <w:tcW w:w="1671" w:type="dxa"/>
            <w:vAlign w:val="center"/>
          </w:tcPr>
          <w:p w14:paraId="10492D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0.55</w:t>
            </w:r>
          </w:p>
        </w:tc>
        <w:tc>
          <w:tcPr>
            <w:tcW w:w="1671" w:type="dxa"/>
            <w:vAlign w:val="center"/>
          </w:tcPr>
          <w:p w14:paraId="438CCC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2.53</w:t>
            </w:r>
          </w:p>
        </w:tc>
        <w:tc>
          <w:tcPr>
            <w:tcW w:w="1670" w:type="dxa"/>
            <w:vAlign w:val="center"/>
          </w:tcPr>
          <w:p w14:paraId="299E35F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14:paraId="35FC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1" w:type="dxa"/>
            <w:vMerge w:val="restart"/>
            <w:vAlign w:val="center"/>
          </w:tcPr>
          <w:p w14:paraId="2AAF22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水资源生态保护</w:t>
            </w:r>
          </w:p>
        </w:tc>
        <w:tc>
          <w:tcPr>
            <w:tcW w:w="2544" w:type="dxa"/>
            <w:vAlign w:val="center"/>
          </w:tcPr>
          <w:p w14:paraId="060132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新增水土流失综合治理面积（万亩）</w:t>
            </w:r>
          </w:p>
        </w:tc>
        <w:tc>
          <w:tcPr>
            <w:tcW w:w="1671" w:type="dxa"/>
            <w:vAlign w:val="center"/>
          </w:tcPr>
          <w:p w14:paraId="754E45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c>
          <w:tcPr>
            <w:tcW w:w="1671" w:type="dxa"/>
            <w:vAlign w:val="center"/>
          </w:tcPr>
          <w:p w14:paraId="070E7A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c>
          <w:tcPr>
            <w:tcW w:w="1670" w:type="dxa"/>
            <w:vAlign w:val="center"/>
          </w:tcPr>
          <w:p w14:paraId="20AEC1A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14:paraId="6DFE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01" w:type="dxa"/>
            <w:vMerge w:val="continue"/>
            <w:vAlign w:val="center"/>
          </w:tcPr>
          <w:p w14:paraId="2CCD3B5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p>
        </w:tc>
        <w:tc>
          <w:tcPr>
            <w:tcW w:w="2544" w:type="dxa"/>
            <w:vAlign w:val="center"/>
          </w:tcPr>
          <w:p w14:paraId="7CB7AED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重要江河湖泊水功能区水质达标率（%）</w:t>
            </w:r>
          </w:p>
        </w:tc>
        <w:tc>
          <w:tcPr>
            <w:tcW w:w="1671" w:type="dxa"/>
            <w:vAlign w:val="center"/>
          </w:tcPr>
          <w:p w14:paraId="600B5F0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c>
          <w:tcPr>
            <w:tcW w:w="1671" w:type="dxa"/>
            <w:vAlign w:val="center"/>
          </w:tcPr>
          <w:p w14:paraId="37872BC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1670" w:type="dxa"/>
            <w:vAlign w:val="center"/>
          </w:tcPr>
          <w:p w14:paraId="59EA07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bl>
    <w:p w14:paraId="1FEBE803">
      <w:pPr>
        <w:keepNext w:val="0"/>
        <w:keepLines w:val="0"/>
        <w:pageBreakBefore w:val="0"/>
        <w:kinsoku/>
        <w:wordWrap/>
        <w:overflowPunct/>
        <w:bidi w:val="0"/>
        <w:spacing w:line="560" w:lineRule="exact"/>
        <w:ind w:firstLine="600"/>
        <w:textAlignment w:val="auto"/>
      </w:pPr>
    </w:p>
    <w:p w14:paraId="748764F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center"/>
        <w:textAlignment w:val="auto"/>
      </w:pPr>
      <w:r>
        <w:br w:type="page"/>
      </w:r>
      <w:bookmarkStart w:id="83" w:name="_Toc59110035"/>
      <w:bookmarkStart w:id="84" w:name="_Toc69484837"/>
      <w:bookmarkStart w:id="85" w:name="_Toc1854_WPSOffice_Level1"/>
      <w:r>
        <w:rPr>
          <w:rFonts w:hint="eastAsia" w:ascii="方正小标宋简体" w:hAnsi="方正小标宋简体" w:eastAsia="方正小标宋简体" w:cs="方正小标宋简体"/>
          <w:sz w:val="44"/>
          <w:szCs w:val="44"/>
          <w:lang w:eastAsia="zh-CN"/>
        </w:rPr>
        <w:t>第四章</w:t>
      </w:r>
      <w:r>
        <w:rPr>
          <w:rFonts w:hint="eastAsia"/>
          <w:lang w:val="en-US" w:eastAsia="zh-CN"/>
        </w:rPr>
        <w:t xml:space="preserve"> </w:t>
      </w:r>
      <w:r>
        <w:rPr>
          <w:rFonts w:hint="eastAsia" w:ascii="方正小标宋简体" w:hAnsi="方正小标宋简体" w:eastAsia="方正小标宋简体" w:cs="方正小标宋简体"/>
          <w:sz w:val="44"/>
          <w:szCs w:val="44"/>
          <w:lang w:eastAsia="zh-CN"/>
        </w:rPr>
        <w:t>主要任务</w:t>
      </w:r>
      <w:bookmarkEnd w:id="83"/>
      <w:bookmarkEnd w:id="84"/>
      <w:bookmarkEnd w:id="85"/>
    </w:p>
    <w:p w14:paraId="07F8FAC8">
      <w:pPr>
        <w:pStyle w:val="2"/>
        <w:keepNext w:val="0"/>
        <w:keepLines w:val="0"/>
        <w:pageBreakBefore w:val="0"/>
        <w:kinsoku/>
        <w:wordWrap/>
        <w:overflowPunct/>
        <w:bidi w:val="0"/>
        <w:spacing w:line="560" w:lineRule="exact"/>
        <w:textAlignment w:val="auto"/>
      </w:pPr>
    </w:p>
    <w:p w14:paraId="5B163880">
      <w:pPr>
        <w:pStyle w:val="4"/>
        <w:keepNext w:val="0"/>
        <w:keepLines w:val="0"/>
        <w:pageBreakBefore w:val="0"/>
        <w:kinsoku/>
        <w:wordWrap/>
        <w:overflowPunct/>
        <w:topLinePunct w:val="0"/>
        <w:autoSpaceDE/>
        <w:autoSpaceDN/>
        <w:bidi w:val="0"/>
        <w:spacing w:line="560" w:lineRule="exact"/>
        <w:ind w:firstLine="602"/>
        <w:jc w:val="both"/>
        <w:textAlignment w:val="auto"/>
        <w:rPr>
          <w:sz w:val="32"/>
          <w:szCs w:val="32"/>
        </w:rPr>
      </w:pPr>
      <w:bookmarkStart w:id="86" w:name="_Toc69484838"/>
      <w:bookmarkStart w:id="87" w:name="_Toc20657_WPSOffice_Level2"/>
      <w:bookmarkStart w:id="88" w:name="_Toc59110036"/>
      <w:r>
        <w:rPr>
          <w:rFonts w:hint="eastAsia"/>
          <w:sz w:val="32"/>
          <w:szCs w:val="32"/>
        </w:rPr>
        <w:t>（一）补齐短板，构建安全可靠的基础设施体系</w:t>
      </w:r>
      <w:bookmarkEnd w:id="86"/>
      <w:bookmarkEnd w:id="87"/>
      <w:bookmarkEnd w:id="88"/>
    </w:p>
    <w:p w14:paraId="750EB56F">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确有需要、生态安全、可以持续”的原则，坚持问题导向、目标牵引，以巩固提升存量、新建必要增量为抓手，着力补齐防洪、供水、水生态、信息化等突出短板，加快打造安澜水网、高效水网、生态水网、智慧水网“四张水网”，全力完善水利基础设施网络，着力提升明溪县水安全保障能力。</w:t>
      </w:r>
    </w:p>
    <w:p w14:paraId="7B83E1D0">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完善蓄泄兼顾、安全可靠的防洪涝安全保障体系</w:t>
      </w:r>
    </w:p>
    <w:p w14:paraId="44F83428">
      <w:pPr>
        <w:keepNext w:val="0"/>
        <w:keepLines w:val="0"/>
        <w:pageBreakBefore w:val="0"/>
        <w:kinsoku/>
        <w:wordWrap/>
        <w:overflowPunct/>
        <w:topLinePunct w:val="0"/>
        <w:autoSpaceDE/>
        <w:autoSpaceDN/>
        <w:bidi w:val="0"/>
        <w:spacing w:line="560" w:lineRule="exact"/>
        <w:ind w:firstLine="600"/>
        <w:jc w:val="both"/>
        <w:textAlignment w:val="auto"/>
        <w:rPr>
          <w:sz w:val="32"/>
          <w:szCs w:val="32"/>
        </w:rPr>
      </w:pPr>
      <w:r>
        <w:rPr>
          <w:rFonts w:hint="eastAsia" w:ascii="仿宋_GB2312" w:hAnsi="仿宋_GB2312" w:eastAsia="仿宋_GB2312" w:cs="仿宋_GB2312"/>
          <w:sz w:val="32"/>
          <w:szCs w:val="32"/>
        </w:rPr>
        <w:t>按照“消隐患、强弱项”的思路，贯彻“两个坚持、三个转变”的防灾减灾新理念，以加强防洪薄弱环节建设为重点，强化风险防控，继续实施闽江上游沙溪流域防洪提升工程，加大中小河流治理力度，继续推进山洪灾害防治和病险水库水闸除险加固，提升城镇防洪排涝能力，着力完善防洪工程体系，提升全县洪水灾害防御能力，全力打造安澜明溪，保障人民群众生命财产安全。</w:t>
      </w:r>
    </w:p>
    <w:p w14:paraId="63E00A96">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（1）重点推进闽江上游沙溪、金溪流域防洪提升工程</w:t>
      </w:r>
    </w:p>
    <w:p w14:paraId="012D0D0A">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现有基础上继续推进闽江上游沙溪流域防洪四期工程（明溪段）工程建设，全面完成项目建设范围涉及的王桥、王陂、瑶奢、梓口坊4个堤段工程建设，使之形成防洪闭合体系。积极推进闽江上游沙溪流域防洪五期工程（明溪段）、闽江上游金溪防洪工程（明溪段）前期工作。至2025年，建设达标堤防27.768km，建设排涝涵洞21座。</w:t>
      </w:r>
    </w:p>
    <w:p w14:paraId="7D3A64E3">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（2）加大中小河流治理力度</w:t>
      </w:r>
    </w:p>
    <w:p w14:paraId="04E20E9E">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洪涝灾害发生频繁且灾害损失严重，沿岸需要保护城镇、农村、人口、耕地较多的河流（河段）为重点，以新建或加高改造堤防、河道清障疏浚等为主要措施，坚持防洪与生态建设相结合、除害与兴利相结合的治理原则，继续实施一批防洪问题突出的中小河流治理工程，显著提高县市城区、乡镇和农村地区的防洪能力。坚持因地制宜、分类施策，对受洪水威胁严重的城镇、村庄和农田周边无堤段河道以修建堤防工程为主；对防洪标准低、防渗差、隐患多的河段以加固堤防工程为主，对淤积严重的河段以河道疏浚为主。到2025年，实施渔塘溪等9个中小河流治理项目。</w:t>
      </w:r>
    </w:p>
    <w:p w14:paraId="2AFB604C">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（3）继续推进山洪灾害防治</w:t>
      </w:r>
    </w:p>
    <w:p w14:paraId="251B290F">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防治结合、以防为主”的方针，以重点防治区和近期发生山洪灾害的地区为重点，继续加大山洪灾害非工程措施建设力度，加快实施重点山洪沟治理，完善“以非工程措施为主、非工程措施与工程措施相结合”的山洪灾害防治体系。</w:t>
      </w:r>
    </w:p>
    <w:p w14:paraId="399552E9">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非工程措施建设力度。一是开展山洪灾害补充调查评价，开展重要城集镇调查评价，建立危险区动态管理清单，及时调整预警指标值。二是巩固提升山洪灾害监测预警能力，适当优化调整合并自动雨水情监测站，推动自动监测站点由水文部门或专业公司管理，探索采用物联网等新技术升级改造部分已建监测站点、视频图像站点，积极推广小型化、低功耗、免维护的雨水情监测站点；强化预警信息社会化发布支撑，依托移动通信网络、应急广播系统或“村村响”、电视、地图当行APP等发布预警信息。三是继续开展群测群防体系建设，完善责任体系，及时修订补充山洪灾害防御预案，持续开展宣传、培训、演练，配置简易预警设施设备。</w:t>
      </w:r>
    </w:p>
    <w:p w14:paraId="4B1AE539">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推动重点山洪沟防治治理。按照守点固线、防冲不防淹、主流不进村的原则，以不低于10年一遇防洪标准开展重点山洪沟防洪治理，结合消能措施，提高洪灾损失大、危害严重的重点沿河村镇（或重要经济区）局部防洪工程治理标准，提高防洪安全保障能力。</w:t>
      </w:r>
    </w:p>
    <w:p w14:paraId="38679473">
      <w:pPr>
        <w:keepNext w:val="0"/>
        <w:keepLines w:val="0"/>
        <w:pageBreakBefore w:val="0"/>
        <w:kinsoku/>
        <w:wordWrap/>
        <w:overflowPunct/>
        <w:topLinePunct w:val="0"/>
        <w:autoSpaceDE/>
        <w:autoSpaceDN/>
        <w:bidi w:val="0"/>
        <w:spacing w:line="560" w:lineRule="exact"/>
        <w:ind w:firstLine="602"/>
        <w:textAlignment w:val="auto"/>
        <w:rPr>
          <w:rFonts w:hint="eastAsia" w:ascii="楷体_GB2312" w:hAnsi="楷体_GB2312" w:eastAsia="楷体_GB2312" w:cs="楷体_GB2312"/>
          <w:b/>
          <w:bCs/>
          <w:sz w:val="32"/>
          <w:szCs w:val="32"/>
        </w:rPr>
      </w:pPr>
      <w:r>
        <w:rPr>
          <w:rFonts w:hint="eastAsia"/>
          <w:b/>
          <w:bCs/>
          <w:sz w:val="32"/>
          <w:szCs w:val="32"/>
        </w:rPr>
        <w:t>（</w:t>
      </w:r>
      <w:r>
        <w:rPr>
          <w:rFonts w:hint="eastAsia" w:ascii="楷体_GB2312" w:hAnsi="楷体_GB2312" w:eastAsia="楷体_GB2312" w:cs="楷体_GB2312"/>
          <w:b/>
          <w:bCs/>
          <w:sz w:val="32"/>
          <w:szCs w:val="32"/>
        </w:rPr>
        <w:t>4）大力推进病险水库除险加固及日常维修养护</w:t>
      </w:r>
    </w:p>
    <w:p w14:paraId="736447FB">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梳理全县现有水库、水闸基本情况，对存在问题但尚未开展安全鉴定的水库水闸尽快进行安全鉴定工作。已进行过安全鉴定的水库水闸中，安全隐患问题相对较小的，根据安全隐患问题相应进行除险加固，及早消除安全风险；对于安全隐患问题相对较大的水库水闸，提出降等报废计划措施。</w:t>
      </w:r>
    </w:p>
    <w:p w14:paraId="7F17A5B0">
      <w:pPr>
        <w:keepNext w:val="0"/>
        <w:keepLines w:val="0"/>
        <w:pageBreakBefore w:val="0"/>
        <w:kinsoku/>
        <w:wordWrap/>
        <w:overflowPunct/>
        <w:topLinePunct w:val="0"/>
        <w:autoSpaceDE/>
        <w:autoSpaceDN/>
        <w:bidi w:val="0"/>
        <w:spacing w:line="560" w:lineRule="exact"/>
        <w:ind w:firstLine="600"/>
        <w:textAlignment w:val="auto"/>
        <w:rPr>
          <w:sz w:val="32"/>
          <w:szCs w:val="32"/>
        </w:rPr>
      </w:pPr>
      <w:r>
        <w:rPr>
          <w:rFonts w:hint="eastAsia" w:ascii="仿宋_GB2312" w:hAnsi="仿宋_GB2312" w:eastAsia="仿宋_GB2312" w:cs="仿宋_GB2312"/>
          <w:sz w:val="32"/>
          <w:szCs w:val="32"/>
        </w:rPr>
        <w:t>至2025年，完成日月溪水库等5座小型水库常态化除险加固工作，持续开展17座中小型水库日常维修养护工作，建立健全长效机制，确保工程安全运行。</w:t>
      </w:r>
    </w:p>
    <w:p w14:paraId="0E5A17E7">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（5）因地制宜开展城镇高水高排项目</w:t>
      </w:r>
    </w:p>
    <w:p w14:paraId="2E205BB2">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我县城区及各乡镇防洪治涝体系，增强抵御内涝灾害能力，保障人民群众生命财产安全。在全面摸清全县地形地貌条件、洪涝灾害等情况，认真分析城镇内涝成因，科学安排工程布局，做到“因势利导、因地制宜、一地一策、合理高效”，最大限度发挥防山洪效益。</w:t>
      </w:r>
    </w:p>
    <w:p w14:paraId="0244C158">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至2025年，完成明溪县城区、盖洋镇及夏阳乡3个高水高排项目，有效减轻城镇内涝压力。</w:t>
      </w:r>
    </w:p>
    <w:p w14:paraId="347AC725">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完善资源节约、空间均衡的水资源安全保障体系</w:t>
      </w:r>
    </w:p>
    <w:p w14:paraId="32C94F2F">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节水优先，强化水资源刚性约束作用，强化各行业节水，全面提高水资源配置效率。按照“严节水、挖潜力、强骨干、构网络”的思路，加快构建“丰枯调剂、多源互补”的水资源基础设施网络，全面提升城乡供水安全保障能力。</w:t>
      </w:r>
    </w:p>
    <w:p w14:paraId="3F579006">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（1）加快推进一批重点水源工程建设</w:t>
      </w:r>
    </w:p>
    <w:p w14:paraId="3A3B23F9">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现有供水工程情况及存在问题，结合明溪县社会经济发展和各行业需水预测，加快推进石溪水库、杉坑水库、里地水库、无力坑水库、俞云际水库等5座重点水源工程前期工作，新建水库总库容462万m3，保障明溪县域内人饮水和农田灌溉用水安全。</w:t>
      </w:r>
    </w:p>
    <w:p w14:paraId="016E699D">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（2）加快完善城乡一体化供水网络</w:t>
      </w:r>
    </w:p>
    <w:p w14:paraId="0FC56B0E">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全县现状普遍存在供水分散和农村供水管网建设标准低、老旧破损严重的问题，以新建供水工程、管网更新改造和水质检测与监管能力建设为重点开展农村人饮安全供水工程提档升级。在城镇周边地区积极推进城乡供水一体化工程建设，其他地区按照“建大、并中、减小”的原则，推动农村供水规模化和农村供水工程规范化改造。至2025年，全县农村集中供水率提供</w:t>
      </w:r>
      <w:r>
        <w:rPr>
          <w:rFonts w:hint="eastAsia" w:ascii="仿宋_GB2312" w:hAnsi="仿宋_GB2312" w:cs="仿宋_GB2312"/>
          <w:sz w:val="32"/>
          <w:szCs w:val="32"/>
          <w:lang w:val="en-US" w:eastAsia="zh-CN"/>
        </w:rPr>
        <w:t>高</w:t>
      </w:r>
      <w:r>
        <w:rPr>
          <w:rFonts w:hint="eastAsia" w:ascii="仿宋_GB2312" w:hAnsi="仿宋_GB2312" w:eastAsia="仿宋_GB2312" w:cs="仿宋_GB2312"/>
          <w:sz w:val="32"/>
          <w:szCs w:val="32"/>
        </w:rPr>
        <w:t>95%，集中供水工程全部划定水源地保护区或保护范围，设立水源保护标志并采取必要的保护措施。</w:t>
      </w:r>
    </w:p>
    <w:p w14:paraId="01930C4B">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（3）积极推进城乡应急备用水源建设</w:t>
      </w:r>
    </w:p>
    <w:p w14:paraId="60440794">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按照2025年前县市城区均实现双水源的城市供水保障体系要求，完成明溪县城区备用水源工程建设，形成罗翠水库、黄沙坑水库双水源且互为备用的城市供水保障格局。</w:t>
      </w:r>
    </w:p>
    <w:p w14:paraId="34EDA503">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（4）突出抓好农业节水增效</w:t>
      </w:r>
    </w:p>
    <w:p w14:paraId="7F1B39B8">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以水定产”的原则，大力推行节水灌溉，严格控制农业用水总量，新增灌溉面积用水通过农业自身节约的水量解决。按照“设施完善、管理科学、用水高效、生态良好”的要求，以工程设施达标改造和提档升级、深化灌区改革、提高信息化水平为重点，对三明大型灌区和1个中型灌区进行节水改造与续建配套。农田灌溉水利用系数提高到0.578。</w:t>
      </w:r>
    </w:p>
    <w:p w14:paraId="7D3B6EC6">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（5）开展节水型社会及水源地保障达标建设</w:t>
      </w:r>
    </w:p>
    <w:p w14:paraId="5F712B52">
      <w:pPr>
        <w:keepNext w:val="0"/>
        <w:keepLines w:val="0"/>
        <w:pageBreakBefore w:val="0"/>
        <w:kinsoku/>
        <w:wordWrap/>
        <w:overflowPunct/>
        <w:topLinePunct w:val="0"/>
        <w:autoSpaceDE/>
        <w:autoSpaceDN/>
        <w:bidi w:val="0"/>
        <w:spacing w:line="560" w:lineRule="exact"/>
        <w:ind w:firstLine="600"/>
        <w:textAlignment w:val="auto"/>
        <w:rPr>
          <w:sz w:val="32"/>
          <w:szCs w:val="32"/>
        </w:rPr>
      </w:pPr>
      <w:r>
        <w:rPr>
          <w:rFonts w:hint="eastAsia"/>
          <w:sz w:val="32"/>
          <w:szCs w:val="32"/>
        </w:rPr>
        <w:t>积极开展明溪县节水型社会达标建设，创建一批节水机关、学校、企业、社区等节水示范基地。加强水库水源地保护建设，完成黄沙坑水库、罗翠水库等一批重点水源地安全保障达标建设。</w:t>
      </w:r>
    </w:p>
    <w:p w14:paraId="404A7571">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完善人水和谐、健康稳定的水生态安全保障体系</w:t>
      </w:r>
    </w:p>
    <w:p w14:paraId="097B66E7">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山水林田湖草生命共同体”的理念，坚持“生态保护优先、自然修复为主”的原则，以流域为单元，以打造量足质好、河畅水活、岸绿景美的绿色生态水网为抓手，不断提升水生态修复治理能力，打造人民满意的幸福河湖。</w:t>
      </w:r>
    </w:p>
    <w:p w14:paraId="7AAF9DC4">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（1）不断加大水土流失综合治理力度</w:t>
      </w:r>
    </w:p>
    <w:p w14:paraId="43AC4DDD">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明溪县水土流失特点，在相关水土保持区划的基础上，将黄沙坑水库、罗翠水库、日月溪水库等重要水源地以及渔塘溪上、盖洋溪等重要河源区列入水土保持综合治理项目范围。坚持“预防为主、保护优先、全面规划、综合治理、因地制宜、突出重点”的水土保持工作方针，稳步推进水源涵养林、河源生态林保护工程建设，加强自然保护区保护及生态环境综合治理，推进水土保持生态修复建设，恢复和改善区域生态环境。至2025年，实施8个乡镇20条小流域水土流失综合治理项目，新增水土流失综合治理面积99.15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14:paraId="7DFC9855">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（2）持续推进安全生态水系建设</w:t>
      </w:r>
    </w:p>
    <w:p w14:paraId="1637E642">
      <w:pPr>
        <w:keepNext w:val="0"/>
        <w:keepLines w:val="0"/>
        <w:pageBreakBefore w:val="0"/>
        <w:kinsoku/>
        <w:wordWrap/>
        <w:overflowPunct/>
        <w:topLinePunct w:val="0"/>
        <w:autoSpaceDE/>
        <w:autoSpaceDN/>
        <w:bidi w:val="0"/>
        <w:spacing w:line="560" w:lineRule="exact"/>
        <w:ind w:firstLine="600"/>
        <w:textAlignment w:val="auto"/>
      </w:pPr>
      <w:r>
        <w:rPr>
          <w:rFonts w:hint="eastAsia" w:ascii="仿宋_GB2312" w:hAnsi="仿宋_GB2312" w:eastAsia="仿宋_GB2312" w:cs="仿宋_GB2312"/>
          <w:sz w:val="32"/>
          <w:szCs w:val="32"/>
        </w:rPr>
        <w:t>持续推进万里安全生态水系建设，使我县城镇乡村所在地、重要饮用水源保护区、主要生态敏感区等所在水系生态系统得到恢复；基本实现“河畅、水清、岸绿、景美、安全、生态”总体目标，以及实现治理河流水系“八个有”建设目标。“十四五”期间实施约8条河的安全生态水系建设，综合治理河道长度约6</w:t>
      </w:r>
      <w:r>
        <w:rPr>
          <w:rFonts w:hint="eastAsia" w:ascii="仿宋_GB2312" w:hAnsi="仿宋_GB2312" w:cs="仿宋_GB2312"/>
          <w:sz w:val="32"/>
          <w:szCs w:val="32"/>
          <w:lang w:val="en-US" w:eastAsia="zh-CN"/>
        </w:rPr>
        <w:t>8.8k</w:t>
      </w:r>
      <w:r>
        <w:rPr>
          <w:rFonts w:hint="eastAsia" w:ascii="仿宋_GB2312" w:hAnsi="仿宋_GB2312" w:eastAsia="仿宋_GB2312" w:cs="仿宋_GB2312"/>
          <w:sz w:val="32"/>
          <w:szCs w:val="32"/>
        </w:rPr>
        <w:t>m。</w:t>
      </w:r>
    </w:p>
    <w:p w14:paraId="5F54D182">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完善资源共享、系统完整的水利信息化保障体系</w:t>
      </w:r>
    </w:p>
    <w:p w14:paraId="1D054530">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接三明市水利智能化管理目标，以大数据、互联网、云计算、人工智能等新技术为驱动，以感知网、信息网、大数据中心、业务应用提升系统建设为抓手，按照“强感知、增智慧”的思路，加快智慧水利建设，补齐水利信息化短板，增强水利信息感知、分析、处理和智慧应用能力，支撑行业强监管，以水利信息化带动水利现代化。</w:t>
      </w:r>
    </w:p>
    <w:p w14:paraId="156EF722">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（1）初步构建天地空一体化水利感知网</w:t>
      </w:r>
    </w:p>
    <w:p w14:paraId="2D22C1C0">
      <w:pPr>
        <w:keepNext w:val="0"/>
        <w:keepLines w:val="0"/>
        <w:pageBreakBefore w:val="0"/>
        <w:kinsoku/>
        <w:wordWrap/>
        <w:overflowPunct/>
        <w:topLinePunct w:val="0"/>
        <w:autoSpaceDE/>
        <w:autoSpaceDN/>
        <w:bidi w:val="0"/>
        <w:spacing w:line="560" w:lineRule="exact"/>
        <w:ind w:firstLine="600"/>
        <w:textAlignment w:val="auto"/>
        <w:rPr>
          <w:sz w:val="32"/>
          <w:szCs w:val="32"/>
        </w:rPr>
      </w:pPr>
      <w:r>
        <w:rPr>
          <w:rFonts w:hint="eastAsia"/>
          <w:sz w:val="32"/>
          <w:szCs w:val="32"/>
        </w:rPr>
        <w:t>衔接三明市水利感知网总体建设要求，扩大江河湖泊、水利工程、水利管理活动等实时在线监测范围，加大各类站点监测密度，加强卫星、雷达、无人机、遥感等监测手段的应用，升级改造现有监测感知设备，重点补充完善水文、水生态、水土流失、工程安全、防洪、水利管理活动等领域采集内容，扩建监测站点，初步构建覆盖河湖水系、水利工程、水利管理活动的天空地一体化监测感知网，提升水利感知智能水平，主动融入三明市智能化管理平台。</w:t>
      </w:r>
    </w:p>
    <w:p w14:paraId="64A20EF6">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 1 \* GB3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①</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t>完善信息采集系统</w:t>
      </w:r>
    </w:p>
    <w:p w14:paraId="4BDEF106">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水文及工情监测系统。在山洪、水文、小水库、气象监测数据共享和隐患调查基础上，适当优化调整合并自动雨水情监测站点，推动自动监测站点由水文部门或专业公司管理。加强卫星与测雨雷达、短临天气预报技术运用。</w:t>
      </w:r>
    </w:p>
    <w:p w14:paraId="72544D42">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用水大户用水量监测系统。加强用水大户取用水量监测，到2025年实现全县全部产值2000万元工业企业取水在线监测全覆盖，全部城镇和园区水厂在线监测全覆盖和全部大中型灌区骨干工程末端分水口取水在线监测全覆盖。</w:t>
      </w:r>
    </w:p>
    <w:p w14:paraId="13102122">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完善生态需水控制断面监测系统。加强生态需水控制断面水量自动化监测，在重点生态需水控制断面布设生态流量自动监测设施。</w:t>
      </w:r>
    </w:p>
    <w:p w14:paraId="751255D1">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完善水土保持监测系统。增设水土保持自动监测站点，并将水土保持生态建设工程、生产建设项目水土保持监测布设的专用监测点和临时监测点纳入水土保持监测站点网络体系。</w:t>
      </w:r>
    </w:p>
    <w:p w14:paraId="5BB93A3D">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 2 \* GB3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②</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t>完善视频监控系统</w:t>
      </w:r>
    </w:p>
    <w:p w14:paraId="4C31B8B2">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水库及小水电站生态流量、重点水利工程（含大中型水库、有防洪任务的小型水库、河道堤防、水闸工程、水厂及规模以上农村集中供水工程）、山洪灾害易发区、饮用水水源地保护区及取水口等的视频监控系统，加强重点对象的可视化管理，提升重点水利工程安全运行的监视监测水平。构建视频级联集控平台，逐步实现全市水利视频联网和重点目标的视频在线调取查看，加强智能发现预警；加强高清视频应用，通过图像智能分析，实现动态监视与自动预警。到2025年，共完成对全部水库、小（1）型以上水闸和泵站、全部城镇水厂和农村规模化供水工程的视频监控。</w:t>
      </w:r>
    </w:p>
    <w:p w14:paraId="60FDE15A">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（2）积极推动县级水利云智慧平台及应用系统建设</w:t>
      </w:r>
    </w:p>
    <w:p w14:paraId="7C0D77AC">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密对接三明市水利大数据中心和综合平台建设要求，积极推进明溪县水利云平台及智能应用系统建设。建立统一数据标准，汇集多源数据，构建数据资源池，提升水利大数据分析处理能力和共享服务水平。充分应用深度挖掘、机器学习、知识图谱等技术，建设智慧智能平台和应用支撑平台，实现多元化、精细化和个性化管理。</w:t>
      </w:r>
    </w:p>
    <w:p w14:paraId="313080AA">
      <w:pPr>
        <w:keepNext w:val="0"/>
        <w:keepLines w:val="0"/>
        <w:pageBreakBefore w:val="0"/>
        <w:kinsoku/>
        <w:wordWrap/>
        <w:overflowPunct/>
        <w:topLinePunct w:val="0"/>
        <w:autoSpaceDE/>
        <w:autoSpaceDN/>
        <w:bidi w:val="0"/>
        <w:spacing w:line="560" w:lineRule="exact"/>
        <w:ind w:firstLine="600"/>
        <w:textAlignment w:val="auto"/>
        <w:rPr>
          <w:szCs w:val="30"/>
        </w:rPr>
      </w:pPr>
      <w:r>
        <w:rPr>
          <w:rFonts w:hint="eastAsia" w:ascii="仿宋_GB2312" w:hAnsi="仿宋_GB2312" w:eastAsia="仿宋_GB2312" w:cs="仿宋_GB2312"/>
          <w:sz w:val="32"/>
          <w:szCs w:val="32"/>
        </w:rPr>
        <w:t>构建涵盖水资源、水生态、水环境、水灾害、水工程、水监督、水行政水公共服务等核心业务的水利智能应用系统，推进水利工程管理新技术应用，优化水利工程常规、应急调度，完善工程智能控制系统，全面提升水利业务的精细管理、预测预报、分析评价与决策支持能力。至2025年，力争建成与三明市级云平台及应用系统互联互通、高度协同的县级平台。</w:t>
      </w:r>
    </w:p>
    <w:p w14:paraId="79855AB6">
      <w:pPr>
        <w:pStyle w:val="4"/>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89" w:name="_Toc69484839"/>
      <w:bookmarkStart w:id="90" w:name="_Toc13894_WPSOffice_Level2"/>
      <w:bookmarkStart w:id="91" w:name="_Toc59110037"/>
      <w:r>
        <w:rPr>
          <w:rFonts w:hint="eastAsia" w:ascii="楷体_GB2312" w:hAnsi="楷体_GB2312" w:eastAsia="楷体_GB2312" w:cs="楷体_GB2312"/>
          <w:b/>
          <w:bCs/>
          <w:kern w:val="2"/>
          <w:sz w:val="32"/>
          <w:szCs w:val="32"/>
          <w:lang w:val="en-US" w:eastAsia="zh-CN" w:bidi="ar-SA"/>
        </w:rPr>
        <w:t>（二）点面结合，构建管用高效的行业监管体系</w:t>
      </w:r>
      <w:bookmarkEnd w:id="89"/>
      <w:bookmarkEnd w:id="90"/>
      <w:bookmarkEnd w:id="91"/>
    </w:p>
    <w:p w14:paraId="532A68DA">
      <w:pPr>
        <w:keepNext w:val="0"/>
        <w:keepLines w:val="0"/>
        <w:pageBreakBefore w:val="0"/>
        <w:kinsoku/>
        <w:wordWrap/>
        <w:overflowPunct/>
        <w:topLinePunct w:val="0"/>
        <w:autoSpaceDE/>
        <w:autoSpaceDN/>
        <w:bidi w:val="0"/>
        <w:spacing w:line="560" w:lineRule="exact"/>
        <w:ind w:firstLine="600"/>
        <w:textAlignment w:val="auto"/>
        <w:rPr>
          <w:szCs w:val="30"/>
        </w:rPr>
      </w:pPr>
      <w:r>
        <w:rPr>
          <w:rFonts w:hint="eastAsia"/>
          <w:sz w:val="32"/>
          <w:szCs w:val="32"/>
        </w:rPr>
        <w:t>“十四五”时期是水利行业强监管的全面强化期，要推动行业监管体系从平稳起步向全面完善转变，专项监管行动从“被动迎战”向“主动出击”转变，专业领域监管从重点突破向纵深发展转变，坚持以问题为导向，以全面解决涉水各领域中因人的行为不当而造成的水安全水资源水生态水环境问题为目标，建立一整套法制体制机制，全面提升涉水事务监管水平，努力实现水利治理体系和治理能力现代化。</w:t>
      </w:r>
    </w:p>
    <w:p w14:paraId="4312722E">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1.完善行业监管体系</w:t>
      </w:r>
    </w:p>
    <w:p w14:paraId="76A9B76D">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全面覆盖、上下贯通、保障到位”的要求，完善水利行业监管体系。聚焦水利工程建设和运行、水资源管理、河湖管理、水灾害防御、水土保持、水库移民、水利资金等重点领域，进一步明晰综合监管、专业监管、专职监管、日常监管四个层次的职责定位和任务分工，加强水利部门监管制度建设、队伍建设、信息化建设，到2025年基本建立覆盖全行业的监管体系，各层级各领域监管工作全面展开，监管效能逐步提升。</w:t>
      </w:r>
    </w:p>
    <w:p w14:paraId="07E191D2">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2.推进常态化监管</w:t>
      </w:r>
    </w:p>
    <w:p w14:paraId="0254B757">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统筹优化年度监管计划为抓手，着力改变监管任务“一布置一落实”的状态，促进监管工作成为各级水利部门部署安排、推进工作、总结评价中不可或缺的内容。优化监管信息平台，拓展完善功能，推广省级应用，通过信息化技术手段开展实时、高效、精准监管，助推监管工作计划、组织实施、考核评价等常态化运作。</w:t>
      </w:r>
    </w:p>
    <w:p w14:paraId="578B803C">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3.推进规范化监管</w:t>
      </w:r>
    </w:p>
    <w:p w14:paraId="050E77E1">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断总结监管工作经验，编制各监管领域的“作业指导书”，细化各领域监督检查的“规定动作”和标准体系，明确查什么、怎么查；同时不断梳理、修正、补充问题清单，全面列举实体问题、行为问题，通过一正一反“两个清单”，减少主观因素对监管过程和监管结果的影响，确保监管队伍认真履职尽责，实现规范化监管。</w:t>
      </w:r>
    </w:p>
    <w:p w14:paraId="22EACFBC">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4.推进法制化监管</w:t>
      </w:r>
    </w:p>
    <w:p w14:paraId="1522DDBF">
      <w:pPr>
        <w:keepNext w:val="0"/>
        <w:keepLines w:val="0"/>
        <w:pageBreakBefore w:val="0"/>
        <w:kinsoku/>
        <w:wordWrap/>
        <w:overflowPunct/>
        <w:topLinePunct w:val="0"/>
        <w:autoSpaceDE/>
        <w:autoSpaceDN/>
        <w:bidi w:val="0"/>
        <w:spacing w:line="560" w:lineRule="exact"/>
        <w:ind w:firstLine="600"/>
        <w:textAlignment w:val="auto"/>
        <w:rPr>
          <w:szCs w:val="30"/>
        </w:rPr>
      </w:pPr>
      <w:r>
        <w:rPr>
          <w:rFonts w:hint="eastAsia" w:ascii="仿宋_GB2312" w:hAnsi="仿宋_GB2312" w:eastAsia="仿宋_GB2312" w:cs="仿宋_GB2312"/>
          <w:sz w:val="32"/>
          <w:szCs w:val="32"/>
        </w:rPr>
        <w:t>以现有监管制度体系为基础，推进空白领域尽快制定监督检查办法和问题清单，对试行中的监管制度进行一致性核查修订，对问题清单进行动态完善，逐年更新版本。不断总结监管工作规律，梳理监管实践中的有效做法，固化形成制度、部门规章和法律法规，划清水利各领域监管“红线”，使法规制度长牙、带电、有威慑力，推动强监管工作在法治轨道上不断前进。</w:t>
      </w:r>
    </w:p>
    <w:p w14:paraId="7F9D668C">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5.创新推进水利工程物业化管理</w:t>
      </w:r>
    </w:p>
    <w:p w14:paraId="1F6EBCB7">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维修养护经费落实率低、管护主体落实难、管理人员紧缺、专业技术力量不足，一直以来是水利行业监管面临的难题。为进一步提升我市水利行业监管能力，解决监管难题，可在调研学习其他地区成功经验的基础上探索推进明溪水利工程物业化管理模式，探索更好发挥政府作用、更多发挥市场力量，通过市场化方式，借助社会力量参与水利工程管理，较好</w:t>
      </w:r>
      <w:r>
        <w:rPr>
          <w:rFonts w:hint="eastAsia" w:ascii="仿宋_GB2312" w:hAnsi="仿宋_GB2312" w:cs="仿宋_GB2312"/>
          <w:sz w:val="32"/>
          <w:szCs w:val="32"/>
          <w:lang w:val="en-US" w:eastAsia="zh-CN"/>
        </w:rPr>
        <w:t>地</w:t>
      </w:r>
      <w:r>
        <w:rPr>
          <w:rFonts w:hint="eastAsia" w:ascii="仿宋_GB2312" w:hAnsi="仿宋_GB2312" w:eastAsia="仿宋_GB2312" w:cs="仿宋_GB2312"/>
          <w:sz w:val="32"/>
          <w:szCs w:val="32"/>
        </w:rPr>
        <w:t>解决水利工程管理问题。</w:t>
      </w:r>
    </w:p>
    <w:p w14:paraId="7134D6DB">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前期在各乡（镇）选择一部分条件较好的工程开展试点工作，在实行过程中不断探索、总结，逐步形成符合明溪当地市场特色、切实可行的管理经验，并进一步推广至全县水利工程。</w:t>
      </w:r>
    </w:p>
    <w:p w14:paraId="4E582AA0">
      <w:pPr>
        <w:pStyle w:val="4"/>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92" w:name="_Toc69484840"/>
      <w:bookmarkStart w:id="93" w:name="_Toc59110038"/>
      <w:bookmarkStart w:id="94" w:name="_Toc30639_WPSOffice_Level2"/>
      <w:r>
        <w:rPr>
          <w:rFonts w:hint="eastAsia" w:ascii="楷体_GB2312" w:hAnsi="楷体_GB2312" w:eastAsia="楷体_GB2312" w:cs="楷体_GB2312"/>
          <w:b/>
          <w:bCs/>
          <w:kern w:val="2"/>
          <w:sz w:val="32"/>
          <w:szCs w:val="32"/>
          <w:lang w:val="en-US" w:eastAsia="zh-CN" w:bidi="ar-SA"/>
        </w:rPr>
        <w:t>（三）提升能力，推动治水管水水平提档升级</w:t>
      </w:r>
      <w:bookmarkEnd w:id="92"/>
      <w:bookmarkEnd w:id="93"/>
      <w:bookmarkEnd w:id="94"/>
    </w:p>
    <w:p w14:paraId="471884CB">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1.完善涉水规章制度及规划体系</w:t>
      </w:r>
    </w:p>
    <w:p w14:paraId="26C54F4B">
      <w:pPr>
        <w:keepNext w:val="0"/>
        <w:keepLines w:val="0"/>
        <w:pageBreakBefore w:val="0"/>
        <w:kinsoku/>
        <w:wordWrap/>
        <w:overflowPunct/>
        <w:topLinePunct w:val="0"/>
        <w:autoSpaceDE/>
        <w:autoSpaceDN/>
        <w:bidi w:val="0"/>
        <w:spacing w:line="560" w:lineRule="exact"/>
        <w:ind w:firstLine="600"/>
        <w:textAlignment w:val="auto"/>
        <w:rPr>
          <w:sz w:val="32"/>
          <w:szCs w:val="32"/>
        </w:rPr>
      </w:pPr>
      <w:r>
        <w:rPr>
          <w:rFonts w:hint="eastAsia"/>
          <w:sz w:val="32"/>
          <w:szCs w:val="32"/>
        </w:rPr>
        <w:t>贯彻实施国家有关水法律法规，适应水利现代化发展需要，根据上位法的修订和体制机制的创新要求，不断完善涉水规章制度建设。加强对规范性文件的合法性审查与备案管理，不断夯实水利工作的制度基础。</w:t>
      </w:r>
    </w:p>
    <w:p w14:paraId="02A15BEE">
      <w:pPr>
        <w:keepNext w:val="0"/>
        <w:keepLines w:val="0"/>
        <w:pageBreakBefore w:val="0"/>
        <w:kinsoku/>
        <w:wordWrap/>
        <w:overflowPunct/>
        <w:topLinePunct w:val="0"/>
        <w:autoSpaceDE/>
        <w:autoSpaceDN/>
        <w:bidi w:val="0"/>
        <w:spacing w:line="560" w:lineRule="exact"/>
        <w:ind w:firstLine="600"/>
        <w:textAlignment w:val="auto"/>
        <w:rPr>
          <w:sz w:val="32"/>
          <w:szCs w:val="32"/>
        </w:rPr>
      </w:pPr>
      <w:r>
        <w:rPr>
          <w:rFonts w:hint="eastAsia"/>
          <w:sz w:val="32"/>
          <w:szCs w:val="32"/>
        </w:rPr>
        <w:t>梳理现有规划体系，按照多规合一、补齐短板的要求，积极开展相关规划编制工作，完善规划体系，并与省、市各级相关规划配套衔接。</w:t>
      </w:r>
    </w:p>
    <w:p w14:paraId="473DBE09">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2.健全人才培养援助机制</w:t>
      </w:r>
    </w:p>
    <w:p w14:paraId="0B65AFD8">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（1）抓好干部教育培训工作</w:t>
      </w:r>
    </w:p>
    <w:p w14:paraId="563E1D20">
      <w:pPr>
        <w:keepNext w:val="0"/>
        <w:keepLines w:val="0"/>
        <w:pageBreakBefore w:val="0"/>
        <w:kinsoku/>
        <w:wordWrap/>
        <w:overflowPunct/>
        <w:topLinePunct w:val="0"/>
        <w:autoSpaceDE/>
        <w:autoSpaceDN/>
        <w:bidi w:val="0"/>
        <w:spacing w:line="560" w:lineRule="exact"/>
        <w:ind w:firstLine="600"/>
        <w:textAlignment w:val="auto"/>
        <w:rPr>
          <w:rFonts w:hint="eastAsia"/>
          <w:sz w:val="32"/>
          <w:szCs w:val="32"/>
        </w:rPr>
      </w:pPr>
      <w:r>
        <w:rPr>
          <w:rFonts w:hint="eastAsia"/>
          <w:sz w:val="32"/>
          <w:szCs w:val="32"/>
        </w:rPr>
        <w:t>以习近平新时代中国特色社会主义思想教育培训作为首要任务，旗帜鲜明讲政治为根本要求，坚持联系实际、从严管理，提高培训针对性有效性，分类分级组织实施干部教育培训，提升各级各类干部人才的专业化能力，不断增强干部教育培训工作和生机活力，高质量教育培训干部、高水平服务全市水利事业发展。</w:t>
      </w:r>
    </w:p>
    <w:p w14:paraId="2AE06E38">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（2）做好人才培养工作</w:t>
      </w:r>
    </w:p>
    <w:p w14:paraId="7F179027">
      <w:pPr>
        <w:keepNext w:val="0"/>
        <w:keepLines w:val="0"/>
        <w:pageBreakBefore w:val="0"/>
        <w:kinsoku/>
        <w:wordWrap/>
        <w:overflowPunct/>
        <w:topLinePunct w:val="0"/>
        <w:autoSpaceDE/>
        <w:autoSpaceDN/>
        <w:bidi w:val="0"/>
        <w:spacing w:line="560" w:lineRule="exact"/>
        <w:ind w:firstLine="600"/>
        <w:textAlignment w:val="auto"/>
        <w:rPr>
          <w:rFonts w:hint="eastAsia"/>
          <w:sz w:val="32"/>
          <w:szCs w:val="32"/>
        </w:rPr>
      </w:pPr>
      <w:r>
        <w:rPr>
          <w:rFonts w:hint="eastAsia"/>
          <w:sz w:val="32"/>
          <w:szCs w:val="32"/>
        </w:rPr>
        <w:t>坚持正确选人用人导向，坚持党管干部原则，严守干部选拔任用程序，不断改进识别干部办法，提升选人用人的质量和水平，从严从实管理监督干部，大力选拔任用忠诚干净担当的干部。增加人员交流、考察学习，开展人才交流培养。坚持培养与引进并重，找准水利薄弱环节，做好水利“三支一扶”计划实施工作，改善基层水利人才短缺局面，扎实推动基层水利人才队伍建设。</w:t>
      </w:r>
    </w:p>
    <w:p w14:paraId="65C97C19">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（3）建立科学的人才评价机制</w:t>
      </w:r>
    </w:p>
    <w:p w14:paraId="0EC7B999">
      <w:pPr>
        <w:keepNext w:val="0"/>
        <w:keepLines w:val="0"/>
        <w:pageBreakBefore w:val="0"/>
        <w:kinsoku/>
        <w:wordWrap/>
        <w:overflowPunct/>
        <w:topLinePunct w:val="0"/>
        <w:autoSpaceDE/>
        <w:autoSpaceDN/>
        <w:bidi w:val="0"/>
        <w:spacing w:line="560" w:lineRule="exact"/>
        <w:ind w:firstLine="600"/>
        <w:textAlignment w:val="auto"/>
        <w:rPr>
          <w:rFonts w:hint="eastAsia"/>
          <w:sz w:val="32"/>
          <w:szCs w:val="32"/>
        </w:rPr>
      </w:pPr>
      <w:r>
        <w:rPr>
          <w:rFonts w:hint="eastAsia"/>
          <w:sz w:val="32"/>
          <w:szCs w:val="32"/>
        </w:rPr>
        <w:t>树立科学的人才观，以公开、平等、竞争、择优为导向，注重实效，因人因地制宜，建立多元化的人才评价指标和体系。党政人才注重“群众公认”，经营管理人才注重“市场评价”，专业技术人才注重“同行公认”，技能人才注重“实际效益”，全面、客观、准确地反映各类人才的德才表现和工作实绩，促进各类优秀人才脱颖而出。</w:t>
      </w:r>
    </w:p>
    <w:p w14:paraId="38FA37E6">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（4）完善人才激励机制</w:t>
      </w:r>
    </w:p>
    <w:p w14:paraId="2D719E35">
      <w:pPr>
        <w:keepNext w:val="0"/>
        <w:keepLines w:val="0"/>
        <w:pageBreakBefore w:val="0"/>
        <w:kinsoku/>
        <w:wordWrap/>
        <w:overflowPunct/>
        <w:topLinePunct w:val="0"/>
        <w:autoSpaceDE/>
        <w:autoSpaceDN/>
        <w:bidi w:val="0"/>
        <w:spacing w:line="560" w:lineRule="exact"/>
        <w:ind w:firstLine="600"/>
        <w:textAlignment w:val="auto"/>
        <w:rPr>
          <w:rFonts w:hint="eastAsia"/>
          <w:sz w:val="32"/>
          <w:szCs w:val="32"/>
        </w:rPr>
      </w:pPr>
      <w:r>
        <w:rPr>
          <w:rFonts w:hint="eastAsia"/>
          <w:sz w:val="32"/>
          <w:szCs w:val="32"/>
        </w:rPr>
        <w:t>坚持“以人为本”，重视情感激励，建立有效的政策和措施，实行有效激励，不断增强各类人才的成就感和责任感，激发各类人才的进取精神和竞争意识。</w:t>
      </w:r>
    </w:p>
    <w:p w14:paraId="2CCCF77B">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3.提高依法治水管水水平</w:t>
      </w:r>
    </w:p>
    <w:p w14:paraId="5AF3281F">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（1）大力强化水行政执法</w:t>
      </w:r>
    </w:p>
    <w:p w14:paraId="4253C3D1">
      <w:pPr>
        <w:keepNext w:val="0"/>
        <w:keepLines w:val="0"/>
        <w:pageBreakBefore w:val="0"/>
        <w:kinsoku/>
        <w:wordWrap/>
        <w:overflowPunct/>
        <w:topLinePunct w:val="0"/>
        <w:autoSpaceDE/>
        <w:autoSpaceDN/>
        <w:bidi w:val="0"/>
        <w:spacing w:line="560" w:lineRule="exact"/>
        <w:ind w:firstLine="600"/>
        <w:textAlignment w:val="auto"/>
        <w:rPr>
          <w:rFonts w:hint="eastAsia"/>
          <w:sz w:val="32"/>
          <w:szCs w:val="32"/>
        </w:rPr>
      </w:pPr>
      <w:r>
        <w:rPr>
          <w:rFonts w:hint="eastAsia"/>
          <w:sz w:val="32"/>
          <w:szCs w:val="32"/>
        </w:rPr>
        <w:t>全面推进水利综合执法，进一步完善执法体制机制，加强水政执法能力建设。统筹重点领域执法，集中执法职权、下移执法重心，全面实行综合执法，围绕完善执法程序、加大执法力度、创新执法方式、强化执法监督、加强队伍建设等核心工作，进一步完善制度措施、细化标准、整合资源，不断推进水行政执法工作的规范化，提升水行政执法效能。加大对水利重大违法案件和群众反映强烈案件的查办力度，保障人民群众合法水事权益。建立水利执法网络，充实基层执法力量。</w:t>
      </w:r>
    </w:p>
    <w:p w14:paraId="4161223C">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（2）有效化解水事矛盾纠纷和涉水行政争议</w:t>
      </w:r>
    </w:p>
    <w:p w14:paraId="03484B03">
      <w:pPr>
        <w:keepNext w:val="0"/>
        <w:keepLines w:val="0"/>
        <w:pageBreakBefore w:val="0"/>
        <w:kinsoku/>
        <w:wordWrap/>
        <w:overflowPunct/>
        <w:topLinePunct w:val="0"/>
        <w:autoSpaceDE/>
        <w:autoSpaceDN/>
        <w:bidi w:val="0"/>
        <w:spacing w:line="560" w:lineRule="exact"/>
        <w:ind w:firstLine="600"/>
        <w:textAlignment w:val="auto"/>
        <w:rPr>
          <w:rFonts w:hint="eastAsia"/>
          <w:sz w:val="32"/>
          <w:szCs w:val="32"/>
        </w:rPr>
      </w:pPr>
      <w:r>
        <w:rPr>
          <w:rFonts w:hint="eastAsia"/>
          <w:sz w:val="32"/>
          <w:szCs w:val="32"/>
        </w:rPr>
        <w:t>完善水事纠纷预防处理工作机制，逐步形成市、县（市、区）协同的全市水利工作格局和政府牵头、部门配合、社会协同的地方水利工作格局。加强源头控制和隐患排查化解，继续开展水事矛盾纠纷排查化解活动，建立市级和县（市、区）间、不同行政区间水事活动协商制度，加大重大水事纠纷</w:t>
      </w:r>
      <w:r>
        <w:rPr>
          <w:rFonts w:hint="eastAsia"/>
          <w:sz w:val="32"/>
          <w:szCs w:val="32"/>
          <w:lang w:val="en-US" w:eastAsia="zh-CN"/>
        </w:rPr>
        <w:t>调解</w:t>
      </w:r>
      <w:r>
        <w:rPr>
          <w:rFonts w:hint="eastAsia"/>
          <w:sz w:val="32"/>
          <w:szCs w:val="32"/>
        </w:rPr>
        <w:t>力度，维护社会和谐稳定。健全水利行政复议案件审理机制，对水利违法或不当行政行为坚决予以纠正，努力化解涉水行政争议，提高政府公信力。</w:t>
      </w:r>
    </w:p>
    <w:p w14:paraId="2FC058AE">
      <w:pPr>
        <w:keepNext w:val="0"/>
        <w:keepLines w:val="0"/>
        <w:pageBreakBefore w:val="0"/>
        <w:kinsoku/>
        <w:wordWrap/>
        <w:overflowPunct/>
        <w:topLinePunct w:val="0"/>
        <w:autoSpaceDE/>
        <w:autoSpaceDN/>
        <w:bidi w:val="0"/>
        <w:spacing w:line="560" w:lineRule="exact"/>
        <w:ind w:firstLine="602"/>
        <w:jc w:val="both"/>
        <w:textAlignment w:val="auto"/>
        <w:outlineLvl w:val="3"/>
        <w:rPr>
          <w:b/>
        </w:rPr>
      </w:pPr>
      <w:r>
        <w:rPr>
          <w:rFonts w:hint="eastAsia" w:ascii="楷体_GB2312" w:hAnsi="楷体_GB2312" w:eastAsia="楷体_GB2312" w:cs="楷体_GB2312"/>
          <w:b/>
          <w:bCs/>
          <w:kern w:val="2"/>
          <w:sz w:val="32"/>
          <w:szCs w:val="32"/>
          <w:lang w:val="en-US" w:eastAsia="zh-CN" w:bidi="ar-SA"/>
        </w:rPr>
        <w:t>（3）全面加强水利依法行政</w:t>
      </w:r>
    </w:p>
    <w:p w14:paraId="0B71B401">
      <w:pPr>
        <w:keepNext w:val="0"/>
        <w:keepLines w:val="0"/>
        <w:pageBreakBefore w:val="0"/>
        <w:kinsoku/>
        <w:wordWrap/>
        <w:overflowPunct/>
        <w:topLinePunct w:val="0"/>
        <w:autoSpaceDE/>
        <w:autoSpaceDN/>
        <w:bidi w:val="0"/>
        <w:spacing w:line="560" w:lineRule="exact"/>
        <w:ind w:firstLine="600"/>
        <w:jc w:val="both"/>
        <w:textAlignment w:val="auto"/>
      </w:pPr>
      <w:r>
        <w:rPr>
          <w:rFonts w:hint="eastAsia"/>
          <w:sz w:val="32"/>
          <w:szCs w:val="32"/>
        </w:rPr>
        <w:t>加强执法队伍和能力建设，落实执法人员持证上岗和资源管理制度，推行水行政执法公示制度、执法全过程记录制度、重大执法决定法制审核制度，构建智能化水行政执法体系，提高执法效率与规范化水平。依法全面履行各项水利政府管理职能，推进水利行政机关、职能、权限、程序、责任法定化。进一步精简水行政审批事项，改进水行政审批和监管方式。依法强化水资源管理体制、河湖空间用途管制、规范水利建设，依法组织防汛抗旱。健全水利依法决策机制，严格执行公众参与、专家论证、风险评估、合法性审查和集体讨论决定的水利重大决策法定程序，建立水利重大决策终身责任追究制度和责任倒查机制。全面推进水利政务公开，强化对水行政权力的制约和监督。</w:t>
      </w:r>
    </w:p>
    <w:p w14:paraId="776B5816">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（4）持久开展水利法制宣传教育</w:t>
      </w:r>
    </w:p>
    <w:p w14:paraId="09B2D2B1">
      <w:pPr>
        <w:keepNext w:val="0"/>
        <w:keepLines w:val="0"/>
        <w:pageBreakBefore w:val="0"/>
        <w:kinsoku/>
        <w:wordWrap/>
        <w:overflowPunct/>
        <w:topLinePunct w:val="0"/>
        <w:autoSpaceDE/>
        <w:autoSpaceDN/>
        <w:bidi w:val="0"/>
        <w:spacing w:line="560" w:lineRule="exact"/>
        <w:ind w:firstLine="600"/>
        <w:textAlignment w:val="auto"/>
        <w:rPr>
          <w:rFonts w:hint="eastAsia"/>
          <w:sz w:val="32"/>
          <w:szCs w:val="32"/>
        </w:rPr>
      </w:pPr>
      <w:r>
        <w:rPr>
          <w:rFonts w:hint="eastAsia"/>
          <w:sz w:val="32"/>
          <w:szCs w:val="32"/>
        </w:rPr>
        <w:t>健全普法宣传教育机制，创新普法宣传形式，开展内容丰富的法治宣传教育活动。充分利用重要时间节点，有效发挥大众传媒的普法责任和新媒体的独特优势，不断增强全社会的水法治意识和水忧患意识，营造自觉遵守水法规、节约保护水资源的良好社会氛围。</w:t>
      </w:r>
    </w:p>
    <w:p w14:paraId="0FA04676">
      <w:pPr>
        <w:pStyle w:val="4"/>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95" w:name="_Toc69484841"/>
      <w:bookmarkStart w:id="96" w:name="_Toc29994_WPSOffice_Level2"/>
      <w:bookmarkStart w:id="97" w:name="_Toc59110039"/>
      <w:r>
        <w:rPr>
          <w:rFonts w:hint="eastAsia" w:ascii="楷体_GB2312" w:hAnsi="楷体_GB2312" w:eastAsia="楷体_GB2312" w:cs="楷体_GB2312"/>
          <w:b/>
          <w:bCs/>
          <w:kern w:val="2"/>
          <w:sz w:val="32"/>
          <w:szCs w:val="32"/>
          <w:lang w:val="en-US" w:eastAsia="zh-CN" w:bidi="ar-SA"/>
        </w:rPr>
        <w:t>（四）多边发力，推动水安全保障项目与行业能力建设</w:t>
      </w:r>
      <w:bookmarkEnd w:id="95"/>
      <w:bookmarkEnd w:id="96"/>
      <w:bookmarkEnd w:id="97"/>
    </w:p>
    <w:p w14:paraId="51904E53">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1.防洪涝安全保障工程</w:t>
      </w:r>
    </w:p>
    <w:p w14:paraId="47B013BE">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（1）闽江防洪提升工程</w:t>
      </w:r>
    </w:p>
    <w:p w14:paraId="1895BC63">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实施闽江上游沙溪流域防洪四期工程（明溪段）、闽江上游沙溪流域防洪五期工程（明溪段）、闽江上游金溪流域防洪工程（明溪段），新建堤防27.768km，工程总投资4.16亿元，其中，“十四五”期间计划投资3.11亿元。</w:t>
      </w:r>
    </w:p>
    <w:p w14:paraId="67E38EB8">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（2）中小河流治理工程</w:t>
      </w:r>
    </w:p>
    <w:p w14:paraId="4260FE58">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到2025年，实施流域面积3000km2以下的9条中小河流治理项目，治理河道长度36.9km，新建堤防、护岸28.4km，工程总投资2.07亿元，其中，“十四五”期间计划投资2.07亿元。</w:t>
      </w:r>
    </w:p>
    <w:p w14:paraId="6596E1F9">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（3）山洪灾害防治项目</w:t>
      </w:r>
    </w:p>
    <w:p w14:paraId="72B68F01">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针对明溪县山洪灾害问题严重的镇（乡）实施山洪灾害防治项目，主要包括山洪沟防洪治理、山洪灾害非工程措施完善等，治理山洪沟17条，工程总投资2.85亿元，其中，“十四五”期间计划投资0.85亿元。</w:t>
      </w:r>
    </w:p>
    <w:p w14:paraId="347B29A7">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（4）水库除险加固工程</w:t>
      </w:r>
    </w:p>
    <w:p w14:paraId="276B05CE">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到2025年，完成日月溪水库等5座小型水库常态化除险加固工作，实施17座水库日常维修养护工作。总投资0.15亿元，其中，“十四五”期间计划投资0.15亿元。</w:t>
      </w:r>
    </w:p>
    <w:p w14:paraId="5952840E">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（5）高水高排项目</w:t>
      </w:r>
    </w:p>
    <w:p w14:paraId="39A4AAF3">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到2025年，实施内涝压力较大的明溪县城区、盖洋镇、夏阳乡等3个，因地制宜采取有效措施缓解洪涝灾害。总投资0.20亿元，其中，“十四五”期间计划投资0.20亿元。</w:t>
      </w:r>
    </w:p>
    <w:p w14:paraId="6B19E374">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2.水资源安全保障工程</w:t>
      </w:r>
    </w:p>
    <w:p w14:paraId="0433D0EA">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（1）中小型水库等重要水源工程</w:t>
      </w:r>
    </w:p>
    <w:p w14:paraId="37FFEB8E">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开展石溪水库、杉坑水库、里地水库、无力坑水库及俞云际水库等5座小型水库建设工程，积极推进各项前期工作，新建水库总库容462万m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。工程总投资2.338亿元，其中，“十四五”期间计划投资2.338亿元。</w:t>
      </w:r>
    </w:p>
    <w:p w14:paraId="0E8F34DC">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（2）农业节水（大中型灌区节水改造与续建配套工程）</w:t>
      </w:r>
    </w:p>
    <w:p w14:paraId="45788B67">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实施完成中央苏区三明灌区节水改造与续建配套工程明溪县分灌区工程建设；完成胡坊灌区续建配套与节水改造项目。工程总投资0.65亿元，其中，“十四五”期间计划投资0.65亿元。</w:t>
      </w:r>
    </w:p>
    <w:p w14:paraId="1661BDAD">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（3）城乡供水提升工程</w:t>
      </w:r>
    </w:p>
    <w:p w14:paraId="56963B34">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积极推动明溪县城乡供水一体化工程建设，提升县城区及各乡镇集中供水率。建设千吨以上规模水厂7 座、农村集中供水工程82处（其中新建6处、改造76处），农村分散式供水46处，设计供水规模6.262万t/d，城乡自来水普及率97.86%，供水水质达标；1000t/d 以上水厂的供水服务人口比例达到 84.44%、水源保护区划定率100%。工程总投资6.64亿元,其中, “十四五”期间计划投资6.64亿元。</w:t>
      </w:r>
    </w:p>
    <w:p w14:paraId="1EACB579">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（4）水资源节约与保护工程</w:t>
      </w:r>
    </w:p>
    <w:p w14:paraId="2F8A69B8">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积极开展明溪县节水型社会达标建设及重要水库水源地安全保障达标建设工作。工程总投资0.17亿元,其中, “十四五”期间计划投资0.17亿元。</w:t>
      </w:r>
    </w:p>
    <w:p w14:paraId="606D3DCB">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3.水生态安全保障工程</w:t>
      </w:r>
    </w:p>
    <w:p w14:paraId="40298731">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（1）水土流失综合治理项目</w:t>
      </w:r>
    </w:p>
    <w:p w14:paraId="7D3CC34F">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“十四五”期间，重点8个乡镇20条小流域水土流失综合治理项目，有效改善重点区域水土流失现象，修复生态系统。工程总投资0.40亿元，其中，“十四五”期间计划投资0.40亿元。</w:t>
      </w:r>
    </w:p>
    <w:p w14:paraId="24F87226">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（2）安全生态水系建设项目</w:t>
      </w:r>
    </w:p>
    <w:p w14:paraId="35E03CFF">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六大目标”、“八个有”，以生态治理理念开展安全生态水系建设项目。“十四五”期间实施胡贡溪等8条河流安全生态水系建设项目，综合治理河道68.8km，总投资0.96亿元，其中，“十四五”期间计划投资0.96亿元。</w:t>
      </w:r>
    </w:p>
    <w:p w14:paraId="7C71BAA1">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4.水利信息化工程</w:t>
      </w:r>
    </w:p>
    <w:p w14:paraId="5ABF6D42">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实施完成明溪县水利信息化建设，主要包括县级水利感知网初步构建，完善信息采集、视频监控系统；县级水利云智慧平台及应用系统建设；相关专业人才培训工作。总投资0.23亿元，其中，“十四五”期间计划投资0.23亿元。</w:t>
      </w:r>
    </w:p>
    <w:p w14:paraId="7A0DC840">
      <w:pPr>
        <w:keepNext w:val="0"/>
        <w:keepLines w:val="0"/>
        <w:pageBreakBefore w:val="0"/>
        <w:kinsoku/>
        <w:wordWrap/>
        <w:overflowPunct/>
        <w:topLinePunct w:val="0"/>
        <w:autoSpaceDE/>
        <w:autoSpaceDN/>
        <w:bidi w:val="0"/>
        <w:spacing w:line="56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5.水利行业监管行动</w:t>
      </w:r>
    </w:p>
    <w:p w14:paraId="75E1BB6E">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江河湖泊监管方面，编制完成水域岸线保护与利用规划，划定主要河湖管理范围与水域岸线功能区，建立河湖网格化管理制度和项目建设占用水利设施补偿制度，修编重要河段采砂规划。在水资源监管方面，制订分行业用水总量控制指标和用水监督管理计划，制订地方用水定额标准和节水标准，编制重要生态河流生态流量管控方案，建立取水口名录及台账。在水利工程监管方面，建立完善水利工程基础数据库，制订或完善水利工程管控方案。在水土保持方面，制订相关制度监管人为造成的水土流失，开展水土流失专项执法。在水风险防控方面，制订防汛抗旱调度预案、应急水量调度预案，修订应急预案，建立洪旱水资源水生态预警指标和评价体系。总投资0.03亿元。</w:t>
      </w:r>
    </w:p>
    <w:p w14:paraId="68215757">
      <w:pPr>
        <w:keepNext w:val="0"/>
        <w:keepLines w:val="0"/>
        <w:pageBreakBefore w:val="0"/>
        <w:widowControl w:val="0"/>
        <w:kinsoku/>
        <w:wordWrap/>
        <w:overflowPunct/>
        <w:topLinePunct w:val="0"/>
        <w:autoSpaceDE/>
        <w:autoSpaceDN/>
        <w:bidi w:val="0"/>
        <w:adjustRightInd w:val="0"/>
        <w:snapToGrid w:val="0"/>
        <w:spacing w:line="52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6.水管理能力提升行动</w:t>
      </w:r>
    </w:p>
    <w:p w14:paraId="46861053">
      <w:pPr>
        <w:keepNext w:val="0"/>
        <w:keepLines w:val="0"/>
        <w:pageBreakBefore w:val="0"/>
        <w:widowControl w:val="0"/>
        <w:kinsoku/>
        <w:wordWrap/>
        <w:overflowPunct/>
        <w:topLinePunct w:val="0"/>
        <w:autoSpaceDE/>
        <w:autoSpaceDN/>
        <w:bidi w:val="0"/>
        <w:adjustRightInd w:val="0"/>
        <w:snapToGrid w:val="0"/>
        <w:spacing w:line="52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在强化空间管控方面，制订水生态空间红线管控办法和水生态空间用途转用制度。在深化价税改革方面，制订水资源税改革方案和水价改革方案。在推动产权改革方面，建立县、乡两级水权交易平台和信息</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开展小型水利工程确权工作。在水利投融资方面，开展不同类型水利项目投融资方式研究，编制研究报告。在水利行业能力提升方面，完善规划体系、建立水利科技管理机构，逐步完善科技成果转化及推广、编制水利行业人才规划，定期开展人才培训、完善基层管理机制体制和人才队伍。总投资0.03亿元。</w:t>
      </w:r>
    </w:p>
    <w:p w14:paraId="6E9CD87A">
      <w:pPr>
        <w:keepNext w:val="0"/>
        <w:keepLines w:val="0"/>
        <w:pageBreakBefore w:val="0"/>
        <w:widowControl w:val="0"/>
        <w:kinsoku/>
        <w:wordWrap/>
        <w:overflowPunct/>
        <w:topLinePunct w:val="0"/>
        <w:autoSpaceDE/>
        <w:autoSpaceDN/>
        <w:bidi w:val="0"/>
        <w:adjustRightInd w:val="0"/>
        <w:snapToGrid w:val="0"/>
        <w:spacing w:line="52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7.水利工程常态化监督检查</w:t>
      </w:r>
    </w:p>
    <w:p w14:paraId="666E431D">
      <w:pPr>
        <w:keepNext w:val="0"/>
        <w:keepLines w:val="0"/>
        <w:pageBreakBefore w:val="0"/>
        <w:widowControl w:val="0"/>
        <w:kinsoku/>
        <w:wordWrap/>
        <w:overflowPunct/>
        <w:topLinePunct w:val="0"/>
        <w:autoSpaceDE/>
        <w:autoSpaceDN/>
        <w:bidi w:val="0"/>
        <w:adjustRightInd w:val="0"/>
        <w:snapToGrid w:val="0"/>
        <w:spacing w:line="52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水利工程常态化监督检查：推动水利工程常态化、规范化监管，按照“强监管、严要求”落实水利工程建设前、中、后期常态化监督检查工作。计划总投资0.02亿元，“十四五”计划投资0.02亿元。</w:t>
      </w:r>
    </w:p>
    <w:p w14:paraId="4EF2C5C5">
      <w:pPr>
        <w:keepNext w:val="0"/>
        <w:keepLines w:val="0"/>
        <w:pageBreakBefore w:val="0"/>
        <w:widowControl w:val="0"/>
        <w:kinsoku/>
        <w:wordWrap/>
        <w:overflowPunct/>
        <w:topLinePunct w:val="0"/>
        <w:autoSpaceDE/>
        <w:autoSpaceDN/>
        <w:bidi w:val="0"/>
        <w:adjustRightInd w:val="0"/>
        <w:snapToGrid w:val="0"/>
        <w:spacing w:line="52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8.创新推动水利工程物业化管理</w:t>
      </w:r>
    </w:p>
    <w:p w14:paraId="31D1F8BF">
      <w:pPr>
        <w:keepNext w:val="0"/>
        <w:keepLines w:val="0"/>
        <w:pageBreakBefore w:val="0"/>
        <w:widowControl w:val="0"/>
        <w:kinsoku/>
        <w:wordWrap/>
        <w:overflowPunct/>
        <w:topLinePunct w:val="0"/>
        <w:autoSpaceDE/>
        <w:autoSpaceDN/>
        <w:bidi w:val="0"/>
        <w:adjustRightInd w:val="0"/>
        <w:snapToGrid w:val="0"/>
        <w:spacing w:line="52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研学习其他地区成功管理经验，在我县各乡（镇）选择部分试点工程为切入点，积极探索明溪水利工程物业化管理模式，总结形成可复制可推广的成功经验，逐步推广至全县其他水利工程。计划总投资0.10亿元，“十四五”计划投资0.10亿元。</w:t>
      </w:r>
    </w:p>
    <w:p w14:paraId="077DBCCE">
      <w:pPr>
        <w:keepNext w:val="0"/>
        <w:keepLines w:val="0"/>
        <w:pageBreakBefore w:val="0"/>
        <w:widowControl w:val="0"/>
        <w:kinsoku/>
        <w:wordWrap/>
        <w:overflowPunct/>
        <w:topLinePunct w:val="0"/>
        <w:autoSpaceDE/>
        <w:autoSpaceDN/>
        <w:bidi w:val="0"/>
        <w:adjustRightInd w:val="0"/>
        <w:snapToGrid w:val="0"/>
        <w:spacing w:line="520" w:lineRule="exact"/>
        <w:ind w:firstLine="602"/>
        <w:jc w:val="both"/>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9.其他水利面上项目</w:t>
      </w:r>
    </w:p>
    <w:p w14:paraId="4015E49E">
      <w:pPr>
        <w:keepNext w:val="0"/>
        <w:keepLines w:val="0"/>
        <w:pageBreakBefore w:val="0"/>
        <w:widowControl w:val="0"/>
        <w:kinsoku/>
        <w:wordWrap/>
        <w:overflowPunct/>
        <w:topLinePunct w:val="0"/>
        <w:autoSpaceDE/>
        <w:autoSpaceDN/>
        <w:bidi w:val="0"/>
        <w:adjustRightInd w:val="0"/>
        <w:snapToGrid w:val="0"/>
        <w:spacing w:line="52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“十四五”期间，积极向上争取其他水利面上项目，并在“十四五”期间全面完成。</w:t>
      </w:r>
    </w:p>
    <w:p w14:paraId="23E7C59A">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pPr>
      <w:r>
        <w:br w:type="page"/>
      </w:r>
      <w:bookmarkStart w:id="98" w:name="_Toc69484842"/>
      <w:bookmarkStart w:id="99" w:name="_Toc12036_WPSOffice_Level1"/>
      <w:r>
        <w:rPr>
          <w:rFonts w:hint="eastAsia" w:ascii="方正小标宋简体" w:hAnsi="方正小标宋简体" w:eastAsia="方正小标宋简体" w:cs="方正小标宋简体"/>
          <w:b w:val="0"/>
          <w:bCs w:val="0"/>
          <w:sz w:val="44"/>
          <w:szCs w:val="44"/>
          <w:lang w:eastAsia="zh-CN"/>
        </w:rPr>
        <w:t>第五章</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投资估算和资金筹措</w:t>
      </w:r>
      <w:bookmarkEnd w:id="98"/>
      <w:bookmarkEnd w:id="99"/>
    </w:p>
    <w:p w14:paraId="738C65BA">
      <w:pPr>
        <w:pStyle w:val="2"/>
        <w:keepNext w:val="0"/>
        <w:keepLines w:val="0"/>
        <w:pageBreakBefore w:val="0"/>
        <w:kinsoku/>
        <w:wordWrap/>
        <w:overflowPunct/>
        <w:bidi w:val="0"/>
        <w:spacing w:line="560" w:lineRule="exact"/>
        <w:textAlignment w:val="auto"/>
      </w:pPr>
    </w:p>
    <w:p w14:paraId="37CC0489">
      <w:pPr>
        <w:pStyle w:val="4"/>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00" w:name="_Toc69484843"/>
      <w:bookmarkStart w:id="101" w:name="_Toc58317194"/>
      <w:bookmarkStart w:id="102" w:name="_Toc17478_WPSOffice_Level2"/>
      <w:bookmarkStart w:id="103" w:name="_Toc59110041"/>
      <w:r>
        <w:rPr>
          <w:rFonts w:hint="eastAsia" w:ascii="楷体_GB2312" w:hAnsi="楷体_GB2312" w:eastAsia="楷体_GB2312" w:cs="楷体_GB2312"/>
          <w:b/>
          <w:bCs/>
          <w:kern w:val="2"/>
          <w:sz w:val="32"/>
          <w:szCs w:val="32"/>
          <w:lang w:val="en-US" w:eastAsia="zh-CN" w:bidi="ar-SA"/>
        </w:rPr>
        <w:t>（一）测算依据</w:t>
      </w:r>
      <w:bookmarkEnd w:id="100"/>
      <w:bookmarkEnd w:id="101"/>
      <w:bookmarkEnd w:id="102"/>
      <w:bookmarkEnd w:id="103"/>
    </w:p>
    <w:p w14:paraId="4D04F794">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水利部《水利工程设计概（估）算编制规定》（水总〔2002〕116号）；</w:t>
      </w:r>
    </w:p>
    <w:p w14:paraId="761185CD">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《大中型水利水电工程建设征地补偿和移民安置条例》（国务院令第471号）；</w:t>
      </w:r>
    </w:p>
    <w:p w14:paraId="0B119A3B">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福建省水利厅闽水计财〔2011〕98号文颁发的《福建水利水电工程设计概（估）算编制规定》（简称“编制规定”）；</w:t>
      </w:r>
    </w:p>
    <w:p w14:paraId="40DD5151">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福建省水利厅闽水计财〔2011〕98号文颁发的《福建省水利水电建筑工程预算定额》；</w:t>
      </w:r>
    </w:p>
    <w:p w14:paraId="76ACD376">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安装工程：福建省水利厅闽水计财〔2011〕98号文颁发的《福建省水利水电设备安装管工程预算定额》；</w:t>
      </w:r>
    </w:p>
    <w:p w14:paraId="503F1D4A">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施工机械台班费：福建省水利厅闽水计财〔2011〕98号文颁发的《福建水利水电工程施工机械台班费定额》；</w:t>
      </w:r>
    </w:p>
    <w:p w14:paraId="1741E052">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福建省水利厅闽水财审〔2018〕18号文颁布的《关于调整水利水电工程计价依据增值税税率的通知》；</w:t>
      </w:r>
    </w:p>
    <w:p w14:paraId="5E759A27">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以及相关规划、设计投资测算成果。</w:t>
      </w:r>
    </w:p>
    <w:p w14:paraId="3BAFC337">
      <w:pPr>
        <w:pStyle w:val="4"/>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04" w:name="_Toc28417_WPSOffice_Level2"/>
      <w:bookmarkStart w:id="105" w:name="_Toc58317195"/>
      <w:bookmarkStart w:id="106" w:name="_Toc69484844"/>
      <w:bookmarkStart w:id="107" w:name="_Toc59110042"/>
      <w:r>
        <w:rPr>
          <w:rFonts w:hint="eastAsia" w:ascii="楷体_GB2312" w:hAnsi="楷体_GB2312" w:eastAsia="楷体_GB2312" w:cs="楷体_GB2312"/>
          <w:b/>
          <w:bCs/>
          <w:kern w:val="2"/>
          <w:sz w:val="32"/>
          <w:szCs w:val="32"/>
          <w:lang w:val="en-US" w:eastAsia="zh-CN" w:bidi="ar-SA"/>
        </w:rPr>
        <w:t>（二）投资规模</w:t>
      </w:r>
      <w:bookmarkEnd w:id="104"/>
      <w:bookmarkEnd w:id="105"/>
      <w:bookmarkEnd w:id="106"/>
      <w:bookmarkEnd w:id="107"/>
    </w:p>
    <w:p w14:paraId="174C29B7">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规划任务，根据已经批准和正在编制的“十四五”相关规划、重大工程的前期工作以及各乡镇及业务科室上报的项目及投资需求，筛选拟建项目，经初步测算，明溪县“十四五”水利规划总投资为23.88亿元，其中，“十四五”期间计划投资20.83亿元。</w:t>
      </w:r>
    </w:p>
    <w:p w14:paraId="541DE5B8">
      <w:pPr>
        <w:pStyle w:val="4"/>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08" w:name="_Toc69484845"/>
      <w:bookmarkStart w:id="109" w:name="_Toc22143_WPSOffice_Level2"/>
      <w:r>
        <w:rPr>
          <w:rFonts w:hint="eastAsia" w:ascii="楷体_GB2312" w:hAnsi="楷体_GB2312" w:eastAsia="楷体_GB2312" w:cs="楷体_GB2312"/>
          <w:b/>
          <w:bCs/>
          <w:kern w:val="2"/>
          <w:sz w:val="32"/>
          <w:szCs w:val="32"/>
          <w:lang w:val="en-US" w:eastAsia="zh-CN" w:bidi="ar-SA"/>
        </w:rPr>
        <w:t>（三）投资结构</w:t>
      </w:r>
      <w:bookmarkEnd w:id="108"/>
      <w:bookmarkEnd w:id="109"/>
    </w:p>
    <w:p w14:paraId="10FEB77F">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主要任务划分，在“十四五”规划总投资中，防洪涝安全保障工程投资9.42亿元，占比39.46%；水资源安全保障工程投资9.80亿元，占比41.02%；水生态安全保障工程投资1.36亿元，占比5.7%；水利信息化工程投资0.23亿元，占比0.94%；水利行业监管投资0.18亿元，占比7.54%；其他水利工程投资2.90亿元，占比12.14%。</w:t>
      </w:r>
    </w:p>
    <w:p w14:paraId="54F589FB">
      <w:pPr>
        <w:pStyle w:val="4"/>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10" w:name="_Toc58317197"/>
      <w:bookmarkStart w:id="111" w:name="_Toc69484846"/>
      <w:bookmarkStart w:id="112" w:name="_Toc13156_WPSOffice_Level2"/>
      <w:bookmarkStart w:id="113" w:name="_Toc59110044"/>
      <w:r>
        <w:rPr>
          <w:rFonts w:hint="eastAsia" w:ascii="楷体_GB2312" w:hAnsi="楷体_GB2312" w:eastAsia="楷体_GB2312" w:cs="楷体_GB2312"/>
          <w:b/>
          <w:bCs/>
          <w:kern w:val="2"/>
          <w:sz w:val="32"/>
          <w:szCs w:val="32"/>
          <w:lang w:val="en-US" w:eastAsia="zh-CN" w:bidi="ar-SA"/>
        </w:rPr>
        <w:t>（四）资金筹措</w:t>
      </w:r>
      <w:bookmarkEnd w:id="110"/>
      <w:bookmarkEnd w:id="111"/>
      <w:bookmarkEnd w:id="112"/>
      <w:bookmarkEnd w:id="113"/>
    </w:p>
    <w:p w14:paraId="37BCAEFD">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虑到明溪县财力相对薄弱的实际情况和水利建设的公益性质，资金筹措坚持“多渠道筹措”和“两个为主”的原则，即“以财政资金为主、信贷资金为辅，以中央、省级投资为主、地方投资为辅”，通过中央加大投入力度，地方财政配套、利用银行贷款、鼓励社会投入等多种渠道投资，共同推进项目顺利实施。</w:t>
      </w:r>
    </w:p>
    <w:p w14:paraId="73B14B8D">
      <w:pPr>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14" w:name="_Toc17221_WPSOffice_Level2"/>
      <w:r>
        <w:rPr>
          <w:rFonts w:hint="eastAsia" w:ascii="楷体_GB2312" w:hAnsi="楷体_GB2312" w:eastAsia="楷体_GB2312" w:cs="楷体_GB2312"/>
          <w:b/>
          <w:bCs/>
          <w:kern w:val="2"/>
          <w:sz w:val="32"/>
          <w:szCs w:val="32"/>
          <w:lang w:val="en-US" w:eastAsia="zh-CN" w:bidi="ar-SA"/>
        </w:rPr>
        <w:t>（五）项目实施计划</w:t>
      </w:r>
      <w:bookmarkEnd w:id="114"/>
    </w:p>
    <w:p w14:paraId="22E2890D">
      <w:pPr>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1.分期实施划分原则</w:t>
      </w:r>
    </w:p>
    <w:p w14:paraId="1AD90E48">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根据明溪县 “十四五”水安全保障规划的发展目标和总体布局，按照解决明溪县水利发展存在的薄弱环节，推进明溪县水利现代化建设，支撑全面建成小康社会，以及明溪县水利发展战略</w:t>
      </w:r>
      <w:r>
        <w:rPr>
          <w:rFonts w:hint="eastAsia" w:ascii="仿宋_GB2312" w:hAnsi="仿宋_GB2312" w:cs="仿宋_GB2312"/>
          <w:sz w:val="32"/>
          <w:szCs w:val="32"/>
          <w:lang w:val="en-US" w:eastAsia="zh-CN"/>
        </w:rPr>
        <w:t>部署</w:t>
      </w:r>
      <w:r>
        <w:rPr>
          <w:rFonts w:hint="eastAsia" w:ascii="仿宋_GB2312" w:hAnsi="仿宋_GB2312" w:eastAsia="仿宋_GB2312" w:cs="仿宋_GB2312"/>
          <w:sz w:val="32"/>
          <w:szCs w:val="32"/>
        </w:rPr>
        <w:t>的要求，参考有关规划和项目的前期工作情况，对规划项目进行系统的筛选和分析与排队。按照突出重点、因地制宜、需要与可能结合的原则，区分轻重缓急，提出重点流域和区域以及对全局性起关键作用的重点水利建设工程，制定切合实际的分期实施计划，其中优先安排实施以下项目：</w:t>
      </w:r>
    </w:p>
    <w:p w14:paraId="185F3014">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（1）“十三五”已开工的续建项目；</w:t>
      </w:r>
    </w:p>
    <w:p w14:paraId="5B741165">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（2）列入国务院节水供水的重大水利工程；</w:t>
      </w:r>
    </w:p>
    <w:p w14:paraId="5DD22BF1">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（3）列入水利部的重大水利工程；</w:t>
      </w:r>
    </w:p>
    <w:p w14:paraId="3C1411A0">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（4）列入省发改委“重大工程、重大项目、重大政策”的项目；</w:t>
      </w:r>
    </w:p>
    <w:p w14:paraId="10CDF0B3">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（5）符合流域和区域发展规划要求，对本地区发展具有重大影响的项目；</w:t>
      </w:r>
    </w:p>
    <w:p w14:paraId="432C230F">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（6）项目具备一定的前期工作基础，不存在制约项目建设的重大技术经济、征地移民和环境生态等问题，效益指标良好，资金来源基本能够落实；</w:t>
      </w:r>
    </w:p>
    <w:p w14:paraId="2CDD7E89">
      <w:pPr>
        <w:keepNext w:val="0"/>
        <w:keepLines w:val="0"/>
        <w:pageBreakBefore w:val="0"/>
        <w:kinsoku/>
        <w:wordWrap/>
        <w:overflowPunct/>
        <w:topLinePunct w:val="0"/>
        <w:autoSpaceDE/>
        <w:autoSpaceDN/>
        <w:bidi w:val="0"/>
        <w:spacing w:line="560" w:lineRule="exact"/>
        <w:ind w:firstLine="600"/>
        <w:jc w:val="both"/>
        <w:textAlignment w:val="auto"/>
      </w:pPr>
      <w:r>
        <w:rPr>
          <w:rFonts w:hint="eastAsia" w:ascii="仿宋_GB2312" w:hAnsi="仿宋_GB2312" w:eastAsia="仿宋_GB2312" w:cs="仿宋_GB2312"/>
          <w:sz w:val="32"/>
          <w:szCs w:val="32"/>
        </w:rPr>
        <w:t>（7）民生迫切所需的项目。</w:t>
      </w:r>
    </w:p>
    <w:p w14:paraId="7275C056">
      <w:pPr>
        <w:keepNext w:val="0"/>
        <w:keepLines w:val="0"/>
        <w:pageBreakBefore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2.分期实施计划</w:t>
      </w:r>
    </w:p>
    <w:p w14:paraId="453EBE24">
      <w:pPr>
        <w:keepNext w:val="0"/>
        <w:keepLines w:val="0"/>
        <w:pageBreakBefore w:val="0"/>
        <w:kinsoku/>
        <w:wordWrap/>
        <w:overflowPunct/>
        <w:topLinePunct w:val="0"/>
        <w:autoSpaceDE/>
        <w:autoSpaceDN/>
        <w:bidi w:val="0"/>
        <w:spacing w:line="560" w:lineRule="exact"/>
        <w:ind w:firstLine="600"/>
        <w:textAlignment w:val="auto"/>
        <w:rPr>
          <w:sz w:val="32"/>
          <w:szCs w:val="32"/>
        </w:rPr>
      </w:pPr>
      <w:r>
        <w:rPr>
          <w:rFonts w:hint="eastAsia"/>
          <w:sz w:val="32"/>
          <w:szCs w:val="32"/>
        </w:rPr>
        <w:t>根据分期实施划分原则，结合工程的紧迫性、建设必要性、项目实施效果、资金筹措、前期工作等情况，经过综合分析，统筹考虑，拟选定明溪县“十四五”水安全保障规划项目详见附表《三明市明溪县“十四五”水安全保障规划项目汇总表》。</w:t>
      </w:r>
    </w:p>
    <w:p w14:paraId="49A01628">
      <w:pPr>
        <w:keepNext w:val="0"/>
        <w:keepLines w:val="0"/>
        <w:pageBreakBefore w:val="0"/>
        <w:kinsoku/>
        <w:wordWrap/>
        <w:overflowPunct/>
        <w:topLinePunct w:val="0"/>
        <w:autoSpaceDE/>
        <w:autoSpaceDN/>
        <w:bidi w:val="0"/>
        <w:spacing w:line="560" w:lineRule="exact"/>
        <w:ind w:firstLine="600"/>
        <w:jc w:val="both"/>
        <w:textAlignment w:val="auto"/>
      </w:pPr>
    </w:p>
    <w:p w14:paraId="475A4A43">
      <w:pPr>
        <w:keepNext w:val="0"/>
        <w:keepLines w:val="0"/>
        <w:pageBreakBefore w:val="0"/>
        <w:kinsoku/>
        <w:wordWrap/>
        <w:overflowPunct/>
        <w:topLinePunct w:val="0"/>
        <w:autoSpaceDE/>
        <w:autoSpaceDN/>
        <w:bidi w:val="0"/>
        <w:spacing w:line="560" w:lineRule="exact"/>
        <w:ind w:firstLine="0" w:firstLineChars="0"/>
        <w:textAlignment w:val="auto"/>
      </w:pPr>
    </w:p>
    <w:p w14:paraId="57CD3DE2">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jc w:val="center"/>
        <w:textAlignment w:val="auto"/>
        <w:rPr>
          <w:rFonts w:hint="eastAsia"/>
        </w:rPr>
      </w:pPr>
      <w:r>
        <w:br w:type="page"/>
      </w:r>
      <w:bookmarkStart w:id="115" w:name="_Toc59110045"/>
      <w:bookmarkStart w:id="116" w:name="_Toc69484847"/>
      <w:bookmarkStart w:id="117" w:name="_Toc33176090"/>
      <w:bookmarkStart w:id="118" w:name="_Toc33168649"/>
      <w:bookmarkStart w:id="119" w:name="_Toc15845_WPSOffice_Level1"/>
      <w:r>
        <w:rPr>
          <w:rFonts w:hint="eastAsia" w:ascii="方正小标宋简体" w:hAnsi="方正小标宋简体" w:eastAsia="方正小标宋简体" w:cs="方正小标宋简体"/>
          <w:b w:val="0"/>
          <w:bCs w:val="0"/>
          <w:sz w:val="44"/>
          <w:szCs w:val="44"/>
          <w:lang w:eastAsia="zh-CN"/>
        </w:rPr>
        <w:t>第六章</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保障措施</w:t>
      </w:r>
      <w:bookmarkEnd w:id="115"/>
      <w:bookmarkEnd w:id="116"/>
      <w:bookmarkEnd w:id="117"/>
      <w:bookmarkEnd w:id="118"/>
      <w:bookmarkEnd w:id="119"/>
      <w:bookmarkStart w:id="120" w:name="_Toc69484848"/>
    </w:p>
    <w:p w14:paraId="054486EE">
      <w:pPr>
        <w:pStyle w:val="2"/>
        <w:keepNext w:val="0"/>
        <w:keepLines w:val="0"/>
        <w:pageBreakBefore w:val="0"/>
        <w:kinsoku/>
        <w:wordWrap/>
        <w:overflowPunct/>
        <w:topLinePunct w:val="0"/>
        <w:autoSpaceDE/>
        <w:autoSpaceDN/>
        <w:bidi w:val="0"/>
        <w:spacing w:line="540" w:lineRule="exact"/>
        <w:textAlignment w:val="auto"/>
        <w:rPr>
          <w:rFonts w:hint="eastAsia"/>
        </w:rPr>
      </w:pPr>
    </w:p>
    <w:p w14:paraId="7AFA12C5">
      <w:pPr>
        <w:keepNext w:val="0"/>
        <w:keepLines w:val="0"/>
        <w:pageBreakBefore w:val="0"/>
        <w:kinsoku/>
        <w:wordWrap/>
        <w:overflowPunct/>
        <w:topLinePunct w:val="0"/>
        <w:autoSpaceDE/>
        <w:autoSpaceDN/>
        <w:bidi w:val="0"/>
        <w:spacing w:line="54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21" w:name="_Toc13674_WPSOffice_Level2"/>
      <w:r>
        <w:rPr>
          <w:rFonts w:hint="eastAsia" w:ascii="楷体_GB2312" w:hAnsi="楷体_GB2312" w:eastAsia="楷体_GB2312" w:cs="楷体_GB2312"/>
          <w:b/>
          <w:bCs/>
          <w:kern w:val="2"/>
          <w:sz w:val="32"/>
          <w:szCs w:val="32"/>
          <w:lang w:val="en-US" w:eastAsia="zh-CN" w:bidi="ar-SA"/>
        </w:rPr>
        <w:t>（一）加强组织领导</w:t>
      </w:r>
      <w:bookmarkEnd w:id="120"/>
      <w:bookmarkEnd w:id="121"/>
    </w:p>
    <w:p w14:paraId="5FF09DE3">
      <w:pPr>
        <w:keepNext w:val="0"/>
        <w:keepLines w:val="0"/>
        <w:pageBreakBefore w:val="0"/>
        <w:kinsoku/>
        <w:wordWrap/>
        <w:overflowPunct/>
        <w:topLinePunct w:val="0"/>
        <w:autoSpaceDE/>
        <w:autoSpaceDN/>
        <w:bidi w:val="0"/>
        <w:spacing w:line="540" w:lineRule="exact"/>
        <w:ind w:firstLine="600"/>
        <w:jc w:val="both"/>
        <w:textAlignment w:val="auto"/>
      </w:pPr>
      <w:r>
        <w:rPr>
          <w:rFonts w:hint="eastAsia"/>
          <w:sz w:val="32"/>
          <w:szCs w:val="32"/>
        </w:rPr>
        <w:t>加强各级党委和政府对“十四五”水安全保障工作的领导，统筹推动水安全保障工作。建立统筹解决全市水安全保障问题经常化调度机制和议事决策机制，明确各部门主体责任，严格落实各项举措，确保水安全保障工作各项任务有效完成。</w:t>
      </w:r>
    </w:p>
    <w:p w14:paraId="56722504">
      <w:pPr>
        <w:pStyle w:val="4"/>
        <w:keepNext w:val="0"/>
        <w:keepLines w:val="0"/>
        <w:pageBreakBefore w:val="0"/>
        <w:kinsoku/>
        <w:wordWrap/>
        <w:overflowPunct/>
        <w:topLinePunct w:val="0"/>
        <w:autoSpaceDE/>
        <w:autoSpaceDN/>
        <w:bidi w:val="0"/>
        <w:spacing w:line="54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22" w:name="_Toc69484849"/>
      <w:bookmarkStart w:id="123" w:name="_Toc9758_WPSOffice_Level2"/>
      <w:r>
        <w:rPr>
          <w:rFonts w:hint="eastAsia" w:ascii="楷体_GB2312" w:hAnsi="楷体_GB2312" w:eastAsia="楷体_GB2312" w:cs="楷体_GB2312"/>
          <w:b/>
          <w:bCs/>
          <w:kern w:val="2"/>
          <w:sz w:val="32"/>
          <w:szCs w:val="32"/>
          <w:lang w:val="en-US" w:eastAsia="zh-CN" w:bidi="ar-SA"/>
        </w:rPr>
        <w:t>（二）落实责任分工</w:t>
      </w:r>
      <w:bookmarkEnd w:id="122"/>
      <w:bookmarkEnd w:id="123"/>
    </w:p>
    <w:p w14:paraId="6A50597B">
      <w:pPr>
        <w:keepNext w:val="0"/>
        <w:keepLines w:val="0"/>
        <w:pageBreakBefore w:val="0"/>
        <w:kinsoku/>
        <w:wordWrap/>
        <w:overflowPunct/>
        <w:topLinePunct w:val="0"/>
        <w:autoSpaceDE/>
        <w:autoSpaceDN/>
        <w:bidi w:val="0"/>
        <w:spacing w:line="540" w:lineRule="exact"/>
        <w:ind w:firstLine="600"/>
        <w:jc w:val="both"/>
        <w:textAlignment w:val="auto"/>
        <w:rPr>
          <w:rFonts w:hint="eastAsia"/>
          <w:sz w:val="32"/>
          <w:szCs w:val="32"/>
        </w:rPr>
      </w:pPr>
      <w:r>
        <w:rPr>
          <w:rFonts w:hint="eastAsia"/>
          <w:sz w:val="32"/>
          <w:szCs w:val="32"/>
        </w:rPr>
        <w:t>水安全保障系统复杂，综合性强，是各地区、多领域、多部门的共同责任，需分工负责，共同推进。加快“三定方案”落实，尽快明确落实各部门在农田水利、生态环境保护、水价改革等职责分工。水利部门重点负责涉水规划制定、工程建设和水事监管。发展改革部门根据国家相关规划争取中央预算内投资支持，财政、水利部门研究落实工程建设资金筹措方案。发展改革、经济和信息化、自然资源、住房城乡建设、生态环境、农业、林草、物价等部门分别负责工业节水、城镇节水及中水回用、水污染防治、田间配套和节水、水源涵养及湿地建设、水价改革等相关工作。相关部门要各司其职，密切协作配合，形成工作合力，同时加强对各县市工作的指导和支持，推动完成各项任务。</w:t>
      </w:r>
    </w:p>
    <w:p w14:paraId="254DFEDF">
      <w:pPr>
        <w:pStyle w:val="4"/>
        <w:keepNext w:val="0"/>
        <w:keepLines w:val="0"/>
        <w:pageBreakBefore w:val="0"/>
        <w:kinsoku/>
        <w:wordWrap/>
        <w:overflowPunct/>
        <w:topLinePunct w:val="0"/>
        <w:autoSpaceDE/>
        <w:autoSpaceDN/>
        <w:bidi w:val="0"/>
        <w:spacing w:line="54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24" w:name="_Toc69484850"/>
      <w:bookmarkStart w:id="125" w:name="_Toc26091_WPSOffice_Level2"/>
      <w:r>
        <w:rPr>
          <w:rFonts w:hint="eastAsia" w:ascii="楷体_GB2312" w:hAnsi="楷体_GB2312" w:eastAsia="楷体_GB2312" w:cs="楷体_GB2312"/>
          <w:b/>
          <w:bCs/>
          <w:kern w:val="2"/>
          <w:sz w:val="32"/>
          <w:szCs w:val="32"/>
          <w:lang w:val="en-US" w:eastAsia="zh-CN" w:bidi="ar-SA"/>
        </w:rPr>
        <w:t>（三）保障资金落实</w:t>
      </w:r>
      <w:bookmarkEnd w:id="124"/>
      <w:bookmarkEnd w:id="125"/>
    </w:p>
    <w:p w14:paraId="05BC80D4">
      <w:pPr>
        <w:keepNext w:val="0"/>
        <w:keepLines w:val="0"/>
        <w:pageBreakBefore w:val="0"/>
        <w:kinsoku/>
        <w:wordWrap/>
        <w:overflowPunct/>
        <w:topLinePunct w:val="0"/>
        <w:autoSpaceDE/>
        <w:autoSpaceDN/>
        <w:bidi w:val="0"/>
        <w:spacing w:line="540" w:lineRule="exact"/>
        <w:ind w:firstLine="600"/>
        <w:jc w:val="both"/>
        <w:textAlignment w:val="auto"/>
        <w:rPr>
          <w:rFonts w:hint="eastAsia"/>
          <w:sz w:val="32"/>
          <w:szCs w:val="32"/>
        </w:rPr>
      </w:pPr>
      <w:r>
        <w:rPr>
          <w:rFonts w:hint="eastAsia"/>
          <w:sz w:val="32"/>
          <w:szCs w:val="32"/>
        </w:rPr>
        <w:t>坚持政府主导，各级均要继续将水利作为公共财政投入的重点领域和基础设施建设的优先领域，进一步加大财政投入力度。坚持多渠道筹措落实水利建设资金，用好政府债券资金，合理利用各类优惠贷款，鼓励社会资本以参股控股、委托运营、整合改制等多种形式参与水利建设。</w:t>
      </w:r>
    </w:p>
    <w:p w14:paraId="227419C7">
      <w:pPr>
        <w:pStyle w:val="4"/>
        <w:keepNext w:val="0"/>
        <w:keepLines w:val="0"/>
        <w:pageBreakBefore w:val="0"/>
        <w:kinsoku/>
        <w:wordWrap/>
        <w:overflowPunct/>
        <w:topLinePunct w:val="0"/>
        <w:autoSpaceDE/>
        <w:autoSpaceDN/>
        <w:bidi w:val="0"/>
        <w:spacing w:line="54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26" w:name="_Toc27063_WPSOffice_Level2"/>
      <w:bookmarkStart w:id="127" w:name="_Toc69484851"/>
      <w:r>
        <w:rPr>
          <w:rFonts w:hint="eastAsia" w:ascii="楷体_GB2312" w:hAnsi="楷体_GB2312" w:eastAsia="楷体_GB2312" w:cs="楷体_GB2312"/>
          <w:b/>
          <w:bCs/>
          <w:kern w:val="2"/>
          <w:sz w:val="32"/>
          <w:szCs w:val="32"/>
          <w:lang w:val="en-US" w:eastAsia="zh-CN" w:bidi="ar-SA"/>
        </w:rPr>
        <w:t>（四）做好前期规划</w:t>
      </w:r>
      <w:bookmarkEnd w:id="126"/>
      <w:bookmarkEnd w:id="127"/>
    </w:p>
    <w:p w14:paraId="68302722">
      <w:pPr>
        <w:keepNext w:val="0"/>
        <w:keepLines w:val="0"/>
        <w:pageBreakBefore w:val="0"/>
        <w:kinsoku/>
        <w:wordWrap/>
        <w:overflowPunct/>
        <w:topLinePunct w:val="0"/>
        <w:autoSpaceDE/>
        <w:autoSpaceDN/>
        <w:bidi w:val="0"/>
        <w:spacing w:line="540" w:lineRule="exact"/>
        <w:ind w:firstLine="600"/>
        <w:jc w:val="both"/>
        <w:textAlignment w:val="auto"/>
        <w:rPr>
          <w:rFonts w:hint="eastAsia"/>
          <w:sz w:val="32"/>
          <w:szCs w:val="32"/>
        </w:rPr>
      </w:pPr>
      <w:r>
        <w:rPr>
          <w:rFonts w:hint="eastAsia"/>
          <w:sz w:val="32"/>
          <w:szCs w:val="32"/>
        </w:rPr>
        <w:t>做好重要规划的编制和报批工作，重点推进全市水资源配置和利用、水生态保护和修复、水土保持等规划研究，科学谋划全市水安全保障格局。以县市和流域为单元，完善防洪、节水、农村饮水等水利专项规划编制工作，妥善解决好工作建设中的生态环境保护、区域水量分配、利益协调等问题，科学确定建设方案，做好项目储备，为水利工程补短板、水利行业强监管奠定基础。</w:t>
      </w:r>
    </w:p>
    <w:p w14:paraId="6F713C29">
      <w:pPr>
        <w:pStyle w:val="4"/>
        <w:keepNext w:val="0"/>
        <w:keepLines w:val="0"/>
        <w:pageBreakBefore w:val="0"/>
        <w:kinsoku/>
        <w:wordWrap/>
        <w:overflowPunct/>
        <w:topLinePunct w:val="0"/>
        <w:autoSpaceDE/>
        <w:autoSpaceDN/>
        <w:bidi w:val="0"/>
        <w:spacing w:line="54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28" w:name="_Toc69484852"/>
      <w:bookmarkStart w:id="129" w:name="_Toc27113_WPSOffice_Level2"/>
      <w:r>
        <w:rPr>
          <w:rFonts w:hint="eastAsia" w:ascii="楷体_GB2312" w:hAnsi="楷体_GB2312" w:eastAsia="楷体_GB2312" w:cs="楷体_GB2312"/>
          <w:b/>
          <w:bCs/>
          <w:kern w:val="2"/>
          <w:sz w:val="32"/>
          <w:szCs w:val="32"/>
          <w:lang w:val="en-US" w:eastAsia="zh-CN" w:bidi="ar-SA"/>
        </w:rPr>
        <w:t>（五）深入宣传引导</w:t>
      </w:r>
      <w:bookmarkEnd w:id="128"/>
      <w:bookmarkEnd w:id="129"/>
    </w:p>
    <w:p w14:paraId="51946E51">
      <w:pPr>
        <w:keepNext w:val="0"/>
        <w:keepLines w:val="0"/>
        <w:pageBreakBefore w:val="0"/>
        <w:kinsoku/>
        <w:wordWrap/>
        <w:overflowPunct/>
        <w:topLinePunct w:val="0"/>
        <w:autoSpaceDE/>
        <w:autoSpaceDN/>
        <w:bidi w:val="0"/>
        <w:spacing w:line="540" w:lineRule="exact"/>
        <w:ind w:firstLine="600"/>
        <w:jc w:val="both"/>
        <w:textAlignment w:val="auto"/>
        <w:rPr>
          <w:rFonts w:hint="eastAsia"/>
          <w:sz w:val="32"/>
          <w:szCs w:val="32"/>
        </w:rPr>
      </w:pPr>
      <w:r>
        <w:rPr>
          <w:rFonts w:hint="eastAsia"/>
          <w:sz w:val="32"/>
          <w:szCs w:val="32"/>
        </w:rPr>
        <w:t>深入学习借鉴先进地区经验，加大水安全宣传教育力度，强化水安全保障的责任担当。加强宣传引导，把水情教育纳入国民素质教育体系和中小学教育课程体系，列入各级领导干部和公务员教育培训内容，提高全市水患意识、节水意识、护水意识和水生态文明意识，营造全社会关心水利、支持水利、发展水利的良好环境，推动形成治水兴水的强大合力。</w:t>
      </w:r>
    </w:p>
    <w:p w14:paraId="0242D59E">
      <w:pPr>
        <w:pStyle w:val="4"/>
        <w:keepNext w:val="0"/>
        <w:keepLines w:val="0"/>
        <w:pageBreakBefore w:val="0"/>
        <w:kinsoku/>
        <w:wordWrap/>
        <w:overflowPunct/>
        <w:topLinePunct w:val="0"/>
        <w:autoSpaceDE/>
        <w:autoSpaceDN/>
        <w:bidi w:val="0"/>
        <w:spacing w:line="540"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30" w:name="_Toc1795_WPSOffice_Level2"/>
      <w:bookmarkStart w:id="131" w:name="_Toc69484853"/>
      <w:r>
        <w:rPr>
          <w:rFonts w:hint="eastAsia" w:ascii="楷体_GB2312" w:hAnsi="楷体_GB2312" w:eastAsia="楷体_GB2312" w:cs="楷体_GB2312"/>
          <w:b/>
          <w:bCs/>
          <w:kern w:val="2"/>
          <w:sz w:val="32"/>
          <w:szCs w:val="32"/>
          <w:lang w:val="en-US" w:eastAsia="zh-CN" w:bidi="ar-SA"/>
        </w:rPr>
        <w:t>（六）建立考评机制</w:t>
      </w:r>
      <w:bookmarkEnd w:id="130"/>
      <w:bookmarkEnd w:id="131"/>
    </w:p>
    <w:p w14:paraId="2FC928FF">
      <w:pPr>
        <w:keepNext w:val="0"/>
        <w:keepLines w:val="0"/>
        <w:pageBreakBefore w:val="0"/>
        <w:kinsoku/>
        <w:wordWrap/>
        <w:overflowPunct/>
        <w:topLinePunct w:val="0"/>
        <w:autoSpaceDE/>
        <w:autoSpaceDN/>
        <w:bidi w:val="0"/>
        <w:spacing w:line="540" w:lineRule="exact"/>
        <w:ind w:firstLine="600"/>
        <w:textAlignment w:val="auto"/>
      </w:pPr>
      <w:r>
        <w:rPr>
          <w:rFonts w:hint="eastAsia"/>
          <w:sz w:val="32"/>
          <w:szCs w:val="32"/>
        </w:rPr>
        <w:t>建立规划实施督促检查机制，明确规划确定的主要任务的责任主体和进度要求，加强对规划目标指标完成情况的考核监督，将规划实施成效纳入地方有关部门绩效考核内容，考核结果作为有关领导干部选拔任用的重要依据。适时开展规划实施情况评估，分析实施效果及存在问题，研究提出规划调整建议，确保规划顺利推进。</w:t>
      </w:r>
    </w:p>
    <w:p w14:paraId="794F7681">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sectPr>
          <w:footerReference r:id="rId10" w:type="first"/>
          <w:footerReference r:id="rId9" w:type="default"/>
          <w:pgSz w:w="11906" w:h="16838"/>
          <w:pgMar w:top="2098" w:right="1474" w:bottom="1984" w:left="1587" w:header="851" w:footer="992" w:gutter="0"/>
          <w:pgNumType w:fmt="numberInDash" w:start="1"/>
          <w:cols w:space="0" w:num="1"/>
          <w:titlePg/>
          <w:rtlGutter w:val="0"/>
          <w:docGrid w:type="lines" w:linePitch="411" w:charSpace="0"/>
        </w:sectPr>
      </w:pPr>
    </w:p>
    <w:p w14:paraId="6693E200">
      <w:pPr>
        <w:widowControl/>
        <w:adjustRightInd/>
        <w:snapToGrid/>
        <w:spacing w:line="240" w:lineRule="auto"/>
        <w:ind w:firstLine="0" w:firstLineChars="0"/>
        <w:outlineLvl w:val="0"/>
      </w:pPr>
      <w:bookmarkStart w:id="132" w:name="_Toc21845_WPSOffice_Level1"/>
      <w:bookmarkStart w:id="133" w:name="_Toc69484854"/>
      <w:r>
        <w:rPr>
          <w:rFonts w:hint="eastAsia"/>
          <w:b/>
          <w:bCs/>
        </w:rPr>
        <w:t>附表</w:t>
      </w:r>
      <w:bookmarkEnd w:id="132"/>
      <w:bookmarkEnd w:id="133"/>
    </w:p>
    <w:p w14:paraId="4CF19EF3">
      <w:pPr>
        <w:widowControl/>
        <w:adjustRightInd/>
        <w:snapToGrid/>
        <w:spacing w:line="240" w:lineRule="auto"/>
        <w:ind w:firstLine="0" w:firstLineChars="0"/>
        <w:jc w:val="center"/>
        <w:rPr>
          <w:rFonts w:hint="eastAsia" w:ascii="方正小标宋简体" w:hAnsi="方正小标宋简体" w:eastAsia="方正小标宋简体" w:cs="方正小标宋简体"/>
          <w:b w:val="0"/>
          <w:bCs w:val="0"/>
          <w:sz w:val="36"/>
          <w:szCs w:val="36"/>
        </w:rPr>
      </w:pPr>
      <w:bookmarkStart w:id="134" w:name="_Toc15726_WPSOffice_Level1"/>
      <w:r>
        <w:rPr>
          <w:rFonts w:hint="eastAsia" w:ascii="方正小标宋简体" w:hAnsi="方正小标宋简体" w:eastAsia="方正小标宋简体" w:cs="方正小标宋简体"/>
          <w:b w:val="0"/>
          <w:bCs w:val="0"/>
          <w:sz w:val="36"/>
          <w:szCs w:val="36"/>
        </w:rPr>
        <w:t>三明市明溪县“十四五”水安全保障规划项目汇总表</w:t>
      </w:r>
      <w:bookmarkEnd w:id="134"/>
    </w:p>
    <w:tbl>
      <w:tblPr>
        <w:tblStyle w:val="13"/>
        <w:tblW w:w="139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8"/>
        <w:gridCol w:w="2349"/>
        <w:gridCol w:w="936"/>
        <w:gridCol w:w="895"/>
        <w:gridCol w:w="901"/>
        <w:gridCol w:w="4243"/>
        <w:gridCol w:w="1176"/>
        <w:gridCol w:w="996"/>
        <w:gridCol w:w="1554"/>
      </w:tblGrid>
      <w:tr w14:paraId="2CC8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blHeader/>
        </w:trPr>
        <w:tc>
          <w:tcPr>
            <w:tcW w:w="898" w:type="dxa"/>
            <w:vMerge w:val="restart"/>
            <w:tcBorders>
              <w:top w:val="single" w:color="auto" w:sz="4" w:space="0"/>
              <w:left w:val="single" w:color="auto" w:sz="4" w:space="0"/>
              <w:bottom w:val="single" w:color="auto" w:sz="4" w:space="0"/>
              <w:right w:val="single" w:color="auto" w:sz="4" w:space="0"/>
            </w:tcBorders>
            <w:vAlign w:val="center"/>
          </w:tcPr>
          <w:p w14:paraId="29B8482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序号</w:t>
            </w:r>
          </w:p>
        </w:tc>
        <w:tc>
          <w:tcPr>
            <w:tcW w:w="2349" w:type="dxa"/>
            <w:vMerge w:val="restart"/>
            <w:tcBorders>
              <w:top w:val="single" w:color="auto" w:sz="4" w:space="0"/>
              <w:left w:val="single" w:color="auto" w:sz="4" w:space="0"/>
              <w:bottom w:val="single" w:color="auto" w:sz="4" w:space="0"/>
              <w:right w:val="single" w:color="auto" w:sz="4" w:space="0"/>
            </w:tcBorders>
            <w:vAlign w:val="center"/>
          </w:tcPr>
          <w:p w14:paraId="388CB7D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项目名称</w:t>
            </w:r>
          </w:p>
        </w:tc>
        <w:tc>
          <w:tcPr>
            <w:tcW w:w="936" w:type="dxa"/>
            <w:vMerge w:val="restart"/>
            <w:tcBorders>
              <w:top w:val="single" w:color="auto" w:sz="4" w:space="0"/>
              <w:left w:val="single" w:color="auto" w:sz="4" w:space="0"/>
              <w:bottom w:val="single" w:color="auto" w:sz="4" w:space="0"/>
              <w:right w:val="single" w:color="auto" w:sz="4" w:space="0"/>
            </w:tcBorders>
            <w:vAlign w:val="center"/>
          </w:tcPr>
          <w:p w14:paraId="4E77427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建设地点</w:t>
            </w:r>
          </w:p>
        </w:tc>
        <w:tc>
          <w:tcPr>
            <w:tcW w:w="895" w:type="dxa"/>
            <w:vMerge w:val="restart"/>
            <w:tcBorders>
              <w:top w:val="single" w:color="auto" w:sz="4" w:space="0"/>
              <w:left w:val="single" w:color="auto" w:sz="4" w:space="0"/>
              <w:bottom w:val="single" w:color="auto" w:sz="4" w:space="0"/>
              <w:right w:val="single" w:color="auto" w:sz="4" w:space="0"/>
            </w:tcBorders>
            <w:vAlign w:val="center"/>
          </w:tcPr>
          <w:p w14:paraId="71692B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建设性质</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14:paraId="091111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工程等级</w:t>
            </w:r>
          </w:p>
        </w:tc>
        <w:tc>
          <w:tcPr>
            <w:tcW w:w="4243" w:type="dxa"/>
            <w:vMerge w:val="restart"/>
            <w:tcBorders>
              <w:top w:val="single" w:color="auto" w:sz="4" w:space="0"/>
              <w:left w:val="single" w:color="auto" w:sz="4" w:space="0"/>
              <w:bottom w:val="single" w:color="auto" w:sz="4" w:space="0"/>
              <w:right w:val="single" w:color="auto" w:sz="4" w:space="0"/>
            </w:tcBorders>
            <w:vAlign w:val="center"/>
          </w:tcPr>
          <w:p w14:paraId="04AFDF9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主要建设内容</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14:paraId="256FCAC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前期进展</w:t>
            </w:r>
          </w:p>
        </w:tc>
        <w:tc>
          <w:tcPr>
            <w:tcW w:w="2550" w:type="dxa"/>
            <w:gridSpan w:val="2"/>
            <w:tcBorders>
              <w:top w:val="single" w:color="auto" w:sz="4" w:space="0"/>
              <w:left w:val="nil"/>
              <w:bottom w:val="single" w:color="auto" w:sz="4" w:space="0"/>
              <w:right w:val="single" w:color="auto" w:sz="4" w:space="0"/>
            </w:tcBorders>
            <w:vAlign w:val="center"/>
          </w:tcPr>
          <w:p w14:paraId="1035A9A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项目投资情况（万元）</w:t>
            </w:r>
          </w:p>
        </w:tc>
      </w:tr>
      <w:tr w14:paraId="2938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898" w:type="dxa"/>
            <w:vMerge w:val="continue"/>
            <w:tcBorders>
              <w:top w:val="single" w:color="auto" w:sz="4" w:space="0"/>
              <w:left w:val="single" w:color="auto" w:sz="4" w:space="0"/>
              <w:bottom w:val="single" w:color="auto" w:sz="4" w:space="0"/>
              <w:right w:val="single" w:color="auto" w:sz="4" w:space="0"/>
            </w:tcBorders>
            <w:vAlign w:val="center"/>
          </w:tcPr>
          <w:p w14:paraId="725E26C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2349" w:type="dxa"/>
            <w:vMerge w:val="continue"/>
            <w:tcBorders>
              <w:top w:val="single" w:color="auto" w:sz="4" w:space="0"/>
              <w:left w:val="single" w:color="auto" w:sz="4" w:space="0"/>
              <w:bottom w:val="single" w:color="auto" w:sz="4" w:space="0"/>
              <w:right w:val="single" w:color="auto" w:sz="4" w:space="0"/>
            </w:tcBorders>
            <w:vAlign w:val="center"/>
          </w:tcPr>
          <w:p w14:paraId="3CE3603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4C50FAC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6245C04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28CF1FB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4243" w:type="dxa"/>
            <w:vMerge w:val="continue"/>
            <w:tcBorders>
              <w:top w:val="single" w:color="auto" w:sz="4" w:space="0"/>
              <w:left w:val="single" w:color="auto" w:sz="4" w:space="0"/>
              <w:bottom w:val="single" w:color="auto" w:sz="4" w:space="0"/>
              <w:right w:val="single" w:color="auto" w:sz="4" w:space="0"/>
            </w:tcBorders>
            <w:vAlign w:val="center"/>
          </w:tcPr>
          <w:p w14:paraId="090384B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43FC5C7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996" w:type="dxa"/>
            <w:vMerge w:val="restart"/>
            <w:tcBorders>
              <w:top w:val="nil"/>
              <w:left w:val="single" w:color="auto" w:sz="4" w:space="0"/>
              <w:bottom w:val="single" w:color="auto" w:sz="4" w:space="0"/>
              <w:right w:val="single" w:color="auto" w:sz="4" w:space="0"/>
            </w:tcBorders>
            <w:vAlign w:val="center"/>
          </w:tcPr>
          <w:p w14:paraId="258F052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总投资</w:t>
            </w:r>
          </w:p>
        </w:tc>
        <w:tc>
          <w:tcPr>
            <w:tcW w:w="1554" w:type="dxa"/>
            <w:tcBorders>
              <w:top w:val="nil"/>
              <w:left w:val="nil"/>
              <w:bottom w:val="single" w:color="auto" w:sz="4" w:space="0"/>
              <w:right w:val="single" w:color="auto" w:sz="4" w:space="0"/>
            </w:tcBorders>
            <w:vAlign w:val="center"/>
          </w:tcPr>
          <w:p w14:paraId="640F812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rFonts w:hint="eastAsia"/>
                <w:b/>
                <w:bCs/>
                <w:kern w:val="0"/>
                <w:sz w:val="24"/>
                <w:szCs w:val="24"/>
                <w:lang w:eastAsia="zh-CN"/>
              </w:rPr>
              <w:t>“</w:t>
            </w:r>
            <w:r>
              <w:rPr>
                <w:b/>
                <w:bCs/>
                <w:kern w:val="0"/>
                <w:sz w:val="24"/>
                <w:szCs w:val="24"/>
              </w:rPr>
              <w:t>十四五</w:t>
            </w:r>
            <w:r>
              <w:rPr>
                <w:rFonts w:hint="eastAsia"/>
                <w:b/>
                <w:bCs/>
                <w:kern w:val="0"/>
                <w:sz w:val="24"/>
                <w:szCs w:val="24"/>
                <w:lang w:eastAsia="zh-CN"/>
              </w:rPr>
              <w:t>”</w:t>
            </w:r>
            <w:r>
              <w:rPr>
                <w:b/>
                <w:bCs/>
                <w:kern w:val="0"/>
                <w:sz w:val="24"/>
                <w:szCs w:val="24"/>
              </w:rPr>
              <w:t>期间</w:t>
            </w:r>
          </w:p>
        </w:tc>
      </w:tr>
      <w:tr w14:paraId="1826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898" w:type="dxa"/>
            <w:vMerge w:val="continue"/>
            <w:tcBorders>
              <w:top w:val="single" w:color="auto" w:sz="4" w:space="0"/>
              <w:left w:val="single" w:color="auto" w:sz="4" w:space="0"/>
              <w:bottom w:val="single" w:color="auto" w:sz="4" w:space="0"/>
              <w:right w:val="single" w:color="auto" w:sz="4" w:space="0"/>
            </w:tcBorders>
            <w:vAlign w:val="center"/>
          </w:tcPr>
          <w:p w14:paraId="370D0FC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2349" w:type="dxa"/>
            <w:vMerge w:val="continue"/>
            <w:tcBorders>
              <w:top w:val="single" w:color="auto" w:sz="4" w:space="0"/>
              <w:left w:val="single" w:color="auto" w:sz="4" w:space="0"/>
              <w:bottom w:val="single" w:color="auto" w:sz="4" w:space="0"/>
              <w:right w:val="single" w:color="auto" w:sz="4" w:space="0"/>
            </w:tcBorders>
            <w:vAlign w:val="center"/>
          </w:tcPr>
          <w:p w14:paraId="7C37AC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1A15523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64B28D6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4605374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4243" w:type="dxa"/>
            <w:vMerge w:val="continue"/>
            <w:tcBorders>
              <w:top w:val="single" w:color="auto" w:sz="4" w:space="0"/>
              <w:left w:val="single" w:color="auto" w:sz="4" w:space="0"/>
              <w:bottom w:val="single" w:color="auto" w:sz="4" w:space="0"/>
              <w:right w:val="single" w:color="auto" w:sz="4" w:space="0"/>
            </w:tcBorders>
            <w:vAlign w:val="center"/>
          </w:tcPr>
          <w:p w14:paraId="26F0AEE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68C787E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996" w:type="dxa"/>
            <w:vMerge w:val="continue"/>
            <w:tcBorders>
              <w:top w:val="nil"/>
              <w:left w:val="single" w:color="auto" w:sz="4" w:space="0"/>
              <w:bottom w:val="single" w:color="auto" w:sz="4" w:space="0"/>
              <w:right w:val="single" w:color="auto" w:sz="4" w:space="0"/>
            </w:tcBorders>
            <w:vAlign w:val="center"/>
          </w:tcPr>
          <w:p w14:paraId="65194D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p>
        </w:tc>
        <w:tc>
          <w:tcPr>
            <w:tcW w:w="1554" w:type="dxa"/>
            <w:tcBorders>
              <w:top w:val="nil"/>
              <w:left w:val="nil"/>
              <w:bottom w:val="single" w:color="auto" w:sz="4" w:space="0"/>
              <w:right w:val="single" w:color="auto" w:sz="4" w:space="0"/>
            </w:tcBorders>
            <w:vAlign w:val="center"/>
          </w:tcPr>
          <w:p w14:paraId="32D96EA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
                <w:bCs/>
                <w:kern w:val="0"/>
                <w:sz w:val="24"/>
                <w:szCs w:val="24"/>
              </w:rPr>
            </w:pPr>
            <w:r>
              <w:rPr>
                <w:b/>
                <w:bCs/>
                <w:kern w:val="0"/>
                <w:sz w:val="24"/>
                <w:szCs w:val="24"/>
              </w:rPr>
              <w:t>计划投资</w:t>
            </w:r>
          </w:p>
        </w:tc>
      </w:tr>
      <w:tr w14:paraId="4F59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7" w:type="dxa"/>
            <w:gridSpan w:val="2"/>
            <w:tcBorders>
              <w:top w:val="nil"/>
              <w:left w:val="single" w:color="auto" w:sz="4" w:space="0"/>
              <w:bottom w:val="single" w:color="auto" w:sz="4" w:space="0"/>
              <w:right w:val="single" w:color="auto" w:sz="4" w:space="0"/>
            </w:tcBorders>
            <w:vAlign w:val="center"/>
          </w:tcPr>
          <w:p w14:paraId="0F460AD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936" w:type="dxa"/>
            <w:tcBorders>
              <w:top w:val="nil"/>
              <w:left w:val="nil"/>
              <w:bottom w:val="single" w:color="auto" w:sz="4" w:space="0"/>
              <w:right w:val="single" w:color="auto" w:sz="4" w:space="0"/>
            </w:tcBorders>
            <w:vAlign w:val="center"/>
          </w:tcPr>
          <w:p w14:paraId="53277DA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0ADDE2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36851E7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5180CEB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1DFC02B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217ABEC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238821</w:t>
            </w:r>
          </w:p>
        </w:tc>
        <w:tc>
          <w:tcPr>
            <w:tcW w:w="1554" w:type="dxa"/>
            <w:tcBorders>
              <w:top w:val="nil"/>
              <w:left w:val="nil"/>
              <w:bottom w:val="single" w:color="auto" w:sz="4" w:space="0"/>
              <w:right w:val="single" w:color="auto" w:sz="4" w:space="0"/>
            </w:tcBorders>
            <w:vAlign w:val="center"/>
          </w:tcPr>
          <w:p w14:paraId="4D0914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208318</w:t>
            </w:r>
          </w:p>
        </w:tc>
      </w:tr>
      <w:tr w14:paraId="21E9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3187BF1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w:t>
            </w:r>
          </w:p>
        </w:tc>
        <w:tc>
          <w:tcPr>
            <w:tcW w:w="2349" w:type="dxa"/>
            <w:tcBorders>
              <w:top w:val="nil"/>
              <w:left w:val="nil"/>
              <w:bottom w:val="single" w:color="auto" w:sz="4" w:space="0"/>
              <w:right w:val="single" w:color="auto" w:sz="4" w:space="0"/>
            </w:tcBorders>
            <w:vAlign w:val="center"/>
          </w:tcPr>
          <w:p w14:paraId="0FA3B81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防洪涝安全保障工程</w:t>
            </w:r>
          </w:p>
        </w:tc>
        <w:tc>
          <w:tcPr>
            <w:tcW w:w="936" w:type="dxa"/>
            <w:tcBorders>
              <w:top w:val="nil"/>
              <w:left w:val="nil"/>
              <w:bottom w:val="single" w:color="auto" w:sz="4" w:space="0"/>
              <w:right w:val="single" w:color="auto" w:sz="4" w:space="0"/>
            </w:tcBorders>
            <w:vAlign w:val="center"/>
          </w:tcPr>
          <w:p w14:paraId="4BC4E5A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692C4EC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7DC3D6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3A6D6F9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58A770C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326A27B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94235</w:t>
            </w:r>
          </w:p>
        </w:tc>
        <w:tc>
          <w:tcPr>
            <w:tcW w:w="1554" w:type="dxa"/>
            <w:tcBorders>
              <w:top w:val="nil"/>
              <w:left w:val="nil"/>
              <w:bottom w:val="single" w:color="auto" w:sz="4" w:space="0"/>
              <w:right w:val="single" w:color="auto" w:sz="4" w:space="0"/>
            </w:tcBorders>
            <w:vAlign w:val="center"/>
          </w:tcPr>
          <w:p w14:paraId="593FCA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63732</w:t>
            </w:r>
          </w:p>
        </w:tc>
      </w:tr>
      <w:tr w14:paraId="558E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4FED7D1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1.1</w:t>
            </w:r>
          </w:p>
        </w:tc>
        <w:tc>
          <w:tcPr>
            <w:tcW w:w="2349" w:type="dxa"/>
            <w:tcBorders>
              <w:top w:val="nil"/>
              <w:left w:val="nil"/>
              <w:bottom w:val="single" w:color="auto" w:sz="4" w:space="0"/>
              <w:right w:val="single" w:color="auto" w:sz="4" w:space="0"/>
            </w:tcBorders>
            <w:vAlign w:val="center"/>
          </w:tcPr>
          <w:p w14:paraId="37A8D94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闽江防洪提升工程</w:t>
            </w:r>
          </w:p>
        </w:tc>
        <w:tc>
          <w:tcPr>
            <w:tcW w:w="936" w:type="dxa"/>
            <w:tcBorders>
              <w:top w:val="nil"/>
              <w:left w:val="nil"/>
              <w:bottom w:val="single" w:color="auto" w:sz="4" w:space="0"/>
              <w:right w:val="single" w:color="auto" w:sz="4" w:space="0"/>
            </w:tcBorders>
            <w:vAlign w:val="center"/>
          </w:tcPr>
          <w:p w14:paraId="65FB5B8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4CC8C9D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76CBA2E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738DD07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413D9D6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30A533F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41585</w:t>
            </w:r>
          </w:p>
        </w:tc>
        <w:tc>
          <w:tcPr>
            <w:tcW w:w="1554" w:type="dxa"/>
            <w:tcBorders>
              <w:top w:val="nil"/>
              <w:left w:val="nil"/>
              <w:bottom w:val="single" w:color="auto" w:sz="4" w:space="0"/>
              <w:right w:val="single" w:color="auto" w:sz="4" w:space="0"/>
            </w:tcBorders>
            <w:vAlign w:val="center"/>
          </w:tcPr>
          <w:p w14:paraId="3BDA005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31082</w:t>
            </w:r>
          </w:p>
        </w:tc>
      </w:tr>
      <w:tr w14:paraId="7066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619F6FE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40182AC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闽江上游沙溪流域防洪四期工程（明溪段）</w:t>
            </w:r>
          </w:p>
        </w:tc>
        <w:tc>
          <w:tcPr>
            <w:tcW w:w="936" w:type="dxa"/>
            <w:tcBorders>
              <w:top w:val="nil"/>
              <w:left w:val="nil"/>
              <w:bottom w:val="single" w:color="auto" w:sz="4" w:space="0"/>
              <w:right w:val="single" w:color="auto" w:sz="4" w:space="0"/>
            </w:tcBorders>
            <w:vAlign w:val="center"/>
          </w:tcPr>
          <w:p w14:paraId="73D71C5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11493B9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续建</w:t>
            </w:r>
          </w:p>
        </w:tc>
        <w:tc>
          <w:tcPr>
            <w:tcW w:w="901" w:type="dxa"/>
            <w:tcBorders>
              <w:top w:val="nil"/>
              <w:left w:val="nil"/>
              <w:bottom w:val="single" w:color="auto" w:sz="4" w:space="0"/>
              <w:right w:val="single" w:color="auto" w:sz="4" w:space="0"/>
            </w:tcBorders>
            <w:vAlign w:val="center"/>
          </w:tcPr>
          <w:p w14:paraId="3CAE4A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B5C92E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防洪标准10～30年一遇，建设防洪堤长13.686公里，新建排涝涵洞42处 。</w:t>
            </w:r>
          </w:p>
        </w:tc>
        <w:tc>
          <w:tcPr>
            <w:tcW w:w="1176" w:type="dxa"/>
            <w:tcBorders>
              <w:top w:val="nil"/>
              <w:left w:val="nil"/>
              <w:bottom w:val="single" w:color="auto" w:sz="4" w:space="0"/>
              <w:right w:val="single" w:color="auto" w:sz="4" w:space="0"/>
            </w:tcBorders>
            <w:vAlign w:val="center"/>
          </w:tcPr>
          <w:p w14:paraId="47D1EB7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在建</w:t>
            </w:r>
          </w:p>
        </w:tc>
        <w:tc>
          <w:tcPr>
            <w:tcW w:w="996" w:type="dxa"/>
            <w:tcBorders>
              <w:top w:val="nil"/>
              <w:left w:val="nil"/>
              <w:bottom w:val="single" w:color="auto" w:sz="4" w:space="0"/>
              <w:right w:val="single" w:color="auto" w:sz="4" w:space="0"/>
            </w:tcBorders>
            <w:vAlign w:val="center"/>
          </w:tcPr>
          <w:p w14:paraId="5B0CCD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18585</w:t>
            </w:r>
          </w:p>
        </w:tc>
        <w:tc>
          <w:tcPr>
            <w:tcW w:w="1554" w:type="dxa"/>
            <w:tcBorders>
              <w:top w:val="nil"/>
              <w:left w:val="nil"/>
              <w:bottom w:val="single" w:color="auto" w:sz="4" w:space="0"/>
              <w:right w:val="single" w:color="auto" w:sz="4" w:space="0"/>
            </w:tcBorders>
            <w:vAlign w:val="center"/>
          </w:tcPr>
          <w:p w14:paraId="3B1B2E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8082</w:t>
            </w:r>
          </w:p>
        </w:tc>
      </w:tr>
      <w:tr w14:paraId="6B87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98" w:type="dxa"/>
            <w:tcBorders>
              <w:top w:val="nil"/>
              <w:left w:val="single" w:color="auto" w:sz="4" w:space="0"/>
              <w:bottom w:val="single" w:color="auto" w:sz="4" w:space="0"/>
              <w:right w:val="single" w:color="auto" w:sz="4" w:space="0"/>
            </w:tcBorders>
            <w:vAlign w:val="center"/>
          </w:tcPr>
          <w:p w14:paraId="7785AB2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9" w:type="dxa"/>
            <w:tcBorders>
              <w:top w:val="nil"/>
              <w:left w:val="nil"/>
              <w:bottom w:val="single" w:color="auto" w:sz="4" w:space="0"/>
              <w:right w:val="single" w:color="auto" w:sz="4" w:space="0"/>
            </w:tcBorders>
            <w:vAlign w:val="center"/>
          </w:tcPr>
          <w:p w14:paraId="558D5CE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闽江上游沙溪流域防洪五期工程（明溪段）</w:t>
            </w:r>
          </w:p>
        </w:tc>
        <w:tc>
          <w:tcPr>
            <w:tcW w:w="936" w:type="dxa"/>
            <w:tcBorders>
              <w:top w:val="nil"/>
              <w:left w:val="nil"/>
              <w:bottom w:val="single" w:color="auto" w:sz="4" w:space="0"/>
              <w:right w:val="single" w:color="auto" w:sz="4" w:space="0"/>
            </w:tcBorders>
            <w:vAlign w:val="center"/>
          </w:tcPr>
          <w:p w14:paraId="0AB8056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4C9FBE5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w:t>
            </w:r>
          </w:p>
        </w:tc>
        <w:tc>
          <w:tcPr>
            <w:tcW w:w="901" w:type="dxa"/>
            <w:tcBorders>
              <w:top w:val="nil"/>
              <w:left w:val="nil"/>
              <w:bottom w:val="single" w:color="auto" w:sz="4" w:space="0"/>
              <w:right w:val="single" w:color="auto" w:sz="4" w:space="0"/>
            </w:tcBorders>
            <w:vAlign w:val="center"/>
          </w:tcPr>
          <w:p w14:paraId="7BBD9F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7661A09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新建沙溪流域明溪县渔塘溪干流、夏阳溪支流防洪堤共计10.4公里</w:t>
            </w:r>
          </w:p>
        </w:tc>
        <w:tc>
          <w:tcPr>
            <w:tcW w:w="1176" w:type="dxa"/>
            <w:tcBorders>
              <w:top w:val="nil"/>
              <w:left w:val="nil"/>
              <w:bottom w:val="single" w:color="auto" w:sz="4" w:space="0"/>
              <w:right w:val="single" w:color="auto" w:sz="4" w:space="0"/>
            </w:tcBorders>
            <w:vAlign w:val="center"/>
          </w:tcPr>
          <w:p w14:paraId="4D425BE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358E5E2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10500</w:t>
            </w:r>
          </w:p>
        </w:tc>
        <w:tc>
          <w:tcPr>
            <w:tcW w:w="1554" w:type="dxa"/>
            <w:tcBorders>
              <w:top w:val="nil"/>
              <w:left w:val="nil"/>
              <w:bottom w:val="single" w:color="auto" w:sz="4" w:space="0"/>
              <w:right w:val="single" w:color="auto" w:sz="4" w:space="0"/>
            </w:tcBorders>
            <w:vAlign w:val="center"/>
          </w:tcPr>
          <w:p w14:paraId="79D9329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10500</w:t>
            </w:r>
          </w:p>
        </w:tc>
      </w:tr>
      <w:tr w14:paraId="0131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98" w:type="dxa"/>
            <w:tcBorders>
              <w:top w:val="nil"/>
              <w:left w:val="single" w:color="auto" w:sz="4" w:space="0"/>
              <w:bottom w:val="single" w:color="auto" w:sz="4" w:space="0"/>
              <w:right w:val="single" w:color="auto" w:sz="4" w:space="0"/>
            </w:tcBorders>
            <w:vAlign w:val="center"/>
          </w:tcPr>
          <w:p w14:paraId="33145E7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49" w:type="dxa"/>
            <w:tcBorders>
              <w:top w:val="nil"/>
              <w:left w:val="nil"/>
              <w:bottom w:val="single" w:color="auto" w:sz="4" w:space="0"/>
              <w:right w:val="single" w:color="auto" w:sz="4" w:space="0"/>
            </w:tcBorders>
            <w:vAlign w:val="center"/>
          </w:tcPr>
          <w:p w14:paraId="46103E6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闽江上游金溪流域防洪工程（明溪段）</w:t>
            </w:r>
          </w:p>
        </w:tc>
        <w:tc>
          <w:tcPr>
            <w:tcW w:w="936" w:type="dxa"/>
            <w:tcBorders>
              <w:top w:val="nil"/>
              <w:left w:val="nil"/>
              <w:bottom w:val="single" w:color="auto" w:sz="4" w:space="0"/>
              <w:right w:val="single" w:color="auto" w:sz="4" w:space="0"/>
            </w:tcBorders>
            <w:vAlign w:val="center"/>
          </w:tcPr>
          <w:p w14:paraId="3A2B0B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783E9F0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w:t>
            </w:r>
          </w:p>
        </w:tc>
        <w:tc>
          <w:tcPr>
            <w:tcW w:w="901" w:type="dxa"/>
            <w:tcBorders>
              <w:top w:val="nil"/>
              <w:left w:val="nil"/>
              <w:bottom w:val="single" w:color="auto" w:sz="4" w:space="0"/>
              <w:right w:val="single" w:color="auto" w:sz="4" w:space="0"/>
            </w:tcBorders>
            <w:vAlign w:val="center"/>
          </w:tcPr>
          <w:p w14:paraId="2D13C2D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593631A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新建金溪流域明溪县盖洋溪、夏坊溪、枫溪乡中溪、城岚溪防洪堤共计12.5公里</w:t>
            </w:r>
          </w:p>
        </w:tc>
        <w:tc>
          <w:tcPr>
            <w:tcW w:w="1176" w:type="dxa"/>
            <w:tcBorders>
              <w:top w:val="nil"/>
              <w:left w:val="nil"/>
              <w:bottom w:val="single" w:color="auto" w:sz="4" w:space="0"/>
              <w:right w:val="single" w:color="auto" w:sz="4" w:space="0"/>
            </w:tcBorders>
            <w:vAlign w:val="center"/>
          </w:tcPr>
          <w:p w14:paraId="255A6EE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02F7795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12500</w:t>
            </w:r>
          </w:p>
        </w:tc>
        <w:tc>
          <w:tcPr>
            <w:tcW w:w="1554" w:type="dxa"/>
            <w:tcBorders>
              <w:top w:val="nil"/>
              <w:left w:val="nil"/>
              <w:bottom w:val="single" w:color="auto" w:sz="4" w:space="0"/>
              <w:right w:val="single" w:color="auto" w:sz="4" w:space="0"/>
            </w:tcBorders>
            <w:vAlign w:val="center"/>
          </w:tcPr>
          <w:p w14:paraId="4319938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12500</w:t>
            </w:r>
          </w:p>
        </w:tc>
      </w:tr>
      <w:tr w14:paraId="1B4C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618509A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1.2</w:t>
            </w:r>
          </w:p>
        </w:tc>
        <w:tc>
          <w:tcPr>
            <w:tcW w:w="2349" w:type="dxa"/>
            <w:tcBorders>
              <w:top w:val="nil"/>
              <w:left w:val="nil"/>
              <w:bottom w:val="single" w:color="auto" w:sz="4" w:space="0"/>
              <w:right w:val="single" w:color="auto" w:sz="4" w:space="0"/>
            </w:tcBorders>
            <w:vAlign w:val="center"/>
          </w:tcPr>
          <w:p w14:paraId="56AF540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中小河流治理</w:t>
            </w:r>
          </w:p>
        </w:tc>
        <w:tc>
          <w:tcPr>
            <w:tcW w:w="936" w:type="dxa"/>
            <w:tcBorders>
              <w:top w:val="nil"/>
              <w:left w:val="nil"/>
              <w:bottom w:val="single" w:color="auto" w:sz="4" w:space="0"/>
              <w:right w:val="single" w:color="auto" w:sz="4" w:space="0"/>
            </w:tcBorders>
            <w:vAlign w:val="center"/>
          </w:tcPr>
          <w:p w14:paraId="3E1DB91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7898DAD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6C5DF3B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76CDD57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78111C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3D81D31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20700</w:t>
            </w:r>
          </w:p>
        </w:tc>
        <w:tc>
          <w:tcPr>
            <w:tcW w:w="1554" w:type="dxa"/>
            <w:tcBorders>
              <w:top w:val="nil"/>
              <w:left w:val="nil"/>
              <w:bottom w:val="single" w:color="auto" w:sz="4" w:space="0"/>
              <w:right w:val="single" w:color="auto" w:sz="4" w:space="0"/>
            </w:tcBorders>
            <w:vAlign w:val="center"/>
          </w:tcPr>
          <w:p w14:paraId="41D641D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20700</w:t>
            </w:r>
          </w:p>
        </w:tc>
      </w:tr>
      <w:tr w14:paraId="6C02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4F34439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395CF42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明溪县夏坊溪合堂丘段河道治理工程</w:t>
            </w:r>
          </w:p>
        </w:tc>
        <w:tc>
          <w:tcPr>
            <w:tcW w:w="936" w:type="dxa"/>
            <w:tcBorders>
              <w:top w:val="nil"/>
              <w:left w:val="nil"/>
              <w:bottom w:val="single" w:color="auto" w:sz="4" w:space="0"/>
              <w:right w:val="single" w:color="auto" w:sz="4" w:space="0"/>
            </w:tcBorders>
            <w:vAlign w:val="center"/>
          </w:tcPr>
          <w:p w14:paraId="5868B78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夏坊乡</w:t>
            </w:r>
          </w:p>
        </w:tc>
        <w:tc>
          <w:tcPr>
            <w:tcW w:w="895" w:type="dxa"/>
            <w:tcBorders>
              <w:top w:val="nil"/>
              <w:left w:val="nil"/>
              <w:bottom w:val="single" w:color="auto" w:sz="4" w:space="0"/>
              <w:right w:val="single" w:color="auto" w:sz="4" w:space="0"/>
            </w:tcBorders>
            <w:vAlign w:val="center"/>
          </w:tcPr>
          <w:p w14:paraId="59DC744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3C4934D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76C9D5E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治理河道长3.6km，新建堤防、护岸3.5km.</w:t>
            </w:r>
          </w:p>
        </w:tc>
        <w:tc>
          <w:tcPr>
            <w:tcW w:w="1176" w:type="dxa"/>
            <w:tcBorders>
              <w:top w:val="nil"/>
              <w:left w:val="nil"/>
              <w:bottom w:val="single" w:color="auto" w:sz="4" w:space="0"/>
              <w:right w:val="single" w:color="auto" w:sz="4" w:space="0"/>
            </w:tcBorders>
            <w:vAlign w:val="center"/>
          </w:tcPr>
          <w:p w14:paraId="7FCE06C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7C1139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2000</w:t>
            </w:r>
          </w:p>
        </w:tc>
        <w:tc>
          <w:tcPr>
            <w:tcW w:w="1554" w:type="dxa"/>
            <w:tcBorders>
              <w:top w:val="nil"/>
              <w:left w:val="nil"/>
              <w:bottom w:val="single" w:color="auto" w:sz="4" w:space="0"/>
              <w:right w:val="single" w:color="auto" w:sz="4" w:space="0"/>
            </w:tcBorders>
            <w:vAlign w:val="center"/>
          </w:tcPr>
          <w:p w14:paraId="38714CC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2000</w:t>
            </w:r>
          </w:p>
        </w:tc>
      </w:tr>
      <w:tr w14:paraId="3504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14D6EF6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9" w:type="dxa"/>
            <w:tcBorders>
              <w:top w:val="nil"/>
              <w:left w:val="nil"/>
              <w:bottom w:val="single" w:color="auto" w:sz="4" w:space="0"/>
              <w:right w:val="single" w:color="auto" w:sz="4" w:space="0"/>
            </w:tcBorders>
            <w:vAlign w:val="center"/>
          </w:tcPr>
          <w:p w14:paraId="13C0820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明溪县盖洋溪湖上段河道治理工程</w:t>
            </w:r>
          </w:p>
        </w:tc>
        <w:tc>
          <w:tcPr>
            <w:tcW w:w="936" w:type="dxa"/>
            <w:tcBorders>
              <w:top w:val="nil"/>
              <w:left w:val="nil"/>
              <w:bottom w:val="single" w:color="auto" w:sz="4" w:space="0"/>
              <w:right w:val="single" w:color="auto" w:sz="4" w:space="0"/>
            </w:tcBorders>
            <w:vAlign w:val="center"/>
          </w:tcPr>
          <w:p w14:paraId="3DDE69E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盖洋镇</w:t>
            </w:r>
          </w:p>
        </w:tc>
        <w:tc>
          <w:tcPr>
            <w:tcW w:w="895" w:type="dxa"/>
            <w:tcBorders>
              <w:top w:val="nil"/>
              <w:left w:val="nil"/>
              <w:bottom w:val="single" w:color="auto" w:sz="4" w:space="0"/>
              <w:right w:val="single" w:color="auto" w:sz="4" w:space="0"/>
            </w:tcBorders>
            <w:vAlign w:val="center"/>
          </w:tcPr>
          <w:p w14:paraId="078804A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7768C5C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419AFC8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治理河道长4.5km，新建堤防、护岸3.5km.</w:t>
            </w:r>
          </w:p>
        </w:tc>
        <w:tc>
          <w:tcPr>
            <w:tcW w:w="1176" w:type="dxa"/>
            <w:tcBorders>
              <w:top w:val="nil"/>
              <w:left w:val="nil"/>
              <w:bottom w:val="single" w:color="auto" w:sz="4" w:space="0"/>
              <w:right w:val="single" w:color="auto" w:sz="4" w:space="0"/>
            </w:tcBorders>
            <w:vAlign w:val="center"/>
          </w:tcPr>
          <w:p w14:paraId="40133A1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60B749B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2400</w:t>
            </w:r>
          </w:p>
        </w:tc>
        <w:tc>
          <w:tcPr>
            <w:tcW w:w="1554" w:type="dxa"/>
            <w:tcBorders>
              <w:top w:val="nil"/>
              <w:left w:val="nil"/>
              <w:bottom w:val="single" w:color="auto" w:sz="4" w:space="0"/>
              <w:right w:val="single" w:color="auto" w:sz="4" w:space="0"/>
            </w:tcBorders>
            <w:vAlign w:val="center"/>
          </w:tcPr>
          <w:p w14:paraId="506F034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2400</w:t>
            </w:r>
          </w:p>
        </w:tc>
      </w:tr>
      <w:tr w14:paraId="678E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082DCD6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49" w:type="dxa"/>
            <w:tcBorders>
              <w:top w:val="nil"/>
              <w:left w:val="nil"/>
              <w:bottom w:val="single" w:color="auto" w:sz="4" w:space="0"/>
              <w:right w:val="single" w:color="auto" w:sz="4" w:space="0"/>
            </w:tcBorders>
            <w:vAlign w:val="center"/>
          </w:tcPr>
          <w:p w14:paraId="0356E69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渔塘溪明溪城区段河道治理工程</w:t>
            </w:r>
          </w:p>
        </w:tc>
        <w:tc>
          <w:tcPr>
            <w:tcW w:w="936" w:type="dxa"/>
            <w:tcBorders>
              <w:top w:val="nil"/>
              <w:left w:val="nil"/>
              <w:bottom w:val="single" w:color="auto" w:sz="4" w:space="0"/>
              <w:right w:val="single" w:color="auto" w:sz="4" w:space="0"/>
            </w:tcBorders>
            <w:vAlign w:val="center"/>
          </w:tcPr>
          <w:p w14:paraId="0B06BDA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明溪县城区</w:t>
            </w:r>
          </w:p>
        </w:tc>
        <w:tc>
          <w:tcPr>
            <w:tcW w:w="895" w:type="dxa"/>
            <w:tcBorders>
              <w:top w:val="nil"/>
              <w:left w:val="nil"/>
              <w:bottom w:val="single" w:color="auto" w:sz="4" w:space="0"/>
              <w:right w:val="single" w:color="auto" w:sz="4" w:space="0"/>
            </w:tcBorders>
            <w:vAlign w:val="center"/>
          </w:tcPr>
          <w:p w14:paraId="666B87E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6399FC7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3424788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治理河道长6.2km，新建堤防4.2km.堤防加高加固2.2km,河道清淤6.2km</w:t>
            </w:r>
          </w:p>
        </w:tc>
        <w:tc>
          <w:tcPr>
            <w:tcW w:w="1176" w:type="dxa"/>
            <w:tcBorders>
              <w:top w:val="nil"/>
              <w:left w:val="nil"/>
              <w:bottom w:val="single" w:color="auto" w:sz="4" w:space="0"/>
              <w:right w:val="single" w:color="auto" w:sz="4" w:space="0"/>
            </w:tcBorders>
            <w:vAlign w:val="center"/>
          </w:tcPr>
          <w:p w14:paraId="08262EF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034DEA4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5000</w:t>
            </w:r>
          </w:p>
        </w:tc>
        <w:tc>
          <w:tcPr>
            <w:tcW w:w="1554" w:type="dxa"/>
            <w:tcBorders>
              <w:top w:val="nil"/>
              <w:left w:val="nil"/>
              <w:bottom w:val="single" w:color="auto" w:sz="4" w:space="0"/>
              <w:right w:val="single" w:color="auto" w:sz="4" w:space="0"/>
            </w:tcBorders>
            <w:vAlign w:val="center"/>
          </w:tcPr>
          <w:p w14:paraId="042787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5000</w:t>
            </w:r>
          </w:p>
        </w:tc>
      </w:tr>
      <w:tr w14:paraId="3B76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3BF6E41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49" w:type="dxa"/>
            <w:tcBorders>
              <w:top w:val="nil"/>
              <w:left w:val="nil"/>
              <w:bottom w:val="single" w:color="auto" w:sz="4" w:space="0"/>
              <w:right w:val="single" w:color="auto" w:sz="4" w:space="0"/>
            </w:tcBorders>
            <w:vAlign w:val="center"/>
          </w:tcPr>
          <w:p w14:paraId="0F88F8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明溪县夏阳溪地美段河道治理工程</w:t>
            </w:r>
          </w:p>
        </w:tc>
        <w:tc>
          <w:tcPr>
            <w:tcW w:w="936" w:type="dxa"/>
            <w:tcBorders>
              <w:top w:val="nil"/>
              <w:left w:val="nil"/>
              <w:bottom w:val="single" w:color="auto" w:sz="4" w:space="0"/>
              <w:right w:val="single" w:color="auto" w:sz="4" w:space="0"/>
            </w:tcBorders>
            <w:vAlign w:val="center"/>
          </w:tcPr>
          <w:p w14:paraId="6729C88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夏阳乡</w:t>
            </w:r>
          </w:p>
        </w:tc>
        <w:tc>
          <w:tcPr>
            <w:tcW w:w="895" w:type="dxa"/>
            <w:tcBorders>
              <w:top w:val="nil"/>
              <w:left w:val="nil"/>
              <w:bottom w:val="single" w:color="auto" w:sz="4" w:space="0"/>
              <w:right w:val="single" w:color="auto" w:sz="4" w:space="0"/>
            </w:tcBorders>
            <w:vAlign w:val="center"/>
          </w:tcPr>
          <w:p w14:paraId="4F9E39F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29A9B3D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A40924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治理河道长3.5km，新建堤防、护岸2.8km.</w:t>
            </w:r>
          </w:p>
        </w:tc>
        <w:tc>
          <w:tcPr>
            <w:tcW w:w="1176" w:type="dxa"/>
            <w:tcBorders>
              <w:top w:val="nil"/>
              <w:left w:val="nil"/>
              <w:bottom w:val="single" w:color="auto" w:sz="4" w:space="0"/>
              <w:right w:val="single" w:color="auto" w:sz="4" w:space="0"/>
            </w:tcBorders>
            <w:vAlign w:val="center"/>
          </w:tcPr>
          <w:p w14:paraId="009210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7CD2269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1800</w:t>
            </w:r>
          </w:p>
        </w:tc>
        <w:tc>
          <w:tcPr>
            <w:tcW w:w="1554" w:type="dxa"/>
            <w:tcBorders>
              <w:top w:val="nil"/>
              <w:left w:val="nil"/>
              <w:bottom w:val="single" w:color="auto" w:sz="4" w:space="0"/>
              <w:right w:val="single" w:color="auto" w:sz="4" w:space="0"/>
            </w:tcBorders>
            <w:vAlign w:val="center"/>
          </w:tcPr>
          <w:p w14:paraId="270AB77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1800</w:t>
            </w:r>
          </w:p>
        </w:tc>
      </w:tr>
      <w:tr w14:paraId="28D7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1325ACE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49" w:type="dxa"/>
            <w:tcBorders>
              <w:top w:val="nil"/>
              <w:left w:val="nil"/>
              <w:bottom w:val="single" w:color="auto" w:sz="4" w:space="0"/>
              <w:right w:val="single" w:color="auto" w:sz="4" w:space="0"/>
            </w:tcBorders>
            <w:vAlign w:val="center"/>
          </w:tcPr>
          <w:p w14:paraId="739EC26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渔塘溪瀚仙镇瀚溪段河道治理工程</w:t>
            </w:r>
          </w:p>
        </w:tc>
        <w:tc>
          <w:tcPr>
            <w:tcW w:w="936" w:type="dxa"/>
            <w:tcBorders>
              <w:top w:val="nil"/>
              <w:left w:val="nil"/>
              <w:bottom w:val="single" w:color="auto" w:sz="4" w:space="0"/>
              <w:right w:val="single" w:color="auto" w:sz="4" w:space="0"/>
            </w:tcBorders>
            <w:vAlign w:val="center"/>
          </w:tcPr>
          <w:p w14:paraId="23EAEEA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瀚仙镇</w:t>
            </w:r>
          </w:p>
        </w:tc>
        <w:tc>
          <w:tcPr>
            <w:tcW w:w="895" w:type="dxa"/>
            <w:tcBorders>
              <w:top w:val="nil"/>
              <w:left w:val="nil"/>
              <w:bottom w:val="single" w:color="auto" w:sz="4" w:space="0"/>
              <w:right w:val="single" w:color="auto" w:sz="4" w:space="0"/>
            </w:tcBorders>
            <w:vAlign w:val="center"/>
          </w:tcPr>
          <w:p w14:paraId="5B922BC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494D539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1A6DD8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治理河道长3.6km，新建堤防2.5km.河道清淤3.6km</w:t>
            </w:r>
          </w:p>
        </w:tc>
        <w:tc>
          <w:tcPr>
            <w:tcW w:w="1176" w:type="dxa"/>
            <w:tcBorders>
              <w:top w:val="nil"/>
              <w:left w:val="nil"/>
              <w:bottom w:val="single" w:color="auto" w:sz="4" w:space="0"/>
              <w:right w:val="single" w:color="auto" w:sz="4" w:space="0"/>
            </w:tcBorders>
            <w:vAlign w:val="center"/>
          </w:tcPr>
          <w:p w14:paraId="125BB53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1E78A87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1850</w:t>
            </w:r>
          </w:p>
        </w:tc>
        <w:tc>
          <w:tcPr>
            <w:tcW w:w="1554" w:type="dxa"/>
            <w:tcBorders>
              <w:top w:val="nil"/>
              <w:left w:val="nil"/>
              <w:bottom w:val="single" w:color="auto" w:sz="4" w:space="0"/>
              <w:right w:val="single" w:color="auto" w:sz="4" w:space="0"/>
            </w:tcBorders>
            <w:vAlign w:val="center"/>
          </w:tcPr>
          <w:p w14:paraId="16515F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1850</w:t>
            </w:r>
          </w:p>
        </w:tc>
      </w:tr>
      <w:tr w14:paraId="7AC6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36FDC43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49" w:type="dxa"/>
            <w:tcBorders>
              <w:top w:val="nil"/>
              <w:left w:val="nil"/>
              <w:bottom w:val="single" w:color="auto" w:sz="4" w:space="0"/>
              <w:right w:val="single" w:color="auto" w:sz="4" w:space="0"/>
            </w:tcBorders>
            <w:vAlign w:val="center"/>
          </w:tcPr>
          <w:p w14:paraId="774B08A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明溪县城岚溪湾内白岚段河道治理工程</w:t>
            </w:r>
          </w:p>
        </w:tc>
        <w:tc>
          <w:tcPr>
            <w:tcW w:w="936" w:type="dxa"/>
            <w:tcBorders>
              <w:top w:val="nil"/>
              <w:left w:val="nil"/>
              <w:bottom w:val="single" w:color="auto" w:sz="4" w:space="0"/>
              <w:right w:val="single" w:color="auto" w:sz="4" w:space="0"/>
            </w:tcBorders>
            <w:vAlign w:val="center"/>
          </w:tcPr>
          <w:p w14:paraId="0C848FC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盖洋镇</w:t>
            </w:r>
          </w:p>
        </w:tc>
        <w:tc>
          <w:tcPr>
            <w:tcW w:w="895" w:type="dxa"/>
            <w:tcBorders>
              <w:top w:val="nil"/>
              <w:left w:val="nil"/>
              <w:bottom w:val="single" w:color="auto" w:sz="4" w:space="0"/>
              <w:right w:val="single" w:color="auto" w:sz="4" w:space="0"/>
            </w:tcBorders>
            <w:vAlign w:val="center"/>
          </w:tcPr>
          <w:p w14:paraId="3BEAE4E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792EF7D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697C3FC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治理河道长4.0km，新建堤防3.6km.河道清淤4.0km</w:t>
            </w:r>
          </w:p>
        </w:tc>
        <w:tc>
          <w:tcPr>
            <w:tcW w:w="1176" w:type="dxa"/>
            <w:tcBorders>
              <w:top w:val="nil"/>
              <w:left w:val="nil"/>
              <w:bottom w:val="single" w:color="auto" w:sz="4" w:space="0"/>
              <w:right w:val="single" w:color="auto" w:sz="4" w:space="0"/>
            </w:tcBorders>
            <w:vAlign w:val="center"/>
          </w:tcPr>
          <w:p w14:paraId="2F2B0CD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0FDC9A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2000</w:t>
            </w:r>
          </w:p>
        </w:tc>
        <w:tc>
          <w:tcPr>
            <w:tcW w:w="1554" w:type="dxa"/>
            <w:tcBorders>
              <w:top w:val="nil"/>
              <w:left w:val="nil"/>
              <w:bottom w:val="single" w:color="auto" w:sz="4" w:space="0"/>
              <w:right w:val="single" w:color="auto" w:sz="4" w:space="0"/>
            </w:tcBorders>
            <w:vAlign w:val="center"/>
          </w:tcPr>
          <w:p w14:paraId="77A706D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2000</w:t>
            </w:r>
          </w:p>
        </w:tc>
      </w:tr>
      <w:tr w14:paraId="2684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3EF412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49" w:type="dxa"/>
            <w:tcBorders>
              <w:top w:val="nil"/>
              <w:left w:val="nil"/>
              <w:bottom w:val="single" w:color="auto" w:sz="4" w:space="0"/>
              <w:right w:val="single" w:color="auto" w:sz="4" w:space="0"/>
            </w:tcBorders>
            <w:vAlign w:val="center"/>
          </w:tcPr>
          <w:p w14:paraId="73F3089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明溪县城岚溪白叶段河道治理工程</w:t>
            </w:r>
          </w:p>
        </w:tc>
        <w:tc>
          <w:tcPr>
            <w:tcW w:w="936" w:type="dxa"/>
            <w:tcBorders>
              <w:top w:val="nil"/>
              <w:left w:val="nil"/>
              <w:bottom w:val="single" w:color="auto" w:sz="4" w:space="0"/>
              <w:right w:val="single" w:color="auto" w:sz="4" w:space="0"/>
            </w:tcBorders>
            <w:vAlign w:val="center"/>
          </w:tcPr>
          <w:p w14:paraId="51A5FB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盖洋镇</w:t>
            </w:r>
          </w:p>
        </w:tc>
        <w:tc>
          <w:tcPr>
            <w:tcW w:w="895" w:type="dxa"/>
            <w:tcBorders>
              <w:top w:val="nil"/>
              <w:left w:val="nil"/>
              <w:bottom w:val="single" w:color="auto" w:sz="4" w:space="0"/>
              <w:right w:val="single" w:color="auto" w:sz="4" w:space="0"/>
            </w:tcBorders>
            <w:vAlign w:val="center"/>
          </w:tcPr>
          <w:p w14:paraId="284F759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501DBC6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0E3DBC2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治理河道长3.5km，新建堤防2.8km.河道清淤3.5km</w:t>
            </w:r>
          </w:p>
        </w:tc>
        <w:tc>
          <w:tcPr>
            <w:tcW w:w="1176" w:type="dxa"/>
            <w:tcBorders>
              <w:top w:val="nil"/>
              <w:left w:val="nil"/>
              <w:bottom w:val="single" w:color="auto" w:sz="4" w:space="0"/>
              <w:right w:val="single" w:color="auto" w:sz="4" w:space="0"/>
            </w:tcBorders>
            <w:vAlign w:val="center"/>
          </w:tcPr>
          <w:p w14:paraId="16F6B3C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29CFBC6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1800</w:t>
            </w:r>
          </w:p>
        </w:tc>
        <w:tc>
          <w:tcPr>
            <w:tcW w:w="1554" w:type="dxa"/>
            <w:tcBorders>
              <w:top w:val="nil"/>
              <w:left w:val="nil"/>
              <w:bottom w:val="single" w:color="auto" w:sz="4" w:space="0"/>
              <w:right w:val="single" w:color="auto" w:sz="4" w:space="0"/>
            </w:tcBorders>
            <w:vAlign w:val="center"/>
          </w:tcPr>
          <w:p w14:paraId="1E9FE40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1800</w:t>
            </w:r>
          </w:p>
        </w:tc>
      </w:tr>
      <w:tr w14:paraId="57FE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1371C7A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49" w:type="dxa"/>
            <w:tcBorders>
              <w:top w:val="nil"/>
              <w:left w:val="nil"/>
              <w:bottom w:val="single" w:color="auto" w:sz="4" w:space="0"/>
              <w:right w:val="single" w:color="auto" w:sz="4" w:space="0"/>
            </w:tcBorders>
            <w:vAlign w:val="center"/>
          </w:tcPr>
          <w:p w14:paraId="2084FCD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明溪县城岚溪常坪段河道治理工程</w:t>
            </w:r>
          </w:p>
        </w:tc>
        <w:tc>
          <w:tcPr>
            <w:tcW w:w="936" w:type="dxa"/>
            <w:tcBorders>
              <w:top w:val="nil"/>
              <w:left w:val="nil"/>
              <w:bottom w:val="single" w:color="auto" w:sz="4" w:space="0"/>
              <w:right w:val="single" w:color="auto" w:sz="4" w:space="0"/>
            </w:tcBorders>
            <w:vAlign w:val="center"/>
          </w:tcPr>
          <w:p w14:paraId="2A37EC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盖洋镇</w:t>
            </w:r>
          </w:p>
        </w:tc>
        <w:tc>
          <w:tcPr>
            <w:tcW w:w="895" w:type="dxa"/>
            <w:tcBorders>
              <w:top w:val="nil"/>
              <w:left w:val="nil"/>
              <w:bottom w:val="single" w:color="auto" w:sz="4" w:space="0"/>
              <w:right w:val="single" w:color="auto" w:sz="4" w:space="0"/>
            </w:tcBorders>
            <w:vAlign w:val="center"/>
          </w:tcPr>
          <w:p w14:paraId="35EF149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0BFBFE4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41F7F60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治理河道长4.0km，新建堤防2.5km.加高加固堤防0.8km，河道清淤4.0km</w:t>
            </w:r>
          </w:p>
        </w:tc>
        <w:tc>
          <w:tcPr>
            <w:tcW w:w="1176" w:type="dxa"/>
            <w:tcBorders>
              <w:top w:val="nil"/>
              <w:left w:val="nil"/>
              <w:bottom w:val="single" w:color="auto" w:sz="4" w:space="0"/>
              <w:right w:val="single" w:color="auto" w:sz="4" w:space="0"/>
            </w:tcBorders>
            <w:vAlign w:val="center"/>
          </w:tcPr>
          <w:p w14:paraId="1319484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F14C5D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1850</w:t>
            </w:r>
          </w:p>
        </w:tc>
        <w:tc>
          <w:tcPr>
            <w:tcW w:w="1554" w:type="dxa"/>
            <w:tcBorders>
              <w:top w:val="nil"/>
              <w:left w:val="nil"/>
              <w:bottom w:val="single" w:color="auto" w:sz="4" w:space="0"/>
              <w:right w:val="single" w:color="auto" w:sz="4" w:space="0"/>
            </w:tcBorders>
            <w:vAlign w:val="center"/>
          </w:tcPr>
          <w:p w14:paraId="778AB2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1850</w:t>
            </w:r>
          </w:p>
        </w:tc>
      </w:tr>
      <w:tr w14:paraId="61AD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217498D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349" w:type="dxa"/>
            <w:tcBorders>
              <w:top w:val="nil"/>
              <w:left w:val="nil"/>
              <w:bottom w:val="single" w:color="auto" w:sz="4" w:space="0"/>
              <w:right w:val="single" w:color="auto" w:sz="4" w:space="0"/>
            </w:tcBorders>
            <w:vAlign w:val="center"/>
          </w:tcPr>
          <w:p w14:paraId="5A5B4E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渔塘溪沙溪乡六合段河道治理工程</w:t>
            </w:r>
          </w:p>
        </w:tc>
        <w:tc>
          <w:tcPr>
            <w:tcW w:w="936" w:type="dxa"/>
            <w:tcBorders>
              <w:top w:val="nil"/>
              <w:left w:val="nil"/>
              <w:bottom w:val="single" w:color="auto" w:sz="4" w:space="0"/>
              <w:right w:val="single" w:color="auto" w:sz="4" w:space="0"/>
            </w:tcBorders>
            <w:vAlign w:val="center"/>
          </w:tcPr>
          <w:p w14:paraId="52B9609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沙溪乡</w:t>
            </w:r>
          </w:p>
        </w:tc>
        <w:tc>
          <w:tcPr>
            <w:tcW w:w="895" w:type="dxa"/>
            <w:tcBorders>
              <w:top w:val="nil"/>
              <w:left w:val="nil"/>
              <w:bottom w:val="single" w:color="auto" w:sz="4" w:space="0"/>
              <w:right w:val="single" w:color="auto" w:sz="4" w:space="0"/>
            </w:tcBorders>
            <w:vAlign w:val="center"/>
          </w:tcPr>
          <w:p w14:paraId="7B85738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3EECB79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7C6F13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治理河道长4.0km，新建堤防3.0km.河道清淤3.5km</w:t>
            </w:r>
          </w:p>
        </w:tc>
        <w:tc>
          <w:tcPr>
            <w:tcW w:w="1176" w:type="dxa"/>
            <w:tcBorders>
              <w:top w:val="nil"/>
              <w:left w:val="nil"/>
              <w:bottom w:val="single" w:color="auto" w:sz="4" w:space="0"/>
              <w:right w:val="single" w:color="auto" w:sz="4" w:space="0"/>
            </w:tcBorders>
            <w:vAlign w:val="center"/>
          </w:tcPr>
          <w:p w14:paraId="45F7614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6CE4404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2000</w:t>
            </w:r>
          </w:p>
        </w:tc>
        <w:tc>
          <w:tcPr>
            <w:tcW w:w="1554" w:type="dxa"/>
            <w:tcBorders>
              <w:top w:val="nil"/>
              <w:left w:val="nil"/>
              <w:bottom w:val="single" w:color="auto" w:sz="4" w:space="0"/>
              <w:right w:val="single" w:color="auto" w:sz="4" w:space="0"/>
            </w:tcBorders>
            <w:vAlign w:val="center"/>
          </w:tcPr>
          <w:p w14:paraId="304281D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2000</w:t>
            </w:r>
          </w:p>
        </w:tc>
      </w:tr>
      <w:tr w14:paraId="0342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663A4B7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1.3</w:t>
            </w:r>
          </w:p>
        </w:tc>
        <w:tc>
          <w:tcPr>
            <w:tcW w:w="2349" w:type="dxa"/>
            <w:tcBorders>
              <w:top w:val="nil"/>
              <w:left w:val="nil"/>
              <w:bottom w:val="single" w:color="auto" w:sz="4" w:space="0"/>
              <w:right w:val="single" w:color="auto" w:sz="4" w:space="0"/>
            </w:tcBorders>
            <w:vAlign w:val="center"/>
          </w:tcPr>
          <w:p w14:paraId="0627236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山洪灾害防治</w:t>
            </w:r>
          </w:p>
        </w:tc>
        <w:tc>
          <w:tcPr>
            <w:tcW w:w="936" w:type="dxa"/>
            <w:tcBorders>
              <w:top w:val="nil"/>
              <w:left w:val="nil"/>
              <w:bottom w:val="single" w:color="auto" w:sz="4" w:space="0"/>
              <w:right w:val="single" w:color="auto" w:sz="4" w:space="0"/>
            </w:tcBorders>
            <w:vAlign w:val="center"/>
          </w:tcPr>
          <w:p w14:paraId="34E54C4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6971401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32FBCA3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67626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727B0DC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2A56944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28500</w:t>
            </w:r>
          </w:p>
        </w:tc>
        <w:tc>
          <w:tcPr>
            <w:tcW w:w="1554" w:type="dxa"/>
            <w:tcBorders>
              <w:top w:val="nil"/>
              <w:left w:val="nil"/>
              <w:bottom w:val="single" w:color="auto" w:sz="4" w:space="0"/>
              <w:right w:val="single" w:color="auto" w:sz="4" w:space="0"/>
            </w:tcBorders>
            <w:vAlign w:val="center"/>
          </w:tcPr>
          <w:p w14:paraId="70E961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8500</w:t>
            </w:r>
          </w:p>
        </w:tc>
      </w:tr>
      <w:tr w14:paraId="709D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2F6635A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1A05DAC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17条山洪沟防洪治理工程</w:t>
            </w:r>
          </w:p>
        </w:tc>
        <w:tc>
          <w:tcPr>
            <w:tcW w:w="936" w:type="dxa"/>
            <w:tcBorders>
              <w:top w:val="nil"/>
              <w:left w:val="nil"/>
              <w:bottom w:val="single" w:color="auto" w:sz="4" w:space="0"/>
              <w:right w:val="single" w:color="auto" w:sz="4" w:space="0"/>
            </w:tcBorders>
            <w:vAlign w:val="center"/>
          </w:tcPr>
          <w:p w14:paraId="4370976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4AD01D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31051FD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打捆项目</w:t>
            </w:r>
          </w:p>
        </w:tc>
        <w:tc>
          <w:tcPr>
            <w:tcW w:w="4243" w:type="dxa"/>
            <w:tcBorders>
              <w:top w:val="nil"/>
              <w:left w:val="nil"/>
              <w:bottom w:val="single" w:color="auto" w:sz="4" w:space="0"/>
              <w:right w:val="single" w:color="auto" w:sz="4" w:space="0"/>
            </w:tcBorders>
            <w:vAlign w:val="center"/>
          </w:tcPr>
          <w:p w14:paraId="2850690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治理山洪沟河道长度135km；新建护岸78km；河道清淤66km</w:t>
            </w:r>
          </w:p>
        </w:tc>
        <w:tc>
          <w:tcPr>
            <w:tcW w:w="1176" w:type="dxa"/>
            <w:tcBorders>
              <w:top w:val="nil"/>
              <w:left w:val="nil"/>
              <w:bottom w:val="single" w:color="auto" w:sz="4" w:space="0"/>
              <w:right w:val="single" w:color="auto" w:sz="4" w:space="0"/>
            </w:tcBorders>
            <w:vAlign w:val="center"/>
          </w:tcPr>
          <w:p w14:paraId="308546F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50B9395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28500</w:t>
            </w:r>
          </w:p>
        </w:tc>
        <w:tc>
          <w:tcPr>
            <w:tcW w:w="1554" w:type="dxa"/>
            <w:tcBorders>
              <w:top w:val="nil"/>
              <w:left w:val="nil"/>
              <w:bottom w:val="single" w:color="auto" w:sz="4" w:space="0"/>
              <w:right w:val="single" w:color="auto" w:sz="4" w:space="0"/>
            </w:tcBorders>
            <w:vAlign w:val="center"/>
          </w:tcPr>
          <w:p w14:paraId="27776F9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8500</w:t>
            </w:r>
          </w:p>
        </w:tc>
      </w:tr>
      <w:tr w14:paraId="1D2E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34EC44F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1.4</w:t>
            </w:r>
          </w:p>
        </w:tc>
        <w:tc>
          <w:tcPr>
            <w:tcW w:w="2349" w:type="dxa"/>
            <w:tcBorders>
              <w:top w:val="nil"/>
              <w:left w:val="nil"/>
              <w:bottom w:val="single" w:color="auto" w:sz="4" w:space="0"/>
              <w:right w:val="single" w:color="auto" w:sz="4" w:space="0"/>
            </w:tcBorders>
            <w:vAlign w:val="center"/>
          </w:tcPr>
          <w:p w14:paraId="5FFBEF3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水库除险加固</w:t>
            </w:r>
          </w:p>
        </w:tc>
        <w:tc>
          <w:tcPr>
            <w:tcW w:w="936" w:type="dxa"/>
            <w:tcBorders>
              <w:top w:val="nil"/>
              <w:left w:val="nil"/>
              <w:bottom w:val="single" w:color="auto" w:sz="4" w:space="0"/>
              <w:right w:val="single" w:color="auto" w:sz="4" w:space="0"/>
            </w:tcBorders>
            <w:vAlign w:val="center"/>
          </w:tcPr>
          <w:p w14:paraId="5306434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737A319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1A3A680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702791E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0DF908B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0BD89E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1450</w:t>
            </w:r>
          </w:p>
        </w:tc>
        <w:tc>
          <w:tcPr>
            <w:tcW w:w="1554" w:type="dxa"/>
            <w:tcBorders>
              <w:top w:val="nil"/>
              <w:left w:val="nil"/>
              <w:bottom w:val="single" w:color="auto" w:sz="4" w:space="0"/>
              <w:right w:val="single" w:color="auto" w:sz="4" w:space="0"/>
            </w:tcBorders>
            <w:vAlign w:val="center"/>
          </w:tcPr>
          <w:p w14:paraId="356AA7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1450</w:t>
            </w:r>
          </w:p>
        </w:tc>
      </w:tr>
      <w:tr w14:paraId="4F5F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43FF0F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1E08B0C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日月溪水库常态化除险加固工程</w:t>
            </w:r>
          </w:p>
        </w:tc>
        <w:tc>
          <w:tcPr>
            <w:tcW w:w="936" w:type="dxa"/>
            <w:tcBorders>
              <w:top w:val="nil"/>
              <w:left w:val="nil"/>
              <w:bottom w:val="single" w:color="auto" w:sz="4" w:space="0"/>
              <w:right w:val="single" w:color="auto" w:sz="4" w:space="0"/>
            </w:tcBorders>
            <w:vAlign w:val="center"/>
          </w:tcPr>
          <w:p w14:paraId="0F12B1F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32E641F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11AF9AD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小（2）型</w:t>
            </w:r>
          </w:p>
        </w:tc>
        <w:tc>
          <w:tcPr>
            <w:tcW w:w="4243" w:type="dxa"/>
            <w:tcBorders>
              <w:top w:val="nil"/>
              <w:left w:val="nil"/>
              <w:bottom w:val="single" w:color="auto" w:sz="4" w:space="0"/>
              <w:right w:val="single" w:color="auto" w:sz="4" w:space="0"/>
            </w:tcBorders>
            <w:vAlign w:val="center"/>
          </w:tcPr>
          <w:p w14:paraId="5979AC4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白蚂蚁防治、坝体补强、坝基帷幕、水位尺修复、库区道路维护</w:t>
            </w:r>
          </w:p>
        </w:tc>
        <w:tc>
          <w:tcPr>
            <w:tcW w:w="1176" w:type="dxa"/>
            <w:tcBorders>
              <w:top w:val="nil"/>
              <w:left w:val="nil"/>
              <w:bottom w:val="single" w:color="auto" w:sz="4" w:space="0"/>
              <w:right w:val="single" w:color="auto" w:sz="4" w:space="0"/>
            </w:tcBorders>
            <w:vAlign w:val="center"/>
          </w:tcPr>
          <w:p w14:paraId="0C29317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6BEA8B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554" w:type="dxa"/>
            <w:tcBorders>
              <w:top w:val="nil"/>
              <w:left w:val="nil"/>
              <w:bottom w:val="single" w:color="auto" w:sz="4" w:space="0"/>
              <w:right w:val="single" w:color="auto" w:sz="4" w:space="0"/>
            </w:tcBorders>
            <w:vAlign w:val="center"/>
          </w:tcPr>
          <w:p w14:paraId="20D0708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r>
      <w:tr w14:paraId="6CC5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09E9A3E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9" w:type="dxa"/>
            <w:tcBorders>
              <w:top w:val="nil"/>
              <w:left w:val="nil"/>
              <w:bottom w:val="single" w:color="auto" w:sz="4" w:space="0"/>
              <w:right w:val="single" w:color="auto" w:sz="4" w:space="0"/>
            </w:tcBorders>
            <w:vAlign w:val="center"/>
          </w:tcPr>
          <w:p w14:paraId="1E342BC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罗翠水库常态化除险加固工程</w:t>
            </w:r>
          </w:p>
        </w:tc>
        <w:tc>
          <w:tcPr>
            <w:tcW w:w="936" w:type="dxa"/>
            <w:tcBorders>
              <w:top w:val="nil"/>
              <w:left w:val="nil"/>
              <w:bottom w:val="single" w:color="auto" w:sz="4" w:space="0"/>
              <w:right w:val="single" w:color="auto" w:sz="4" w:space="0"/>
            </w:tcBorders>
            <w:vAlign w:val="center"/>
          </w:tcPr>
          <w:p w14:paraId="5358232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676A4B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0E5A20A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小（1）型</w:t>
            </w:r>
          </w:p>
        </w:tc>
        <w:tc>
          <w:tcPr>
            <w:tcW w:w="4243" w:type="dxa"/>
            <w:tcBorders>
              <w:top w:val="nil"/>
              <w:left w:val="nil"/>
              <w:bottom w:val="single" w:color="auto" w:sz="4" w:space="0"/>
              <w:right w:val="single" w:color="auto" w:sz="4" w:space="0"/>
            </w:tcBorders>
            <w:vAlign w:val="center"/>
          </w:tcPr>
          <w:p w14:paraId="381879D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白蚂蚁防治、坝体补强、坝基帷幕、水位尺修复、库区道路维护</w:t>
            </w:r>
          </w:p>
        </w:tc>
        <w:tc>
          <w:tcPr>
            <w:tcW w:w="1176" w:type="dxa"/>
            <w:tcBorders>
              <w:top w:val="nil"/>
              <w:left w:val="nil"/>
              <w:bottom w:val="single" w:color="auto" w:sz="4" w:space="0"/>
              <w:right w:val="single" w:color="auto" w:sz="4" w:space="0"/>
            </w:tcBorders>
            <w:vAlign w:val="center"/>
          </w:tcPr>
          <w:p w14:paraId="34C0899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9C8FBE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554" w:type="dxa"/>
            <w:tcBorders>
              <w:top w:val="nil"/>
              <w:left w:val="nil"/>
              <w:bottom w:val="single" w:color="auto" w:sz="4" w:space="0"/>
              <w:right w:val="single" w:color="auto" w:sz="4" w:space="0"/>
            </w:tcBorders>
            <w:vAlign w:val="center"/>
          </w:tcPr>
          <w:p w14:paraId="014D2DC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r>
      <w:tr w14:paraId="277A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4339C2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49" w:type="dxa"/>
            <w:tcBorders>
              <w:top w:val="nil"/>
              <w:left w:val="nil"/>
              <w:bottom w:val="single" w:color="auto" w:sz="4" w:space="0"/>
              <w:right w:val="single" w:color="auto" w:sz="4" w:space="0"/>
            </w:tcBorders>
            <w:vAlign w:val="center"/>
          </w:tcPr>
          <w:p w14:paraId="6DEE49D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郎当背水库常态化除险加固工程</w:t>
            </w:r>
          </w:p>
        </w:tc>
        <w:tc>
          <w:tcPr>
            <w:tcW w:w="936" w:type="dxa"/>
            <w:tcBorders>
              <w:top w:val="nil"/>
              <w:left w:val="nil"/>
              <w:bottom w:val="single" w:color="auto" w:sz="4" w:space="0"/>
              <w:right w:val="single" w:color="auto" w:sz="4" w:space="0"/>
            </w:tcBorders>
            <w:vAlign w:val="center"/>
          </w:tcPr>
          <w:p w14:paraId="3F147F6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5D753A5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6AC1201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小（2）型</w:t>
            </w:r>
          </w:p>
        </w:tc>
        <w:tc>
          <w:tcPr>
            <w:tcW w:w="4243" w:type="dxa"/>
            <w:tcBorders>
              <w:top w:val="nil"/>
              <w:left w:val="nil"/>
              <w:bottom w:val="single" w:color="auto" w:sz="4" w:space="0"/>
              <w:right w:val="single" w:color="auto" w:sz="4" w:space="0"/>
            </w:tcBorders>
            <w:vAlign w:val="center"/>
          </w:tcPr>
          <w:p w14:paraId="2D58BFE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闸阀维护、坝体补强、坝基帷幕、水位尺修复、库区道路维护</w:t>
            </w:r>
          </w:p>
        </w:tc>
        <w:tc>
          <w:tcPr>
            <w:tcW w:w="1176" w:type="dxa"/>
            <w:tcBorders>
              <w:top w:val="nil"/>
              <w:left w:val="nil"/>
              <w:bottom w:val="single" w:color="auto" w:sz="4" w:space="0"/>
              <w:right w:val="single" w:color="auto" w:sz="4" w:space="0"/>
            </w:tcBorders>
            <w:vAlign w:val="center"/>
          </w:tcPr>
          <w:p w14:paraId="55985C2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3E65A0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554" w:type="dxa"/>
            <w:tcBorders>
              <w:top w:val="nil"/>
              <w:left w:val="nil"/>
              <w:bottom w:val="single" w:color="auto" w:sz="4" w:space="0"/>
              <w:right w:val="single" w:color="auto" w:sz="4" w:space="0"/>
            </w:tcBorders>
            <w:vAlign w:val="center"/>
          </w:tcPr>
          <w:p w14:paraId="1354D82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r>
      <w:tr w14:paraId="7E0D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08F99E0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49" w:type="dxa"/>
            <w:tcBorders>
              <w:top w:val="nil"/>
              <w:left w:val="nil"/>
              <w:bottom w:val="single" w:color="auto" w:sz="4" w:space="0"/>
              <w:right w:val="single" w:color="auto" w:sz="4" w:space="0"/>
            </w:tcBorders>
            <w:vAlign w:val="center"/>
          </w:tcPr>
          <w:p w14:paraId="14DFBA6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石东坑水库常态化除险加固工程</w:t>
            </w:r>
          </w:p>
        </w:tc>
        <w:tc>
          <w:tcPr>
            <w:tcW w:w="936" w:type="dxa"/>
            <w:tcBorders>
              <w:top w:val="nil"/>
              <w:left w:val="nil"/>
              <w:bottom w:val="single" w:color="auto" w:sz="4" w:space="0"/>
              <w:right w:val="single" w:color="auto" w:sz="4" w:space="0"/>
            </w:tcBorders>
            <w:vAlign w:val="center"/>
          </w:tcPr>
          <w:p w14:paraId="78493FF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6EF11F1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415D58E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小（2）型</w:t>
            </w:r>
          </w:p>
        </w:tc>
        <w:tc>
          <w:tcPr>
            <w:tcW w:w="4243" w:type="dxa"/>
            <w:tcBorders>
              <w:top w:val="nil"/>
              <w:left w:val="nil"/>
              <w:bottom w:val="single" w:color="auto" w:sz="4" w:space="0"/>
              <w:right w:val="single" w:color="auto" w:sz="4" w:space="0"/>
            </w:tcBorders>
            <w:vAlign w:val="center"/>
          </w:tcPr>
          <w:p w14:paraId="3814743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闸阀维护、坝体补强、坝基帷幕、水位尺修复、库区道路维护</w:t>
            </w:r>
          </w:p>
        </w:tc>
        <w:tc>
          <w:tcPr>
            <w:tcW w:w="1176" w:type="dxa"/>
            <w:tcBorders>
              <w:top w:val="nil"/>
              <w:left w:val="nil"/>
              <w:bottom w:val="single" w:color="auto" w:sz="4" w:space="0"/>
              <w:right w:val="single" w:color="auto" w:sz="4" w:space="0"/>
            </w:tcBorders>
            <w:vAlign w:val="center"/>
          </w:tcPr>
          <w:p w14:paraId="7F9814E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2285703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554" w:type="dxa"/>
            <w:tcBorders>
              <w:top w:val="nil"/>
              <w:left w:val="nil"/>
              <w:bottom w:val="single" w:color="auto" w:sz="4" w:space="0"/>
              <w:right w:val="single" w:color="auto" w:sz="4" w:space="0"/>
            </w:tcBorders>
            <w:vAlign w:val="center"/>
          </w:tcPr>
          <w:p w14:paraId="67A3165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r>
      <w:tr w14:paraId="7967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0474FAA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49" w:type="dxa"/>
            <w:tcBorders>
              <w:top w:val="nil"/>
              <w:left w:val="nil"/>
              <w:bottom w:val="single" w:color="auto" w:sz="4" w:space="0"/>
              <w:right w:val="single" w:color="auto" w:sz="4" w:space="0"/>
            </w:tcBorders>
            <w:vAlign w:val="center"/>
          </w:tcPr>
          <w:p w14:paraId="2A4014A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石板桥水库常态化除险加固工程</w:t>
            </w:r>
          </w:p>
        </w:tc>
        <w:tc>
          <w:tcPr>
            <w:tcW w:w="936" w:type="dxa"/>
            <w:tcBorders>
              <w:top w:val="nil"/>
              <w:left w:val="nil"/>
              <w:bottom w:val="single" w:color="auto" w:sz="4" w:space="0"/>
              <w:right w:val="single" w:color="auto" w:sz="4" w:space="0"/>
            </w:tcBorders>
            <w:vAlign w:val="center"/>
          </w:tcPr>
          <w:p w14:paraId="0742A75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496C1A7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032E0F4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小（2）型</w:t>
            </w:r>
          </w:p>
        </w:tc>
        <w:tc>
          <w:tcPr>
            <w:tcW w:w="4243" w:type="dxa"/>
            <w:tcBorders>
              <w:top w:val="nil"/>
              <w:left w:val="nil"/>
              <w:bottom w:val="single" w:color="auto" w:sz="4" w:space="0"/>
              <w:right w:val="single" w:color="auto" w:sz="4" w:space="0"/>
            </w:tcBorders>
            <w:vAlign w:val="center"/>
          </w:tcPr>
          <w:p w14:paraId="1B36D9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闸阀维护、坝体补强、坝基帷幕、水位尺修复、库区道路维护</w:t>
            </w:r>
          </w:p>
        </w:tc>
        <w:tc>
          <w:tcPr>
            <w:tcW w:w="1176" w:type="dxa"/>
            <w:tcBorders>
              <w:top w:val="nil"/>
              <w:left w:val="nil"/>
              <w:bottom w:val="single" w:color="auto" w:sz="4" w:space="0"/>
              <w:right w:val="single" w:color="auto" w:sz="4" w:space="0"/>
            </w:tcBorders>
            <w:vAlign w:val="center"/>
          </w:tcPr>
          <w:p w14:paraId="220F4E6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2602766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554" w:type="dxa"/>
            <w:tcBorders>
              <w:top w:val="nil"/>
              <w:left w:val="nil"/>
              <w:bottom w:val="single" w:color="auto" w:sz="4" w:space="0"/>
              <w:right w:val="single" w:color="auto" w:sz="4" w:space="0"/>
            </w:tcBorders>
            <w:vAlign w:val="center"/>
          </w:tcPr>
          <w:p w14:paraId="43A7E9C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r>
      <w:tr w14:paraId="1BD2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98" w:type="dxa"/>
            <w:tcBorders>
              <w:top w:val="nil"/>
              <w:left w:val="single" w:color="auto" w:sz="4" w:space="0"/>
              <w:bottom w:val="single" w:color="auto" w:sz="4" w:space="0"/>
              <w:right w:val="single" w:color="auto" w:sz="4" w:space="0"/>
            </w:tcBorders>
            <w:vAlign w:val="center"/>
          </w:tcPr>
          <w:p w14:paraId="32E616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49" w:type="dxa"/>
            <w:tcBorders>
              <w:top w:val="nil"/>
              <w:left w:val="nil"/>
              <w:bottom w:val="single" w:color="auto" w:sz="4" w:space="0"/>
              <w:right w:val="single" w:color="auto" w:sz="4" w:space="0"/>
            </w:tcBorders>
            <w:vAlign w:val="center"/>
          </w:tcPr>
          <w:p w14:paraId="7EDACE5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17座水库常态化维修养护工程</w:t>
            </w:r>
          </w:p>
        </w:tc>
        <w:tc>
          <w:tcPr>
            <w:tcW w:w="936" w:type="dxa"/>
            <w:tcBorders>
              <w:top w:val="nil"/>
              <w:left w:val="nil"/>
              <w:bottom w:val="single" w:color="auto" w:sz="4" w:space="0"/>
              <w:right w:val="single" w:color="auto" w:sz="4" w:space="0"/>
            </w:tcBorders>
            <w:vAlign w:val="center"/>
          </w:tcPr>
          <w:p w14:paraId="05794E1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7F98DEB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475DBAE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打捆项目</w:t>
            </w:r>
          </w:p>
        </w:tc>
        <w:tc>
          <w:tcPr>
            <w:tcW w:w="4243" w:type="dxa"/>
            <w:tcBorders>
              <w:top w:val="nil"/>
              <w:left w:val="nil"/>
              <w:bottom w:val="single" w:color="auto" w:sz="4" w:space="0"/>
              <w:right w:val="single" w:color="auto" w:sz="4" w:space="0"/>
            </w:tcBorders>
            <w:vAlign w:val="center"/>
          </w:tcPr>
          <w:p w14:paraId="0BDDCA0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1、分别对17座水库进行杂草清除工作。</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2、分别对17座水库进行维修锈蚀的启闭设备及闸阀。</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3、分别对17座水库中责任人变动的公示牌一一进行更换。</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4、分别对17座水库进行大坝位移观测。</w:t>
            </w:r>
          </w:p>
        </w:tc>
        <w:tc>
          <w:tcPr>
            <w:tcW w:w="1176" w:type="dxa"/>
            <w:tcBorders>
              <w:top w:val="nil"/>
              <w:left w:val="nil"/>
              <w:bottom w:val="single" w:color="auto" w:sz="4" w:space="0"/>
              <w:right w:val="single" w:color="auto" w:sz="4" w:space="0"/>
            </w:tcBorders>
            <w:vAlign w:val="center"/>
          </w:tcPr>
          <w:p w14:paraId="0E6E4C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4B240C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850</w:t>
            </w:r>
          </w:p>
        </w:tc>
        <w:tc>
          <w:tcPr>
            <w:tcW w:w="1554" w:type="dxa"/>
            <w:tcBorders>
              <w:top w:val="nil"/>
              <w:left w:val="nil"/>
              <w:bottom w:val="single" w:color="auto" w:sz="4" w:space="0"/>
              <w:right w:val="single" w:color="auto" w:sz="4" w:space="0"/>
            </w:tcBorders>
            <w:vAlign w:val="center"/>
          </w:tcPr>
          <w:p w14:paraId="32BE67F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850</w:t>
            </w:r>
          </w:p>
        </w:tc>
      </w:tr>
      <w:tr w14:paraId="0DFB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27E4CB6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1.5</w:t>
            </w:r>
          </w:p>
        </w:tc>
        <w:tc>
          <w:tcPr>
            <w:tcW w:w="2349" w:type="dxa"/>
            <w:tcBorders>
              <w:top w:val="nil"/>
              <w:left w:val="nil"/>
              <w:bottom w:val="single" w:color="auto" w:sz="4" w:space="0"/>
              <w:right w:val="single" w:color="auto" w:sz="4" w:space="0"/>
            </w:tcBorders>
            <w:vAlign w:val="center"/>
          </w:tcPr>
          <w:p w14:paraId="21848AF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高水高排项目</w:t>
            </w:r>
          </w:p>
        </w:tc>
        <w:tc>
          <w:tcPr>
            <w:tcW w:w="936" w:type="dxa"/>
            <w:tcBorders>
              <w:top w:val="nil"/>
              <w:left w:val="nil"/>
              <w:bottom w:val="single" w:color="auto" w:sz="4" w:space="0"/>
              <w:right w:val="single" w:color="auto" w:sz="4" w:space="0"/>
            </w:tcBorders>
            <w:vAlign w:val="center"/>
          </w:tcPr>
          <w:p w14:paraId="35E3DD9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895" w:type="dxa"/>
            <w:tcBorders>
              <w:top w:val="nil"/>
              <w:left w:val="nil"/>
              <w:bottom w:val="single" w:color="auto" w:sz="4" w:space="0"/>
              <w:right w:val="single" w:color="auto" w:sz="4" w:space="0"/>
            </w:tcBorders>
            <w:vAlign w:val="center"/>
          </w:tcPr>
          <w:p w14:paraId="4EAC086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901" w:type="dxa"/>
            <w:tcBorders>
              <w:top w:val="nil"/>
              <w:left w:val="nil"/>
              <w:bottom w:val="single" w:color="auto" w:sz="4" w:space="0"/>
              <w:right w:val="single" w:color="auto" w:sz="4" w:space="0"/>
            </w:tcBorders>
            <w:vAlign w:val="center"/>
          </w:tcPr>
          <w:p w14:paraId="0ABE20A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4243" w:type="dxa"/>
            <w:tcBorders>
              <w:top w:val="nil"/>
              <w:left w:val="nil"/>
              <w:bottom w:val="single" w:color="auto" w:sz="4" w:space="0"/>
              <w:right w:val="single" w:color="auto" w:sz="4" w:space="0"/>
            </w:tcBorders>
            <w:vAlign w:val="center"/>
          </w:tcPr>
          <w:p w14:paraId="654FF7A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1176" w:type="dxa"/>
            <w:tcBorders>
              <w:top w:val="nil"/>
              <w:left w:val="nil"/>
              <w:bottom w:val="single" w:color="auto" w:sz="4" w:space="0"/>
              <w:right w:val="single" w:color="auto" w:sz="4" w:space="0"/>
            </w:tcBorders>
            <w:vAlign w:val="center"/>
          </w:tcPr>
          <w:p w14:paraId="1A4EF82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996" w:type="dxa"/>
            <w:tcBorders>
              <w:top w:val="nil"/>
              <w:left w:val="nil"/>
              <w:bottom w:val="single" w:color="auto" w:sz="4" w:space="0"/>
              <w:right w:val="single" w:color="auto" w:sz="4" w:space="0"/>
            </w:tcBorders>
            <w:vAlign w:val="center"/>
          </w:tcPr>
          <w:p w14:paraId="51FD84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2000</w:t>
            </w:r>
          </w:p>
        </w:tc>
        <w:tc>
          <w:tcPr>
            <w:tcW w:w="1554" w:type="dxa"/>
            <w:tcBorders>
              <w:top w:val="nil"/>
              <w:left w:val="nil"/>
              <w:bottom w:val="single" w:color="auto" w:sz="4" w:space="0"/>
              <w:right w:val="single" w:color="auto" w:sz="4" w:space="0"/>
            </w:tcBorders>
            <w:vAlign w:val="center"/>
          </w:tcPr>
          <w:p w14:paraId="33E5F0B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2000</w:t>
            </w:r>
          </w:p>
        </w:tc>
      </w:tr>
      <w:tr w14:paraId="453E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6F6748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67BF25D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明溪县城区高水高排项目</w:t>
            </w:r>
          </w:p>
        </w:tc>
        <w:tc>
          <w:tcPr>
            <w:tcW w:w="936" w:type="dxa"/>
            <w:tcBorders>
              <w:top w:val="nil"/>
              <w:left w:val="nil"/>
              <w:bottom w:val="single" w:color="auto" w:sz="4" w:space="0"/>
              <w:right w:val="single" w:color="auto" w:sz="4" w:space="0"/>
            </w:tcBorders>
            <w:vAlign w:val="center"/>
          </w:tcPr>
          <w:p w14:paraId="6B76C5A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456F316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5F9ACF8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709D9F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截洪沟7.8km，节制闸4座，涵洞6座</w:t>
            </w:r>
          </w:p>
        </w:tc>
        <w:tc>
          <w:tcPr>
            <w:tcW w:w="1176" w:type="dxa"/>
            <w:tcBorders>
              <w:top w:val="nil"/>
              <w:left w:val="nil"/>
              <w:bottom w:val="single" w:color="auto" w:sz="4" w:space="0"/>
              <w:right w:val="single" w:color="auto" w:sz="4" w:space="0"/>
            </w:tcBorders>
            <w:vAlign w:val="center"/>
          </w:tcPr>
          <w:p w14:paraId="262427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16AD467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800</w:t>
            </w:r>
          </w:p>
        </w:tc>
        <w:tc>
          <w:tcPr>
            <w:tcW w:w="1554" w:type="dxa"/>
            <w:tcBorders>
              <w:top w:val="nil"/>
              <w:left w:val="nil"/>
              <w:bottom w:val="single" w:color="auto" w:sz="4" w:space="0"/>
              <w:right w:val="single" w:color="auto" w:sz="4" w:space="0"/>
            </w:tcBorders>
            <w:vAlign w:val="center"/>
          </w:tcPr>
          <w:p w14:paraId="3A51DA0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800</w:t>
            </w:r>
          </w:p>
        </w:tc>
      </w:tr>
      <w:tr w14:paraId="4FE1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898" w:type="dxa"/>
            <w:tcBorders>
              <w:top w:val="nil"/>
              <w:left w:val="single" w:color="auto" w:sz="4" w:space="0"/>
              <w:bottom w:val="single" w:color="auto" w:sz="4" w:space="0"/>
              <w:right w:val="single" w:color="auto" w:sz="4" w:space="0"/>
            </w:tcBorders>
            <w:vAlign w:val="center"/>
          </w:tcPr>
          <w:p w14:paraId="506F47C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9" w:type="dxa"/>
            <w:tcBorders>
              <w:top w:val="nil"/>
              <w:left w:val="nil"/>
              <w:bottom w:val="single" w:color="auto" w:sz="4" w:space="0"/>
              <w:right w:val="single" w:color="auto" w:sz="4" w:space="0"/>
            </w:tcBorders>
            <w:vAlign w:val="center"/>
          </w:tcPr>
          <w:p w14:paraId="689BC5F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明溪县盖洋镇高水高排项目</w:t>
            </w:r>
          </w:p>
        </w:tc>
        <w:tc>
          <w:tcPr>
            <w:tcW w:w="936" w:type="dxa"/>
            <w:tcBorders>
              <w:top w:val="nil"/>
              <w:left w:val="nil"/>
              <w:bottom w:val="single" w:color="auto" w:sz="4" w:space="0"/>
              <w:right w:val="single" w:color="auto" w:sz="4" w:space="0"/>
            </w:tcBorders>
            <w:vAlign w:val="center"/>
          </w:tcPr>
          <w:p w14:paraId="364687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47A83C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16E59BA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3421B4D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截洪沟6.3km，节制闸4座，涵洞4座</w:t>
            </w:r>
          </w:p>
        </w:tc>
        <w:tc>
          <w:tcPr>
            <w:tcW w:w="1176" w:type="dxa"/>
            <w:tcBorders>
              <w:top w:val="nil"/>
              <w:left w:val="nil"/>
              <w:bottom w:val="single" w:color="auto" w:sz="4" w:space="0"/>
              <w:right w:val="single" w:color="auto" w:sz="4" w:space="0"/>
            </w:tcBorders>
            <w:vAlign w:val="center"/>
          </w:tcPr>
          <w:p w14:paraId="1B6AC54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074986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700</w:t>
            </w:r>
          </w:p>
        </w:tc>
        <w:tc>
          <w:tcPr>
            <w:tcW w:w="1554" w:type="dxa"/>
            <w:tcBorders>
              <w:top w:val="nil"/>
              <w:left w:val="nil"/>
              <w:bottom w:val="single" w:color="auto" w:sz="4" w:space="0"/>
              <w:right w:val="single" w:color="auto" w:sz="4" w:space="0"/>
            </w:tcBorders>
            <w:vAlign w:val="center"/>
          </w:tcPr>
          <w:p w14:paraId="24F2505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700</w:t>
            </w:r>
          </w:p>
        </w:tc>
      </w:tr>
      <w:tr w14:paraId="7FBC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898" w:type="dxa"/>
            <w:tcBorders>
              <w:top w:val="nil"/>
              <w:left w:val="single" w:color="auto" w:sz="4" w:space="0"/>
              <w:bottom w:val="single" w:color="auto" w:sz="4" w:space="0"/>
              <w:right w:val="single" w:color="auto" w:sz="4" w:space="0"/>
            </w:tcBorders>
            <w:vAlign w:val="center"/>
          </w:tcPr>
          <w:p w14:paraId="7BC56E6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49" w:type="dxa"/>
            <w:tcBorders>
              <w:top w:val="nil"/>
              <w:left w:val="nil"/>
              <w:bottom w:val="single" w:color="auto" w:sz="4" w:space="0"/>
              <w:right w:val="single" w:color="auto" w:sz="4" w:space="0"/>
            </w:tcBorders>
            <w:vAlign w:val="center"/>
          </w:tcPr>
          <w:p w14:paraId="43E50AE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明溪县夏阳乡高水高排项目</w:t>
            </w:r>
          </w:p>
        </w:tc>
        <w:tc>
          <w:tcPr>
            <w:tcW w:w="936" w:type="dxa"/>
            <w:tcBorders>
              <w:top w:val="nil"/>
              <w:left w:val="nil"/>
              <w:bottom w:val="single" w:color="auto" w:sz="4" w:space="0"/>
              <w:right w:val="single" w:color="auto" w:sz="4" w:space="0"/>
            </w:tcBorders>
            <w:vAlign w:val="center"/>
          </w:tcPr>
          <w:p w14:paraId="1FDAF55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38C092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3A8357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349D3E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截洪沟4.0km，节制闸4座，涵洞4座</w:t>
            </w:r>
          </w:p>
        </w:tc>
        <w:tc>
          <w:tcPr>
            <w:tcW w:w="1176" w:type="dxa"/>
            <w:tcBorders>
              <w:top w:val="nil"/>
              <w:left w:val="nil"/>
              <w:bottom w:val="single" w:color="auto" w:sz="4" w:space="0"/>
              <w:right w:val="single" w:color="auto" w:sz="4" w:space="0"/>
            </w:tcBorders>
            <w:vAlign w:val="center"/>
          </w:tcPr>
          <w:p w14:paraId="5A86F1D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758696B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w:t>
            </w:r>
          </w:p>
        </w:tc>
        <w:tc>
          <w:tcPr>
            <w:tcW w:w="1554" w:type="dxa"/>
            <w:tcBorders>
              <w:top w:val="nil"/>
              <w:left w:val="nil"/>
              <w:bottom w:val="single" w:color="auto" w:sz="4" w:space="0"/>
              <w:right w:val="single" w:color="auto" w:sz="4" w:space="0"/>
            </w:tcBorders>
            <w:vAlign w:val="center"/>
          </w:tcPr>
          <w:p w14:paraId="719CA4C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w:t>
            </w:r>
          </w:p>
        </w:tc>
      </w:tr>
      <w:tr w14:paraId="24B8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665FE3D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二</w:t>
            </w:r>
          </w:p>
        </w:tc>
        <w:tc>
          <w:tcPr>
            <w:tcW w:w="2349" w:type="dxa"/>
            <w:tcBorders>
              <w:top w:val="nil"/>
              <w:left w:val="nil"/>
              <w:bottom w:val="single" w:color="auto" w:sz="4" w:space="0"/>
              <w:right w:val="single" w:color="auto" w:sz="4" w:space="0"/>
            </w:tcBorders>
            <w:vAlign w:val="center"/>
          </w:tcPr>
          <w:p w14:paraId="1A593D7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水资源安全保障工程</w:t>
            </w:r>
          </w:p>
        </w:tc>
        <w:tc>
          <w:tcPr>
            <w:tcW w:w="936" w:type="dxa"/>
            <w:tcBorders>
              <w:top w:val="nil"/>
              <w:left w:val="nil"/>
              <w:bottom w:val="single" w:color="auto" w:sz="4" w:space="0"/>
              <w:right w:val="single" w:color="auto" w:sz="4" w:space="0"/>
            </w:tcBorders>
            <w:vAlign w:val="center"/>
          </w:tcPr>
          <w:p w14:paraId="7160AA3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4412D89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6D0C8E5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4F49F58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39A20EA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7751AEF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97961</w:t>
            </w:r>
          </w:p>
        </w:tc>
        <w:tc>
          <w:tcPr>
            <w:tcW w:w="1554" w:type="dxa"/>
            <w:tcBorders>
              <w:top w:val="nil"/>
              <w:left w:val="nil"/>
              <w:bottom w:val="single" w:color="auto" w:sz="4" w:space="0"/>
              <w:right w:val="single" w:color="auto" w:sz="4" w:space="0"/>
            </w:tcBorders>
            <w:vAlign w:val="center"/>
          </w:tcPr>
          <w:p w14:paraId="6BBFDB9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97961</w:t>
            </w:r>
          </w:p>
        </w:tc>
      </w:tr>
      <w:tr w14:paraId="343E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98" w:type="dxa"/>
            <w:tcBorders>
              <w:top w:val="nil"/>
              <w:left w:val="single" w:color="auto" w:sz="4" w:space="0"/>
              <w:bottom w:val="single" w:color="auto" w:sz="4" w:space="0"/>
              <w:right w:val="single" w:color="auto" w:sz="4" w:space="0"/>
            </w:tcBorders>
            <w:vAlign w:val="center"/>
          </w:tcPr>
          <w:p w14:paraId="21FC925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2.1</w:t>
            </w:r>
          </w:p>
        </w:tc>
        <w:tc>
          <w:tcPr>
            <w:tcW w:w="2349" w:type="dxa"/>
            <w:tcBorders>
              <w:top w:val="nil"/>
              <w:left w:val="nil"/>
              <w:bottom w:val="single" w:color="auto" w:sz="4" w:space="0"/>
              <w:right w:val="single" w:color="auto" w:sz="4" w:space="0"/>
            </w:tcBorders>
            <w:vAlign w:val="center"/>
          </w:tcPr>
          <w:p w14:paraId="1EF901E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中小型水库及塘坝</w:t>
            </w:r>
          </w:p>
        </w:tc>
        <w:tc>
          <w:tcPr>
            <w:tcW w:w="936" w:type="dxa"/>
            <w:tcBorders>
              <w:top w:val="nil"/>
              <w:left w:val="nil"/>
              <w:bottom w:val="single" w:color="auto" w:sz="4" w:space="0"/>
              <w:right w:val="single" w:color="auto" w:sz="4" w:space="0"/>
            </w:tcBorders>
            <w:vAlign w:val="center"/>
          </w:tcPr>
          <w:p w14:paraId="41752ED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2233D0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78E168E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C99143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22EBA68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2AD1AE4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23380</w:t>
            </w:r>
          </w:p>
        </w:tc>
        <w:tc>
          <w:tcPr>
            <w:tcW w:w="1554" w:type="dxa"/>
            <w:tcBorders>
              <w:top w:val="nil"/>
              <w:left w:val="nil"/>
              <w:bottom w:val="single" w:color="auto" w:sz="4" w:space="0"/>
              <w:right w:val="single" w:color="auto" w:sz="4" w:space="0"/>
            </w:tcBorders>
            <w:vAlign w:val="center"/>
          </w:tcPr>
          <w:p w14:paraId="50461D4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23380</w:t>
            </w:r>
          </w:p>
        </w:tc>
      </w:tr>
      <w:tr w14:paraId="06EA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50F5AD1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6F15C30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石溪水库工程</w:t>
            </w:r>
          </w:p>
        </w:tc>
        <w:tc>
          <w:tcPr>
            <w:tcW w:w="936" w:type="dxa"/>
            <w:tcBorders>
              <w:top w:val="nil"/>
              <w:left w:val="nil"/>
              <w:bottom w:val="single" w:color="auto" w:sz="4" w:space="0"/>
              <w:right w:val="single" w:color="auto" w:sz="4" w:space="0"/>
            </w:tcBorders>
            <w:vAlign w:val="center"/>
          </w:tcPr>
          <w:p w14:paraId="5B482E2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胡坊镇</w:t>
            </w:r>
          </w:p>
        </w:tc>
        <w:tc>
          <w:tcPr>
            <w:tcW w:w="895" w:type="dxa"/>
            <w:tcBorders>
              <w:top w:val="nil"/>
              <w:left w:val="nil"/>
              <w:bottom w:val="single" w:color="auto" w:sz="4" w:space="0"/>
              <w:right w:val="single" w:color="auto" w:sz="4" w:space="0"/>
            </w:tcBorders>
            <w:vAlign w:val="center"/>
          </w:tcPr>
          <w:p w14:paraId="2B8C7F0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33E051E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小（2）型</w:t>
            </w:r>
          </w:p>
        </w:tc>
        <w:tc>
          <w:tcPr>
            <w:tcW w:w="4243" w:type="dxa"/>
            <w:tcBorders>
              <w:top w:val="nil"/>
              <w:left w:val="nil"/>
              <w:bottom w:val="single" w:color="auto" w:sz="4" w:space="0"/>
              <w:right w:val="single" w:color="auto" w:sz="4" w:space="0"/>
            </w:tcBorders>
            <w:vAlign w:val="center"/>
          </w:tcPr>
          <w:p w14:paraId="3514D6C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新建小（2）型水库1座，总库容77万m3</w:t>
            </w:r>
          </w:p>
        </w:tc>
        <w:tc>
          <w:tcPr>
            <w:tcW w:w="1176" w:type="dxa"/>
            <w:tcBorders>
              <w:top w:val="nil"/>
              <w:left w:val="nil"/>
              <w:bottom w:val="single" w:color="auto" w:sz="4" w:space="0"/>
              <w:right w:val="single" w:color="auto" w:sz="4" w:space="0"/>
            </w:tcBorders>
            <w:vAlign w:val="center"/>
          </w:tcPr>
          <w:p w14:paraId="1E20487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24C848A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3850</w:t>
            </w:r>
          </w:p>
        </w:tc>
        <w:tc>
          <w:tcPr>
            <w:tcW w:w="1554" w:type="dxa"/>
            <w:tcBorders>
              <w:top w:val="nil"/>
              <w:left w:val="nil"/>
              <w:bottom w:val="single" w:color="auto" w:sz="4" w:space="0"/>
              <w:right w:val="single" w:color="auto" w:sz="4" w:space="0"/>
            </w:tcBorders>
            <w:vAlign w:val="center"/>
          </w:tcPr>
          <w:p w14:paraId="1553D51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3850</w:t>
            </w:r>
          </w:p>
        </w:tc>
      </w:tr>
      <w:tr w14:paraId="70B3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5C96F58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9" w:type="dxa"/>
            <w:tcBorders>
              <w:top w:val="nil"/>
              <w:left w:val="nil"/>
              <w:bottom w:val="single" w:color="auto" w:sz="4" w:space="0"/>
              <w:right w:val="single" w:color="auto" w:sz="4" w:space="0"/>
            </w:tcBorders>
            <w:vAlign w:val="center"/>
          </w:tcPr>
          <w:p w14:paraId="57E6A82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杉坑水库工程</w:t>
            </w:r>
          </w:p>
        </w:tc>
        <w:tc>
          <w:tcPr>
            <w:tcW w:w="936" w:type="dxa"/>
            <w:tcBorders>
              <w:top w:val="nil"/>
              <w:left w:val="nil"/>
              <w:bottom w:val="single" w:color="auto" w:sz="4" w:space="0"/>
              <w:right w:val="single" w:color="auto" w:sz="4" w:space="0"/>
            </w:tcBorders>
            <w:vAlign w:val="center"/>
          </w:tcPr>
          <w:p w14:paraId="02559AA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胡坊镇</w:t>
            </w:r>
          </w:p>
        </w:tc>
        <w:tc>
          <w:tcPr>
            <w:tcW w:w="895" w:type="dxa"/>
            <w:tcBorders>
              <w:top w:val="nil"/>
              <w:left w:val="nil"/>
              <w:bottom w:val="single" w:color="auto" w:sz="4" w:space="0"/>
              <w:right w:val="single" w:color="auto" w:sz="4" w:space="0"/>
            </w:tcBorders>
            <w:vAlign w:val="center"/>
          </w:tcPr>
          <w:p w14:paraId="589DEA1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6C54C04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小（1）型</w:t>
            </w:r>
          </w:p>
        </w:tc>
        <w:tc>
          <w:tcPr>
            <w:tcW w:w="4243" w:type="dxa"/>
            <w:tcBorders>
              <w:top w:val="nil"/>
              <w:left w:val="nil"/>
              <w:bottom w:val="single" w:color="auto" w:sz="4" w:space="0"/>
              <w:right w:val="single" w:color="auto" w:sz="4" w:space="0"/>
            </w:tcBorders>
            <w:vAlign w:val="center"/>
          </w:tcPr>
          <w:p w14:paraId="446D8D3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新建小（1）型水库1座，总库容122万m3</w:t>
            </w:r>
          </w:p>
        </w:tc>
        <w:tc>
          <w:tcPr>
            <w:tcW w:w="1176" w:type="dxa"/>
            <w:tcBorders>
              <w:top w:val="nil"/>
              <w:left w:val="nil"/>
              <w:bottom w:val="single" w:color="auto" w:sz="4" w:space="0"/>
              <w:right w:val="single" w:color="auto" w:sz="4" w:space="0"/>
            </w:tcBorders>
            <w:vAlign w:val="center"/>
          </w:tcPr>
          <w:p w14:paraId="08FBF03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776AC66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6010</w:t>
            </w:r>
          </w:p>
        </w:tc>
        <w:tc>
          <w:tcPr>
            <w:tcW w:w="1554" w:type="dxa"/>
            <w:tcBorders>
              <w:top w:val="nil"/>
              <w:left w:val="nil"/>
              <w:bottom w:val="single" w:color="auto" w:sz="4" w:space="0"/>
              <w:right w:val="single" w:color="auto" w:sz="4" w:space="0"/>
            </w:tcBorders>
            <w:vAlign w:val="center"/>
          </w:tcPr>
          <w:p w14:paraId="3DC290D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6010</w:t>
            </w:r>
          </w:p>
        </w:tc>
      </w:tr>
      <w:tr w14:paraId="1A96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13B8DFB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49" w:type="dxa"/>
            <w:tcBorders>
              <w:top w:val="nil"/>
              <w:left w:val="nil"/>
              <w:bottom w:val="single" w:color="auto" w:sz="4" w:space="0"/>
              <w:right w:val="single" w:color="auto" w:sz="4" w:space="0"/>
            </w:tcBorders>
            <w:vAlign w:val="center"/>
          </w:tcPr>
          <w:p w14:paraId="76CDFEA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里地水库工程</w:t>
            </w:r>
          </w:p>
        </w:tc>
        <w:tc>
          <w:tcPr>
            <w:tcW w:w="936" w:type="dxa"/>
            <w:tcBorders>
              <w:top w:val="nil"/>
              <w:left w:val="nil"/>
              <w:bottom w:val="single" w:color="auto" w:sz="4" w:space="0"/>
              <w:right w:val="single" w:color="auto" w:sz="4" w:space="0"/>
            </w:tcBorders>
            <w:vAlign w:val="center"/>
          </w:tcPr>
          <w:p w14:paraId="7E6E296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枫溪乡</w:t>
            </w:r>
          </w:p>
        </w:tc>
        <w:tc>
          <w:tcPr>
            <w:tcW w:w="895" w:type="dxa"/>
            <w:tcBorders>
              <w:top w:val="nil"/>
              <w:left w:val="nil"/>
              <w:bottom w:val="single" w:color="auto" w:sz="4" w:space="0"/>
              <w:right w:val="single" w:color="auto" w:sz="4" w:space="0"/>
            </w:tcBorders>
            <w:vAlign w:val="center"/>
          </w:tcPr>
          <w:p w14:paraId="5F656DC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6AB9DD1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小（1）型</w:t>
            </w:r>
          </w:p>
        </w:tc>
        <w:tc>
          <w:tcPr>
            <w:tcW w:w="4243" w:type="dxa"/>
            <w:tcBorders>
              <w:top w:val="nil"/>
              <w:left w:val="nil"/>
              <w:bottom w:val="single" w:color="auto" w:sz="4" w:space="0"/>
              <w:right w:val="single" w:color="auto" w:sz="4" w:space="0"/>
            </w:tcBorders>
            <w:vAlign w:val="center"/>
          </w:tcPr>
          <w:p w14:paraId="120905B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新建小（1）型水库1座，总库容109万m3</w:t>
            </w:r>
          </w:p>
        </w:tc>
        <w:tc>
          <w:tcPr>
            <w:tcW w:w="1176" w:type="dxa"/>
            <w:tcBorders>
              <w:top w:val="nil"/>
              <w:left w:val="nil"/>
              <w:bottom w:val="single" w:color="auto" w:sz="4" w:space="0"/>
              <w:right w:val="single" w:color="auto" w:sz="4" w:space="0"/>
            </w:tcBorders>
            <w:vAlign w:val="center"/>
          </w:tcPr>
          <w:p w14:paraId="32FBC8F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88BF8C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5470</w:t>
            </w:r>
          </w:p>
        </w:tc>
        <w:tc>
          <w:tcPr>
            <w:tcW w:w="1554" w:type="dxa"/>
            <w:tcBorders>
              <w:top w:val="nil"/>
              <w:left w:val="nil"/>
              <w:bottom w:val="single" w:color="auto" w:sz="4" w:space="0"/>
              <w:right w:val="single" w:color="auto" w:sz="4" w:space="0"/>
            </w:tcBorders>
            <w:vAlign w:val="center"/>
          </w:tcPr>
          <w:p w14:paraId="2DCC10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5470</w:t>
            </w:r>
          </w:p>
        </w:tc>
      </w:tr>
      <w:tr w14:paraId="2C60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2AEFFF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49" w:type="dxa"/>
            <w:tcBorders>
              <w:top w:val="nil"/>
              <w:left w:val="nil"/>
              <w:bottom w:val="single" w:color="auto" w:sz="4" w:space="0"/>
              <w:right w:val="single" w:color="auto" w:sz="4" w:space="0"/>
            </w:tcBorders>
            <w:vAlign w:val="center"/>
          </w:tcPr>
          <w:p w14:paraId="03021F4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无力坑水库工程</w:t>
            </w:r>
          </w:p>
        </w:tc>
        <w:tc>
          <w:tcPr>
            <w:tcW w:w="936" w:type="dxa"/>
            <w:tcBorders>
              <w:top w:val="nil"/>
              <w:left w:val="nil"/>
              <w:bottom w:val="single" w:color="auto" w:sz="4" w:space="0"/>
              <w:right w:val="single" w:color="auto" w:sz="4" w:space="0"/>
            </w:tcBorders>
            <w:vAlign w:val="center"/>
          </w:tcPr>
          <w:p w14:paraId="25E0B4F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沙溪乡</w:t>
            </w:r>
          </w:p>
        </w:tc>
        <w:tc>
          <w:tcPr>
            <w:tcW w:w="895" w:type="dxa"/>
            <w:tcBorders>
              <w:top w:val="nil"/>
              <w:left w:val="nil"/>
              <w:bottom w:val="single" w:color="auto" w:sz="4" w:space="0"/>
              <w:right w:val="single" w:color="auto" w:sz="4" w:space="0"/>
            </w:tcBorders>
            <w:vAlign w:val="center"/>
          </w:tcPr>
          <w:p w14:paraId="6312CA6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09C3180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小（2）型</w:t>
            </w:r>
          </w:p>
        </w:tc>
        <w:tc>
          <w:tcPr>
            <w:tcW w:w="4243" w:type="dxa"/>
            <w:tcBorders>
              <w:top w:val="nil"/>
              <w:left w:val="nil"/>
              <w:bottom w:val="single" w:color="auto" w:sz="4" w:space="0"/>
              <w:right w:val="single" w:color="auto" w:sz="4" w:space="0"/>
            </w:tcBorders>
            <w:vAlign w:val="center"/>
          </w:tcPr>
          <w:p w14:paraId="508C62A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新建小（2）型水库1座，总库容28万m3</w:t>
            </w:r>
          </w:p>
        </w:tc>
        <w:tc>
          <w:tcPr>
            <w:tcW w:w="1176" w:type="dxa"/>
            <w:tcBorders>
              <w:top w:val="nil"/>
              <w:left w:val="nil"/>
              <w:bottom w:val="single" w:color="auto" w:sz="4" w:space="0"/>
              <w:right w:val="single" w:color="auto" w:sz="4" w:space="0"/>
            </w:tcBorders>
            <w:vAlign w:val="center"/>
          </w:tcPr>
          <w:p w14:paraId="0D66796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3B076D8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1750</w:t>
            </w:r>
          </w:p>
        </w:tc>
        <w:tc>
          <w:tcPr>
            <w:tcW w:w="1554" w:type="dxa"/>
            <w:tcBorders>
              <w:top w:val="nil"/>
              <w:left w:val="nil"/>
              <w:bottom w:val="single" w:color="auto" w:sz="4" w:space="0"/>
              <w:right w:val="single" w:color="auto" w:sz="4" w:space="0"/>
            </w:tcBorders>
            <w:vAlign w:val="center"/>
          </w:tcPr>
          <w:p w14:paraId="154CE2C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1750</w:t>
            </w:r>
          </w:p>
        </w:tc>
      </w:tr>
      <w:tr w14:paraId="0118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4C965F7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49" w:type="dxa"/>
            <w:tcBorders>
              <w:top w:val="nil"/>
              <w:left w:val="nil"/>
              <w:bottom w:val="single" w:color="auto" w:sz="4" w:space="0"/>
              <w:right w:val="single" w:color="auto" w:sz="4" w:space="0"/>
            </w:tcBorders>
            <w:vAlign w:val="center"/>
          </w:tcPr>
          <w:p w14:paraId="292D00F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俞云际水库工程</w:t>
            </w:r>
          </w:p>
        </w:tc>
        <w:tc>
          <w:tcPr>
            <w:tcW w:w="936" w:type="dxa"/>
            <w:tcBorders>
              <w:top w:val="nil"/>
              <w:left w:val="nil"/>
              <w:bottom w:val="single" w:color="auto" w:sz="4" w:space="0"/>
              <w:right w:val="single" w:color="auto" w:sz="4" w:space="0"/>
            </w:tcBorders>
            <w:vAlign w:val="center"/>
          </w:tcPr>
          <w:p w14:paraId="564F782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夏阳乡</w:t>
            </w:r>
          </w:p>
        </w:tc>
        <w:tc>
          <w:tcPr>
            <w:tcW w:w="895" w:type="dxa"/>
            <w:tcBorders>
              <w:top w:val="nil"/>
              <w:left w:val="nil"/>
              <w:bottom w:val="single" w:color="auto" w:sz="4" w:space="0"/>
              <w:right w:val="single" w:color="auto" w:sz="4" w:space="0"/>
            </w:tcBorders>
            <w:vAlign w:val="center"/>
          </w:tcPr>
          <w:p w14:paraId="1BE735A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68092A9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小（2）型</w:t>
            </w:r>
          </w:p>
        </w:tc>
        <w:tc>
          <w:tcPr>
            <w:tcW w:w="4243" w:type="dxa"/>
            <w:tcBorders>
              <w:top w:val="nil"/>
              <w:left w:val="nil"/>
              <w:bottom w:val="single" w:color="auto" w:sz="4" w:space="0"/>
              <w:right w:val="single" w:color="auto" w:sz="4" w:space="0"/>
            </w:tcBorders>
            <w:vAlign w:val="center"/>
          </w:tcPr>
          <w:p w14:paraId="5F97CA0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新建小（1）型水库1座，总库容126万m3</w:t>
            </w:r>
          </w:p>
        </w:tc>
        <w:tc>
          <w:tcPr>
            <w:tcW w:w="1176" w:type="dxa"/>
            <w:tcBorders>
              <w:top w:val="nil"/>
              <w:left w:val="nil"/>
              <w:bottom w:val="single" w:color="auto" w:sz="4" w:space="0"/>
              <w:right w:val="single" w:color="auto" w:sz="4" w:space="0"/>
            </w:tcBorders>
            <w:vAlign w:val="center"/>
          </w:tcPr>
          <w:p w14:paraId="07904BF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2CEBA26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6300</w:t>
            </w:r>
          </w:p>
        </w:tc>
        <w:tc>
          <w:tcPr>
            <w:tcW w:w="1554" w:type="dxa"/>
            <w:tcBorders>
              <w:top w:val="nil"/>
              <w:left w:val="nil"/>
              <w:bottom w:val="single" w:color="auto" w:sz="4" w:space="0"/>
              <w:right w:val="single" w:color="auto" w:sz="4" w:space="0"/>
            </w:tcBorders>
            <w:vAlign w:val="center"/>
          </w:tcPr>
          <w:p w14:paraId="56073FA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6300</w:t>
            </w:r>
          </w:p>
        </w:tc>
      </w:tr>
      <w:tr w14:paraId="7A25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65017F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2.2</w:t>
            </w:r>
          </w:p>
        </w:tc>
        <w:tc>
          <w:tcPr>
            <w:tcW w:w="2349" w:type="dxa"/>
            <w:tcBorders>
              <w:top w:val="nil"/>
              <w:left w:val="nil"/>
              <w:bottom w:val="single" w:color="auto" w:sz="4" w:space="0"/>
              <w:right w:val="single" w:color="auto" w:sz="4" w:space="0"/>
            </w:tcBorders>
            <w:vAlign w:val="center"/>
          </w:tcPr>
          <w:p w14:paraId="4CF0F0B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城乡供水提升工程</w:t>
            </w:r>
          </w:p>
        </w:tc>
        <w:tc>
          <w:tcPr>
            <w:tcW w:w="936" w:type="dxa"/>
            <w:tcBorders>
              <w:top w:val="nil"/>
              <w:left w:val="nil"/>
              <w:bottom w:val="single" w:color="auto" w:sz="4" w:space="0"/>
              <w:right w:val="single" w:color="auto" w:sz="4" w:space="0"/>
            </w:tcBorders>
            <w:vAlign w:val="center"/>
          </w:tcPr>
          <w:p w14:paraId="6090D7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460E23F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1919F3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54C5D49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4CB841A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5978B11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66375</w:t>
            </w:r>
          </w:p>
        </w:tc>
        <w:tc>
          <w:tcPr>
            <w:tcW w:w="1554" w:type="dxa"/>
            <w:tcBorders>
              <w:top w:val="nil"/>
              <w:left w:val="nil"/>
              <w:bottom w:val="single" w:color="auto" w:sz="4" w:space="0"/>
              <w:right w:val="single" w:color="auto" w:sz="4" w:space="0"/>
            </w:tcBorders>
            <w:vAlign w:val="center"/>
          </w:tcPr>
          <w:p w14:paraId="79691A5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66375</w:t>
            </w:r>
          </w:p>
        </w:tc>
      </w:tr>
      <w:tr w14:paraId="130B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98" w:type="dxa"/>
            <w:tcBorders>
              <w:top w:val="nil"/>
              <w:left w:val="single" w:color="auto" w:sz="4" w:space="0"/>
              <w:bottom w:val="single" w:color="auto" w:sz="4" w:space="0"/>
              <w:right w:val="single" w:color="auto" w:sz="4" w:space="0"/>
            </w:tcBorders>
            <w:vAlign w:val="center"/>
          </w:tcPr>
          <w:p w14:paraId="30AF65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0F7FB3D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明溪县城乡供水一体化工程</w:t>
            </w:r>
          </w:p>
        </w:tc>
        <w:tc>
          <w:tcPr>
            <w:tcW w:w="936" w:type="dxa"/>
            <w:tcBorders>
              <w:top w:val="nil"/>
              <w:left w:val="nil"/>
              <w:bottom w:val="single" w:color="auto" w:sz="4" w:space="0"/>
              <w:right w:val="single" w:color="auto" w:sz="4" w:space="0"/>
            </w:tcBorders>
            <w:vAlign w:val="center"/>
          </w:tcPr>
          <w:p w14:paraId="6613047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78CEE57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05479FD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184CF53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新建、改扩建工程52处，其中规模化（千吨级以上）供水工程7处，小型供水工程45处，管网更新改造52处，新增日供水能力0.435万吨，千人以上工程水源保护区划定率100%。</w:t>
            </w:r>
          </w:p>
        </w:tc>
        <w:tc>
          <w:tcPr>
            <w:tcW w:w="1176" w:type="dxa"/>
            <w:tcBorders>
              <w:top w:val="nil"/>
              <w:left w:val="nil"/>
              <w:bottom w:val="single" w:color="auto" w:sz="4" w:space="0"/>
              <w:right w:val="single" w:color="auto" w:sz="4" w:space="0"/>
            </w:tcBorders>
            <w:vAlign w:val="center"/>
          </w:tcPr>
          <w:p w14:paraId="38BCA55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0EEE997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66374.8</w:t>
            </w:r>
          </w:p>
        </w:tc>
        <w:tc>
          <w:tcPr>
            <w:tcW w:w="1554" w:type="dxa"/>
            <w:tcBorders>
              <w:top w:val="nil"/>
              <w:left w:val="nil"/>
              <w:bottom w:val="single" w:color="auto" w:sz="4" w:space="0"/>
              <w:right w:val="single" w:color="auto" w:sz="4" w:space="0"/>
            </w:tcBorders>
            <w:vAlign w:val="center"/>
          </w:tcPr>
          <w:p w14:paraId="3E64EA8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66374.8</w:t>
            </w:r>
          </w:p>
        </w:tc>
      </w:tr>
      <w:tr w14:paraId="6EE4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053FAAE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2.3</w:t>
            </w:r>
          </w:p>
        </w:tc>
        <w:tc>
          <w:tcPr>
            <w:tcW w:w="2349" w:type="dxa"/>
            <w:tcBorders>
              <w:top w:val="nil"/>
              <w:left w:val="nil"/>
              <w:bottom w:val="single" w:color="auto" w:sz="4" w:space="0"/>
              <w:right w:val="single" w:color="auto" w:sz="4" w:space="0"/>
            </w:tcBorders>
            <w:vAlign w:val="center"/>
          </w:tcPr>
          <w:p w14:paraId="56753CB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灌区续建配套与现代化改造工程</w:t>
            </w:r>
          </w:p>
        </w:tc>
        <w:tc>
          <w:tcPr>
            <w:tcW w:w="936" w:type="dxa"/>
            <w:tcBorders>
              <w:top w:val="nil"/>
              <w:left w:val="nil"/>
              <w:bottom w:val="single" w:color="auto" w:sz="4" w:space="0"/>
              <w:right w:val="single" w:color="auto" w:sz="4" w:space="0"/>
            </w:tcBorders>
            <w:vAlign w:val="center"/>
          </w:tcPr>
          <w:p w14:paraId="1296C86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4D251B7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55825B4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5A14B62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794F676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312E014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6506</w:t>
            </w:r>
          </w:p>
        </w:tc>
        <w:tc>
          <w:tcPr>
            <w:tcW w:w="1554" w:type="dxa"/>
            <w:tcBorders>
              <w:top w:val="nil"/>
              <w:left w:val="nil"/>
              <w:bottom w:val="single" w:color="auto" w:sz="4" w:space="0"/>
              <w:right w:val="single" w:color="auto" w:sz="4" w:space="0"/>
            </w:tcBorders>
            <w:vAlign w:val="center"/>
          </w:tcPr>
          <w:p w14:paraId="2B62B0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6506</w:t>
            </w:r>
          </w:p>
        </w:tc>
      </w:tr>
      <w:tr w14:paraId="7759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98" w:type="dxa"/>
            <w:tcBorders>
              <w:top w:val="nil"/>
              <w:left w:val="single" w:color="auto" w:sz="4" w:space="0"/>
              <w:bottom w:val="single" w:color="auto" w:sz="4" w:space="0"/>
              <w:right w:val="single" w:color="auto" w:sz="4" w:space="0"/>
            </w:tcBorders>
            <w:vAlign w:val="center"/>
          </w:tcPr>
          <w:p w14:paraId="033611D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6C9DCD8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中央苏区三明灌区续建配套与节水改造（明溪分灌区）</w:t>
            </w:r>
          </w:p>
        </w:tc>
        <w:tc>
          <w:tcPr>
            <w:tcW w:w="936" w:type="dxa"/>
            <w:tcBorders>
              <w:top w:val="nil"/>
              <w:left w:val="nil"/>
              <w:bottom w:val="single" w:color="auto" w:sz="4" w:space="0"/>
              <w:right w:val="single" w:color="auto" w:sz="4" w:space="0"/>
            </w:tcBorders>
            <w:vAlign w:val="center"/>
          </w:tcPr>
          <w:p w14:paraId="6A25B8B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122733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1CD4F9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807C9B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闽西北中央苏区三明大型灌区续建配套与节水改造工程（明溪片）：分为盖洋分灌区及渔塘溪分灌区，其中盖洋分灌区设计灌溉面积5.83万亩，渔塘溪分灌区受益面积5.76万亩。</w:t>
            </w:r>
          </w:p>
        </w:tc>
        <w:tc>
          <w:tcPr>
            <w:tcW w:w="1176" w:type="dxa"/>
            <w:tcBorders>
              <w:top w:val="nil"/>
              <w:left w:val="nil"/>
              <w:bottom w:val="single" w:color="auto" w:sz="4" w:space="0"/>
              <w:right w:val="single" w:color="auto" w:sz="4" w:space="0"/>
            </w:tcBorders>
            <w:vAlign w:val="center"/>
          </w:tcPr>
          <w:p w14:paraId="01D3E02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可研已批</w:t>
            </w:r>
          </w:p>
        </w:tc>
        <w:tc>
          <w:tcPr>
            <w:tcW w:w="996" w:type="dxa"/>
            <w:tcBorders>
              <w:top w:val="nil"/>
              <w:left w:val="nil"/>
              <w:bottom w:val="single" w:color="auto" w:sz="4" w:space="0"/>
              <w:right w:val="single" w:color="auto" w:sz="4" w:space="0"/>
            </w:tcBorders>
            <w:vAlign w:val="center"/>
          </w:tcPr>
          <w:p w14:paraId="330FA09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5904</w:t>
            </w:r>
          </w:p>
        </w:tc>
        <w:tc>
          <w:tcPr>
            <w:tcW w:w="1554" w:type="dxa"/>
            <w:tcBorders>
              <w:top w:val="nil"/>
              <w:left w:val="nil"/>
              <w:bottom w:val="single" w:color="auto" w:sz="4" w:space="0"/>
              <w:right w:val="single" w:color="auto" w:sz="4" w:space="0"/>
            </w:tcBorders>
            <w:vAlign w:val="center"/>
          </w:tcPr>
          <w:p w14:paraId="30979AD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5904</w:t>
            </w:r>
          </w:p>
        </w:tc>
      </w:tr>
      <w:tr w14:paraId="4F31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5210B4E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9" w:type="dxa"/>
            <w:tcBorders>
              <w:top w:val="nil"/>
              <w:left w:val="nil"/>
              <w:bottom w:val="single" w:color="auto" w:sz="4" w:space="0"/>
              <w:right w:val="single" w:color="auto" w:sz="4" w:space="0"/>
            </w:tcBorders>
            <w:vAlign w:val="center"/>
          </w:tcPr>
          <w:p w14:paraId="003501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胡坊灌区节水配套改造项目</w:t>
            </w:r>
          </w:p>
        </w:tc>
        <w:tc>
          <w:tcPr>
            <w:tcW w:w="936" w:type="dxa"/>
            <w:tcBorders>
              <w:top w:val="nil"/>
              <w:left w:val="nil"/>
              <w:bottom w:val="single" w:color="auto" w:sz="4" w:space="0"/>
              <w:right w:val="single" w:color="auto" w:sz="4" w:space="0"/>
            </w:tcBorders>
            <w:vAlign w:val="center"/>
          </w:tcPr>
          <w:p w14:paraId="273E107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124EE1F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5009C18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54C50B9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新增（恢复）有效灌溉面0.15万亩，改善灌溉面积0.5万亩。建设干支渠道24.403km；配套建设渠系建筑物133座。</w:t>
            </w:r>
          </w:p>
        </w:tc>
        <w:tc>
          <w:tcPr>
            <w:tcW w:w="1176" w:type="dxa"/>
            <w:tcBorders>
              <w:top w:val="nil"/>
              <w:left w:val="nil"/>
              <w:bottom w:val="single" w:color="auto" w:sz="4" w:space="0"/>
              <w:right w:val="single" w:color="auto" w:sz="4" w:space="0"/>
            </w:tcBorders>
            <w:vAlign w:val="center"/>
          </w:tcPr>
          <w:p w14:paraId="6095DF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DDDECA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601.89</w:t>
            </w:r>
          </w:p>
        </w:tc>
        <w:tc>
          <w:tcPr>
            <w:tcW w:w="1554" w:type="dxa"/>
            <w:tcBorders>
              <w:top w:val="nil"/>
              <w:left w:val="nil"/>
              <w:bottom w:val="single" w:color="auto" w:sz="4" w:space="0"/>
              <w:right w:val="single" w:color="auto" w:sz="4" w:space="0"/>
            </w:tcBorders>
            <w:vAlign w:val="center"/>
          </w:tcPr>
          <w:p w14:paraId="340D8A4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601.89</w:t>
            </w:r>
          </w:p>
        </w:tc>
      </w:tr>
      <w:tr w14:paraId="3F33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6CADBCF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2.4</w:t>
            </w:r>
          </w:p>
        </w:tc>
        <w:tc>
          <w:tcPr>
            <w:tcW w:w="2349" w:type="dxa"/>
            <w:tcBorders>
              <w:top w:val="nil"/>
              <w:left w:val="nil"/>
              <w:bottom w:val="single" w:color="auto" w:sz="4" w:space="0"/>
              <w:right w:val="single" w:color="auto" w:sz="4" w:space="0"/>
            </w:tcBorders>
            <w:vAlign w:val="center"/>
          </w:tcPr>
          <w:p w14:paraId="27343B8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水资源节约与保护</w:t>
            </w:r>
          </w:p>
        </w:tc>
        <w:tc>
          <w:tcPr>
            <w:tcW w:w="936" w:type="dxa"/>
            <w:tcBorders>
              <w:top w:val="nil"/>
              <w:left w:val="nil"/>
              <w:bottom w:val="single" w:color="auto" w:sz="4" w:space="0"/>
              <w:right w:val="single" w:color="auto" w:sz="4" w:space="0"/>
            </w:tcBorders>
            <w:vAlign w:val="center"/>
          </w:tcPr>
          <w:p w14:paraId="0E02A88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151BFB2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4CEA476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9E9568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45FB9EF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351B55D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1700</w:t>
            </w:r>
          </w:p>
        </w:tc>
        <w:tc>
          <w:tcPr>
            <w:tcW w:w="1554" w:type="dxa"/>
            <w:tcBorders>
              <w:top w:val="nil"/>
              <w:left w:val="nil"/>
              <w:bottom w:val="single" w:color="auto" w:sz="4" w:space="0"/>
              <w:right w:val="single" w:color="auto" w:sz="4" w:space="0"/>
            </w:tcBorders>
            <w:vAlign w:val="center"/>
          </w:tcPr>
          <w:p w14:paraId="5CE9AF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1700</w:t>
            </w:r>
          </w:p>
        </w:tc>
      </w:tr>
      <w:tr w14:paraId="30F2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5AFECEF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20BC74C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水资源节水社会建设</w:t>
            </w:r>
          </w:p>
        </w:tc>
        <w:tc>
          <w:tcPr>
            <w:tcW w:w="936" w:type="dxa"/>
            <w:tcBorders>
              <w:top w:val="nil"/>
              <w:left w:val="nil"/>
              <w:bottom w:val="single" w:color="auto" w:sz="4" w:space="0"/>
              <w:right w:val="single" w:color="auto" w:sz="4" w:space="0"/>
            </w:tcBorders>
            <w:vAlign w:val="center"/>
          </w:tcPr>
          <w:p w14:paraId="4EE571E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49BEF4A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11F5A76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6D123CE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实施节水型社会达标建设</w:t>
            </w:r>
          </w:p>
        </w:tc>
        <w:tc>
          <w:tcPr>
            <w:tcW w:w="1176" w:type="dxa"/>
            <w:tcBorders>
              <w:top w:val="nil"/>
              <w:left w:val="nil"/>
              <w:bottom w:val="single" w:color="auto" w:sz="4" w:space="0"/>
              <w:right w:val="single" w:color="auto" w:sz="4" w:space="0"/>
            </w:tcBorders>
            <w:vAlign w:val="center"/>
          </w:tcPr>
          <w:p w14:paraId="5CE7259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1AF599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w:t>
            </w:r>
          </w:p>
        </w:tc>
        <w:tc>
          <w:tcPr>
            <w:tcW w:w="1554" w:type="dxa"/>
            <w:tcBorders>
              <w:top w:val="nil"/>
              <w:left w:val="nil"/>
              <w:bottom w:val="single" w:color="auto" w:sz="4" w:space="0"/>
              <w:right w:val="single" w:color="auto" w:sz="4" w:space="0"/>
            </w:tcBorders>
            <w:vAlign w:val="center"/>
          </w:tcPr>
          <w:p w14:paraId="2E726A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w:t>
            </w:r>
          </w:p>
        </w:tc>
      </w:tr>
      <w:tr w14:paraId="018C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1D7AD58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9" w:type="dxa"/>
            <w:tcBorders>
              <w:top w:val="nil"/>
              <w:left w:val="nil"/>
              <w:bottom w:val="single" w:color="auto" w:sz="4" w:space="0"/>
              <w:right w:val="single" w:color="auto" w:sz="4" w:space="0"/>
            </w:tcBorders>
            <w:vAlign w:val="center"/>
          </w:tcPr>
          <w:p w14:paraId="3295BE4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水源地安全保障达标建设</w:t>
            </w:r>
          </w:p>
        </w:tc>
        <w:tc>
          <w:tcPr>
            <w:tcW w:w="936" w:type="dxa"/>
            <w:tcBorders>
              <w:top w:val="nil"/>
              <w:left w:val="nil"/>
              <w:bottom w:val="single" w:color="auto" w:sz="4" w:space="0"/>
              <w:right w:val="single" w:color="auto" w:sz="4" w:space="0"/>
            </w:tcBorders>
            <w:vAlign w:val="center"/>
          </w:tcPr>
          <w:p w14:paraId="11FDF4E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01A67B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7AF117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71E29D8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实施水库水源地安全保障达标建设项目</w:t>
            </w:r>
          </w:p>
        </w:tc>
        <w:tc>
          <w:tcPr>
            <w:tcW w:w="1176" w:type="dxa"/>
            <w:tcBorders>
              <w:top w:val="nil"/>
              <w:left w:val="nil"/>
              <w:bottom w:val="single" w:color="auto" w:sz="4" w:space="0"/>
              <w:right w:val="single" w:color="auto" w:sz="4" w:space="0"/>
            </w:tcBorders>
            <w:vAlign w:val="center"/>
          </w:tcPr>
          <w:p w14:paraId="03A8D90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B16A9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1500</w:t>
            </w:r>
          </w:p>
        </w:tc>
        <w:tc>
          <w:tcPr>
            <w:tcW w:w="1554" w:type="dxa"/>
            <w:tcBorders>
              <w:top w:val="nil"/>
              <w:left w:val="nil"/>
              <w:bottom w:val="single" w:color="auto" w:sz="4" w:space="0"/>
              <w:right w:val="single" w:color="auto" w:sz="4" w:space="0"/>
            </w:tcBorders>
            <w:vAlign w:val="center"/>
          </w:tcPr>
          <w:p w14:paraId="0E30153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1500</w:t>
            </w:r>
          </w:p>
        </w:tc>
      </w:tr>
      <w:tr w14:paraId="05C9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62D361F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三</w:t>
            </w:r>
          </w:p>
        </w:tc>
        <w:tc>
          <w:tcPr>
            <w:tcW w:w="2349" w:type="dxa"/>
            <w:tcBorders>
              <w:top w:val="nil"/>
              <w:left w:val="nil"/>
              <w:bottom w:val="single" w:color="auto" w:sz="4" w:space="0"/>
              <w:right w:val="single" w:color="auto" w:sz="4" w:space="0"/>
            </w:tcBorders>
            <w:vAlign w:val="center"/>
          </w:tcPr>
          <w:p w14:paraId="592B5D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水生态安全保障工程</w:t>
            </w:r>
          </w:p>
        </w:tc>
        <w:tc>
          <w:tcPr>
            <w:tcW w:w="936" w:type="dxa"/>
            <w:tcBorders>
              <w:top w:val="nil"/>
              <w:left w:val="nil"/>
              <w:bottom w:val="single" w:color="auto" w:sz="4" w:space="0"/>
              <w:right w:val="single" w:color="auto" w:sz="4" w:space="0"/>
            </w:tcBorders>
            <w:vAlign w:val="center"/>
          </w:tcPr>
          <w:p w14:paraId="2A89DF2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23D054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178CF57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1D0B360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2B3D9FF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407C3CA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13585</w:t>
            </w:r>
          </w:p>
        </w:tc>
        <w:tc>
          <w:tcPr>
            <w:tcW w:w="1554" w:type="dxa"/>
            <w:tcBorders>
              <w:top w:val="nil"/>
              <w:left w:val="nil"/>
              <w:bottom w:val="single" w:color="auto" w:sz="4" w:space="0"/>
              <w:right w:val="single" w:color="auto" w:sz="4" w:space="0"/>
            </w:tcBorders>
            <w:vAlign w:val="center"/>
          </w:tcPr>
          <w:p w14:paraId="5CD701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13585</w:t>
            </w:r>
          </w:p>
        </w:tc>
      </w:tr>
      <w:tr w14:paraId="4A12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7B621B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3.1</w:t>
            </w:r>
          </w:p>
        </w:tc>
        <w:tc>
          <w:tcPr>
            <w:tcW w:w="2349" w:type="dxa"/>
            <w:tcBorders>
              <w:top w:val="nil"/>
              <w:left w:val="nil"/>
              <w:bottom w:val="single" w:color="auto" w:sz="4" w:space="0"/>
              <w:right w:val="single" w:color="auto" w:sz="4" w:space="0"/>
            </w:tcBorders>
            <w:vAlign w:val="center"/>
          </w:tcPr>
          <w:p w14:paraId="595193C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水土流失综合治理</w:t>
            </w:r>
          </w:p>
        </w:tc>
        <w:tc>
          <w:tcPr>
            <w:tcW w:w="936" w:type="dxa"/>
            <w:tcBorders>
              <w:top w:val="nil"/>
              <w:left w:val="nil"/>
              <w:bottom w:val="single" w:color="auto" w:sz="4" w:space="0"/>
              <w:right w:val="single" w:color="auto" w:sz="4" w:space="0"/>
            </w:tcBorders>
            <w:vAlign w:val="center"/>
          </w:tcPr>
          <w:p w14:paraId="2ADD9D3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2C42E67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5ACB306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47C0E06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7532A7F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61B93C1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3985</w:t>
            </w:r>
          </w:p>
        </w:tc>
        <w:tc>
          <w:tcPr>
            <w:tcW w:w="1554" w:type="dxa"/>
            <w:tcBorders>
              <w:top w:val="nil"/>
              <w:left w:val="nil"/>
              <w:bottom w:val="single" w:color="auto" w:sz="4" w:space="0"/>
              <w:right w:val="single" w:color="auto" w:sz="4" w:space="0"/>
            </w:tcBorders>
            <w:vAlign w:val="center"/>
          </w:tcPr>
          <w:p w14:paraId="5CF1D2A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3985</w:t>
            </w:r>
          </w:p>
        </w:tc>
      </w:tr>
      <w:tr w14:paraId="6961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475A6F0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3FE3463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明溪县水土流失综合治理项目</w:t>
            </w:r>
          </w:p>
        </w:tc>
        <w:tc>
          <w:tcPr>
            <w:tcW w:w="936" w:type="dxa"/>
            <w:tcBorders>
              <w:top w:val="nil"/>
              <w:left w:val="nil"/>
              <w:bottom w:val="single" w:color="auto" w:sz="4" w:space="0"/>
              <w:right w:val="single" w:color="auto" w:sz="4" w:space="0"/>
            </w:tcBorders>
            <w:vAlign w:val="center"/>
          </w:tcPr>
          <w:p w14:paraId="617BFFA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3C9979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13EFA07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6EAE66A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综合治理20条小流域，综合治理水土流失面积99.15km2，共涉及8个乡镇。</w:t>
            </w:r>
          </w:p>
        </w:tc>
        <w:tc>
          <w:tcPr>
            <w:tcW w:w="1176" w:type="dxa"/>
            <w:tcBorders>
              <w:top w:val="nil"/>
              <w:left w:val="nil"/>
              <w:bottom w:val="single" w:color="auto" w:sz="4" w:space="0"/>
              <w:right w:val="single" w:color="auto" w:sz="4" w:space="0"/>
            </w:tcBorders>
            <w:vAlign w:val="center"/>
          </w:tcPr>
          <w:p w14:paraId="674CE7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73E371B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3985</w:t>
            </w:r>
          </w:p>
        </w:tc>
        <w:tc>
          <w:tcPr>
            <w:tcW w:w="1554" w:type="dxa"/>
            <w:tcBorders>
              <w:top w:val="nil"/>
              <w:left w:val="nil"/>
              <w:bottom w:val="single" w:color="auto" w:sz="4" w:space="0"/>
              <w:right w:val="single" w:color="auto" w:sz="4" w:space="0"/>
            </w:tcBorders>
            <w:vAlign w:val="center"/>
          </w:tcPr>
          <w:p w14:paraId="1543823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3985</w:t>
            </w:r>
          </w:p>
        </w:tc>
      </w:tr>
      <w:tr w14:paraId="5229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039D635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3.2</w:t>
            </w:r>
          </w:p>
        </w:tc>
        <w:tc>
          <w:tcPr>
            <w:tcW w:w="2349" w:type="dxa"/>
            <w:tcBorders>
              <w:top w:val="nil"/>
              <w:left w:val="nil"/>
              <w:bottom w:val="single" w:color="auto" w:sz="4" w:space="0"/>
              <w:right w:val="single" w:color="auto" w:sz="4" w:space="0"/>
            </w:tcBorders>
            <w:vAlign w:val="center"/>
          </w:tcPr>
          <w:p w14:paraId="4768A7C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安全生态水系建设</w:t>
            </w:r>
          </w:p>
        </w:tc>
        <w:tc>
          <w:tcPr>
            <w:tcW w:w="936" w:type="dxa"/>
            <w:tcBorders>
              <w:top w:val="nil"/>
              <w:left w:val="nil"/>
              <w:bottom w:val="single" w:color="auto" w:sz="4" w:space="0"/>
              <w:right w:val="single" w:color="auto" w:sz="4" w:space="0"/>
            </w:tcBorders>
            <w:vAlign w:val="center"/>
          </w:tcPr>
          <w:p w14:paraId="46CFACF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4CC1E03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5EFACBC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63CA3F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1B13638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36FDA03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9600</w:t>
            </w:r>
          </w:p>
        </w:tc>
        <w:tc>
          <w:tcPr>
            <w:tcW w:w="1554" w:type="dxa"/>
            <w:tcBorders>
              <w:top w:val="nil"/>
              <w:left w:val="nil"/>
              <w:bottom w:val="single" w:color="auto" w:sz="4" w:space="0"/>
              <w:right w:val="single" w:color="auto" w:sz="4" w:space="0"/>
            </w:tcBorders>
            <w:vAlign w:val="center"/>
          </w:tcPr>
          <w:p w14:paraId="0234289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9600</w:t>
            </w:r>
          </w:p>
        </w:tc>
      </w:tr>
      <w:tr w14:paraId="2F0B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29CB8BF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0CD5C9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明溪县胡贡溪安全生态水系建设项目</w:t>
            </w:r>
          </w:p>
        </w:tc>
        <w:tc>
          <w:tcPr>
            <w:tcW w:w="936" w:type="dxa"/>
            <w:tcBorders>
              <w:top w:val="nil"/>
              <w:left w:val="nil"/>
              <w:bottom w:val="single" w:color="auto" w:sz="4" w:space="0"/>
              <w:right w:val="single" w:color="auto" w:sz="4" w:space="0"/>
            </w:tcBorders>
            <w:vAlign w:val="center"/>
          </w:tcPr>
          <w:p w14:paraId="38BBF1F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25ACC3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02172B9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676F310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综合整治河道8.5km，河道疏浚4.5km，新建生态护岸3.77km，挡水坝3座、滨水节点4个、植树种草若干</w:t>
            </w:r>
          </w:p>
        </w:tc>
        <w:tc>
          <w:tcPr>
            <w:tcW w:w="1176" w:type="dxa"/>
            <w:tcBorders>
              <w:top w:val="nil"/>
              <w:left w:val="nil"/>
              <w:bottom w:val="single" w:color="auto" w:sz="4" w:space="0"/>
              <w:right w:val="single" w:color="auto" w:sz="4" w:space="0"/>
            </w:tcBorders>
            <w:vAlign w:val="center"/>
          </w:tcPr>
          <w:p w14:paraId="694C8D2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35870F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554" w:type="dxa"/>
            <w:tcBorders>
              <w:top w:val="nil"/>
              <w:left w:val="nil"/>
              <w:bottom w:val="single" w:color="auto" w:sz="4" w:space="0"/>
              <w:right w:val="single" w:color="auto" w:sz="4" w:space="0"/>
            </w:tcBorders>
            <w:vAlign w:val="center"/>
          </w:tcPr>
          <w:p w14:paraId="0385613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r>
      <w:tr w14:paraId="5B4D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8" w:type="dxa"/>
            <w:tcBorders>
              <w:top w:val="nil"/>
              <w:left w:val="single" w:color="auto" w:sz="4" w:space="0"/>
              <w:bottom w:val="single" w:color="auto" w:sz="4" w:space="0"/>
              <w:right w:val="single" w:color="auto" w:sz="4" w:space="0"/>
            </w:tcBorders>
            <w:vAlign w:val="center"/>
          </w:tcPr>
          <w:p w14:paraId="4CD50B4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9" w:type="dxa"/>
            <w:tcBorders>
              <w:top w:val="nil"/>
              <w:left w:val="nil"/>
              <w:bottom w:val="single" w:color="auto" w:sz="4" w:space="0"/>
              <w:right w:val="single" w:color="auto" w:sz="4" w:space="0"/>
            </w:tcBorders>
            <w:vAlign w:val="center"/>
          </w:tcPr>
          <w:p w14:paraId="4F9BC61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明溪县瀚仙溪安全生态水系建设项目</w:t>
            </w:r>
          </w:p>
        </w:tc>
        <w:tc>
          <w:tcPr>
            <w:tcW w:w="936" w:type="dxa"/>
            <w:tcBorders>
              <w:top w:val="nil"/>
              <w:left w:val="nil"/>
              <w:bottom w:val="single" w:color="auto" w:sz="4" w:space="0"/>
              <w:right w:val="single" w:color="auto" w:sz="4" w:space="0"/>
            </w:tcBorders>
            <w:vAlign w:val="center"/>
          </w:tcPr>
          <w:p w14:paraId="4E461D5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592CF45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7FA94F5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427BCE9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综合整治河道8.7km，河道疏浚3.8km，新建生态护岸3.4km，岸坡改造2.3km、护脚加固维护1.2km、步道1.5km、挡水坝1座、滨水节点5个、植树种草若干。</w:t>
            </w:r>
          </w:p>
        </w:tc>
        <w:tc>
          <w:tcPr>
            <w:tcW w:w="1176" w:type="dxa"/>
            <w:tcBorders>
              <w:top w:val="nil"/>
              <w:left w:val="nil"/>
              <w:bottom w:val="single" w:color="auto" w:sz="4" w:space="0"/>
              <w:right w:val="single" w:color="auto" w:sz="4" w:space="0"/>
            </w:tcBorders>
            <w:vAlign w:val="center"/>
          </w:tcPr>
          <w:p w14:paraId="4646A90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78E58BA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554" w:type="dxa"/>
            <w:tcBorders>
              <w:top w:val="nil"/>
              <w:left w:val="nil"/>
              <w:bottom w:val="single" w:color="auto" w:sz="4" w:space="0"/>
              <w:right w:val="single" w:color="auto" w:sz="4" w:space="0"/>
            </w:tcBorders>
            <w:vAlign w:val="center"/>
          </w:tcPr>
          <w:p w14:paraId="0C33E5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r>
      <w:tr w14:paraId="7B83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898" w:type="dxa"/>
            <w:tcBorders>
              <w:top w:val="nil"/>
              <w:left w:val="single" w:color="auto" w:sz="4" w:space="0"/>
              <w:bottom w:val="single" w:color="auto" w:sz="4" w:space="0"/>
              <w:right w:val="single" w:color="auto" w:sz="4" w:space="0"/>
            </w:tcBorders>
            <w:vAlign w:val="center"/>
          </w:tcPr>
          <w:p w14:paraId="75F6CE3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49" w:type="dxa"/>
            <w:tcBorders>
              <w:top w:val="nil"/>
              <w:left w:val="nil"/>
              <w:bottom w:val="single" w:color="auto" w:sz="4" w:space="0"/>
              <w:right w:val="single" w:color="auto" w:sz="4" w:space="0"/>
            </w:tcBorders>
            <w:vAlign w:val="center"/>
          </w:tcPr>
          <w:p w14:paraId="3410C58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明溪县富口溪安全生态水系建设项目</w:t>
            </w:r>
          </w:p>
        </w:tc>
        <w:tc>
          <w:tcPr>
            <w:tcW w:w="936" w:type="dxa"/>
            <w:tcBorders>
              <w:top w:val="nil"/>
              <w:left w:val="nil"/>
              <w:bottom w:val="single" w:color="auto" w:sz="4" w:space="0"/>
              <w:right w:val="single" w:color="auto" w:sz="4" w:space="0"/>
            </w:tcBorders>
            <w:vAlign w:val="center"/>
          </w:tcPr>
          <w:p w14:paraId="5FB37D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1D6EDF7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16C8ADB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0621F98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综合整治河道8.6km，河道疏浚4.15km，新建生态护岸3.25km，挡水坝3座、滨水节点4个、植树种草若干</w:t>
            </w:r>
          </w:p>
        </w:tc>
        <w:tc>
          <w:tcPr>
            <w:tcW w:w="1176" w:type="dxa"/>
            <w:tcBorders>
              <w:top w:val="nil"/>
              <w:left w:val="nil"/>
              <w:bottom w:val="single" w:color="auto" w:sz="4" w:space="0"/>
              <w:right w:val="single" w:color="auto" w:sz="4" w:space="0"/>
            </w:tcBorders>
            <w:vAlign w:val="center"/>
          </w:tcPr>
          <w:p w14:paraId="68E3BF5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3D874E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554" w:type="dxa"/>
            <w:tcBorders>
              <w:top w:val="nil"/>
              <w:left w:val="nil"/>
              <w:bottom w:val="single" w:color="auto" w:sz="4" w:space="0"/>
              <w:right w:val="single" w:color="auto" w:sz="4" w:space="0"/>
            </w:tcBorders>
            <w:vAlign w:val="center"/>
          </w:tcPr>
          <w:p w14:paraId="218F986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r>
      <w:tr w14:paraId="1FA3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98" w:type="dxa"/>
            <w:tcBorders>
              <w:top w:val="nil"/>
              <w:left w:val="single" w:color="auto" w:sz="4" w:space="0"/>
              <w:bottom w:val="single" w:color="auto" w:sz="4" w:space="0"/>
              <w:right w:val="single" w:color="auto" w:sz="4" w:space="0"/>
            </w:tcBorders>
            <w:vAlign w:val="center"/>
          </w:tcPr>
          <w:p w14:paraId="611915A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49" w:type="dxa"/>
            <w:tcBorders>
              <w:top w:val="nil"/>
              <w:left w:val="nil"/>
              <w:bottom w:val="single" w:color="auto" w:sz="4" w:space="0"/>
              <w:right w:val="single" w:color="auto" w:sz="4" w:space="0"/>
            </w:tcBorders>
            <w:vAlign w:val="center"/>
          </w:tcPr>
          <w:p w14:paraId="5A7F085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明溪县渔塘溪（沙溪段）安全生态水系建设项目</w:t>
            </w:r>
          </w:p>
        </w:tc>
        <w:tc>
          <w:tcPr>
            <w:tcW w:w="936" w:type="dxa"/>
            <w:tcBorders>
              <w:top w:val="nil"/>
              <w:left w:val="nil"/>
              <w:bottom w:val="single" w:color="auto" w:sz="4" w:space="0"/>
              <w:right w:val="single" w:color="auto" w:sz="4" w:space="0"/>
            </w:tcBorders>
            <w:vAlign w:val="center"/>
          </w:tcPr>
          <w:p w14:paraId="782C21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6990DC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7130EF4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0224B5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综合整治河道8.7km，河道疏浚6.5km，新建生态护岸3.2km，挡水坝2座、滨水节点4个、植树种草若干</w:t>
            </w:r>
          </w:p>
        </w:tc>
        <w:tc>
          <w:tcPr>
            <w:tcW w:w="1176" w:type="dxa"/>
            <w:tcBorders>
              <w:top w:val="nil"/>
              <w:left w:val="nil"/>
              <w:bottom w:val="single" w:color="auto" w:sz="4" w:space="0"/>
              <w:right w:val="single" w:color="auto" w:sz="4" w:space="0"/>
            </w:tcBorders>
            <w:vAlign w:val="center"/>
          </w:tcPr>
          <w:p w14:paraId="618D6FD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099022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554" w:type="dxa"/>
            <w:tcBorders>
              <w:top w:val="nil"/>
              <w:left w:val="nil"/>
              <w:bottom w:val="single" w:color="auto" w:sz="4" w:space="0"/>
              <w:right w:val="single" w:color="auto" w:sz="4" w:space="0"/>
            </w:tcBorders>
            <w:vAlign w:val="center"/>
          </w:tcPr>
          <w:p w14:paraId="204362A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r>
      <w:tr w14:paraId="041A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898" w:type="dxa"/>
            <w:tcBorders>
              <w:top w:val="nil"/>
              <w:left w:val="single" w:color="auto" w:sz="4" w:space="0"/>
              <w:bottom w:val="single" w:color="auto" w:sz="4" w:space="0"/>
              <w:right w:val="single" w:color="auto" w:sz="4" w:space="0"/>
            </w:tcBorders>
            <w:vAlign w:val="center"/>
          </w:tcPr>
          <w:p w14:paraId="381584C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49" w:type="dxa"/>
            <w:tcBorders>
              <w:top w:val="nil"/>
              <w:left w:val="nil"/>
              <w:bottom w:val="single" w:color="auto" w:sz="4" w:space="0"/>
              <w:right w:val="single" w:color="auto" w:sz="4" w:space="0"/>
            </w:tcBorders>
            <w:vAlign w:val="center"/>
          </w:tcPr>
          <w:p w14:paraId="6C9BD8A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明溪县夏坊溪安全生态水系建设项目</w:t>
            </w:r>
          </w:p>
        </w:tc>
        <w:tc>
          <w:tcPr>
            <w:tcW w:w="936" w:type="dxa"/>
            <w:tcBorders>
              <w:top w:val="nil"/>
              <w:left w:val="nil"/>
              <w:bottom w:val="single" w:color="auto" w:sz="4" w:space="0"/>
              <w:right w:val="single" w:color="auto" w:sz="4" w:space="0"/>
            </w:tcBorders>
            <w:vAlign w:val="center"/>
          </w:tcPr>
          <w:p w14:paraId="65F596E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5E5E134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39FC54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5226E14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综合整治河道8.7km，河道疏浚4.9km，新建生态护岸2.5km，挡水坝3座、滨水节点6个、植树种草若干</w:t>
            </w:r>
          </w:p>
        </w:tc>
        <w:tc>
          <w:tcPr>
            <w:tcW w:w="1176" w:type="dxa"/>
            <w:tcBorders>
              <w:top w:val="nil"/>
              <w:left w:val="nil"/>
              <w:bottom w:val="single" w:color="auto" w:sz="4" w:space="0"/>
              <w:right w:val="single" w:color="auto" w:sz="4" w:space="0"/>
            </w:tcBorders>
            <w:vAlign w:val="center"/>
          </w:tcPr>
          <w:p w14:paraId="526D45D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0002BD3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554" w:type="dxa"/>
            <w:tcBorders>
              <w:top w:val="nil"/>
              <w:left w:val="nil"/>
              <w:bottom w:val="single" w:color="auto" w:sz="4" w:space="0"/>
              <w:right w:val="single" w:color="auto" w:sz="4" w:space="0"/>
            </w:tcBorders>
            <w:vAlign w:val="center"/>
          </w:tcPr>
          <w:p w14:paraId="04173C1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r>
      <w:tr w14:paraId="509E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898" w:type="dxa"/>
            <w:tcBorders>
              <w:top w:val="nil"/>
              <w:left w:val="single" w:color="auto" w:sz="4" w:space="0"/>
              <w:bottom w:val="single" w:color="auto" w:sz="4" w:space="0"/>
              <w:right w:val="single" w:color="auto" w:sz="4" w:space="0"/>
            </w:tcBorders>
            <w:vAlign w:val="center"/>
          </w:tcPr>
          <w:p w14:paraId="3A2A719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49" w:type="dxa"/>
            <w:tcBorders>
              <w:top w:val="nil"/>
              <w:left w:val="nil"/>
              <w:bottom w:val="single" w:color="auto" w:sz="4" w:space="0"/>
              <w:right w:val="single" w:color="auto" w:sz="4" w:space="0"/>
            </w:tcBorders>
            <w:vAlign w:val="center"/>
          </w:tcPr>
          <w:p w14:paraId="21A8B24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明溪县中溪（枫溪段）安全生态水系建设项目</w:t>
            </w:r>
          </w:p>
        </w:tc>
        <w:tc>
          <w:tcPr>
            <w:tcW w:w="936" w:type="dxa"/>
            <w:tcBorders>
              <w:top w:val="nil"/>
              <w:left w:val="nil"/>
              <w:bottom w:val="single" w:color="auto" w:sz="4" w:space="0"/>
              <w:right w:val="single" w:color="auto" w:sz="4" w:space="0"/>
            </w:tcBorders>
            <w:vAlign w:val="center"/>
          </w:tcPr>
          <w:p w14:paraId="58DCFA9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0B94C08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2284C6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672DB9B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综合整治河道8.8km，河道疏浚4.2km，新建生态护岸2.8km，挡水坝3座、滨水节点5个、植树种草若干</w:t>
            </w:r>
          </w:p>
        </w:tc>
        <w:tc>
          <w:tcPr>
            <w:tcW w:w="1176" w:type="dxa"/>
            <w:tcBorders>
              <w:top w:val="nil"/>
              <w:left w:val="nil"/>
              <w:bottom w:val="single" w:color="auto" w:sz="4" w:space="0"/>
              <w:right w:val="single" w:color="auto" w:sz="4" w:space="0"/>
            </w:tcBorders>
            <w:vAlign w:val="center"/>
          </w:tcPr>
          <w:p w14:paraId="249C266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93679D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554" w:type="dxa"/>
            <w:tcBorders>
              <w:top w:val="nil"/>
              <w:left w:val="nil"/>
              <w:bottom w:val="single" w:color="auto" w:sz="4" w:space="0"/>
              <w:right w:val="single" w:color="auto" w:sz="4" w:space="0"/>
            </w:tcBorders>
            <w:vAlign w:val="center"/>
          </w:tcPr>
          <w:p w14:paraId="664DFE0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r>
      <w:tr w14:paraId="1196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898" w:type="dxa"/>
            <w:tcBorders>
              <w:top w:val="nil"/>
              <w:left w:val="single" w:color="auto" w:sz="4" w:space="0"/>
              <w:bottom w:val="single" w:color="auto" w:sz="4" w:space="0"/>
              <w:right w:val="single" w:color="auto" w:sz="4" w:space="0"/>
            </w:tcBorders>
            <w:vAlign w:val="center"/>
          </w:tcPr>
          <w:p w14:paraId="513585E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49" w:type="dxa"/>
            <w:tcBorders>
              <w:top w:val="nil"/>
              <w:left w:val="nil"/>
              <w:bottom w:val="single" w:color="auto" w:sz="4" w:space="0"/>
              <w:right w:val="single" w:color="auto" w:sz="4" w:space="0"/>
            </w:tcBorders>
            <w:vAlign w:val="center"/>
          </w:tcPr>
          <w:p w14:paraId="74EE784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明溪县温庄溪安全生态水系建设项目</w:t>
            </w:r>
          </w:p>
        </w:tc>
        <w:tc>
          <w:tcPr>
            <w:tcW w:w="936" w:type="dxa"/>
            <w:tcBorders>
              <w:top w:val="nil"/>
              <w:left w:val="nil"/>
              <w:bottom w:val="single" w:color="auto" w:sz="4" w:space="0"/>
              <w:right w:val="single" w:color="auto" w:sz="4" w:space="0"/>
            </w:tcBorders>
            <w:vAlign w:val="center"/>
          </w:tcPr>
          <w:p w14:paraId="7070A09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22C46E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7DC9945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410044A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综合整治河道8.4km，河道疏浚4.0km，新建生态护岸4.2km，挡水坝2座、滨水节点6个、植树种草若干</w:t>
            </w:r>
          </w:p>
        </w:tc>
        <w:tc>
          <w:tcPr>
            <w:tcW w:w="1176" w:type="dxa"/>
            <w:tcBorders>
              <w:top w:val="nil"/>
              <w:left w:val="nil"/>
              <w:bottom w:val="single" w:color="auto" w:sz="4" w:space="0"/>
              <w:right w:val="single" w:color="auto" w:sz="4" w:space="0"/>
            </w:tcBorders>
            <w:vAlign w:val="center"/>
          </w:tcPr>
          <w:p w14:paraId="494CE65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09C0909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554" w:type="dxa"/>
            <w:tcBorders>
              <w:top w:val="nil"/>
              <w:left w:val="nil"/>
              <w:bottom w:val="single" w:color="auto" w:sz="4" w:space="0"/>
              <w:right w:val="single" w:color="auto" w:sz="4" w:space="0"/>
            </w:tcBorders>
            <w:vAlign w:val="center"/>
          </w:tcPr>
          <w:p w14:paraId="5580AC0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r>
      <w:tr w14:paraId="5A3F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 w:type="dxa"/>
            <w:tcBorders>
              <w:top w:val="nil"/>
              <w:left w:val="single" w:color="auto" w:sz="4" w:space="0"/>
              <w:bottom w:val="single" w:color="auto" w:sz="4" w:space="0"/>
              <w:right w:val="single" w:color="auto" w:sz="4" w:space="0"/>
            </w:tcBorders>
            <w:vAlign w:val="center"/>
          </w:tcPr>
          <w:p w14:paraId="2B926B4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49" w:type="dxa"/>
            <w:tcBorders>
              <w:top w:val="nil"/>
              <w:left w:val="nil"/>
              <w:bottom w:val="single" w:color="auto" w:sz="4" w:space="0"/>
              <w:right w:val="single" w:color="auto" w:sz="4" w:space="0"/>
            </w:tcBorders>
            <w:vAlign w:val="center"/>
          </w:tcPr>
          <w:p w14:paraId="7175E5F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明溪县渔塘溪上游段安全生态水系建设项目</w:t>
            </w:r>
          </w:p>
        </w:tc>
        <w:tc>
          <w:tcPr>
            <w:tcW w:w="936" w:type="dxa"/>
            <w:tcBorders>
              <w:top w:val="nil"/>
              <w:left w:val="nil"/>
              <w:bottom w:val="single" w:color="auto" w:sz="4" w:space="0"/>
              <w:right w:val="single" w:color="auto" w:sz="4" w:space="0"/>
            </w:tcBorders>
            <w:vAlign w:val="center"/>
          </w:tcPr>
          <w:p w14:paraId="11B7112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5FE68DC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03B8C80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25A0001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综合整治河道8.4km，河道疏浚3.7km，新建生态护岸3.5km，挡水坝6座、植树种草若干</w:t>
            </w:r>
          </w:p>
        </w:tc>
        <w:tc>
          <w:tcPr>
            <w:tcW w:w="1176" w:type="dxa"/>
            <w:tcBorders>
              <w:top w:val="nil"/>
              <w:left w:val="nil"/>
              <w:bottom w:val="single" w:color="auto" w:sz="4" w:space="0"/>
              <w:right w:val="single" w:color="auto" w:sz="4" w:space="0"/>
            </w:tcBorders>
            <w:vAlign w:val="center"/>
          </w:tcPr>
          <w:p w14:paraId="52BD32D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4A2C821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554" w:type="dxa"/>
            <w:tcBorders>
              <w:top w:val="nil"/>
              <w:left w:val="nil"/>
              <w:bottom w:val="single" w:color="auto" w:sz="4" w:space="0"/>
              <w:right w:val="single" w:color="auto" w:sz="4" w:space="0"/>
            </w:tcBorders>
            <w:vAlign w:val="center"/>
          </w:tcPr>
          <w:p w14:paraId="28A364D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r>
      <w:tr w14:paraId="3316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8" w:type="dxa"/>
            <w:tcBorders>
              <w:top w:val="nil"/>
              <w:left w:val="single" w:color="auto" w:sz="4" w:space="0"/>
              <w:bottom w:val="single" w:color="auto" w:sz="4" w:space="0"/>
              <w:right w:val="single" w:color="auto" w:sz="4" w:space="0"/>
            </w:tcBorders>
            <w:vAlign w:val="center"/>
          </w:tcPr>
          <w:p w14:paraId="2A76417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四</w:t>
            </w:r>
          </w:p>
        </w:tc>
        <w:tc>
          <w:tcPr>
            <w:tcW w:w="2349" w:type="dxa"/>
            <w:tcBorders>
              <w:top w:val="nil"/>
              <w:left w:val="nil"/>
              <w:bottom w:val="single" w:color="auto" w:sz="4" w:space="0"/>
              <w:right w:val="single" w:color="auto" w:sz="4" w:space="0"/>
            </w:tcBorders>
            <w:vAlign w:val="center"/>
          </w:tcPr>
          <w:p w14:paraId="0F23781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水利信息化</w:t>
            </w:r>
          </w:p>
        </w:tc>
        <w:tc>
          <w:tcPr>
            <w:tcW w:w="936" w:type="dxa"/>
            <w:tcBorders>
              <w:top w:val="nil"/>
              <w:left w:val="nil"/>
              <w:bottom w:val="single" w:color="auto" w:sz="4" w:space="0"/>
              <w:right w:val="single" w:color="auto" w:sz="4" w:space="0"/>
            </w:tcBorders>
            <w:vAlign w:val="center"/>
          </w:tcPr>
          <w:p w14:paraId="355CBA2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3FFC150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0713EA8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6F46B7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5B4BD7D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20AFB72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2250</w:t>
            </w:r>
          </w:p>
        </w:tc>
        <w:tc>
          <w:tcPr>
            <w:tcW w:w="1554" w:type="dxa"/>
            <w:tcBorders>
              <w:top w:val="nil"/>
              <w:left w:val="nil"/>
              <w:bottom w:val="single" w:color="auto" w:sz="4" w:space="0"/>
              <w:right w:val="single" w:color="auto" w:sz="4" w:space="0"/>
            </w:tcBorders>
            <w:vAlign w:val="center"/>
          </w:tcPr>
          <w:p w14:paraId="12D8038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2250</w:t>
            </w:r>
          </w:p>
        </w:tc>
      </w:tr>
      <w:tr w14:paraId="1247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7" w:hRule="atLeast"/>
        </w:trPr>
        <w:tc>
          <w:tcPr>
            <w:tcW w:w="898" w:type="dxa"/>
            <w:tcBorders>
              <w:top w:val="nil"/>
              <w:left w:val="single" w:color="auto" w:sz="4" w:space="0"/>
              <w:bottom w:val="single" w:color="auto" w:sz="4" w:space="0"/>
              <w:right w:val="single" w:color="auto" w:sz="4" w:space="0"/>
            </w:tcBorders>
            <w:vAlign w:val="center"/>
          </w:tcPr>
          <w:p w14:paraId="0A21B07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4.1</w:t>
            </w:r>
          </w:p>
        </w:tc>
        <w:tc>
          <w:tcPr>
            <w:tcW w:w="2349" w:type="dxa"/>
            <w:tcBorders>
              <w:top w:val="nil"/>
              <w:left w:val="nil"/>
              <w:bottom w:val="single" w:color="auto" w:sz="4" w:space="0"/>
              <w:right w:val="single" w:color="auto" w:sz="4" w:space="0"/>
            </w:tcBorders>
            <w:vAlign w:val="center"/>
          </w:tcPr>
          <w:p w14:paraId="2C5C9D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明溪县水利感知网建设</w:t>
            </w:r>
          </w:p>
        </w:tc>
        <w:tc>
          <w:tcPr>
            <w:tcW w:w="936" w:type="dxa"/>
            <w:tcBorders>
              <w:top w:val="nil"/>
              <w:left w:val="nil"/>
              <w:bottom w:val="single" w:color="auto" w:sz="4" w:space="0"/>
              <w:right w:val="single" w:color="auto" w:sz="4" w:space="0"/>
            </w:tcBorders>
            <w:vAlign w:val="center"/>
          </w:tcPr>
          <w:p w14:paraId="67C57AF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2F3074B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52B5806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4243" w:type="dxa"/>
            <w:tcBorders>
              <w:top w:val="nil"/>
              <w:left w:val="nil"/>
              <w:bottom w:val="single" w:color="auto" w:sz="4" w:space="0"/>
              <w:right w:val="single" w:color="auto" w:sz="4" w:space="0"/>
            </w:tcBorders>
            <w:vAlign w:val="center"/>
          </w:tcPr>
          <w:p w14:paraId="153CCB8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扩大江河湖泊、水利工程、水利管理活动等实时在线监测范围，加大各类站点监测密度，加强监测手段的应用，升级改造现有监测感知设备，重点补充完善水文、水生态、水土流失、工程安全、防洪、水利管理活动等领域采集内容，初步构建覆盖河湖水系、水利工程、水利管理活动的天空地一体化监测感知网，主动融入三明市智能化管理平台</w:t>
            </w:r>
          </w:p>
        </w:tc>
        <w:tc>
          <w:tcPr>
            <w:tcW w:w="1176" w:type="dxa"/>
            <w:tcBorders>
              <w:top w:val="nil"/>
              <w:left w:val="nil"/>
              <w:bottom w:val="single" w:color="auto" w:sz="4" w:space="0"/>
              <w:right w:val="single" w:color="auto" w:sz="4" w:space="0"/>
            </w:tcBorders>
            <w:vAlign w:val="center"/>
          </w:tcPr>
          <w:p w14:paraId="3C57ECF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7360E3E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w:t>
            </w:r>
          </w:p>
        </w:tc>
        <w:tc>
          <w:tcPr>
            <w:tcW w:w="1554" w:type="dxa"/>
            <w:tcBorders>
              <w:top w:val="nil"/>
              <w:left w:val="nil"/>
              <w:bottom w:val="single" w:color="auto" w:sz="4" w:space="0"/>
              <w:right w:val="single" w:color="auto" w:sz="4" w:space="0"/>
            </w:tcBorders>
            <w:vAlign w:val="center"/>
          </w:tcPr>
          <w:p w14:paraId="32DA9B7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w:t>
            </w:r>
          </w:p>
        </w:tc>
      </w:tr>
      <w:tr w14:paraId="59C0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898" w:type="dxa"/>
            <w:tcBorders>
              <w:top w:val="nil"/>
              <w:left w:val="single" w:color="auto" w:sz="4" w:space="0"/>
              <w:bottom w:val="single" w:color="auto" w:sz="4" w:space="0"/>
              <w:right w:val="single" w:color="auto" w:sz="4" w:space="0"/>
            </w:tcBorders>
            <w:vAlign w:val="center"/>
          </w:tcPr>
          <w:p w14:paraId="489D852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4.2</w:t>
            </w:r>
          </w:p>
        </w:tc>
        <w:tc>
          <w:tcPr>
            <w:tcW w:w="2349" w:type="dxa"/>
            <w:tcBorders>
              <w:top w:val="nil"/>
              <w:left w:val="nil"/>
              <w:bottom w:val="single" w:color="auto" w:sz="4" w:space="0"/>
              <w:right w:val="single" w:color="auto" w:sz="4" w:space="0"/>
            </w:tcBorders>
            <w:vAlign w:val="center"/>
          </w:tcPr>
          <w:p w14:paraId="65765D1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明溪县水利云平台建设</w:t>
            </w:r>
          </w:p>
        </w:tc>
        <w:tc>
          <w:tcPr>
            <w:tcW w:w="936" w:type="dxa"/>
            <w:tcBorders>
              <w:top w:val="nil"/>
              <w:left w:val="nil"/>
              <w:bottom w:val="single" w:color="auto" w:sz="4" w:space="0"/>
              <w:right w:val="single" w:color="auto" w:sz="4" w:space="0"/>
            </w:tcBorders>
            <w:vAlign w:val="center"/>
          </w:tcPr>
          <w:p w14:paraId="782202E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31580EA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31A1AE7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4243" w:type="dxa"/>
            <w:tcBorders>
              <w:top w:val="nil"/>
              <w:left w:val="nil"/>
              <w:bottom w:val="single" w:color="auto" w:sz="4" w:space="0"/>
              <w:right w:val="single" w:color="auto" w:sz="4" w:space="0"/>
            </w:tcBorders>
            <w:vAlign w:val="center"/>
          </w:tcPr>
          <w:p w14:paraId="0DCD037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积极推进县级水利数据中心和云平台建设，建立统一数据标准，构建数据资源池，提升水利大数据分析处理能力和共享服务水平</w:t>
            </w:r>
          </w:p>
        </w:tc>
        <w:tc>
          <w:tcPr>
            <w:tcW w:w="1176" w:type="dxa"/>
            <w:tcBorders>
              <w:top w:val="nil"/>
              <w:left w:val="nil"/>
              <w:bottom w:val="single" w:color="auto" w:sz="4" w:space="0"/>
              <w:right w:val="single" w:color="auto" w:sz="4" w:space="0"/>
            </w:tcBorders>
            <w:vAlign w:val="center"/>
          </w:tcPr>
          <w:p w14:paraId="1FDB0C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4F1C2E3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w:t>
            </w:r>
          </w:p>
        </w:tc>
        <w:tc>
          <w:tcPr>
            <w:tcW w:w="1554" w:type="dxa"/>
            <w:tcBorders>
              <w:top w:val="nil"/>
              <w:left w:val="nil"/>
              <w:bottom w:val="single" w:color="auto" w:sz="4" w:space="0"/>
              <w:right w:val="single" w:color="auto" w:sz="4" w:space="0"/>
            </w:tcBorders>
            <w:vAlign w:val="center"/>
          </w:tcPr>
          <w:p w14:paraId="099280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w:t>
            </w:r>
          </w:p>
        </w:tc>
      </w:tr>
      <w:tr w14:paraId="5061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898" w:type="dxa"/>
            <w:tcBorders>
              <w:top w:val="nil"/>
              <w:left w:val="single" w:color="auto" w:sz="4" w:space="0"/>
              <w:bottom w:val="single" w:color="auto" w:sz="4" w:space="0"/>
              <w:right w:val="single" w:color="auto" w:sz="4" w:space="0"/>
            </w:tcBorders>
            <w:vAlign w:val="center"/>
          </w:tcPr>
          <w:p w14:paraId="27A48FD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4.3</w:t>
            </w:r>
          </w:p>
        </w:tc>
        <w:tc>
          <w:tcPr>
            <w:tcW w:w="2349" w:type="dxa"/>
            <w:tcBorders>
              <w:top w:val="nil"/>
              <w:left w:val="nil"/>
              <w:bottom w:val="single" w:color="auto" w:sz="4" w:space="0"/>
              <w:right w:val="single" w:color="auto" w:sz="4" w:space="0"/>
            </w:tcBorders>
            <w:vAlign w:val="center"/>
          </w:tcPr>
          <w:p w14:paraId="5C1FCBA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明溪县水利智能应用系统建设</w:t>
            </w:r>
          </w:p>
        </w:tc>
        <w:tc>
          <w:tcPr>
            <w:tcW w:w="936" w:type="dxa"/>
            <w:tcBorders>
              <w:top w:val="nil"/>
              <w:left w:val="nil"/>
              <w:bottom w:val="single" w:color="auto" w:sz="4" w:space="0"/>
              <w:right w:val="single" w:color="auto" w:sz="4" w:space="0"/>
            </w:tcBorders>
            <w:vAlign w:val="center"/>
          </w:tcPr>
          <w:p w14:paraId="3335DBD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6321F66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30F9AC9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4243" w:type="dxa"/>
            <w:tcBorders>
              <w:top w:val="nil"/>
              <w:left w:val="nil"/>
              <w:bottom w:val="single" w:color="auto" w:sz="4" w:space="0"/>
              <w:right w:val="single" w:color="auto" w:sz="4" w:space="0"/>
            </w:tcBorders>
            <w:vAlign w:val="center"/>
          </w:tcPr>
          <w:p w14:paraId="453688A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构建涵盖水资源、水生态、水环境、水灾害、水工程、水监督、水行政水公共服务等核心业务的水利智能应用系统</w:t>
            </w:r>
          </w:p>
        </w:tc>
        <w:tc>
          <w:tcPr>
            <w:tcW w:w="1176" w:type="dxa"/>
            <w:tcBorders>
              <w:top w:val="nil"/>
              <w:left w:val="nil"/>
              <w:bottom w:val="single" w:color="auto" w:sz="4" w:space="0"/>
              <w:right w:val="single" w:color="auto" w:sz="4" w:space="0"/>
            </w:tcBorders>
            <w:vAlign w:val="center"/>
          </w:tcPr>
          <w:p w14:paraId="13583DD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2540CA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w:t>
            </w:r>
          </w:p>
        </w:tc>
        <w:tc>
          <w:tcPr>
            <w:tcW w:w="1554" w:type="dxa"/>
            <w:tcBorders>
              <w:top w:val="nil"/>
              <w:left w:val="nil"/>
              <w:bottom w:val="single" w:color="auto" w:sz="4" w:space="0"/>
              <w:right w:val="single" w:color="auto" w:sz="4" w:space="0"/>
            </w:tcBorders>
            <w:vAlign w:val="center"/>
          </w:tcPr>
          <w:p w14:paraId="4925A52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w:t>
            </w:r>
          </w:p>
        </w:tc>
      </w:tr>
      <w:tr w14:paraId="329C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98" w:type="dxa"/>
            <w:tcBorders>
              <w:top w:val="nil"/>
              <w:left w:val="single" w:color="auto" w:sz="4" w:space="0"/>
              <w:bottom w:val="single" w:color="auto" w:sz="4" w:space="0"/>
              <w:right w:val="single" w:color="auto" w:sz="4" w:space="0"/>
            </w:tcBorders>
            <w:vAlign w:val="center"/>
          </w:tcPr>
          <w:p w14:paraId="2A94AF2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五</w:t>
            </w:r>
          </w:p>
        </w:tc>
        <w:tc>
          <w:tcPr>
            <w:tcW w:w="2349" w:type="dxa"/>
            <w:tcBorders>
              <w:top w:val="nil"/>
              <w:left w:val="nil"/>
              <w:bottom w:val="single" w:color="auto" w:sz="4" w:space="0"/>
              <w:right w:val="single" w:color="auto" w:sz="4" w:space="0"/>
            </w:tcBorders>
            <w:vAlign w:val="center"/>
          </w:tcPr>
          <w:p w14:paraId="43431C4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水利行业监管</w:t>
            </w:r>
          </w:p>
        </w:tc>
        <w:tc>
          <w:tcPr>
            <w:tcW w:w="936" w:type="dxa"/>
            <w:tcBorders>
              <w:top w:val="nil"/>
              <w:left w:val="nil"/>
              <w:bottom w:val="single" w:color="auto" w:sz="4" w:space="0"/>
              <w:right w:val="single" w:color="auto" w:sz="4" w:space="0"/>
            </w:tcBorders>
            <w:vAlign w:val="center"/>
          </w:tcPr>
          <w:p w14:paraId="1DF3F1C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895" w:type="dxa"/>
            <w:tcBorders>
              <w:top w:val="nil"/>
              <w:left w:val="nil"/>
              <w:bottom w:val="single" w:color="auto" w:sz="4" w:space="0"/>
              <w:right w:val="single" w:color="auto" w:sz="4" w:space="0"/>
            </w:tcBorders>
            <w:vAlign w:val="center"/>
          </w:tcPr>
          <w:p w14:paraId="4403778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901" w:type="dxa"/>
            <w:tcBorders>
              <w:top w:val="nil"/>
              <w:left w:val="nil"/>
              <w:bottom w:val="single" w:color="auto" w:sz="4" w:space="0"/>
              <w:right w:val="single" w:color="auto" w:sz="4" w:space="0"/>
            </w:tcBorders>
            <w:vAlign w:val="center"/>
          </w:tcPr>
          <w:p w14:paraId="1111C5F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4243" w:type="dxa"/>
            <w:tcBorders>
              <w:top w:val="nil"/>
              <w:left w:val="nil"/>
              <w:bottom w:val="single" w:color="auto" w:sz="4" w:space="0"/>
              <w:right w:val="single" w:color="auto" w:sz="4" w:space="0"/>
            </w:tcBorders>
            <w:vAlign w:val="center"/>
          </w:tcPr>
          <w:p w14:paraId="4879417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1176" w:type="dxa"/>
            <w:tcBorders>
              <w:top w:val="nil"/>
              <w:left w:val="nil"/>
              <w:bottom w:val="single" w:color="auto" w:sz="4" w:space="0"/>
              <w:right w:val="single" w:color="auto" w:sz="4" w:space="0"/>
            </w:tcBorders>
            <w:vAlign w:val="center"/>
          </w:tcPr>
          <w:p w14:paraId="543A486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p>
        </w:tc>
        <w:tc>
          <w:tcPr>
            <w:tcW w:w="996" w:type="dxa"/>
            <w:tcBorders>
              <w:top w:val="nil"/>
              <w:left w:val="nil"/>
              <w:bottom w:val="single" w:color="auto" w:sz="4" w:space="0"/>
              <w:right w:val="single" w:color="auto" w:sz="4" w:space="0"/>
            </w:tcBorders>
            <w:vAlign w:val="center"/>
          </w:tcPr>
          <w:p w14:paraId="1E9C6F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1800</w:t>
            </w:r>
          </w:p>
        </w:tc>
        <w:tc>
          <w:tcPr>
            <w:tcW w:w="1554" w:type="dxa"/>
            <w:tcBorders>
              <w:top w:val="nil"/>
              <w:left w:val="nil"/>
              <w:bottom w:val="single" w:color="auto" w:sz="4" w:space="0"/>
              <w:right w:val="single" w:color="auto" w:sz="4" w:space="0"/>
            </w:tcBorders>
            <w:vAlign w:val="center"/>
          </w:tcPr>
          <w:p w14:paraId="7FE6E02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1800</w:t>
            </w:r>
          </w:p>
        </w:tc>
      </w:tr>
      <w:tr w14:paraId="040A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8" w:type="dxa"/>
            <w:tcBorders>
              <w:top w:val="nil"/>
              <w:left w:val="single" w:color="auto" w:sz="4" w:space="0"/>
              <w:bottom w:val="single" w:color="auto" w:sz="4" w:space="0"/>
              <w:right w:val="single" w:color="auto" w:sz="4" w:space="0"/>
            </w:tcBorders>
            <w:vAlign w:val="center"/>
          </w:tcPr>
          <w:p w14:paraId="546358E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5.1</w:t>
            </w:r>
          </w:p>
        </w:tc>
        <w:tc>
          <w:tcPr>
            <w:tcW w:w="2349" w:type="dxa"/>
            <w:tcBorders>
              <w:top w:val="nil"/>
              <w:left w:val="nil"/>
              <w:bottom w:val="single" w:color="auto" w:sz="4" w:space="0"/>
              <w:right w:val="single" w:color="auto" w:sz="4" w:space="0"/>
            </w:tcBorders>
            <w:vAlign w:val="center"/>
          </w:tcPr>
          <w:p w14:paraId="16ACCD8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水利行业监管行动</w:t>
            </w:r>
          </w:p>
        </w:tc>
        <w:tc>
          <w:tcPr>
            <w:tcW w:w="936" w:type="dxa"/>
            <w:tcBorders>
              <w:top w:val="nil"/>
              <w:left w:val="nil"/>
              <w:bottom w:val="single" w:color="auto" w:sz="4" w:space="0"/>
              <w:right w:val="single" w:color="auto" w:sz="4" w:space="0"/>
            </w:tcBorders>
            <w:vAlign w:val="center"/>
          </w:tcPr>
          <w:p w14:paraId="486407C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2A29D0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542FDB0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4243" w:type="dxa"/>
            <w:tcBorders>
              <w:top w:val="nil"/>
              <w:left w:val="nil"/>
              <w:bottom w:val="single" w:color="auto" w:sz="4" w:space="0"/>
              <w:right w:val="single" w:color="auto" w:sz="4" w:space="0"/>
            </w:tcBorders>
            <w:vAlign w:val="center"/>
          </w:tcPr>
          <w:p w14:paraId="6B45311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从江河湖泊、水资源、水利工程、水土保持、水风险防控等方面出发开展水利行业监管行动</w:t>
            </w:r>
          </w:p>
        </w:tc>
        <w:tc>
          <w:tcPr>
            <w:tcW w:w="1176" w:type="dxa"/>
            <w:tcBorders>
              <w:top w:val="nil"/>
              <w:left w:val="nil"/>
              <w:bottom w:val="single" w:color="auto" w:sz="4" w:space="0"/>
              <w:right w:val="single" w:color="auto" w:sz="4" w:space="0"/>
            </w:tcBorders>
            <w:vAlign w:val="center"/>
          </w:tcPr>
          <w:p w14:paraId="6322685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2DFB09D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w:t>
            </w:r>
          </w:p>
        </w:tc>
        <w:tc>
          <w:tcPr>
            <w:tcW w:w="1554" w:type="dxa"/>
            <w:tcBorders>
              <w:top w:val="nil"/>
              <w:left w:val="nil"/>
              <w:bottom w:val="single" w:color="auto" w:sz="4" w:space="0"/>
              <w:right w:val="single" w:color="auto" w:sz="4" w:space="0"/>
            </w:tcBorders>
            <w:vAlign w:val="center"/>
          </w:tcPr>
          <w:p w14:paraId="2E40047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w:t>
            </w:r>
          </w:p>
        </w:tc>
      </w:tr>
      <w:tr w14:paraId="5D3B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898" w:type="dxa"/>
            <w:tcBorders>
              <w:top w:val="nil"/>
              <w:left w:val="single" w:color="auto" w:sz="4" w:space="0"/>
              <w:bottom w:val="single" w:color="auto" w:sz="4" w:space="0"/>
              <w:right w:val="single" w:color="auto" w:sz="4" w:space="0"/>
            </w:tcBorders>
            <w:vAlign w:val="center"/>
          </w:tcPr>
          <w:p w14:paraId="3F369A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5.2</w:t>
            </w:r>
          </w:p>
        </w:tc>
        <w:tc>
          <w:tcPr>
            <w:tcW w:w="2349" w:type="dxa"/>
            <w:tcBorders>
              <w:top w:val="nil"/>
              <w:left w:val="nil"/>
              <w:bottom w:val="single" w:color="auto" w:sz="4" w:space="0"/>
              <w:right w:val="single" w:color="auto" w:sz="4" w:space="0"/>
            </w:tcBorders>
            <w:vAlign w:val="center"/>
          </w:tcPr>
          <w:p w14:paraId="0B867F9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水管理能力提升行动</w:t>
            </w:r>
          </w:p>
        </w:tc>
        <w:tc>
          <w:tcPr>
            <w:tcW w:w="936" w:type="dxa"/>
            <w:tcBorders>
              <w:top w:val="nil"/>
              <w:left w:val="nil"/>
              <w:bottom w:val="single" w:color="auto" w:sz="4" w:space="0"/>
              <w:right w:val="single" w:color="auto" w:sz="4" w:space="0"/>
            </w:tcBorders>
            <w:vAlign w:val="center"/>
          </w:tcPr>
          <w:p w14:paraId="69A2ED7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5EB70C1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68EEA24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4243" w:type="dxa"/>
            <w:tcBorders>
              <w:top w:val="nil"/>
              <w:left w:val="nil"/>
              <w:bottom w:val="single" w:color="auto" w:sz="4" w:space="0"/>
              <w:right w:val="single" w:color="auto" w:sz="4" w:space="0"/>
            </w:tcBorders>
            <w:vAlign w:val="center"/>
          </w:tcPr>
          <w:p w14:paraId="24FBEEE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从强化空间管控、深化价税改革、推动产权改革、开展水利投融资研究、行业能力提升等方面出发开展水管理能力提升行动</w:t>
            </w:r>
          </w:p>
        </w:tc>
        <w:tc>
          <w:tcPr>
            <w:tcW w:w="1176" w:type="dxa"/>
            <w:tcBorders>
              <w:top w:val="nil"/>
              <w:left w:val="nil"/>
              <w:bottom w:val="single" w:color="auto" w:sz="4" w:space="0"/>
              <w:right w:val="single" w:color="auto" w:sz="4" w:space="0"/>
            </w:tcBorders>
            <w:vAlign w:val="center"/>
          </w:tcPr>
          <w:p w14:paraId="589910E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79639AC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w:t>
            </w:r>
          </w:p>
        </w:tc>
        <w:tc>
          <w:tcPr>
            <w:tcW w:w="1554" w:type="dxa"/>
            <w:tcBorders>
              <w:top w:val="nil"/>
              <w:left w:val="nil"/>
              <w:bottom w:val="single" w:color="auto" w:sz="4" w:space="0"/>
              <w:right w:val="single" w:color="auto" w:sz="4" w:space="0"/>
            </w:tcBorders>
            <w:vAlign w:val="center"/>
          </w:tcPr>
          <w:p w14:paraId="308F1E8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w:t>
            </w:r>
          </w:p>
        </w:tc>
      </w:tr>
      <w:tr w14:paraId="64E5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898" w:type="dxa"/>
            <w:tcBorders>
              <w:top w:val="nil"/>
              <w:left w:val="single" w:color="auto" w:sz="4" w:space="0"/>
              <w:bottom w:val="single" w:color="auto" w:sz="4" w:space="0"/>
              <w:right w:val="single" w:color="auto" w:sz="4" w:space="0"/>
            </w:tcBorders>
            <w:vAlign w:val="center"/>
          </w:tcPr>
          <w:p w14:paraId="555F1B4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5.3</w:t>
            </w:r>
          </w:p>
        </w:tc>
        <w:tc>
          <w:tcPr>
            <w:tcW w:w="2349" w:type="dxa"/>
            <w:tcBorders>
              <w:top w:val="nil"/>
              <w:left w:val="nil"/>
              <w:bottom w:val="single" w:color="auto" w:sz="4" w:space="0"/>
              <w:right w:val="single" w:color="auto" w:sz="4" w:space="0"/>
            </w:tcBorders>
            <w:vAlign w:val="center"/>
          </w:tcPr>
          <w:p w14:paraId="5325C67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水利工程常态化监督检查</w:t>
            </w:r>
          </w:p>
        </w:tc>
        <w:tc>
          <w:tcPr>
            <w:tcW w:w="936" w:type="dxa"/>
            <w:tcBorders>
              <w:top w:val="nil"/>
              <w:left w:val="nil"/>
              <w:bottom w:val="single" w:color="auto" w:sz="4" w:space="0"/>
              <w:right w:val="single" w:color="auto" w:sz="4" w:space="0"/>
            </w:tcBorders>
            <w:vAlign w:val="center"/>
          </w:tcPr>
          <w:p w14:paraId="4ABAE70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48069E2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30FE6B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4243" w:type="dxa"/>
            <w:tcBorders>
              <w:top w:val="nil"/>
              <w:left w:val="nil"/>
              <w:bottom w:val="single" w:color="auto" w:sz="4" w:space="0"/>
              <w:right w:val="single" w:color="auto" w:sz="4" w:space="0"/>
            </w:tcBorders>
            <w:vAlign w:val="center"/>
          </w:tcPr>
          <w:p w14:paraId="2774A82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落实水利工程建设前、中、后期常态化监督检查工作</w:t>
            </w:r>
          </w:p>
        </w:tc>
        <w:tc>
          <w:tcPr>
            <w:tcW w:w="1176" w:type="dxa"/>
            <w:tcBorders>
              <w:top w:val="nil"/>
              <w:left w:val="nil"/>
              <w:bottom w:val="single" w:color="auto" w:sz="4" w:space="0"/>
              <w:right w:val="single" w:color="auto" w:sz="4" w:space="0"/>
            </w:tcBorders>
            <w:vAlign w:val="center"/>
          </w:tcPr>
          <w:p w14:paraId="545613A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6B00988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w:t>
            </w:r>
          </w:p>
        </w:tc>
        <w:tc>
          <w:tcPr>
            <w:tcW w:w="1554" w:type="dxa"/>
            <w:tcBorders>
              <w:top w:val="nil"/>
              <w:left w:val="nil"/>
              <w:bottom w:val="single" w:color="auto" w:sz="4" w:space="0"/>
              <w:right w:val="single" w:color="auto" w:sz="4" w:space="0"/>
            </w:tcBorders>
            <w:vAlign w:val="center"/>
          </w:tcPr>
          <w:p w14:paraId="48681A6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w:t>
            </w:r>
          </w:p>
        </w:tc>
      </w:tr>
      <w:tr w14:paraId="06E5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898" w:type="dxa"/>
            <w:tcBorders>
              <w:top w:val="nil"/>
              <w:left w:val="single" w:color="auto" w:sz="4" w:space="0"/>
              <w:bottom w:val="single" w:color="auto" w:sz="4" w:space="0"/>
              <w:right w:val="single" w:color="auto" w:sz="4" w:space="0"/>
            </w:tcBorders>
            <w:vAlign w:val="center"/>
          </w:tcPr>
          <w:p w14:paraId="6A86857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5.4</w:t>
            </w:r>
          </w:p>
        </w:tc>
        <w:tc>
          <w:tcPr>
            <w:tcW w:w="2349" w:type="dxa"/>
            <w:tcBorders>
              <w:top w:val="nil"/>
              <w:left w:val="nil"/>
              <w:bottom w:val="single" w:color="auto" w:sz="4" w:space="0"/>
              <w:right w:val="single" w:color="auto" w:sz="4" w:space="0"/>
            </w:tcBorders>
            <w:vAlign w:val="center"/>
          </w:tcPr>
          <w:p w14:paraId="1FA4885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创新推动水利工程物业化管理</w:t>
            </w:r>
          </w:p>
        </w:tc>
        <w:tc>
          <w:tcPr>
            <w:tcW w:w="936" w:type="dxa"/>
            <w:tcBorders>
              <w:top w:val="nil"/>
              <w:left w:val="nil"/>
              <w:bottom w:val="single" w:color="auto" w:sz="4" w:space="0"/>
              <w:right w:val="single" w:color="auto" w:sz="4" w:space="0"/>
            </w:tcBorders>
            <w:vAlign w:val="center"/>
          </w:tcPr>
          <w:p w14:paraId="031E81A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77B9C1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4A6C75F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4243" w:type="dxa"/>
            <w:tcBorders>
              <w:top w:val="nil"/>
              <w:left w:val="nil"/>
              <w:bottom w:val="single" w:color="auto" w:sz="4" w:space="0"/>
              <w:right w:val="single" w:color="auto" w:sz="4" w:space="0"/>
            </w:tcBorders>
            <w:vAlign w:val="center"/>
          </w:tcPr>
          <w:p w14:paraId="736613B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以试点工程为切入点，积极探索明溪水利工程物业化管理模式，总结经验并推广实行</w:t>
            </w:r>
          </w:p>
        </w:tc>
        <w:tc>
          <w:tcPr>
            <w:tcW w:w="1176" w:type="dxa"/>
            <w:tcBorders>
              <w:top w:val="nil"/>
              <w:left w:val="nil"/>
              <w:bottom w:val="single" w:color="auto" w:sz="4" w:space="0"/>
              <w:right w:val="single" w:color="auto" w:sz="4" w:space="0"/>
            </w:tcBorders>
            <w:vAlign w:val="center"/>
          </w:tcPr>
          <w:p w14:paraId="13A4161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6BF8BD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1000</w:t>
            </w:r>
          </w:p>
        </w:tc>
        <w:tc>
          <w:tcPr>
            <w:tcW w:w="1554" w:type="dxa"/>
            <w:tcBorders>
              <w:top w:val="nil"/>
              <w:left w:val="nil"/>
              <w:bottom w:val="single" w:color="auto" w:sz="4" w:space="0"/>
              <w:right w:val="single" w:color="auto" w:sz="4" w:space="0"/>
            </w:tcBorders>
            <w:vAlign w:val="center"/>
          </w:tcPr>
          <w:p w14:paraId="7234A74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1000</w:t>
            </w:r>
          </w:p>
        </w:tc>
      </w:tr>
      <w:tr w14:paraId="5336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1AF1C13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六</w:t>
            </w:r>
          </w:p>
        </w:tc>
        <w:tc>
          <w:tcPr>
            <w:tcW w:w="2349" w:type="dxa"/>
            <w:tcBorders>
              <w:top w:val="nil"/>
              <w:left w:val="nil"/>
              <w:bottom w:val="single" w:color="auto" w:sz="4" w:space="0"/>
              <w:right w:val="single" w:color="auto" w:sz="4" w:space="0"/>
            </w:tcBorders>
            <w:vAlign w:val="center"/>
          </w:tcPr>
          <w:p w14:paraId="278C065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w:t>
            </w:r>
          </w:p>
        </w:tc>
        <w:tc>
          <w:tcPr>
            <w:tcW w:w="936" w:type="dxa"/>
            <w:tcBorders>
              <w:top w:val="nil"/>
              <w:left w:val="nil"/>
              <w:bottom w:val="single" w:color="auto" w:sz="4" w:space="0"/>
              <w:right w:val="single" w:color="auto" w:sz="4" w:space="0"/>
            </w:tcBorders>
            <w:vAlign w:val="center"/>
          </w:tcPr>
          <w:p w14:paraId="6B4C7A6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19FE29F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25C875C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1027DCA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6D2A5B8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305D4F6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28990</w:t>
            </w:r>
          </w:p>
        </w:tc>
        <w:tc>
          <w:tcPr>
            <w:tcW w:w="1554" w:type="dxa"/>
            <w:tcBorders>
              <w:top w:val="nil"/>
              <w:left w:val="nil"/>
              <w:bottom w:val="single" w:color="auto" w:sz="4" w:space="0"/>
              <w:right w:val="single" w:color="auto" w:sz="4" w:space="0"/>
            </w:tcBorders>
            <w:vAlign w:val="center"/>
          </w:tcPr>
          <w:p w14:paraId="5783092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28990</w:t>
            </w:r>
          </w:p>
        </w:tc>
      </w:tr>
      <w:tr w14:paraId="4448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 w:type="dxa"/>
            <w:tcBorders>
              <w:top w:val="nil"/>
              <w:left w:val="single" w:color="auto" w:sz="4" w:space="0"/>
              <w:bottom w:val="single" w:color="auto" w:sz="4" w:space="0"/>
              <w:right w:val="single" w:color="auto" w:sz="4" w:space="0"/>
            </w:tcBorders>
            <w:vAlign w:val="center"/>
          </w:tcPr>
          <w:p w14:paraId="76306CE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6.1</w:t>
            </w:r>
          </w:p>
        </w:tc>
        <w:tc>
          <w:tcPr>
            <w:tcW w:w="2349" w:type="dxa"/>
            <w:tcBorders>
              <w:top w:val="nil"/>
              <w:left w:val="nil"/>
              <w:bottom w:val="single" w:color="auto" w:sz="4" w:space="0"/>
              <w:right w:val="single" w:color="auto" w:sz="4" w:space="0"/>
            </w:tcBorders>
            <w:vAlign w:val="center"/>
          </w:tcPr>
          <w:p w14:paraId="7F62F8C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水利风景区建设</w:t>
            </w:r>
          </w:p>
        </w:tc>
        <w:tc>
          <w:tcPr>
            <w:tcW w:w="936" w:type="dxa"/>
            <w:tcBorders>
              <w:top w:val="nil"/>
              <w:left w:val="nil"/>
              <w:bottom w:val="single" w:color="auto" w:sz="4" w:space="0"/>
              <w:right w:val="single" w:color="auto" w:sz="4" w:space="0"/>
            </w:tcBorders>
            <w:vAlign w:val="center"/>
          </w:tcPr>
          <w:p w14:paraId="6EE027D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895" w:type="dxa"/>
            <w:tcBorders>
              <w:top w:val="nil"/>
              <w:left w:val="nil"/>
              <w:bottom w:val="single" w:color="auto" w:sz="4" w:space="0"/>
              <w:right w:val="single" w:color="auto" w:sz="4" w:space="0"/>
            </w:tcBorders>
            <w:vAlign w:val="center"/>
          </w:tcPr>
          <w:p w14:paraId="5BF5C26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vAlign w:val="center"/>
          </w:tcPr>
          <w:p w14:paraId="4E6E393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4243" w:type="dxa"/>
            <w:tcBorders>
              <w:top w:val="nil"/>
              <w:left w:val="nil"/>
              <w:bottom w:val="single" w:color="auto" w:sz="4" w:space="0"/>
              <w:right w:val="single" w:color="auto" w:sz="4" w:space="0"/>
            </w:tcBorders>
            <w:vAlign w:val="center"/>
          </w:tcPr>
          <w:p w14:paraId="1CE04BE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1176" w:type="dxa"/>
            <w:tcBorders>
              <w:top w:val="nil"/>
              <w:left w:val="nil"/>
              <w:bottom w:val="single" w:color="auto" w:sz="4" w:space="0"/>
              <w:right w:val="single" w:color="auto" w:sz="4" w:space="0"/>
            </w:tcBorders>
            <w:vAlign w:val="center"/>
          </w:tcPr>
          <w:p w14:paraId="61C2181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28FDB6C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8990</w:t>
            </w:r>
          </w:p>
        </w:tc>
        <w:tc>
          <w:tcPr>
            <w:tcW w:w="1554" w:type="dxa"/>
            <w:tcBorders>
              <w:top w:val="nil"/>
              <w:left w:val="nil"/>
              <w:bottom w:val="single" w:color="auto" w:sz="4" w:space="0"/>
              <w:right w:val="single" w:color="auto" w:sz="4" w:space="0"/>
            </w:tcBorders>
            <w:vAlign w:val="center"/>
          </w:tcPr>
          <w:p w14:paraId="76991EC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8990</w:t>
            </w:r>
          </w:p>
        </w:tc>
      </w:tr>
      <w:tr w14:paraId="25B8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898" w:type="dxa"/>
            <w:tcBorders>
              <w:top w:val="nil"/>
              <w:left w:val="single" w:color="auto" w:sz="4" w:space="0"/>
              <w:bottom w:val="single" w:color="auto" w:sz="4" w:space="0"/>
              <w:right w:val="single" w:color="auto" w:sz="4" w:space="0"/>
            </w:tcBorders>
            <w:vAlign w:val="center"/>
          </w:tcPr>
          <w:p w14:paraId="096E42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9" w:type="dxa"/>
            <w:tcBorders>
              <w:top w:val="nil"/>
              <w:left w:val="nil"/>
              <w:bottom w:val="single" w:color="auto" w:sz="4" w:space="0"/>
              <w:right w:val="single" w:color="auto" w:sz="4" w:space="0"/>
            </w:tcBorders>
            <w:vAlign w:val="center"/>
          </w:tcPr>
          <w:p w14:paraId="52079DE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杉坑水库风景区建设项目</w:t>
            </w:r>
          </w:p>
        </w:tc>
        <w:tc>
          <w:tcPr>
            <w:tcW w:w="936" w:type="dxa"/>
            <w:tcBorders>
              <w:top w:val="nil"/>
              <w:left w:val="nil"/>
              <w:bottom w:val="single" w:color="auto" w:sz="4" w:space="0"/>
              <w:right w:val="single" w:color="auto" w:sz="4" w:space="0"/>
            </w:tcBorders>
            <w:vAlign w:val="center"/>
          </w:tcPr>
          <w:p w14:paraId="7AE6D12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胡坊镇</w:t>
            </w:r>
          </w:p>
        </w:tc>
        <w:tc>
          <w:tcPr>
            <w:tcW w:w="895" w:type="dxa"/>
            <w:tcBorders>
              <w:top w:val="nil"/>
              <w:left w:val="nil"/>
              <w:bottom w:val="single" w:color="auto" w:sz="4" w:space="0"/>
              <w:right w:val="single" w:color="auto" w:sz="4" w:space="0"/>
            </w:tcBorders>
            <w:vAlign w:val="center"/>
          </w:tcPr>
          <w:p w14:paraId="4E21DC1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0CA7F5E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小（1）型</w:t>
            </w:r>
          </w:p>
        </w:tc>
        <w:tc>
          <w:tcPr>
            <w:tcW w:w="4243" w:type="dxa"/>
            <w:tcBorders>
              <w:top w:val="nil"/>
              <w:left w:val="nil"/>
              <w:bottom w:val="single" w:color="auto" w:sz="4" w:space="0"/>
              <w:right w:val="single" w:color="auto" w:sz="4" w:space="0"/>
            </w:tcBorders>
            <w:vAlign w:val="center"/>
          </w:tcPr>
          <w:p w14:paraId="35BB8D2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结合杉坑水库工程配套建设库区综合旅游休闲度假区</w:t>
            </w:r>
          </w:p>
        </w:tc>
        <w:tc>
          <w:tcPr>
            <w:tcW w:w="1176" w:type="dxa"/>
            <w:tcBorders>
              <w:top w:val="nil"/>
              <w:left w:val="nil"/>
              <w:bottom w:val="single" w:color="auto" w:sz="4" w:space="0"/>
              <w:right w:val="single" w:color="auto" w:sz="4" w:space="0"/>
            </w:tcBorders>
            <w:vAlign w:val="center"/>
          </w:tcPr>
          <w:p w14:paraId="4777972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规划在编</w:t>
            </w:r>
          </w:p>
        </w:tc>
        <w:tc>
          <w:tcPr>
            <w:tcW w:w="996" w:type="dxa"/>
            <w:tcBorders>
              <w:top w:val="nil"/>
              <w:left w:val="nil"/>
              <w:bottom w:val="single" w:color="auto" w:sz="4" w:space="0"/>
              <w:right w:val="single" w:color="auto" w:sz="4" w:space="0"/>
            </w:tcBorders>
            <w:vAlign w:val="center"/>
          </w:tcPr>
          <w:p w14:paraId="7D14101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8990</w:t>
            </w:r>
          </w:p>
        </w:tc>
        <w:tc>
          <w:tcPr>
            <w:tcW w:w="1554" w:type="dxa"/>
            <w:tcBorders>
              <w:top w:val="nil"/>
              <w:left w:val="nil"/>
              <w:bottom w:val="single" w:color="auto" w:sz="4" w:space="0"/>
              <w:right w:val="single" w:color="auto" w:sz="4" w:space="0"/>
            </w:tcBorders>
            <w:vAlign w:val="center"/>
          </w:tcPr>
          <w:p w14:paraId="1283FF0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8990</w:t>
            </w:r>
          </w:p>
        </w:tc>
      </w:tr>
      <w:tr w14:paraId="41EA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8" w:type="dxa"/>
            <w:tcBorders>
              <w:top w:val="nil"/>
              <w:left w:val="single" w:color="auto" w:sz="4" w:space="0"/>
              <w:bottom w:val="single" w:color="auto" w:sz="4" w:space="0"/>
              <w:right w:val="single" w:color="auto" w:sz="4" w:space="0"/>
            </w:tcBorders>
            <w:vAlign w:val="center"/>
          </w:tcPr>
          <w:p w14:paraId="36A71E9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6.2</w:t>
            </w:r>
          </w:p>
        </w:tc>
        <w:tc>
          <w:tcPr>
            <w:tcW w:w="2349" w:type="dxa"/>
            <w:tcBorders>
              <w:top w:val="nil"/>
              <w:left w:val="nil"/>
              <w:bottom w:val="single" w:color="auto" w:sz="4" w:space="0"/>
              <w:right w:val="single" w:color="auto" w:sz="4" w:space="0"/>
            </w:tcBorders>
            <w:vAlign w:val="center"/>
          </w:tcPr>
          <w:p w14:paraId="362891D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其他水利面上项目</w:t>
            </w:r>
          </w:p>
        </w:tc>
        <w:tc>
          <w:tcPr>
            <w:tcW w:w="936" w:type="dxa"/>
            <w:tcBorders>
              <w:top w:val="nil"/>
              <w:left w:val="nil"/>
              <w:bottom w:val="single" w:color="auto" w:sz="4" w:space="0"/>
              <w:right w:val="single" w:color="auto" w:sz="4" w:space="0"/>
            </w:tcBorders>
            <w:vAlign w:val="center"/>
          </w:tcPr>
          <w:p w14:paraId="2BB6BA3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明溪县</w:t>
            </w:r>
          </w:p>
        </w:tc>
        <w:tc>
          <w:tcPr>
            <w:tcW w:w="895" w:type="dxa"/>
            <w:tcBorders>
              <w:top w:val="nil"/>
              <w:left w:val="nil"/>
              <w:bottom w:val="single" w:color="auto" w:sz="4" w:space="0"/>
              <w:right w:val="single" w:color="auto" w:sz="4" w:space="0"/>
            </w:tcBorders>
            <w:vAlign w:val="center"/>
          </w:tcPr>
          <w:p w14:paraId="46B7CB3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拟建</w:t>
            </w:r>
          </w:p>
        </w:tc>
        <w:tc>
          <w:tcPr>
            <w:tcW w:w="901" w:type="dxa"/>
            <w:tcBorders>
              <w:top w:val="nil"/>
              <w:left w:val="nil"/>
              <w:bottom w:val="single" w:color="auto" w:sz="4" w:space="0"/>
              <w:right w:val="single" w:color="auto" w:sz="4" w:space="0"/>
            </w:tcBorders>
            <w:vAlign w:val="center"/>
          </w:tcPr>
          <w:p w14:paraId="7433704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4243" w:type="dxa"/>
            <w:tcBorders>
              <w:top w:val="nil"/>
              <w:left w:val="nil"/>
              <w:bottom w:val="single" w:color="auto" w:sz="4" w:space="0"/>
              <w:right w:val="single" w:color="auto" w:sz="4" w:space="0"/>
            </w:tcBorders>
            <w:vAlign w:val="center"/>
          </w:tcPr>
          <w:p w14:paraId="69A320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除重大项目外，面上的水利项目</w:t>
            </w:r>
          </w:p>
        </w:tc>
        <w:tc>
          <w:tcPr>
            <w:tcW w:w="1176" w:type="dxa"/>
            <w:tcBorders>
              <w:top w:val="nil"/>
              <w:left w:val="nil"/>
              <w:bottom w:val="single" w:color="auto" w:sz="4" w:space="0"/>
              <w:right w:val="single" w:color="auto" w:sz="4" w:space="0"/>
            </w:tcBorders>
            <w:vAlign w:val="center"/>
          </w:tcPr>
          <w:p w14:paraId="6B06A99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kern w:val="0"/>
                <w:sz w:val="24"/>
                <w:szCs w:val="24"/>
              </w:rPr>
            </w:pPr>
          </w:p>
        </w:tc>
        <w:tc>
          <w:tcPr>
            <w:tcW w:w="996" w:type="dxa"/>
            <w:tcBorders>
              <w:top w:val="nil"/>
              <w:left w:val="nil"/>
              <w:bottom w:val="single" w:color="auto" w:sz="4" w:space="0"/>
              <w:right w:val="single" w:color="auto" w:sz="4" w:space="0"/>
            </w:tcBorders>
            <w:vAlign w:val="center"/>
          </w:tcPr>
          <w:p w14:paraId="0F1FDE3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20000</w:t>
            </w:r>
          </w:p>
        </w:tc>
        <w:tc>
          <w:tcPr>
            <w:tcW w:w="1554" w:type="dxa"/>
            <w:tcBorders>
              <w:top w:val="nil"/>
              <w:left w:val="nil"/>
              <w:bottom w:val="single" w:color="auto" w:sz="4" w:space="0"/>
              <w:right w:val="single" w:color="auto" w:sz="4" w:space="0"/>
            </w:tcBorders>
            <w:vAlign w:val="center"/>
          </w:tcPr>
          <w:p w14:paraId="56ED8C1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20000</w:t>
            </w:r>
          </w:p>
        </w:tc>
      </w:tr>
    </w:tbl>
    <w:p w14:paraId="0C14D8C3">
      <w:pPr>
        <w:ind w:firstLine="0" w:firstLineChars="0"/>
      </w:pPr>
    </w:p>
    <w:p w14:paraId="34BDB4AA">
      <w:pPr>
        <w:ind w:firstLine="0" w:firstLineChars="0"/>
      </w:pPr>
    </w:p>
    <w:sectPr>
      <w:pgSz w:w="16838" w:h="11906" w:orient="landscape"/>
      <w:pgMar w:top="1797" w:right="1440" w:bottom="1797" w:left="1440" w:header="851" w:footer="992" w:gutter="0"/>
      <w:pgNumType w:fmt="numberInDash"/>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0E0C7">
    <w:pPr>
      <w:pStyle w:val="9"/>
      <w:ind w:firstLine="600"/>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4A664FE">
                <w:pPr>
                  <w:pStyle w:val="9"/>
                  <w:ind w:firstLine="6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p>
  <w:p w14:paraId="39CE058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CE0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1971">
    <w:pPr>
      <w:pStyle w:val="9"/>
      <w:ind w:firstLine="600"/>
      <w:jc w:val="center"/>
    </w:pPr>
  </w:p>
  <w:p w14:paraId="5F1C8F9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B932">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727E">
    <w:pPr>
      <w:pStyle w:val="9"/>
      <w:ind w:firstLine="600"/>
      <w:jc w:val="center"/>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F94E53E">
                <w:pPr>
                  <w:pStyle w:val="9"/>
                  <w:ind w:firstLine="6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p>
  <w:p w14:paraId="0922F3C1">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1E49">
    <w:pPr>
      <w:pStyle w:val="9"/>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39D671A">
                <w:pPr>
                  <w:pStyle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0"/>
  <w:drawingGridVerticalSpacing w:val="205"/>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C93F59"/>
    <w:rsid w:val="029D6EB6"/>
    <w:rsid w:val="300E6FFC"/>
    <w:rsid w:val="398849A7"/>
    <w:rsid w:val="64964B2F"/>
    <w:rsid w:val="67AA1619"/>
    <w:rsid w:val="71E9699C"/>
    <w:rsid w:val="7DAB4861"/>
    <w:rsid w:val="9BD7E896"/>
    <w:rsid w:val="AFFB399B"/>
    <w:rsid w:val="C5CF3C44"/>
    <w:rsid w:val="DD885C13"/>
    <w:rsid w:val="DFEFCBD2"/>
    <w:rsid w:val="EEDFD88B"/>
    <w:rsid w:val="EFFF4C04"/>
    <w:rsid w:val="FECBD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pPr>
    <w:rPr>
      <w:rFonts w:ascii="Times New Roman" w:hAnsi="Times New Roman" w:eastAsia="仿宋_GB2312" w:cs="Times New Roman"/>
      <w:kern w:val="2"/>
      <w:sz w:val="30"/>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9"/>
    <w:pPr>
      <w:outlineLvl w:val="1"/>
    </w:pPr>
    <w:rPr>
      <w:rFonts w:eastAsia="楷体"/>
      <w:b/>
      <w:bCs/>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pPr>
      <w:adjustRightInd/>
      <w:snapToGrid/>
      <w:spacing w:line="240" w:lineRule="auto"/>
      <w:ind w:firstLine="0" w:firstLineChars="0"/>
      <w:jc w:val="both"/>
    </w:pPr>
    <w:rPr>
      <w:rFonts w:ascii="等线" w:hAnsi="等线" w:eastAsia="等线" w:cs="黑体"/>
      <w:sz w:val="18"/>
      <w:szCs w:val="18"/>
    </w:rPr>
  </w:style>
  <w:style w:type="paragraph" w:styleId="6">
    <w:name w:val="Body Text Indent"/>
    <w:basedOn w:val="1"/>
    <w:link w:val="25"/>
    <w:qFormat/>
    <w:uiPriority w:val="99"/>
    <w:pPr>
      <w:adjustRightInd/>
      <w:spacing w:line="540" w:lineRule="exact"/>
      <w:ind w:firstLine="562" w:firstLineChars="0"/>
      <w:jc w:val="both"/>
    </w:pPr>
    <w:rPr>
      <w:rFonts w:ascii="黑体" w:eastAsia="黑体"/>
      <w:bCs/>
      <w:szCs w:val="24"/>
    </w:rPr>
  </w:style>
  <w:style w:type="paragraph" w:styleId="7">
    <w:name w:val="toc 3"/>
    <w:basedOn w:val="1"/>
    <w:next w:val="1"/>
    <w:unhideWhenUsed/>
    <w:qFormat/>
    <w:uiPriority w:val="39"/>
    <w:pPr>
      <w:ind w:left="840" w:leftChars="400"/>
    </w:pPr>
  </w:style>
  <w:style w:type="paragraph" w:styleId="8">
    <w:name w:val="Date"/>
    <w:basedOn w:val="1"/>
    <w:next w:val="1"/>
    <w:link w:val="21"/>
    <w:semiHidden/>
    <w:unhideWhenUsed/>
    <w:qFormat/>
    <w:uiPriority w:val="99"/>
    <w:pPr>
      <w:ind w:left="100" w:leftChars="2500"/>
    </w:pPr>
  </w:style>
  <w:style w:type="paragraph" w:styleId="9">
    <w:name w:val="footer"/>
    <w:basedOn w:val="1"/>
    <w:link w:val="19"/>
    <w:unhideWhenUsed/>
    <w:qFormat/>
    <w:uiPriority w:val="99"/>
    <w:pPr>
      <w:tabs>
        <w:tab w:val="center" w:pos="4153"/>
        <w:tab w:val="right" w:pos="8306"/>
      </w:tabs>
      <w:adjustRightInd/>
      <w:spacing w:line="240" w:lineRule="auto"/>
      <w:ind w:firstLine="0" w:firstLineChars="0"/>
    </w:pPr>
    <w:rPr>
      <w:rFonts w:ascii="等线" w:hAnsi="等线" w:eastAsia="等线" w:cs="黑体"/>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adjustRightInd/>
      <w:spacing w:line="240" w:lineRule="auto"/>
      <w:ind w:firstLine="0" w:firstLineChars="0"/>
      <w:jc w:val="center"/>
    </w:pPr>
    <w:rPr>
      <w:rFonts w:ascii="等线" w:hAnsi="等线" w:eastAsia="等线" w:cs="黑体"/>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character" w:styleId="15">
    <w:name w:val="Hyperlink"/>
    <w:basedOn w:val="14"/>
    <w:unhideWhenUsed/>
    <w:qFormat/>
    <w:uiPriority w:val="99"/>
    <w:rPr>
      <w:color w:val="0563C1"/>
      <w:u w:val="single"/>
    </w:rPr>
  </w:style>
  <w:style w:type="paragraph" w:customStyle="1" w:styleId="16">
    <w:name w:val="List Paragraph"/>
    <w:basedOn w:val="1"/>
    <w:qFormat/>
    <w:uiPriority w:val="34"/>
    <w:pPr>
      <w:ind w:firstLine="420"/>
    </w:pPr>
  </w:style>
  <w:style w:type="paragraph" w:customStyle="1" w:styleId="17">
    <w:name w:val="TOC Heading"/>
    <w:basedOn w:val="3"/>
    <w:next w:val="1"/>
    <w:unhideWhenUsed/>
    <w:qFormat/>
    <w:uiPriority w:val="39"/>
    <w:pPr>
      <w:widowControl/>
      <w:adjustRightInd/>
      <w:snapToGrid/>
      <w:spacing w:before="240" w:after="0" w:line="259" w:lineRule="auto"/>
      <w:ind w:firstLine="0" w:firstLineChars="0"/>
      <w:outlineLvl w:val="9"/>
    </w:pPr>
    <w:rPr>
      <w:rFonts w:ascii="等线 Light" w:hAnsi="等线 Light" w:eastAsia="等线 Light" w:cs="黑体"/>
      <w:b w:val="0"/>
      <w:bCs w:val="0"/>
      <w:color w:val="2E5394"/>
      <w:kern w:val="0"/>
      <w:sz w:val="32"/>
      <w:szCs w:val="32"/>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批注框文本 字符"/>
    <w:basedOn w:val="14"/>
    <w:link w:val="2"/>
    <w:qFormat/>
    <w:uiPriority w:val="99"/>
    <w:rPr>
      <w:sz w:val="18"/>
      <w:szCs w:val="18"/>
    </w:rPr>
  </w:style>
  <w:style w:type="character" w:customStyle="1" w:styleId="21">
    <w:name w:val="日期 字符"/>
    <w:basedOn w:val="14"/>
    <w:link w:val="8"/>
    <w:qFormat/>
    <w:uiPriority w:val="99"/>
    <w:rPr>
      <w:rFonts w:ascii="Times New Roman" w:hAnsi="Times New Roman" w:eastAsia="仿宋" w:cs="Times New Roman"/>
      <w:sz w:val="30"/>
    </w:rPr>
  </w:style>
  <w:style w:type="character" w:customStyle="1" w:styleId="22">
    <w:name w:val="标题 2 字符"/>
    <w:basedOn w:val="14"/>
    <w:link w:val="4"/>
    <w:qFormat/>
    <w:uiPriority w:val="9"/>
    <w:rPr>
      <w:rFonts w:ascii="Times New Roman" w:hAnsi="Times New Roman" w:eastAsia="楷体" w:cs="Times New Roman"/>
      <w:b/>
      <w:bCs/>
      <w:sz w:val="30"/>
      <w:szCs w:val="32"/>
    </w:rPr>
  </w:style>
  <w:style w:type="character" w:customStyle="1" w:styleId="23">
    <w:name w:val="标题 1 字符"/>
    <w:basedOn w:val="14"/>
    <w:link w:val="3"/>
    <w:qFormat/>
    <w:uiPriority w:val="9"/>
    <w:rPr>
      <w:rFonts w:ascii="Times New Roman" w:hAnsi="Times New Roman" w:eastAsia="仿宋" w:cs="Times New Roman"/>
      <w:b/>
      <w:bCs/>
      <w:kern w:val="44"/>
      <w:sz w:val="44"/>
      <w:szCs w:val="44"/>
    </w:rPr>
  </w:style>
  <w:style w:type="character" w:customStyle="1" w:styleId="24">
    <w:name w:val="标题 3 字符"/>
    <w:basedOn w:val="14"/>
    <w:link w:val="5"/>
    <w:qFormat/>
    <w:uiPriority w:val="9"/>
    <w:rPr>
      <w:rFonts w:ascii="Times New Roman" w:hAnsi="Times New Roman" w:eastAsia="仿宋" w:cs="Times New Roman"/>
      <w:b/>
      <w:bCs/>
      <w:sz w:val="32"/>
      <w:szCs w:val="32"/>
    </w:rPr>
  </w:style>
  <w:style w:type="character" w:customStyle="1" w:styleId="25">
    <w:name w:val="正文文本缩进 字符"/>
    <w:basedOn w:val="14"/>
    <w:link w:val="6"/>
    <w:qFormat/>
    <w:uiPriority w:val="99"/>
    <w:rPr>
      <w:rFonts w:ascii="黑体" w:hAnsi="Times New Roman" w:eastAsia="黑体" w:cs="Times New Roman"/>
      <w:bCs/>
      <w:sz w:val="30"/>
      <w:szCs w:val="24"/>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19857</Words>
  <Characters>20529</Characters>
  <Lines>241</Lines>
  <Paragraphs>67</Paragraphs>
  <TotalTime>1</TotalTime>
  <ScaleCrop>false</ScaleCrop>
  <LinksUpToDate>false</LinksUpToDate>
  <CharactersWithSpaces>20601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2021-04-22T11:18:00Z</dcterms:created>
  <dc:creator>zhu qiuhui</dc:creator>
  <cp:lastModifiedBy>吴小懒</cp:lastModifiedBy>
  <cp:lastPrinted>2022-08-25T04:18:00Z</cp:lastPrinted>
  <dcterms:modified xsi:type="dcterms:W3CDTF">2025-06-05T02:04:07Z</dcterms:modified>
  <dc:title>三明市  明溪县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eyJoZGlkIjoiNTg3NDgyZjJjNjkzYTVkZDMwNWFhODRiMzEzZTI0MDgiLCJ1c2VySWQiOiI3NDMyNTM1MzkifQ==</vt:lpwstr>
  </property>
  <property fmtid="{D5CDD505-2E9C-101B-9397-08002B2CF9AE}" pid="4" name="ICV">
    <vt:lpwstr>0A9EE1DCA6334DA6BE1EA42E36F167BF_12</vt:lpwstr>
  </property>
</Properties>
</file>